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玉溪市通海历史文化名城保护条例（草案）</w:t>
      </w:r>
    </w:p>
    <w:p>
      <w:pPr>
        <w:jc w:val="center"/>
        <w:rPr>
          <w:rFonts w:hint="eastAsia" w:ascii="仿宋" w:hAnsi="仿宋" w:eastAsia="仿宋"/>
          <w:color w:val="auto"/>
          <w:sz w:val="32"/>
          <w:szCs w:val="32"/>
        </w:rPr>
      </w:pPr>
      <w:r>
        <w:rPr>
          <w:rFonts w:hint="eastAsia" w:ascii="仿宋" w:hAnsi="仿宋" w:eastAsia="仿宋"/>
          <w:color w:val="auto"/>
          <w:sz w:val="32"/>
          <w:szCs w:val="32"/>
        </w:rPr>
        <w:t>征</w:t>
      </w:r>
      <w:bookmarkStart w:id="0" w:name="_GoBack"/>
      <w:bookmarkEnd w:id="0"/>
      <w:r>
        <w:rPr>
          <w:rFonts w:hint="eastAsia" w:ascii="仿宋" w:hAnsi="仿宋" w:eastAsia="仿宋"/>
          <w:color w:val="auto"/>
          <w:sz w:val="32"/>
          <w:szCs w:val="32"/>
        </w:rPr>
        <w:t>求意见稿</w:t>
      </w:r>
    </w:p>
    <w:p>
      <w:pPr>
        <w:jc w:val="center"/>
        <w:rPr>
          <w:rFonts w:hint="eastAsia" w:ascii="黑体" w:hAnsi="黑体" w:eastAsia="黑体"/>
          <w:color w:val="auto"/>
          <w:sz w:val="32"/>
          <w:szCs w:val="32"/>
        </w:rPr>
      </w:pPr>
      <w:r>
        <w:rPr>
          <w:rFonts w:hint="eastAsia" w:ascii="黑体" w:hAnsi="黑体" w:eastAsia="黑体"/>
          <w:color w:val="auto"/>
          <w:sz w:val="32"/>
          <w:szCs w:val="32"/>
        </w:rPr>
        <w:t>目 录</w:t>
      </w:r>
    </w:p>
    <w:p>
      <w:pPr>
        <w:jc w:val="both"/>
        <w:rPr>
          <w:rFonts w:hint="eastAsia" w:ascii="黑体" w:hAnsi="黑体" w:eastAsia="黑体"/>
          <w:color w:val="auto"/>
          <w:sz w:val="32"/>
          <w:szCs w:val="32"/>
        </w:rPr>
      </w:pPr>
      <w:r>
        <w:rPr>
          <w:rFonts w:hint="eastAsia" w:ascii="黑体" w:hAnsi="黑体" w:eastAsia="黑体"/>
          <w:color w:val="auto"/>
          <w:sz w:val="32"/>
          <w:szCs w:val="32"/>
        </w:rPr>
        <w:t>第一章 总则</w:t>
      </w:r>
    </w:p>
    <w:p>
      <w:pPr>
        <w:jc w:val="both"/>
        <w:rPr>
          <w:rFonts w:hint="eastAsia" w:ascii="黑体" w:hAnsi="黑体" w:eastAsia="黑体"/>
          <w:color w:val="auto"/>
          <w:sz w:val="32"/>
          <w:szCs w:val="32"/>
        </w:rPr>
      </w:pPr>
      <w:r>
        <w:rPr>
          <w:rFonts w:hint="eastAsia" w:ascii="黑体" w:hAnsi="黑体" w:eastAsia="黑体"/>
          <w:color w:val="auto"/>
          <w:sz w:val="32"/>
          <w:szCs w:val="32"/>
        </w:rPr>
        <w:t>第二章 保护规划</w:t>
      </w:r>
    </w:p>
    <w:p>
      <w:pPr>
        <w:jc w:val="both"/>
        <w:rPr>
          <w:rFonts w:hint="eastAsia" w:ascii="黑体" w:hAnsi="黑体" w:eastAsia="黑体"/>
          <w:color w:val="auto"/>
          <w:sz w:val="32"/>
          <w:szCs w:val="32"/>
        </w:rPr>
      </w:pPr>
      <w:r>
        <w:rPr>
          <w:rFonts w:hint="eastAsia" w:ascii="黑体" w:hAnsi="黑体" w:eastAsia="黑体"/>
          <w:color w:val="auto"/>
          <w:sz w:val="32"/>
          <w:szCs w:val="32"/>
        </w:rPr>
        <w:t>第三章 保护措施</w:t>
      </w:r>
    </w:p>
    <w:p>
      <w:pPr>
        <w:jc w:val="both"/>
        <w:rPr>
          <w:rFonts w:hint="eastAsia" w:ascii="黑体" w:hAnsi="黑体" w:eastAsia="黑体"/>
          <w:color w:val="auto"/>
          <w:sz w:val="32"/>
          <w:szCs w:val="32"/>
        </w:rPr>
      </w:pPr>
      <w:r>
        <w:rPr>
          <w:rFonts w:hint="eastAsia" w:ascii="黑体" w:hAnsi="黑体" w:eastAsia="黑体"/>
          <w:color w:val="auto"/>
          <w:sz w:val="32"/>
          <w:szCs w:val="32"/>
        </w:rPr>
        <w:t>第四章 保护利用</w:t>
      </w:r>
    </w:p>
    <w:p>
      <w:pPr>
        <w:jc w:val="both"/>
        <w:rPr>
          <w:rFonts w:hint="eastAsia" w:ascii="黑体" w:hAnsi="黑体" w:eastAsia="黑体"/>
          <w:color w:val="auto"/>
          <w:sz w:val="32"/>
          <w:szCs w:val="32"/>
        </w:rPr>
      </w:pPr>
      <w:r>
        <w:rPr>
          <w:rFonts w:hint="eastAsia" w:ascii="黑体" w:hAnsi="黑体" w:eastAsia="黑体"/>
          <w:color w:val="auto"/>
          <w:sz w:val="32"/>
          <w:szCs w:val="32"/>
        </w:rPr>
        <w:t>第五章 法律责任</w:t>
      </w:r>
    </w:p>
    <w:p>
      <w:pPr>
        <w:jc w:val="both"/>
        <w:rPr>
          <w:rFonts w:hint="eastAsia" w:ascii="黑体" w:hAnsi="黑体" w:eastAsia="黑体"/>
          <w:color w:val="auto"/>
          <w:sz w:val="32"/>
          <w:szCs w:val="32"/>
        </w:rPr>
      </w:pPr>
      <w:r>
        <w:rPr>
          <w:rFonts w:hint="eastAsia" w:ascii="黑体" w:hAnsi="黑体" w:eastAsia="黑体"/>
          <w:color w:val="auto"/>
          <w:sz w:val="32"/>
          <w:szCs w:val="32"/>
        </w:rPr>
        <w:t>第六章 附则</w:t>
      </w:r>
    </w:p>
    <w:p>
      <w:pPr>
        <w:jc w:val="both"/>
        <w:rPr>
          <w:rFonts w:hint="eastAsia" w:ascii="仿宋" w:hAnsi="仿宋" w:eastAsia="仿宋"/>
          <w:color w:val="auto"/>
          <w:sz w:val="32"/>
          <w:szCs w:val="32"/>
        </w:rPr>
      </w:pPr>
    </w:p>
    <w:p>
      <w:pPr>
        <w:keepNext w:val="0"/>
        <w:keepLines w:val="0"/>
        <w:pageBreakBefore w:val="0"/>
        <w:kinsoku/>
        <w:overflowPunct/>
        <w:topLinePunct w:val="0"/>
        <w:autoSpaceDE/>
        <w:autoSpaceDN/>
        <w:bidi w:val="0"/>
        <w:adjustRightInd/>
        <w:snapToGrid/>
        <w:spacing w:after="0" w:line="59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第一章 总则</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olor w:val="auto"/>
          <w:sz w:val="32"/>
          <w:szCs w:val="32"/>
        </w:rPr>
        <w:t xml:space="preserve">第一条【立法目的】 </w:t>
      </w:r>
      <w:r>
        <w:rPr>
          <w:rFonts w:hint="eastAsia" w:ascii="仿宋" w:hAnsi="仿宋" w:eastAsia="仿宋"/>
          <w:color w:val="auto"/>
          <w:sz w:val="32"/>
          <w:szCs w:val="32"/>
        </w:rPr>
        <w:t>为了加强通海历史文化名城的保护和管理，促进历史文化保护传承与城乡建设融合发展，根据《中华人民共和国城乡规划法》《中华人民共和国文物保护法》</w:t>
      </w:r>
      <w:r>
        <w:rPr>
          <w:rFonts w:ascii="仿宋" w:hAnsi="仿宋" w:eastAsia="仿宋"/>
          <w:color w:val="auto"/>
          <w:sz w:val="32"/>
          <w:szCs w:val="32"/>
        </w:rPr>
        <w:t>《历史文化名城名镇名村保护条例》</w:t>
      </w:r>
      <w:r>
        <w:rPr>
          <w:rFonts w:hint="eastAsia" w:ascii="仿宋" w:hAnsi="仿宋" w:eastAsia="仿宋"/>
          <w:color w:val="auto"/>
          <w:sz w:val="32"/>
          <w:szCs w:val="32"/>
        </w:rPr>
        <w:t>等法律法规，结合通海县实际，制定本条例。</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olor w:val="auto"/>
          <w:sz w:val="32"/>
          <w:szCs w:val="32"/>
        </w:rPr>
        <w:t xml:space="preserve">第二条【调整范围】 </w:t>
      </w:r>
      <w:r>
        <w:rPr>
          <w:rFonts w:hint="eastAsia" w:ascii="仿宋" w:hAnsi="仿宋" w:eastAsia="仿宋"/>
          <w:color w:val="auto"/>
          <w:sz w:val="32"/>
          <w:szCs w:val="32"/>
        </w:rPr>
        <w:t>通海历史文化名城（以下简称名城）的规划、保护、管理、利用等活动适用本条例。</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名城保护涉及文物的，应当执行文物保护法律法规的规定；涉及风景名胜区、杞麓湖、湿地公园、非物质文化遗产等的，还应当执行有关法律法规的规定。</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bCs/>
          <w:color w:val="auto"/>
          <w:sz w:val="32"/>
          <w:szCs w:val="32"/>
        </w:rPr>
      </w:pPr>
      <w:r>
        <w:rPr>
          <w:rFonts w:hint="eastAsia" w:ascii="黑体" w:hAnsi="黑体" w:eastAsia="黑体"/>
          <w:color w:val="auto"/>
          <w:sz w:val="32"/>
          <w:szCs w:val="32"/>
        </w:rPr>
        <w:t xml:space="preserve">第三条【保护范围】 </w:t>
      </w:r>
      <w:r>
        <w:rPr>
          <w:rFonts w:ascii="仿宋" w:hAnsi="仿宋" w:eastAsia="仿宋"/>
          <w:bCs/>
          <w:color w:val="auto"/>
          <w:sz w:val="32"/>
          <w:szCs w:val="32"/>
        </w:rPr>
        <w:t>名城保护范围由核心保护区、建设控制区、</w:t>
      </w:r>
      <w:r>
        <w:rPr>
          <w:rFonts w:hint="eastAsia" w:ascii="仿宋" w:hAnsi="仿宋" w:eastAsia="仿宋"/>
          <w:bCs/>
          <w:color w:val="auto"/>
          <w:sz w:val="32"/>
          <w:szCs w:val="32"/>
        </w:rPr>
        <w:t>历史城区、</w:t>
      </w:r>
      <w:r>
        <w:rPr>
          <w:rFonts w:hint="eastAsia" w:ascii="仿宋" w:hAnsi="仿宋" w:eastAsia="仿宋"/>
          <w:bCs/>
          <w:color w:val="auto"/>
          <w:sz w:val="32"/>
          <w:szCs w:val="32"/>
          <w:lang w:eastAsia="zh-CN"/>
        </w:rPr>
        <w:t>环境协调区</w:t>
      </w:r>
      <w:r>
        <w:rPr>
          <w:rFonts w:ascii="仿宋" w:hAnsi="仿宋" w:eastAsia="仿宋"/>
          <w:bCs/>
          <w:color w:val="auto"/>
          <w:sz w:val="32"/>
          <w:szCs w:val="32"/>
        </w:rPr>
        <w:t>构成，具体</w:t>
      </w:r>
      <w:r>
        <w:rPr>
          <w:rFonts w:hint="eastAsia" w:ascii="仿宋" w:hAnsi="仿宋" w:eastAsia="仿宋"/>
          <w:bCs/>
          <w:color w:val="auto"/>
          <w:sz w:val="32"/>
          <w:szCs w:val="32"/>
        </w:rPr>
        <w:t>范围如下：</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（一）核心保护区范围：由旧县历史文化街区和御城历史文化街区的核心保护区组成。</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旧县历史文化街区核心保护区范围：东至大井和极星街，南至崇文街、周家巷、艾家巷、文庙东南西院墙、文献里南侧院落的南侧院墙，西至文献里西侧院落的西侧院墙，北至顺城街。</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御城历史文化街区核心保护区范围：东至东下城脚、东上城脚，南至东街南侧院落南院墙、福星街、阚家巷、祁家巷，西至西上城脚、西下城脚，北至盐店巷、高家巷。</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（二）建设控制区范围：旧县历史文化街区和御城历史文化街区内核心保护区以外的区域。</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旧县历史文化街区范围：东至延龄路，包括太和街两侧院落；南至育才路、窑上口、秀山山脚，不包括文化馆和古乐馆；西至文献里西侧规划道路；北至顺城街。</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御城历史文化街区范围：北至礼乐东、西路，东至古城东路，南至顺城街，西至古城西路。</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三）历史城区范围：北至礼乐东、西路；东至古城东路转东街、东升巷折向东，至延龄路纳入太和街两侧院落，接窑沟；南至通海一中南侧、白龙寺沟、秀山公园南广场；西至秀山沟环山公路、人民医院、高坡巷支路、台家巷、西街、古城西路一线。</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（四）</w:t>
      </w:r>
      <w:r>
        <w:rPr>
          <w:rFonts w:hint="eastAsia" w:ascii="仿宋" w:hAnsi="仿宋" w:eastAsia="仿宋"/>
          <w:color w:val="auto"/>
          <w:sz w:val="32"/>
          <w:szCs w:val="32"/>
          <w:lang w:eastAsia="zh-CN"/>
        </w:rPr>
        <w:t>环境协调区</w:t>
      </w:r>
      <w:r>
        <w:rPr>
          <w:rFonts w:hint="eastAsia" w:ascii="仿宋" w:hAnsi="仿宋" w:eastAsia="仿宋"/>
          <w:color w:val="auto"/>
          <w:sz w:val="32"/>
          <w:szCs w:val="32"/>
        </w:rPr>
        <w:t>范围：东至延龄路、礼乐东路、东山，南至白马山、香满山、秀山和西山，西至西山路、礼乐西路、湖滨路，北至杞麓湖。</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四</w:t>
      </w:r>
      <w:r>
        <w:rPr>
          <w:rFonts w:hint="eastAsia" w:ascii="黑体" w:hAnsi="黑体" w:eastAsia="黑体"/>
          <w:color w:val="auto"/>
          <w:sz w:val="32"/>
          <w:szCs w:val="32"/>
        </w:rPr>
        <w:t>条【名城保护对象范围】</w:t>
      </w:r>
      <w:r>
        <w:rPr>
          <w:rFonts w:hint="eastAsia" w:ascii="仿宋" w:hAnsi="仿宋" w:eastAsia="仿宋" w:cstheme="minorBidi"/>
          <w:color w:val="auto"/>
          <w:sz w:val="32"/>
          <w:szCs w:val="32"/>
        </w:rPr>
        <w:t>名城保护对象包括：</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（一）新石器时代以来各个历史时期有价值的历史遗迹；</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（二）历史文化街区、名镇、名村和传统村落；</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（三）文物；</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（四）历史建筑、名人故居；</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（五）革命纪念遗址；</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（六）历史街巷、传统地名；</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（七）古道、古桥、古井、古树名木；</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（八）非物质文化遗产；</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（九）秀山、杞麓湖风景区自然景观环境；</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stheme="minorBidi"/>
          <w:color w:val="auto"/>
          <w:sz w:val="32"/>
          <w:szCs w:val="32"/>
        </w:rPr>
        <w:t>（十）法律、法规规定的其他保护对象。</w:t>
      </w:r>
    </w:p>
    <w:p>
      <w:pPr>
        <w:keepNext w:val="0"/>
        <w:keepLines w:val="0"/>
        <w:pageBreakBefore w:val="0"/>
        <w:kinsoku/>
        <w:overflowPunct/>
        <w:topLinePunct w:val="0"/>
        <w:autoSpaceDE/>
        <w:autoSpaceDN/>
        <w:bidi w:val="0"/>
        <w:adjustRightInd/>
        <w:snapToGrid/>
        <w:spacing w:after="0" w:line="590" w:lineRule="exact"/>
        <w:ind w:firstLine="64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w:t>
      </w:r>
      <w:r>
        <w:rPr>
          <w:rFonts w:hint="eastAsia" w:ascii="黑体" w:hAnsi="黑体" w:eastAsia="黑体"/>
          <w:color w:val="auto"/>
          <w:sz w:val="32"/>
          <w:szCs w:val="32"/>
        </w:rPr>
        <w:t>条【保护原则】</w:t>
      </w:r>
      <w:r>
        <w:rPr>
          <w:rFonts w:hint="eastAsia" w:ascii="仿宋" w:hAnsi="仿宋" w:eastAsia="仿宋"/>
          <w:color w:val="auto"/>
          <w:sz w:val="32"/>
          <w:szCs w:val="32"/>
        </w:rPr>
        <w:t>名城保护遵循科学规划、严格保护、合理利用、公众参与、社会监督的原则，保持和延续名城传统格局和历史风貌，维护历史文化遗产的真实性和完整性，继承和弘扬通海优秀传统文化，正确处理经济社会发展和历史文化遗产保护的关系。</w:t>
      </w:r>
    </w:p>
    <w:p>
      <w:pPr>
        <w:keepNext w:val="0"/>
        <w:keepLines w:val="0"/>
        <w:pageBreakBefore w:val="0"/>
        <w:kinsoku/>
        <w:overflowPunct/>
        <w:topLinePunct w:val="0"/>
        <w:autoSpaceDE/>
        <w:autoSpaceDN/>
        <w:bidi w:val="0"/>
        <w:adjustRightInd/>
        <w:snapToGrid/>
        <w:spacing w:after="0" w:line="590" w:lineRule="exact"/>
        <w:ind w:firstLine="64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六</w:t>
      </w:r>
      <w:r>
        <w:rPr>
          <w:rFonts w:hint="eastAsia" w:ascii="黑体" w:hAnsi="黑体" w:eastAsia="黑体"/>
          <w:color w:val="auto"/>
          <w:sz w:val="32"/>
          <w:szCs w:val="32"/>
        </w:rPr>
        <w:t>条【保护管理职责】</w:t>
      </w:r>
      <w:r>
        <w:rPr>
          <w:rFonts w:hint="eastAsia" w:ascii="仿宋" w:hAnsi="仿宋" w:eastAsia="仿宋"/>
          <w:color w:val="auto"/>
          <w:sz w:val="32"/>
          <w:szCs w:val="32"/>
        </w:rPr>
        <w:t>玉溪市</w:t>
      </w:r>
      <w:r>
        <w:rPr>
          <w:rFonts w:ascii="仿宋" w:hAnsi="仿宋" w:eastAsia="仿宋"/>
          <w:color w:val="auto"/>
          <w:sz w:val="32"/>
          <w:szCs w:val="32"/>
        </w:rPr>
        <w:t>人民政府</w:t>
      </w:r>
      <w:r>
        <w:rPr>
          <w:rFonts w:hint="eastAsia" w:ascii="仿宋" w:hAnsi="仿宋" w:eastAsia="仿宋"/>
          <w:color w:val="auto"/>
          <w:sz w:val="32"/>
          <w:szCs w:val="32"/>
        </w:rPr>
        <w:t>负责</w:t>
      </w:r>
      <w:r>
        <w:rPr>
          <w:rFonts w:ascii="仿宋" w:hAnsi="仿宋" w:eastAsia="仿宋"/>
          <w:color w:val="auto"/>
          <w:sz w:val="32"/>
          <w:szCs w:val="32"/>
        </w:rPr>
        <w:t>名城保护管理工作的领导，研究</w:t>
      </w:r>
      <w:r>
        <w:rPr>
          <w:rFonts w:hint="eastAsia" w:ascii="仿宋" w:hAnsi="仿宋" w:eastAsia="仿宋"/>
          <w:color w:val="auto"/>
          <w:sz w:val="32"/>
          <w:szCs w:val="32"/>
        </w:rPr>
        <w:t>、决定</w:t>
      </w:r>
      <w:r>
        <w:rPr>
          <w:rFonts w:ascii="仿宋" w:hAnsi="仿宋" w:eastAsia="仿宋"/>
          <w:color w:val="auto"/>
          <w:sz w:val="32"/>
          <w:szCs w:val="32"/>
        </w:rPr>
        <w:t>名城保护管理的重大事项，将名城保护管理纳入国民经济和社会发展规划，</w:t>
      </w:r>
      <w:r>
        <w:rPr>
          <w:rFonts w:hint="eastAsia" w:ascii="仿宋" w:hAnsi="仿宋" w:eastAsia="仿宋"/>
          <w:color w:val="auto"/>
          <w:sz w:val="32"/>
          <w:szCs w:val="32"/>
        </w:rPr>
        <w:t>所需保护经费</w:t>
      </w:r>
      <w:r>
        <w:rPr>
          <w:rFonts w:ascii="仿宋" w:hAnsi="仿宋" w:eastAsia="仿宋"/>
          <w:color w:val="auto"/>
          <w:sz w:val="32"/>
          <w:szCs w:val="32"/>
        </w:rPr>
        <w:t>列入本级财政预算。</w:t>
      </w:r>
    </w:p>
    <w:p>
      <w:pPr>
        <w:keepNext w:val="0"/>
        <w:keepLines w:val="0"/>
        <w:pageBreakBefore w:val="0"/>
        <w:kinsoku/>
        <w:overflowPunct/>
        <w:topLinePunct w:val="0"/>
        <w:autoSpaceDE/>
        <w:autoSpaceDN/>
        <w:bidi w:val="0"/>
        <w:adjustRightInd/>
        <w:snapToGrid/>
        <w:spacing w:after="0" w:line="590" w:lineRule="exact"/>
        <w:ind w:firstLine="640"/>
        <w:jc w:val="both"/>
        <w:textAlignment w:val="auto"/>
        <w:rPr>
          <w:rFonts w:hint="eastAsia" w:ascii="仿宋" w:hAnsi="仿宋" w:eastAsia="仿宋"/>
          <w:color w:val="auto"/>
          <w:sz w:val="32"/>
          <w:szCs w:val="32"/>
        </w:rPr>
      </w:pPr>
      <w:r>
        <w:rPr>
          <w:rFonts w:hint="eastAsia" w:ascii="仿宋" w:hAnsi="仿宋" w:eastAsia="仿宋"/>
          <w:color w:val="auto"/>
          <w:sz w:val="32"/>
          <w:szCs w:val="32"/>
        </w:rPr>
        <w:t>通海县</w:t>
      </w:r>
      <w:r>
        <w:rPr>
          <w:rFonts w:ascii="仿宋" w:hAnsi="仿宋" w:eastAsia="仿宋"/>
          <w:color w:val="auto"/>
          <w:sz w:val="32"/>
          <w:szCs w:val="32"/>
        </w:rPr>
        <w:t>人民政府负责统筹协调名城保护管理工作，将名城保护纳入国民经济和社会发展规划，</w:t>
      </w:r>
      <w:r>
        <w:rPr>
          <w:rFonts w:hint="eastAsia" w:ascii="仿宋" w:hAnsi="仿宋" w:eastAsia="仿宋"/>
          <w:color w:val="auto"/>
          <w:sz w:val="32"/>
          <w:szCs w:val="32"/>
        </w:rPr>
        <w:t>制定相关部门的责任清单，</w:t>
      </w:r>
      <w:r>
        <w:rPr>
          <w:rFonts w:ascii="仿宋" w:hAnsi="仿宋" w:eastAsia="仿宋"/>
          <w:color w:val="auto"/>
          <w:sz w:val="32"/>
          <w:szCs w:val="32"/>
        </w:rPr>
        <w:t>保护</w:t>
      </w:r>
      <w:r>
        <w:rPr>
          <w:rFonts w:hint="eastAsia" w:ascii="仿宋" w:hAnsi="仿宋" w:eastAsia="仿宋"/>
          <w:color w:val="auto"/>
          <w:sz w:val="32"/>
          <w:szCs w:val="32"/>
        </w:rPr>
        <w:t>、管理</w:t>
      </w:r>
      <w:r>
        <w:rPr>
          <w:rFonts w:ascii="仿宋" w:hAnsi="仿宋" w:eastAsia="仿宋"/>
          <w:color w:val="auto"/>
          <w:sz w:val="32"/>
          <w:szCs w:val="32"/>
        </w:rPr>
        <w:t>所需</w:t>
      </w:r>
      <w:r>
        <w:rPr>
          <w:rFonts w:hint="eastAsia" w:ascii="仿宋" w:hAnsi="仿宋" w:eastAsia="仿宋"/>
          <w:color w:val="auto"/>
          <w:sz w:val="32"/>
          <w:szCs w:val="32"/>
        </w:rPr>
        <w:t>经费</w:t>
      </w:r>
      <w:r>
        <w:rPr>
          <w:rFonts w:ascii="仿宋" w:hAnsi="仿宋" w:eastAsia="仿宋"/>
          <w:color w:val="auto"/>
          <w:sz w:val="32"/>
          <w:szCs w:val="32"/>
        </w:rPr>
        <w:t>列入本级财政预算。</w:t>
      </w:r>
    </w:p>
    <w:p>
      <w:pPr>
        <w:keepNext w:val="0"/>
        <w:keepLines w:val="0"/>
        <w:pageBreakBefore w:val="0"/>
        <w:kinsoku/>
        <w:overflowPunct/>
        <w:topLinePunct w:val="0"/>
        <w:autoSpaceDE/>
        <w:autoSpaceDN/>
        <w:bidi w:val="0"/>
        <w:adjustRightInd/>
        <w:snapToGrid/>
        <w:spacing w:after="0" w:line="590" w:lineRule="exact"/>
        <w:ind w:firstLine="640"/>
        <w:jc w:val="both"/>
        <w:textAlignment w:val="auto"/>
        <w:rPr>
          <w:rFonts w:hint="eastAsia" w:ascii="仿宋" w:hAnsi="仿宋" w:eastAsia="仿宋"/>
          <w:color w:val="auto"/>
          <w:sz w:val="32"/>
          <w:szCs w:val="32"/>
        </w:rPr>
      </w:pPr>
      <w:r>
        <w:rPr>
          <w:rFonts w:ascii="仿宋" w:hAnsi="仿宋" w:eastAsia="仿宋"/>
          <w:color w:val="auto"/>
          <w:sz w:val="32"/>
          <w:szCs w:val="32"/>
        </w:rPr>
        <w:t>乡（镇）人民政府</w:t>
      </w:r>
      <w:r>
        <w:rPr>
          <w:rFonts w:hint="eastAsia" w:ascii="仿宋" w:hAnsi="仿宋" w:eastAsia="仿宋"/>
          <w:color w:val="auto"/>
          <w:sz w:val="32"/>
          <w:szCs w:val="32"/>
          <w:lang w:eastAsia="zh-CN"/>
        </w:rPr>
        <w:t>、街道办事处</w:t>
      </w:r>
      <w:r>
        <w:rPr>
          <w:rFonts w:ascii="仿宋" w:hAnsi="仿宋" w:eastAsia="仿宋"/>
          <w:color w:val="auto"/>
          <w:sz w:val="32"/>
          <w:szCs w:val="32"/>
        </w:rPr>
        <w:t>负责本辖区名城保护管理的日常工作，建立保护管理</w:t>
      </w:r>
      <w:r>
        <w:rPr>
          <w:rFonts w:hint="eastAsia" w:ascii="仿宋" w:hAnsi="仿宋" w:eastAsia="仿宋"/>
          <w:color w:val="auto"/>
          <w:sz w:val="32"/>
          <w:szCs w:val="32"/>
        </w:rPr>
        <w:t>工作</w:t>
      </w:r>
      <w:r>
        <w:rPr>
          <w:rFonts w:ascii="仿宋" w:hAnsi="仿宋" w:eastAsia="仿宋"/>
          <w:color w:val="auto"/>
          <w:sz w:val="32"/>
          <w:szCs w:val="32"/>
        </w:rPr>
        <w:t>机制，加强巡查、维护、宣传和监督</w:t>
      </w:r>
      <w:r>
        <w:rPr>
          <w:rFonts w:hint="eastAsia" w:ascii="仿宋" w:hAnsi="仿宋" w:eastAsia="仿宋"/>
          <w:color w:val="auto"/>
          <w:sz w:val="32"/>
          <w:szCs w:val="32"/>
          <w:lang w:eastAsia="zh-CN"/>
        </w:rPr>
        <w:t>，</w:t>
      </w:r>
      <w:r>
        <w:rPr>
          <w:rFonts w:ascii="仿宋" w:hAnsi="仿宋" w:eastAsia="仿宋"/>
          <w:color w:val="auto"/>
          <w:sz w:val="32"/>
          <w:szCs w:val="32"/>
        </w:rPr>
        <w:t>指导、支持村（居）民委员会开展名城保护相关活动</w:t>
      </w:r>
      <w:r>
        <w:rPr>
          <w:rFonts w:hint="eastAsia" w:ascii="仿宋" w:hAnsi="仿宋" w:eastAsia="仿宋"/>
          <w:color w:val="auto"/>
          <w:sz w:val="32"/>
          <w:szCs w:val="32"/>
        </w:rPr>
        <w:t>。</w:t>
      </w:r>
    </w:p>
    <w:p>
      <w:pPr>
        <w:keepNext w:val="0"/>
        <w:keepLines w:val="0"/>
        <w:pageBreakBefore w:val="0"/>
        <w:kinsoku/>
        <w:overflowPunct/>
        <w:topLinePunct w:val="0"/>
        <w:autoSpaceDE/>
        <w:autoSpaceDN/>
        <w:bidi w:val="0"/>
        <w:adjustRightInd/>
        <w:snapToGrid/>
        <w:spacing w:after="0" w:line="590" w:lineRule="exact"/>
        <w:ind w:firstLine="640"/>
        <w:jc w:val="both"/>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鼓励</w:t>
      </w:r>
      <w:r>
        <w:rPr>
          <w:rFonts w:ascii="仿宋" w:hAnsi="仿宋" w:eastAsia="仿宋"/>
          <w:color w:val="auto"/>
          <w:sz w:val="32"/>
          <w:szCs w:val="32"/>
        </w:rPr>
        <w:t>村（居）民委员</w:t>
      </w:r>
      <w:r>
        <w:rPr>
          <w:rFonts w:hint="eastAsia" w:ascii="仿宋" w:hAnsi="仿宋" w:eastAsia="仿宋"/>
          <w:color w:val="auto"/>
          <w:sz w:val="32"/>
          <w:szCs w:val="32"/>
          <w:lang w:eastAsia="zh-CN"/>
        </w:rPr>
        <w:t>会</w:t>
      </w:r>
      <w:r>
        <w:rPr>
          <w:rFonts w:ascii="仿宋" w:hAnsi="仿宋" w:eastAsia="仿宋"/>
          <w:color w:val="auto"/>
          <w:sz w:val="32"/>
          <w:szCs w:val="32"/>
        </w:rPr>
        <w:t>将保护</w:t>
      </w:r>
      <w:r>
        <w:rPr>
          <w:rFonts w:hint="eastAsia" w:ascii="仿宋" w:hAnsi="仿宋" w:eastAsia="仿宋"/>
          <w:color w:val="auto"/>
          <w:sz w:val="32"/>
          <w:szCs w:val="32"/>
        </w:rPr>
        <w:t>管理</w:t>
      </w:r>
      <w:r>
        <w:rPr>
          <w:rFonts w:ascii="仿宋" w:hAnsi="仿宋" w:eastAsia="仿宋"/>
          <w:color w:val="auto"/>
          <w:sz w:val="32"/>
          <w:szCs w:val="32"/>
        </w:rPr>
        <w:t>要求纳入村规民约、居民公约，引导村（居）民遵守有关法律、法规，参与名城保护</w:t>
      </w:r>
      <w:r>
        <w:rPr>
          <w:rFonts w:hint="eastAsia" w:ascii="仿宋" w:hAnsi="仿宋" w:eastAsia="仿宋"/>
          <w:color w:val="auto"/>
          <w:sz w:val="32"/>
          <w:szCs w:val="32"/>
        </w:rPr>
        <w:t>管理</w:t>
      </w:r>
      <w:r>
        <w:rPr>
          <w:rFonts w:ascii="仿宋" w:hAnsi="仿宋" w:eastAsia="仿宋"/>
          <w:color w:val="auto"/>
          <w:sz w:val="32"/>
          <w:szCs w:val="32"/>
        </w:rPr>
        <w:t>。</w:t>
      </w:r>
    </w:p>
    <w:p>
      <w:pPr>
        <w:keepNext w:val="0"/>
        <w:keepLines w:val="0"/>
        <w:pageBreakBefore w:val="0"/>
        <w:kinsoku/>
        <w:overflowPunct/>
        <w:topLinePunct w:val="0"/>
        <w:autoSpaceDE/>
        <w:autoSpaceDN/>
        <w:bidi w:val="0"/>
        <w:adjustRightInd/>
        <w:snapToGrid/>
        <w:spacing w:after="0" w:line="590" w:lineRule="exact"/>
        <w:ind w:firstLine="64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七</w:t>
      </w:r>
      <w:r>
        <w:rPr>
          <w:rFonts w:hint="eastAsia" w:ascii="黑体" w:hAnsi="黑体" w:eastAsia="黑体"/>
          <w:color w:val="auto"/>
          <w:sz w:val="32"/>
          <w:szCs w:val="32"/>
        </w:rPr>
        <w:t>条【部门职责】</w:t>
      </w:r>
      <w:r>
        <w:rPr>
          <w:rFonts w:hint="eastAsia" w:ascii="仿宋" w:hAnsi="仿宋" w:eastAsia="仿宋"/>
          <w:color w:val="auto"/>
          <w:sz w:val="32"/>
          <w:szCs w:val="32"/>
        </w:rPr>
        <w:t>通海县人民政府住房和城乡建设主管部门、文化和旅游行政主管部门、自然资源行政主管部门</w:t>
      </w:r>
      <w:r>
        <w:rPr>
          <w:rFonts w:hint="eastAsia" w:ascii="仿宋" w:hAnsi="仿宋" w:eastAsia="仿宋"/>
          <w:color w:val="auto"/>
          <w:sz w:val="32"/>
          <w:szCs w:val="32"/>
          <w:lang w:eastAsia="zh-CN"/>
        </w:rPr>
        <w:t>、综合行政执法部门</w:t>
      </w:r>
      <w:r>
        <w:rPr>
          <w:rFonts w:hint="eastAsia" w:ascii="仿宋" w:hAnsi="仿宋" w:eastAsia="仿宋"/>
          <w:color w:val="auto"/>
          <w:sz w:val="32"/>
          <w:szCs w:val="32"/>
        </w:rPr>
        <w:t>依职权负责名城保护管理和监督工作，依职权审批、监督、验收保护范围内的建设项目，并向保护责任人提供保护、修缮方面的信息和技术指导。</w:t>
      </w:r>
    </w:p>
    <w:p>
      <w:pPr>
        <w:keepNext w:val="0"/>
        <w:keepLines w:val="0"/>
        <w:pageBreakBefore w:val="0"/>
        <w:kinsoku/>
        <w:overflowPunct/>
        <w:topLinePunct w:val="0"/>
        <w:autoSpaceDE/>
        <w:autoSpaceDN/>
        <w:bidi w:val="0"/>
        <w:adjustRightInd/>
        <w:snapToGrid/>
        <w:spacing w:after="0" w:line="590" w:lineRule="exact"/>
        <w:ind w:firstLine="640"/>
        <w:jc w:val="both"/>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通海</w:t>
      </w:r>
      <w:r>
        <w:rPr>
          <w:rFonts w:hint="eastAsia" w:ascii="仿宋" w:hAnsi="仿宋" w:eastAsia="仿宋"/>
          <w:color w:val="auto"/>
          <w:sz w:val="32"/>
          <w:szCs w:val="32"/>
        </w:rPr>
        <w:t>县人民政府发展和改革、财政、应急管理、公安、卫生健康、农业农村、生态环境、林业和草原、杞麓湖管理、交通运输、水利、市场监督管理、民族宗教、民政等有关部门，应当按照各自职责做好名城保护的相关工作。</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57"/>
        <w:jc w:val="both"/>
        <w:textAlignment w:val="auto"/>
        <w:outlineLvl w:val="9"/>
        <w:rPr>
          <w:color w:val="auto"/>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八</w:t>
      </w:r>
      <w:r>
        <w:rPr>
          <w:rFonts w:hint="eastAsia" w:ascii="黑体" w:hAnsi="黑体" w:eastAsia="黑体"/>
          <w:color w:val="auto"/>
          <w:sz w:val="32"/>
          <w:szCs w:val="32"/>
        </w:rPr>
        <w:t>条【保护委员会】</w:t>
      </w:r>
      <w:r>
        <w:rPr>
          <w:rFonts w:hint="eastAsia" w:ascii="仿宋" w:hAnsi="仿宋" w:eastAsia="仿宋"/>
          <w:color w:val="auto"/>
          <w:sz w:val="32"/>
          <w:szCs w:val="32"/>
        </w:rPr>
        <w:t>县人民政府</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立名城保护管理委员会，负责研究、指导、协调名城保护管理工作</w:t>
      </w:r>
      <w:r>
        <w:rPr>
          <w:rFonts w:hint="eastAsia" w:ascii="仿宋" w:hAnsi="仿宋" w:eastAsia="仿宋"/>
          <w:color w:val="auto"/>
          <w:sz w:val="32"/>
          <w:szCs w:val="32"/>
          <w:lang w:eastAsia="zh-CN"/>
        </w:rPr>
        <w:t>，</w:t>
      </w:r>
      <w:r>
        <w:rPr>
          <w:rFonts w:hint="eastAsia" w:ascii="仿宋" w:hAnsi="仿宋" w:eastAsia="仿宋"/>
          <w:color w:val="auto"/>
          <w:sz w:val="32"/>
          <w:szCs w:val="32"/>
        </w:rPr>
        <w:t>监督相关部门按照责任清单落实保护工作。成立名城保护专家委员会，负责为县人民政府和名城保护管理委员会决策提供咨询意见。</w:t>
      </w:r>
    </w:p>
    <w:p>
      <w:pPr>
        <w:keepNext w:val="0"/>
        <w:keepLines w:val="0"/>
        <w:pageBreakBefore w:val="0"/>
        <w:kinsoku/>
        <w:overflowPunct/>
        <w:topLinePunct w:val="0"/>
        <w:autoSpaceDE/>
        <w:autoSpaceDN/>
        <w:bidi w:val="0"/>
        <w:adjustRightInd/>
        <w:snapToGrid/>
        <w:spacing w:after="0" w:line="590" w:lineRule="exact"/>
        <w:ind w:firstLine="64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九</w:t>
      </w:r>
      <w:r>
        <w:rPr>
          <w:rFonts w:hint="eastAsia" w:ascii="黑体" w:hAnsi="黑体" w:eastAsia="黑体"/>
          <w:color w:val="auto"/>
          <w:sz w:val="32"/>
          <w:szCs w:val="32"/>
        </w:rPr>
        <w:t>条【公众参与】</w:t>
      </w:r>
      <w:r>
        <w:rPr>
          <w:rFonts w:hint="eastAsia" w:ascii="仿宋" w:hAnsi="仿宋" w:eastAsia="仿宋"/>
          <w:color w:val="auto"/>
          <w:sz w:val="32"/>
          <w:szCs w:val="32"/>
        </w:rPr>
        <w:t>任何单位和个人都有保护名城的义务，有权监督保护工作并提出意见建议，对破坏名城的行为进行劝阻、举报和控告。</w:t>
      </w:r>
    </w:p>
    <w:p>
      <w:pPr>
        <w:keepNext w:val="0"/>
        <w:keepLines w:val="0"/>
        <w:pageBreakBefore w:val="0"/>
        <w:kinsoku/>
        <w:overflowPunct/>
        <w:topLinePunct w:val="0"/>
        <w:autoSpaceDE/>
        <w:autoSpaceDN/>
        <w:bidi w:val="0"/>
        <w:adjustRightInd/>
        <w:snapToGrid/>
        <w:spacing w:after="0" w:line="590" w:lineRule="exact"/>
        <w:ind w:firstLine="64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w:t>
      </w:r>
      <w:r>
        <w:rPr>
          <w:rFonts w:hint="eastAsia" w:ascii="黑体" w:hAnsi="黑体" w:eastAsia="黑体"/>
          <w:color w:val="auto"/>
          <w:sz w:val="32"/>
          <w:szCs w:val="32"/>
        </w:rPr>
        <w:t>条【宣传教育】</w:t>
      </w:r>
      <w:r>
        <w:rPr>
          <w:rFonts w:hint="eastAsia" w:ascii="仿宋" w:hAnsi="仿宋" w:eastAsia="仿宋"/>
          <w:color w:val="auto"/>
          <w:sz w:val="32"/>
          <w:szCs w:val="32"/>
        </w:rPr>
        <w:t>通海县、乡（镇）人民政府（街道办事处）应当加强名城保护的宣传教育，普及保护知识，增强公众保护意识。</w:t>
      </w:r>
    </w:p>
    <w:p>
      <w:pPr>
        <w:keepNext w:val="0"/>
        <w:keepLines w:val="0"/>
        <w:pageBreakBefore w:val="0"/>
        <w:kinsoku/>
        <w:overflowPunct/>
        <w:topLinePunct w:val="0"/>
        <w:autoSpaceDE/>
        <w:autoSpaceDN/>
        <w:bidi w:val="0"/>
        <w:adjustRightInd/>
        <w:snapToGrid/>
        <w:spacing w:after="0" w:line="59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第二章 保护规划</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一</w:t>
      </w:r>
      <w:r>
        <w:rPr>
          <w:rFonts w:hint="eastAsia" w:ascii="黑体" w:hAnsi="黑体" w:eastAsia="黑体"/>
          <w:color w:val="auto"/>
          <w:sz w:val="32"/>
          <w:szCs w:val="32"/>
        </w:rPr>
        <w:t>条【保护规划制定部门】</w:t>
      </w:r>
      <w:r>
        <w:rPr>
          <w:rFonts w:hint="eastAsia" w:ascii="仿宋" w:hAnsi="仿宋" w:eastAsia="仿宋"/>
          <w:color w:val="auto"/>
          <w:sz w:val="32"/>
          <w:szCs w:val="32"/>
        </w:rPr>
        <w:t>通海县住房城乡建设部门会同县文化和旅游部门组织编制名城保护规划和保护详细规划，由县人</w:t>
      </w:r>
      <w:r>
        <w:rPr>
          <w:rFonts w:hint="eastAsia" w:ascii="仿宋" w:hAnsi="仿宋" w:eastAsia="仿宋"/>
          <w:color w:val="auto"/>
          <w:sz w:val="32"/>
          <w:szCs w:val="32"/>
          <w:lang w:eastAsia="zh-CN"/>
        </w:rPr>
        <w:t>民</w:t>
      </w:r>
      <w:r>
        <w:rPr>
          <w:rFonts w:hint="eastAsia" w:ascii="仿宋" w:hAnsi="仿宋" w:eastAsia="仿宋"/>
          <w:color w:val="auto"/>
          <w:sz w:val="32"/>
          <w:szCs w:val="32"/>
        </w:rPr>
        <w:t>政府逐级报省人民政府审批。</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名城保护规划编制应当符合县国土空间总体规划，并作为专项规划纳入国土空间规划体系；涉及名城、名镇、名村、名街保护的其他专项规划和详细规划应当符合名城保护规划的要求并与之相衔接。</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二</w:t>
      </w:r>
      <w:r>
        <w:rPr>
          <w:rFonts w:hint="eastAsia" w:ascii="黑体" w:hAnsi="黑体" w:eastAsia="黑体"/>
          <w:color w:val="auto"/>
          <w:sz w:val="32"/>
          <w:szCs w:val="32"/>
        </w:rPr>
        <w:t>条【编制规划要求】</w:t>
      </w:r>
      <w:r>
        <w:rPr>
          <w:rFonts w:hint="eastAsia" w:ascii="仿宋" w:hAnsi="仿宋" w:eastAsia="仿宋"/>
          <w:color w:val="auto"/>
          <w:sz w:val="32"/>
          <w:szCs w:val="32"/>
        </w:rPr>
        <w:t>编制名城保护规划和保护详细规划，应当召开听证会、专家论证会并向社会公开征求意见。</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三</w:t>
      </w:r>
      <w:r>
        <w:rPr>
          <w:rFonts w:hint="eastAsia" w:ascii="黑体" w:hAnsi="黑体" w:eastAsia="黑体"/>
          <w:color w:val="auto"/>
          <w:sz w:val="32"/>
          <w:szCs w:val="32"/>
        </w:rPr>
        <w:t>条【规划的效力】</w:t>
      </w:r>
      <w:r>
        <w:rPr>
          <w:rFonts w:hint="eastAsia" w:ascii="仿宋" w:hAnsi="仿宋" w:eastAsia="仿宋"/>
          <w:color w:val="auto"/>
          <w:sz w:val="32"/>
          <w:szCs w:val="32"/>
        </w:rPr>
        <w:t>任何单位和个人不得擅自改变或者拒不执行经批准的名城保护规划和保护详细规划。确需对规划进行调整的，应当按照原审批程序报批。</w:t>
      </w:r>
    </w:p>
    <w:p>
      <w:pPr>
        <w:keepNext w:val="0"/>
        <w:keepLines w:val="0"/>
        <w:pageBreakBefore w:val="0"/>
        <w:kinsoku/>
        <w:overflowPunct/>
        <w:topLinePunct w:val="0"/>
        <w:autoSpaceDE/>
        <w:autoSpaceDN/>
        <w:bidi w:val="0"/>
        <w:adjustRightInd/>
        <w:snapToGrid/>
        <w:spacing w:after="0" w:line="59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第三章 保护措施</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十四</w:t>
      </w:r>
      <w:r>
        <w:rPr>
          <w:rFonts w:hint="eastAsia" w:ascii="黑体" w:hAnsi="黑体" w:eastAsia="黑体"/>
          <w:color w:val="auto"/>
          <w:sz w:val="32"/>
          <w:szCs w:val="32"/>
        </w:rPr>
        <w:t>条【保护名录制度】</w:t>
      </w:r>
      <w:r>
        <w:rPr>
          <w:rFonts w:hint="eastAsia" w:ascii="仿宋" w:hAnsi="仿宋" w:eastAsia="仿宋" w:cstheme="minorBidi"/>
          <w:color w:val="auto"/>
          <w:sz w:val="32"/>
          <w:szCs w:val="32"/>
        </w:rPr>
        <w:t xml:space="preserve">县人民政府建立名城保护名录制度，将名城保护对象纳入保护名录并进行动态管理，及时更新调整并向社会公布。   </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县住房城乡建设、文化和旅游、林草等部门及乡镇（街道）根据各自职能，负责保护对象的资源普查工作，需要纳入名录的保护对象，先行保护，并报县人民政府审定。</w:t>
      </w:r>
    </w:p>
    <w:p>
      <w:pPr>
        <w:pStyle w:val="14"/>
        <w:keepNext w:val="0"/>
        <w:keepLines w:val="0"/>
        <w:pageBreakBefore w:val="0"/>
        <w:widowControl/>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县住房城乡建设部门对纳入名录的保护对象应当设置保护标志，实行挂牌保护。</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十五</w:t>
      </w:r>
      <w:r>
        <w:rPr>
          <w:rFonts w:hint="eastAsia" w:ascii="黑体" w:hAnsi="黑体" w:eastAsia="黑体" w:cs="Times New Roman"/>
          <w:color w:val="auto"/>
          <w:sz w:val="32"/>
          <w:szCs w:val="32"/>
        </w:rPr>
        <w:t>条【街巷区域建筑名称保护】</w:t>
      </w:r>
      <w:r>
        <w:rPr>
          <w:rFonts w:hint="eastAsia" w:ascii="仿宋" w:hAnsi="仿宋" w:eastAsia="仿宋"/>
          <w:color w:val="auto"/>
          <w:sz w:val="32"/>
          <w:szCs w:val="32"/>
        </w:rPr>
        <w:t>体现通海历史文化的街巷、区域和建筑的名称，不得擅自更改。因特殊情况确需更改的，需逐级报玉溪市人民政府批准。</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十六</w:t>
      </w:r>
      <w:r>
        <w:rPr>
          <w:rFonts w:hint="eastAsia" w:ascii="黑体" w:hAnsi="黑体" w:eastAsia="黑体" w:cs="Times New Roman"/>
          <w:color w:val="auto"/>
          <w:sz w:val="32"/>
          <w:szCs w:val="32"/>
        </w:rPr>
        <w:t>条【保护责任人制度】</w:t>
      </w:r>
      <w:r>
        <w:rPr>
          <w:rFonts w:hint="eastAsia" w:ascii="仿宋" w:hAnsi="仿宋" w:eastAsia="仿宋"/>
          <w:color w:val="auto"/>
          <w:sz w:val="32"/>
          <w:szCs w:val="32"/>
        </w:rPr>
        <w:t>名城保护实行保护责任人制度，</w:t>
      </w:r>
      <w:r>
        <w:rPr>
          <w:rFonts w:ascii="仿宋" w:hAnsi="仿宋" w:eastAsia="仿宋"/>
          <w:color w:val="auto"/>
          <w:sz w:val="32"/>
          <w:szCs w:val="32"/>
        </w:rPr>
        <w:t>名镇</w:t>
      </w:r>
      <w:r>
        <w:rPr>
          <w:rFonts w:hint="eastAsia" w:ascii="仿宋" w:hAnsi="仿宋" w:eastAsia="仿宋"/>
          <w:color w:val="auto"/>
          <w:sz w:val="32"/>
          <w:szCs w:val="32"/>
        </w:rPr>
        <w:t>、</w:t>
      </w:r>
      <w:r>
        <w:rPr>
          <w:rFonts w:ascii="仿宋" w:hAnsi="仿宋" w:eastAsia="仿宋"/>
          <w:color w:val="auto"/>
          <w:sz w:val="32"/>
          <w:szCs w:val="32"/>
        </w:rPr>
        <w:t>名村</w:t>
      </w:r>
      <w:r>
        <w:rPr>
          <w:rFonts w:hint="eastAsia" w:ascii="仿宋" w:hAnsi="仿宋" w:eastAsia="仿宋"/>
          <w:color w:val="auto"/>
          <w:sz w:val="32"/>
          <w:szCs w:val="32"/>
        </w:rPr>
        <w:t>、</w:t>
      </w:r>
      <w:r>
        <w:rPr>
          <w:rFonts w:ascii="仿宋" w:hAnsi="仿宋" w:eastAsia="仿宋"/>
          <w:color w:val="auto"/>
          <w:sz w:val="32"/>
          <w:szCs w:val="32"/>
        </w:rPr>
        <w:t>历史文化街区</w:t>
      </w:r>
      <w:r>
        <w:rPr>
          <w:rFonts w:hint="eastAsia" w:ascii="仿宋" w:hAnsi="仿宋" w:eastAsia="仿宋"/>
          <w:color w:val="auto"/>
          <w:sz w:val="32"/>
          <w:szCs w:val="32"/>
        </w:rPr>
        <w:t>的</w:t>
      </w:r>
      <w:r>
        <w:rPr>
          <w:rFonts w:ascii="仿宋" w:hAnsi="仿宋" w:eastAsia="仿宋"/>
          <w:color w:val="auto"/>
          <w:sz w:val="32"/>
          <w:szCs w:val="32"/>
        </w:rPr>
        <w:t>保护责任人</w:t>
      </w:r>
      <w:r>
        <w:rPr>
          <w:rFonts w:hint="eastAsia" w:ascii="仿宋" w:hAnsi="仿宋" w:eastAsia="仿宋"/>
          <w:color w:val="auto"/>
          <w:sz w:val="32"/>
          <w:szCs w:val="32"/>
        </w:rPr>
        <w:t>为</w:t>
      </w:r>
      <w:r>
        <w:rPr>
          <w:rFonts w:ascii="仿宋" w:hAnsi="仿宋" w:eastAsia="仿宋"/>
          <w:color w:val="auto"/>
          <w:sz w:val="32"/>
          <w:szCs w:val="32"/>
        </w:rPr>
        <w:t>所在地的乡（镇）人民政府</w:t>
      </w:r>
      <w:r>
        <w:rPr>
          <w:rFonts w:hint="eastAsia" w:ascii="仿宋" w:hAnsi="仿宋" w:eastAsia="仿宋"/>
          <w:color w:val="auto"/>
          <w:sz w:val="32"/>
          <w:szCs w:val="32"/>
        </w:rPr>
        <w:t>；文物保护单位、不可移动文物和历史建筑的保护责任人为产权单位、产权人、代管人、实际使用人；文物保护单位、不可移动文物和历史建筑产权不清、权属不明且代管人、实际使用人均不明确的，由县人民政府确定相关管理单位为保护责任人。</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十七</w:t>
      </w:r>
      <w:r>
        <w:rPr>
          <w:rFonts w:hint="eastAsia" w:ascii="黑体" w:hAnsi="黑体" w:eastAsia="黑体" w:cs="Times New Roman"/>
          <w:color w:val="auto"/>
          <w:sz w:val="32"/>
          <w:szCs w:val="32"/>
        </w:rPr>
        <w:t>条【保护责任人的职责】</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保护责任人按照</w:t>
      </w:r>
      <w:r>
        <w:rPr>
          <w:rFonts w:hint="eastAsia" w:ascii="仿宋" w:hAnsi="仿宋" w:eastAsia="仿宋"/>
          <w:color w:val="auto"/>
          <w:sz w:val="32"/>
          <w:szCs w:val="32"/>
        </w:rPr>
        <w:t>相关法律法规及</w:t>
      </w:r>
      <w:r>
        <w:rPr>
          <w:rFonts w:ascii="仿宋" w:hAnsi="仿宋" w:eastAsia="仿宋"/>
          <w:color w:val="auto"/>
          <w:sz w:val="32"/>
          <w:szCs w:val="32"/>
        </w:rPr>
        <w:t>保护规划的要求，负责</w:t>
      </w:r>
      <w:r>
        <w:rPr>
          <w:rFonts w:hint="eastAsia" w:ascii="仿宋" w:hAnsi="仿宋" w:eastAsia="仿宋"/>
          <w:color w:val="auto"/>
          <w:sz w:val="32"/>
          <w:szCs w:val="32"/>
        </w:rPr>
        <w:t>保护对象</w:t>
      </w:r>
      <w:r>
        <w:rPr>
          <w:rFonts w:ascii="仿宋" w:hAnsi="仿宋" w:eastAsia="仿宋"/>
          <w:color w:val="auto"/>
          <w:sz w:val="32"/>
          <w:szCs w:val="32"/>
        </w:rPr>
        <w:t>日常保护管理</w:t>
      </w:r>
      <w:r>
        <w:rPr>
          <w:rFonts w:hint="eastAsia" w:ascii="仿宋" w:hAnsi="仿宋" w:eastAsia="仿宋"/>
          <w:color w:val="auto"/>
          <w:sz w:val="32"/>
          <w:szCs w:val="32"/>
        </w:rPr>
        <w:t>、安全防范和修缮使用，</w:t>
      </w:r>
      <w:r>
        <w:rPr>
          <w:rFonts w:ascii="仿宋" w:hAnsi="仿宋" w:eastAsia="仿宋"/>
          <w:color w:val="auto"/>
          <w:sz w:val="32"/>
          <w:szCs w:val="32"/>
        </w:rPr>
        <w:t>履行下列保护责任：</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（一）保障</w:t>
      </w:r>
      <w:r>
        <w:rPr>
          <w:rFonts w:hint="eastAsia" w:ascii="仿宋" w:hAnsi="仿宋" w:eastAsia="仿宋"/>
          <w:color w:val="auto"/>
          <w:sz w:val="32"/>
          <w:szCs w:val="32"/>
        </w:rPr>
        <w:t>保护对象</w:t>
      </w:r>
      <w:r>
        <w:rPr>
          <w:rFonts w:ascii="仿宋" w:hAnsi="仿宋" w:eastAsia="仿宋"/>
          <w:color w:val="auto"/>
          <w:sz w:val="32"/>
          <w:szCs w:val="32"/>
        </w:rPr>
        <w:t>安全，确保防灾、消防设施设备正常使用，发现安全隐患或者险情，及时报告并采取措施排除；</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（二）合理使用历史建筑，对历史建筑进行外部修缮装饰、添加设施以及改变历史建筑的结构或者使用性质的，应当</w:t>
      </w:r>
      <w:r>
        <w:rPr>
          <w:rFonts w:hint="eastAsia" w:ascii="仿宋" w:hAnsi="仿宋" w:eastAsia="仿宋"/>
          <w:color w:val="auto"/>
          <w:sz w:val="32"/>
          <w:szCs w:val="32"/>
        </w:rPr>
        <w:t>先报请批准并</w:t>
      </w:r>
      <w:r>
        <w:rPr>
          <w:rFonts w:ascii="仿宋" w:hAnsi="仿宋" w:eastAsia="仿宋"/>
          <w:color w:val="auto"/>
          <w:sz w:val="32"/>
          <w:szCs w:val="32"/>
        </w:rPr>
        <w:t>按照</w:t>
      </w:r>
      <w:r>
        <w:rPr>
          <w:rFonts w:hint="eastAsia" w:ascii="仿宋" w:hAnsi="仿宋" w:eastAsia="仿宋"/>
          <w:color w:val="auto"/>
          <w:sz w:val="32"/>
          <w:szCs w:val="32"/>
        </w:rPr>
        <w:t>保护方案施工</w:t>
      </w:r>
      <w:r>
        <w:rPr>
          <w:rFonts w:ascii="仿宋" w:hAnsi="仿宋" w:eastAsia="仿宋"/>
          <w:color w:val="auto"/>
          <w:sz w:val="32"/>
          <w:szCs w:val="32"/>
        </w:rPr>
        <w:t>，保持原有建筑的高度、体量、外观形象、色彩等传统风貌和院落的独有元素；</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（三）转让、出租、出借历史建筑的，应当与受让人、承租人、使用人签订书面协议，约定保护责任。</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（四）</w:t>
      </w:r>
      <w:r>
        <w:rPr>
          <w:rFonts w:hint="eastAsia" w:ascii="仿宋" w:hAnsi="仿宋" w:eastAsia="仿宋"/>
          <w:color w:val="auto"/>
          <w:sz w:val="32"/>
          <w:szCs w:val="32"/>
        </w:rPr>
        <w:t>保护对象</w:t>
      </w:r>
      <w:r>
        <w:rPr>
          <w:rFonts w:ascii="仿宋" w:hAnsi="仿宋" w:eastAsia="仿宋"/>
          <w:color w:val="auto"/>
          <w:sz w:val="32"/>
          <w:szCs w:val="32"/>
        </w:rPr>
        <w:t>有损毁危险的，保护责任人应当及时依法维护</w:t>
      </w:r>
      <w:r>
        <w:rPr>
          <w:rFonts w:hint="eastAsia" w:ascii="仿宋" w:hAnsi="仿宋" w:eastAsia="仿宋"/>
          <w:color w:val="auto"/>
          <w:sz w:val="32"/>
          <w:szCs w:val="32"/>
        </w:rPr>
        <w:t>、</w:t>
      </w:r>
      <w:r>
        <w:rPr>
          <w:rFonts w:ascii="仿宋" w:hAnsi="仿宋" w:eastAsia="仿宋"/>
          <w:color w:val="auto"/>
          <w:sz w:val="32"/>
          <w:szCs w:val="32"/>
        </w:rPr>
        <w:t>修缮；保护责任人不具备维护和修缮能力的，县人民政府应当采取措施进行保护。</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（五）</w:t>
      </w:r>
      <w:r>
        <w:rPr>
          <w:rFonts w:ascii="仿宋" w:hAnsi="仿宋" w:eastAsia="仿宋"/>
          <w:color w:val="auto"/>
          <w:sz w:val="32"/>
          <w:szCs w:val="32"/>
        </w:rPr>
        <w:t>历史建筑活化利用的，保护责任人应当向</w:t>
      </w:r>
      <w:r>
        <w:rPr>
          <w:rFonts w:hint="eastAsia" w:ascii="仿宋" w:hAnsi="仿宋" w:eastAsia="仿宋"/>
          <w:color w:val="auto"/>
          <w:sz w:val="32"/>
          <w:szCs w:val="32"/>
          <w:lang w:val="en-US" w:eastAsia="zh-CN"/>
        </w:rPr>
        <w:t>县住房和城乡建设主管部门</w:t>
      </w:r>
      <w:r>
        <w:rPr>
          <w:rFonts w:ascii="仿宋" w:hAnsi="仿宋" w:eastAsia="仿宋"/>
          <w:color w:val="auto"/>
          <w:sz w:val="32"/>
          <w:szCs w:val="32"/>
        </w:rPr>
        <w:t>备案。</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十八</w:t>
      </w:r>
      <w:r>
        <w:rPr>
          <w:rFonts w:hint="eastAsia" w:ascii="黑体" w:hAnsi="黑体" w:eastAsia="黑体" w:cs="Times New Roman"/>
          <w:color w:val="auto"/>
          <w:sz w:val="32"/>
          <w:szCs w:val="32"/>
        </w:rPr>
        <w:t>条【保护的总体要求】</w:t>
      </w:r>
      <w:r>
        <w:rPr>
          <w:rFonts w:hint="eastAsia" w:ascii="仿宋" w:hAnsi="仿宋" w:eastAsia="仿宋"/>
          <w:color w:val="auto"/>
          <w:sz w:val="32"/>
          <w:szCs w:val="32"/>
        </w:rPr>
        <w:t>对名城应当实行整体保护，保持传统格局</w:t>
      </w:r>
      <w:r>
        <w:rPr>
          <w:rFonts w:hint="eastAsia" w:ascii="仿宋" w:hAnsi="仿宋" w:eastAsia="仿宋"/>
          <w:color w:val="auto"/>
          <w:sz w:val="32"/>
          <w:szCs w:val="32"/>
          <w:lang w:eastAsia="zh-CN"/>
        </w:rPr>
        <w:t>、</w:t>
      </w:r>
      <w:r>
        <w:rPr>
          <w:rFonts w:hint="eastAsia" w:ascii="仿宋" w:hAnsi="仿宋" w:eastAsia="仿宋"/>
          <w:color w:val="auto"/>
          <w:sz w:val="32"/>
          <w:szCs w:val="32"/>
        </w:rPr>
        <w:t>历史风貌和空间尺度，不得改变与名城相互依存的自然景观和环境。</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十九</w:t>
      </w:r>
      <w:r>
        <w:rPr>
          <w:rFonts w:hint="eastAsia" w:ascii="黑体" w:hAnsi="黑体" w:eastAsia="黑体" w:cs="Times New Roman"/>
          <w:color w:val="auto"/>
          <w:sz w:val="32"/>
          <w:szCs w:val="32"/>
        </w:rPr>
        <w:t>条【核心保护范围建设控制】</w:t>
      </w:r>
      <w:r>
        <w:rPr>
          <w:rFonts w:hint="eastAsia" w:ascii="仿宋" w:hAnsi="仿宋" w:eastAsia="仿宋"/>
          <w:color w:val="auto"/>
          <w:sz w:val="32"/>
          <w:szCs w:val="32"/>
        </w:rPr>
        <w:t>在核心保护</w:t>
      </w:r>
      <w:r>
        <w:rPr>
          <w:rFonts w:hint="eastAsia" w:ascii="仿宋" w:hAnsi="仿宋" w:eastAsia="仿宋"/>
          <w:color w:val="auto"/>
          <w:sz w:val="32"/>
          <w:szCs w:val="32"/>
          <w:lang w:eastAsia="zh-CN"/>
        </w:rPr>
        <w:t>区</w:t>
      </w:r>
      <w:r>
        <w:rPr>
          <w:rFonts w:hint="eastAsia" w:ascii="仿宋" w:hAnsi="仿宋" w:eastAsia="仿宋"/>
          <w:color w:val="auto"/>
          <w:sz w:val="32"/>
          <w:szCs w:val="32"/>
        </w:rPr>
        <w:t>范围内，除必要的基础设施和公共服务设施以及与名城保护相关的设施外，不得进行新建、扩建活动。</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在核心保护范围内历史遗留的，不符合名城保护规划，影响历史格局、传统风貌的建筑物、构筑物应当逐步进行改造、迁建或依法拆除。</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第二十条【控制区建设要求】</w:t>
      </w:r>
      <w:r>
        <w:rPr>
          <w:rFonts w:hint="eastAsia" w:ascii="仿宋" w:hAnsi="仿宋" w:eastAsia="仿宋"/>
          <w:color w:val="auto"/>
          <w:sz w:val="32"/>
          <w:szCs w:val="32"/>
        </w:rPr>
        <w:t>在名城建设控制区内新建、改建、扩建</w:t>
      </w:r>
      <w:r>
        <w:rPr>
          <w:rFonts w:hint="eastAsia" w:ascii="仿宋" w:hAnsi="仿宋" w:eastAsia="仿宋"/>
          <w:color w:val="auto"/>
          <w:sz w:val="32"/>
          <w:szCs w:val="32"/>
          <w:lang w:eastAsia="zh-CN"/>
        </w:rPr>
        <w:t>、</w:t>
      </w:r>
      <w:r>
        <w:rPr>
          <w:rFonts w:hint="eastAsia" w:ascii="仿宋" w:hAnsi="仿宋" w:eastAsia="仿宋"/>
          <w:color w:val="auto"/>
          <w:sz w:val="32"/>
          <w:szCs w:val="32"/>
        </w:rPr>
        <w:t>修缮建（构）筑物的，应当符合名城保护规划确定的建设控制要求，其形态、高度、体量、色彩等与核心保护范围风貌相协调。</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建设控制区内建（构）筑物的</w:t>
      </w:r>
      <w:r>
        <w:rPr>
          <w:rFonts w:ascii="仿宋" w:hAnsi="仿宋" w:eastAsia="仿宋"/>
          <w:color w:val="auto"/>
          <w:sz w:val="32"/>
          <w:szCs w:val="32"/>
        </w:rPr>
        <w:t>新建</w:t>
      </w:r>
      <w:r>
        <w:rPr>
          <w:rFonts w:hint="eastAsia" w:ascii="仿宋" w:hAnsi="仿宋" w:eastAsia="仿宋"/>
          <w:color w:val="auto"/>
          <w:sz w:val="32"/>
          <w:szCs w:val="32"/>
        </w:rPr>
        <w:t>、改建、扩建、修缮应当报县城乡规划主管部门会同县文物主管部门批准。</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二十一</w:t>
      </w:r>
      <w:r>
        <w:rPr>
          <w:rFonts w:hint="eastAsia" w:ascii="黑体" w:hAnsi="黑体" w:eastAsia="黑体" w:cs="Times New Roman"/>
          <w:color w:val="auto"/>
          <w:sz w:val="32"/>
          <w:szCs w:val="32"/>
        </w:rPr>
        <w:t>条【</w:t>
      </w:r>
      <w:r>
        <w:rPr>
          <w:rFonts w:hint="eastAsia" w:ascii="黑体" w:hAnsi="黑体" w:eastAsia="黑体" w:cs="Times New Roman"/>
          <w:color w:val="auto"/>
          <w:sz w:val="32"/>
          <w:szCs w:val="32"/>
          <w:lang w:eastAsia="zh-CN"/>
        </w:rPr>
        <w:t>环境协调区</w:t>
      </w:r>
      <w:r>
        <w:rPr>
          <w:rFonts w:hint="eastAsia" w:ascii="黑体" w:hAnsi="黑体" w:eastAsia="黑体" w:cs="Times New Roman"/>
          <w:color w:val="auto"/>
          <w:sz w:val="32"/>
          <w:szCs w:val="32"/>
        </w:rPr>
        <w:t>新改扩建的要求】</w:t>
      </w:r>
      <w:r>
        <w:rPr>
          <w:rFonts w:ascii="仿宋" w:hAnsi="仿宋" w:eastAsia="仿宋"/>
          <w:color w:val="auto"/>
          <w:sz w:val="32"/>
          <w:szCs w:val="32"/>
        </w:rPr>
        <w:t>在</w:t>
      </w:r>
      <w:r>
        <w:rPr>
          <w:rFonts w:hint="eastAsia" w:ascii="仿宋" w:hAnsi="仿宋" w:eastAsia="仿宋"/>
          <w:color w:val="auto"/>
          <w:sz w:val="32"/>
          <w:szCs w:val="32"/>
          <w:lang w:eastAsia="zh-CN"/>
        </w:rPr>
        <w:t>环境协调区</w:t>
      </w:r>
      <w:r>
        <w:rPr>
          <w:rFonts w:hint="eastAsia" w:ascii="仿宋" w:hAnsi="仿宋" w:eastAsia="仿宋"/>
          <w:color w:val="auto"/>
          <w:sz w:val="32"/>
          <w:szCs w:val="32"/>
        </w:rPr>
        <w:t>内</w:t>
      </w:r>
      <w:r>
        <w:rPr>
          <w:rFonts w:ascii="仿宋" w:hAnsi="仿宋" w:eastAsia="仿宋"/>
          <w:color w:val="auto"/>
          <w:sz w:val="32"/>
          <w:szCs w:val="32"/>
        </w:rPr>
        <w:t>新建、</w:t>
      </w:r>
      <w:r>
        <w:rPr>
          <w:rFonts w:hint="eastAsia" w:ascii="仿宋" w:hAnsi="仿宋" w:eastAsia="仿宋"/>
          <w:color w:val="auto"/>
          <w:sz w:val="32"/>
          <w:szCs w:val="32"/>
        </w:rPr>
        <w:t>改建、扩建、修缮建（构）筑物</w:t>
      </w:r>
      <w:r>
        <w:rPr>
          <w:rFonts w:ascii="仿宋" w:hAnsi="仿宋" w:eastAsia="仿宋"/>
          <w:color w:val="auto"/>
          <w:sz w:val="32"/>
          <w:szCs w:val="32"/>
        </w:rPr>
        <w:t>应</w:t>
      </w:r>
      <w:r>
        <w:rPr>
          <w:rFonts w:hint="eastAsia" w:ascii="仿宋" w:hAnsi="仿宋" w:eastAsia="仿宋"/>
          <w:color w:val="auto"/>
          <w:sz w:val="32"/>
          <w:szCs w:val="32"/>
        </w:rPr>
        <w:t>当</w:t>
      </w:r>
      <w:r>
        <w:rPr>
          <w:rFonts w:ascii="仿宋" w:hAnsi="仿宋" w:eastAsia="仿宋"/>
          <w:color w:val="auto"/>
          <w:sz w:val="32"/>
          <w:szCs w:val="32"/>
        </w:rPr>
        <w:t>与</w:t>
      </w:r>
      <w:r>
        <w:rPr>
          <w:rFonts w:hint="eastAsia" w:ascii="仿宋" w:hAnsi="仿宋" w:eastAsia="仿宋"/>
          <w:color w:val="auto"/>
          <w:sz w:val="32"/>
          <w:szCs w:val="32"/>
        </w:rPr>
        <w:t>名城</w:t>
      </w:r>
      <w:r>
        <w:rPr>
          <w:rFonts w:ascii="仿宋" w:hAnsi="仿宋" w:eastAsia="仿宋"/>
          <w:color w:val="auto"/>
          <w:sz w:val="32"/>
          <w:szCs w:val="32"/>
        </w:rPr>
        <w:t>建筑风貌、景观、视廊</w:t>
      </w:r>
      <w:r>
        <w:rPr>
          <w:rFonts w:hint="eastAsia" w:ascii="仿宋" w:hAnsi="仿宋" w:eastAsia="仿宋"/>
          <w:color w:val="auto"/>
          <w:sz w:val="32"/>
          <w:szCs w:val="32"/>
        </w:rPr>
        <w:t>和</w:t>
      </w:r>
      <w:r>
        <w:rPr>
          <w:rFonts w:ascii="仿宋" w:hAnsi="仿宋" w:eastAsia="仿宋"/>
          <w:color w:val="auto"/>
          <w:sz w:val="32"/>
          <w:szCs w:val="32"/>
        </w:rPr>
        <w:t>环境相协调</w:t>
      </w:r>
      <w:r>
        <w:rPr>
          <w:rFonts w:hint="eastAsia" w:ascii="仿宋" w:hAnsi="仿宋" w:eastAsia="仿宋"/>
          <w:color w:val="auto"/>
          <w:sz w:val="32"/>
          <w:szCs w:val="32"/>
        </w:rPr>
        <w:t>，并报县城乡规划主管部门会同县文物主管部门批准</w:t>
      </w:r>
      <w:r>
        <w:rPr>
          <w:rFonts w:ascii="仿宋" w:hAnsi="仿宋" w:eastAsia="仿宋"/>
          <w:color w:val="auto"/>
          <w:sz w:val="32"/>
          <w:szCs w:val="32"/>
        </w:rPr>
        <w:t>。</w:t>
      </w:r>
    </w:p>
    <w:p>
      <w:pPr>
        <w:pStyle w:val="14"/>
        <w:keepNext w:val="0"/>
        <w:keepLines w:val="0"/>
        <w:pageBreakBefore w:val="0"/>
        <w:tabs>
          <w:tab w:val="center" w:pos="4153"/>
          <w:tab w:val="right" w:pos="8306"/>
        </w:tabs>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二十二</w:t>
      </w:r>
      <w:r>
        <w:rPr>
          <w:rFonts w:hint="eastAsia" w:ascii="黑体" w:hAnsi="黑体" w:eastAsia="黑体"/>
          <w:color w:val="auto"/>
          <w:sz w:val="32"/>
          <w:szCs w:val="32"/>
        </w:rPr>
        <w:t>条【建设工程选址及原址保护措施】</w:t>
      </w:r>
      <w:r>
        <w:rPr>
          <w:rFonts w:hint="eastAsia" w:ascii="仿宋" w:hAnsi="仿宋" w:eastAsia="仿宋" w:cstheme="minorBidi"/>
          <w:color w:val="auto"/>
          <w:sz w:val="32"/>
          <w:szCs w:val="32"/>
        </w:rPr>
        <w:t>保护范围内的建设工程选址，应当避让文物保护单位、不可移动文物、历史建筑，确因特殊情况不能避让的，实施原址保护。</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对文物保护单位、不可移动文物实施原址保护的，建设单位应当事先确定保护措施，根据保护对象级别报相应的文物主管部门批准；无法实施原址保护的，由县文化和旅游部门会同相关部门制定迁移方案和保护措施，逐级报省人民政府、国务院批准。</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对历史建筑实施原址保护的，建设单位应当事先确定保护措施，报通海县</w:t>
      </w:r>
      <w:r>
        <w:rPr>
          <w:rFonts w:ascii="仿宋" w:hAnsi="仿宋" w:eastAsia="仿宋"/>
          <w:color w:val="auto"/>
          <w:sz w:val="32"/>
          <w:szCs w:val="32"/>
        </w:rPr>
        <w:t>城乡规划主管部门会同</w:t>
      </w:r>
      <w:r>
        <w:rPr>
          <w:rFonts w:hint="eastAsia" w:ascii="仿宋" w:hAnsi="仿宋" w:eastAsia="仿宋"/>
          <w:color w:val="auto"/>
          <w:sz w:val="32"/>
          <w:szCs w:val="32"/>
        </w:rPr>
        <w:t>通海县</w:t>
      </w:r>
      <w:r>
        <w:rPr>
          <w:rFonts w:ascii="仿宋" w:hAnsi="仿宋" w:eastAsia="仿宋"/>
          <w:color w:val="auto"/>
          <w:sz w:val="32"/>
          <w:szCs w:val="32"/>
        </w:rPr>
        <w:t>文物主管部门批准</w:t>
      </w:r>
      <w:r>
        <w:rPr>
          <w:rFonts w:hint="eastAsia" w:ascii="仿宋" w:hAnsi="仿宋" w:eastAsia="仿宋"/>
          <w:color w:val="auto"/>
          <w:sz w:val="32"/>
          <w:szCs w:val="32"/>
        </w:rPr>
        <w:t>。因公共利益需要，对历史建筑无法实施原址保护的，应当由通海县</w:t>
      </w:r>
      <w:r>
        <w:rPr>
          <w:rFonts w:ascii="仿宋" w:hAnsi="仿宋" w:eastAsia="仿宋"/>
          <w:color w:val="auto"/>
          <w:sz w:val="32"/>
          <w:szCs w:val="32"/>
        </w:rPr>
        <w:t>城乡规划主管部门会同</w:t>
      </w:r>
      <w:r>
        <w:rPr>
          <w:rFonts w:hint="eastAsia" w:ascii="仿宋" w:hAnsi="仿宋" w:eastAsia="仿宋"/>
          <w:color w:val="auto"/>
          <w:sz w:val="32"/>
          <w:szCs w:val="32"/>
        </w:rPr>
        <w:t>县</w:t>
      </w:r>
      <w:r>
        <w:rPr>
          <w:rFonts w:ascii="仿宋" w:hAnsi="仿宋" w:eastAsia="仿宋"/>
          <w:color w:val="auto"/>
          <w:sz w:val="32"/>
          <w:szCs w:val="32"/>
        </w:rPr>
        <w:t>文物主管部门</w:t>
      </w:r>
      <w:r>
        <w:rPr>
          <w:rFonts w:hint="eastAsia" w:ascii="仿宋" w:hAnsi="仿宋" w:eastAsia="仿宋"/>
          <w:color w:val="auto"/>
          <w:sz w:val="32"/>
          <w:szCs w:val="32"/>
        </w:rPr>
        <w:t>组织专家论证、公示和听证后，报省人民政府批准。</w:t>
      </w:r>
    </w:p>
    <w:p>
      <w:pPr>
        <w:keepNext w:val="0"/>
        <w:keepLines w:val="0"/>
        <w:pageBreakBefore w:val="0"/>
        <w:kinsoku/>
        <w:wordWrap w:val="0"/>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本条规定的原址保护、迁移、拆除所需费用，由建设单位列入建设工程预算。</w:t>
      </w:r>
    </w:p>
    <w:p>
      <w:pPr>
        <w:pStyle w:val="14"/>
        <w:keepNext w:val="0"/>
        <w:keepLines w:val="0"/>
        <w:pageBreakBefore w:val="0"/>
        <w:tabs>
          <w:tab w:val="center" w:pos="4153"/>
          <w:tab w:val="right" w:pos="8306"/>
        </w:tabs>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二十三</w:t>
      </w:r>
      <w:r>
        <w:rPr>
          <w:rFonts w:hint="eastAsia" w:ascii="黑体" w:hAnsi="黑体" w:eastAsia="黑体"/>
          <w:color w:val="auto"/>
          <w:sz w:val="32"/>
          <w:szCs w:val="32"/>
        </w:rPr>
        <w:t>条【保护范围内的修缮要求】</w:t>
      </w:r>
      <w:r>
        <w:rPr>
          <w:rFonts w:hint="eastAsia" w:ascii="仿宋" w:hAnsi="仿宋" w:eastAsia="仿宋" w:cstheme="minorBidi"/>
          <w:color w:val="auto"/>
          <w:sz w:val="32"/>
          <w:szCs w:val="32"/>
        </w:rPr>
        <w:t>名城保护范围内建（构）筑物的修缮应当遵循政府引导、社会参与、保护优先、大坏大修、小坏小修、能修不拆的原则，不得破坏其历史风貌和传统格局。</w:t>
      </w:r>
    </w:p>
    <w:p>
      <w:pPr>
        <w:pStyle w:val="14"/>
        <w:keepNext w:val="0"/>
        <w:keepLines w:val="0"/>
        <w:pageBreakBefore w:val="0"/>
        <w:tabs>
          <w:tab w:val="center" w:pos="4153"/>
          <w:tab w:val="right" w:pos="8306"/>
        </w:tabs>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stheme="minorBidi"/>
          <w:color w:val="auto"/>
          <w:sz w:val="32"/>
          <w:szCs w:val="32"/>
        </w:rPr>
      </w:pPr>
      <w:r>
        <w:rPr>
          <w:rFonts w:hint="eastAsia" w:ascii="仿宋" w:hAnsi="仿宋" w:eastAsia="仿宋" w:cstheme="minorBidi"/>
          <w:color w:val="auto"/>
          <w:sz w:val="32"/>
          <w:szCs w:val="32"/>
        </w:rPr>
        <w:t>保护责任人负责保护对象的修缮，开展修缮前</w:t>
      </w:r>
      <w:r>
        <w:rPr>
          <w:rFonts w:hint="eastAsia" w:ascii="仿宋" w:hAnsi="仿宋" w:eastAsia="仿宋" w:cstheme="minorBidi"/>
          <w:color w:val="auto"/>
          <w:sz w:val="32"/>
          <w:szCs w:val="32"/>
          <w:lang w:eastAsia="zh-CN"/>
        </w:rPr>
        <w:t>须</w:t>
      </w:r>
      <w:r>
        <w:rPr>
          <w:rFonts w:hint="eastAsia" w:ascii="仿宋" w:hAnsi="仿宋" w:eastAsia="仿宋" w:cstheme="minorBidi"/>
          <w:color w:val="auto"/>
          <w:sz w:val="32"/>
          <w:szCs w:val="32"/>
        </w:rPr>
        <w:t>报县住房城乡建设部门、县文化和旅游部门、县自然资源部门等相应的主管部门批准。</w:t>
      </w:r>
    </w:p>
    <w:p>
      <w:pPr>
        <w:pStyle w:val="14"/>
        <w:keepNext w:val="0"/>
        <w:keepLines w:val="0"/>
        <w:pageBreakBefore w:val="0"/>
        <w:tabs>
          <w:tab w:val="center" w:pos="4153"/>
          <w:tab w:val="right" w:pos="8306"/>
        </w:tabs>
        <w:kinsoku/>
        <w:overflowPunct/>
        <w:topLinePunct w:val="0"/>
        <w:autoSpaceDE/>
        <w:autoSpaceDN/>
        <w:bidi w:val="0"/>
        <w:adjustRightInd/>
        <w:snapToGrid/>
        <w:spacing w:after="0" w:line="59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核心保护区内</w:t>
      </w:r>
      <w:r>
        <w:rPr>
          <w:rFonts w:ascii="仿宋" w:hAnsi="仿宋" w:eastAsia="仿宋"/>
          <w:color w:val="auto"/>
          <w:sz w:val="32"/>
          <w:szCs w:val="32"/>
        </w:rPr>
        <w:t>拆除历史建筑以外的</w:t>
      </w:r>
      <w:r>
        <w:rPr>
          <w:rFonts w:hint="eastAsia" w:ascii="仿宋" w:hAnsi="仿宋" w:eastAsia="仿宋"/>
          <w:color w:val="auto"/>
          <w:sz w:val="32"/>
          <w:szCs w:val="32"/>
        </w:rPr>
        <w:t>建（构）筑物</w:t>
      </w:r>
      <w:r>
        <w:rPr>
          <w:rFonts w:ascii="仿宋" w:hAnsi="仿宋" w:eastAsia="仿宋"/>
          <w:color w:val="auto"/>
          <w:sz w:val="32"/>
          <w:szCs w:val="32"/>
        </w:rPr>
        <w:t>或者其他设施的，应当</w:t>
      </w:r>
      <w:r>
        <w:rPr>
          <w:rFonts w:hint="eastAsia" w:ascii="仿宋" w:hAnsi="仿宋" w:eastAsia="仿宋"/>
          <w:color w:val="auto"/>
          <w:sz w:val="32"/>
          <w:szCs w:val="32"/>
        </w:rPr>
        <w:t>报县城乡规划主管部门</w:t>
      </w:r>
      <w:r>
        <w:rPr>
          <w:rFonts w:ascii="仿宋" w:hAnsi="仿宋" w:eastAsia="仿宋"/>
          <w:color w:val="auto"/>
          <w:sz w:val="32"/>
          <w:szCs w:val="32"/>
        </w:rPr>
        <w:t>会同</w:t>
      </w:r>
      <w:r>
        <w:rPr>
          <w:rFonts w:hint="eastAsia" w:ascii="仿宋" w:hAnsi="仿宋" w:eastAsia="仿宋"/>
          <w:color w:val="auto"/>
          <w:sz w:val="32"/>
          <w:szCs w:val="32"/>
        </w:rPr>
        <w:t>同级文物主管部门</w:t>
      </w:r>
      <w:r>
        <w:rPr>
          <w:rFonts w:ascii="仿宋" w:hAnsi="仿宋" w:eastAsia="仿宋"/>
          <w:color w:val="auto"/>
          <w:sz w:val="32"/>
          <w:szCs w:val="32"/>
        </w:rPr>
        <w:t>批准。</w:t>
      </w:r>
    </w:p>
    <w:p>
      <w:pPr>
        <w:keepNext w:val="0"/>
        <w:keepLines w:val="0"/>
        <w:pageBreakBefore w:val="0"/>
        <w:kinsoku/>
        <w:overflowPunct/>
        <w:topLinePunct w:val="0"/>
        <w:autoSpaceDE/>
        <w:autoSpaceDN/>
        <w:bidi w:val="0"/>
        <w:adjustRightInd/>
        <w:snapToGrid/>
        <w:spacing w:after="0" w:line="590" w:lineRule="exact"/>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lang w:eastAsia="zh-CN"/>
        </w:rPr>
        <w:t>　　</w:t>
      </w: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二十四</w:t>
      </w:r>
      <w:r>
        <w:rPr>
          <w:rFonts w:hint="eastAsia" w:ascii="黑体" w:hAnsi="黑体" w:eastAsia="黑体" w:cs="Times New Roman"/>
          <w:color w:val="auto"/>
          <w:sz w:val="32"/>
          <w:szCs w:val="32"/>
        </w:rPr>
        <w:t>条【核心保护区修缮特别规定】</w:t>
      </w:r>
      <w:r>
        <w:rPr>
          <w:rFonts w:ascii="仿宋" w:hAnsi="仿宋" w:eastAsia="仿宋"/>
          <w:color w:val="auto"/>
          <w:sz w:val="32"/>
          <w:szCs w:val="32"/>
        </w:rPr>
        <w:t>核心保护</w:t>
      </w:r>
      <w:r>
        <w:rPr>
          <w:rFonts w:hint="eastAsia" w:ascii="仿宋" w:hAnsi="仿宋" w:eastAsia="仿宋"/>
          <w:color w:val="auto"/>
          <w:sz w:val="32"/>
          <w:szCs w:val="32"/>
        </w:rPr>
        <w:t>区</w:t>
      </w:r>
      <w:r>
        <w:rPr>
          <w:rFonts w:ascii="仿宋" w:hAnsi="仿宋" w:eastAsia="仿宋"/>
          <w:color w:val="auto"/>
          <w:sz w:val="32"/>
          <w:szCs w:val="32"/>
        </w:rPr>
        <w:t>内</w:t>
      </w:r>
      <w:r>
        <w:rPr>
          <w:rFonts w:hint="eastAsia" w:ascii="仿宋" w:hAnsi="仿宋" w:eastAsia="仿宋"/>
          <w:color w:val="auto"/>
          <w:sz w:val="32"/>
          <w:szCs w:val="32"/>
        </w:rPr>
        <w:t>传统民居修复修缮应坚持“修旧如故”原则，保持原有建筑格局、尺度、造型和色彩，保证建筑风貌与名城风貌协调。</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产权人根据建（构）筑物的破损情况，对局部破损的进行局部保护性修复修缮；对整体破损严重的进行整体抢救性修复修缮。</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二十五</w:t>
      </w:r>
      <w:r>
        <w:rPr>
          <w:rFonts w:hint="eastAsia" w:ascii="黑体" w:hAnsi="黑体" w:eastAsia="黑体" w:cs="Times New Roman"/>
          <w:color w:val="auto"/>
          <w:sz w:val="32"/>
          <w:szCs w:val="32"/>
        </w:rPr>
        <w:t>条【消防要求】</w:t>
      </w:r>
      <w:r>
        <w:rPr>
          <w:rFonts w:ascii="Calibri" w:hAnsi="Calibri" w:eastAsia="黑体" w:cs="Calibri"/>
          <w:color w:val="auto"/>
          <w:sz w:val="32"/>
          <w:szCs w:val="32"/>
        </w:rPr>
        <w:t> </w:t>
      </w:r>
      <w:r>
        <w:rPr>
          <w:rFonts w:ascii="仿宋" w:hAnsi="仿宋" w:eastAsia="仿宋"/>
          <w:color w:val="auto"/>
          <w:sz w:val="32"/>
          <w:szCs w:val="32"/>
        </w:rPr>
        <w:t>名城保护范围内的消防设施、消防通道应当按照有关消防技术标准和规范配置。确因保护需要，无法按照标准和规范设置的，由消防救援机构会同相关行政主管部门制定相应的防火安全保障方案。</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名城、名镇保护范围内的单位和个人应当落实消防安全责任制，履行维护消防安全、保护消防设施、预防火灾、报告火警的义务</w:t>
      </w:r>
      <w:r>
        <w:rPr>
          <w:rFonts w:hint="eastAsia" w:ascii="仿宋" w:hAnsi="仿宋" w:eastAsia="仿宋"/>
          <w:color w:val="auto"/>
          <w:sz w:val="32"/>
          <w:szCs w:val="32"/>
        </w:rPr>
        <w:t>，保护责任人须</w:t>
      </w:r>
      <w:r>
        <w:rPr>
          <w:rFonts w:ascii="仿宋" w:hAnsi="仿宋" w:eastAsia="仿宋"/>
          <w:color w:val="auto"/>
          <w:sz w:val="32"/>
          <w:szCs w:val="32"/>
        </w:rPr>
        <w:t>结合保护特点，制定火灾事故应急预案，定期组织演练。</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黑体" w:hAnsi="黑体" w:eastAsia="黑体" w:cs="Times New Roman"/>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二十六</w:t>
      </w:r>
      <w:r>
        <w:rPr>
          <w:rFonts w:hint="eastAsia" w:ascii="黑体" w:hAnsi="黑体" w:eastAsia="黑体" w:cs="Times New Roman"/>
          <w:color w:val="auto"/>
          <w:sz w:val="32"/>
          <w:szCs w:val="32"/>
        </w:rPr>
        <w:t>条【名城保护范围内的禁止行为】</w:t>
      </w:r>
      <w:r>
        <w:rPr>
          <w:rFonts w:ascii="仿宋" w:hAnsi="仿宋" w:eastAsia="仿宋"/>
          <w:color w:val="auto"/>
          <w:sz w:val="32"/>
          <w:szCs w:val="32"/>
        </w:rPr>
        <w:t>名城保护范围内禁止下列</w:t>
      </w:r>
      <w:r>
        <w:rPr>
          <w:rFonts w:hint="eastAsia" w:ascii="仿宋" w:hAnsi="仿宋" w:eastAsia="仿宋"/>
          <w:color w:val="auto"/>
          <w:sz w:val="32"/>
          <w:szCs w:val="32"/>
        </w:rPr>
        <w:t>行为</w:t>
      </w:r>
      <w:r>
        <w:rPr>
          <w:rFonts w:ascii="仿宋" w:hAnsi="仿宋" w:eastAsia="仿宋"/>
          <w:color w:val="auto"/>
          <w:sz w:val="32"/>
          <w:szCs w:val="32"/>
        </w:rPr>
        <w:t>：</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（一）建设与传统格局和历史风貌不相协调的建</w:t>
      </w:r>
      <w:r>
        <w:rPr>
          <w:rFonts w:hint="eastAsia" w:ascii="仿宋" w:hAnsi="仿宋" w:eastAsia="仿宋"/>
          <w:color w:val="auto"/>
          <w:sz w:val="32"/>
          <w:szCs w:val="32"/>
          <w:lang w:eastAsia="zh-CN"/>
        </w:rPr>
        <w:t>（</w:t>
      </w:r>
      <w:r>
        <w:rPr>
          <w:rFonts w:ascii="仿宋" w:hAnsi="仿宋" w:eastAsia="仿宋"/>
          <w:color w:val="auto"/>
          <w:sz w:val="32"/>
          <w:szCs w:val="32"/>
        </w:rPr>
        <w:t>构</w:t>
      </w:r>
      <w:r>
        <w:rPr>
          <w:rFonts w:hint="eastAsia" w:ascii="仿宋" w:hAnsi="仿宋" w:eastAsia="仿宋"/>
          <w:color w:val="auto"/>
          <w:sz w:val="32"/>
          <w:szCs w:val="32"/>
          <w:lang w:eastAsia="zh-CN"/>
        </w:rPr>
        <w:t>）</w:t>
      </w:r>
      <w:r>
        <w:rPr>
          <w:rFonts w:ascii="仿宋" w:hAnsi="仿宋" w:eastAsia="仿宋"/>
          <w:color w:val="auto"/>
          <w:sz w:val="32"/>
          <w:szCs w:val="32"/>
        </w:rPr>
        <w:t>筑物，损害原有建筑风格、景观、视廊、环境的整体性；</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（二）损坏或者擅自迁移、拆除历史建筑；</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（三）拆卸、转让历史建筑中的门、窗、牌、匾、坊以及其他装饰构件；</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（四）</w:t>
      </w:r>
      <w:r>
        <w:rPr>
          <w:rFonts w:hint="eastAsia" w:ascii="仿宋" w:hAnsi="仿宋" w:eastAsia="仿宋"/>
          <w:color w:val="auto"/>
          <w:sz w:val="32"/>
          <w:szCs w:val="32"/>
        </w:rPr>
        <w:t>在历史建筑上刻划、涂污；</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（五）</w:t>
      </w:r>
      <w:r>
        <w:rPr>
          <w:rFonts w:ascii="仿宋" w:hAnsi="仿宋" w:eastAsia="仿宋"/>
          <w:color w:val="auto"/>
          <w:sz w:val="32"/>
          <w:szCs w:val="32"/>
        </w:rPr>
        <w:t>随意损坏公共设施、林木，捕捞公共养殖物;</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六</w:t>
      </w:r>
      <w:r>
        <w:rPr>
          <w:rFonts w:ascii="仿宋" w:hAnsi="仿宋" w:eastAsia="仿宋"/>
          <w:color w:val="auto"/>
          <w:sz w:val="32"/>
          <w:szCs w:val="32"/>
        </w:rPr>
        <w:t>）擅自设置、移动、涂改或者损毁保护标志；</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lang w:eastAsia="zh-CN"/>
        </w:rPr>
        <w:t>七</w:t>
      </w:r>
      <w:r>
        <w:rPr>
          <w:rFonts w:ascii="仿宋" w:hAnsi="仿宋" w:eastAsia="仿宋"/>
          <w:color w:val="auto"/>
          <w:sz w:val="32"/>
          <w:szCs w:val="32"/>
        </w:rPr>
        <w:t>）向路面、河沟等排放、倾倒污水、垃圾、粪便等；</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lang w:eastAsia="zh-CN"/>
        </w:rPr>
        <w:t>八</w:t>
      </w:r>
      <w:r>
        <w:rPr>
          <w:rFonts w:ascii="仿宋" w:hAnsi="仿宋" w:eastAsia="仿宋"/>
          <w:color w:val="auto"/>
          <w:sz w:val="32"/>
          <w:szCs w:val="32"/>
        </w:rPr>
        <w:t>）损坏、挪用或者擅自拆除、停用消防设施、器材；</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lang w:eastAsia="zh-CN"/>
        </w:rPr>
        <w:t>九</w:t>
      </w:r>
      <w:r>
        <w:rPr>
          <w:rFonts w:ascii="仿宋" w:hAnsi="仿宋" w:eastAsia="仿宋"/>
          <w:color w:val="auto"/>
          <w:sz w:val="32"/>
          <w:szCs w:val="32"/>
        </w:rPr>
        <w:t>）</w:t>
      </w:r>
      <w:r>
        <w:rPr>
          <w:rFonts w:hint="eastAsia" w:ascii="仿宋" w:hAnsi="仿宋" w:eastAsia="仿宋"/>
          <w:color w:val="auto"/>
          <w:sz w:val="32"/>
          <w:szCs w:val="32"/>
        </w:rPr>
        <w:t>燃放烟花爆竹；</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（九）</w:t>
      </w:r>
      <w:r>
        <w:rPr>
          <w:rFonts w:ascii="仿宋" w:hAnsi="仿宋" w:eastAsia="仿宋"/>
          <w:color w:val="auto"/>
          <w:sz w:val="32"/>
          <w:szCs w:val="32"/>
        </w:rPr>
        <w:t>法律、法规禁止的其他破坏名城传统格局和历史风貌的行为。</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黑体" w:hAnsi="黑体" w:eastAsia="黑体" w:cs="Times New Roman"/>
          <w:color w:val="auto"/>
          <w:sz w:val="32"/>
          <w:szCs w:val="32"/>
        </w:rPr>
        <w:t>第</w:t>
      </w:r>
      <w:r>
        <w:rPr>
          <w:rFonts w:hint="eastAsia" w:ascii="黑体" w:hAnsi="黑体" w:eastAsia="黑体" w:cs="Times New Roman"/>
          <w:color w:val="auto"/>
          <w:sz w:val="32"/>
          <w:szCs w:val="32"/>
          <w:lang w:eastAsia="zh-CN"/>
        </w:rPr>
        <w:t>二十七</w:t>
      </w:r>
      <w:r>
        <w:rPr>
          <w:rFonts w:ascii="黑体" w:hAnsi="黑体" w:eastAsia="黑体" w:cs="Times New Roman"/>
          <w:color w:val="auto"/>
          <w:sz w:val="32"/>
          <w:szCs w:val="32"/>
        </w:rPr>
        <w:t>条</w:t>
      </w:r>
      <w:r>
        <w:rPr>
          <w:rFonts w:hint="eastAsia" w:ascii="黑体" w:hAnsi="黑体" w:eastAsia="黑体" w:cs="Times New Roman"/>
          <w:color w:val="auto"/>
          <w:sz w:val="32"/>
          <w:szCs w:val="32"/>
        </w:rPr>
        <w:t>【核心保护区的禁止行为】</w:t>
      </w:r>
      <w:r>
        <w:rPr>
          <w:rFonts w:ascii="Calibri" w:hAnsi="Calibri" w:eastAsia="仿宋" w:cs="Calibri"/>
          <w:color w:val="auto"/>
          <w:sz w:val="32"/>
          <w:szCs w:val="32"/>
        </w:rPr>
        <w:t> </w:t>
      </w:r>
      <w:r>
        <w:rPr>
          <w:rFonts w:hint="eastAsia" w:ascii="Calibri" w:hAnsi="Calibri" w:eastAsia="仿宋" w:cs="Calibri"/>
          <w:color w:val="auto"/>
          <w:sz w:val="32"/>
          <w:szCs w:val="32"/>
        </w:rPr>
        <w:t>除名城</w:t>
      </w:r>
      <w:r>
        <w:rPr>
          <w:rFonts w:hint="eastAsia" w:ascii="仿宋" w:hAnsi="仿宋" w:eastAsia="仿宋"/>
          <w:color w:val="auto"/>
          <w:sz w:val="32"/>
          <w:szCs w:val="32"/>
        </w:rPr>
        <w:t>保护范围内的禁止行为外，</w:t>
      </w:r>
      <w:r>
        <w:rPr>
          <w:rFonts w:ascii="仿宋" w:hAnsi="仿宋" w:eastAsia="仿宋"/>
          <w:color w:val="auto"/>
          <w:sz w:val="32"/>
          <w:szCs w:val="32"/>
        </w:rPr>
        <w:t>核心保护区内</w:t>
      </w:r>
      <w:r>
        <w:rPr>
          <w:rFonts w:hint="eastAsia" w:ascii="仿宋" w:hAnsi="仿宋" w:eastAsia="仿宋"/>
          <w:color w:val="auto"/>
          <w:sz w:val="32"/>
          <w:szCs w:val="32"/>
        </w:rPr>
        <w:t>还</w:t>
      </w:r>
      <w:r>
        <w:rPr>
          <w:rFonts w:ascii="仿宋" w:hAnsi="仿宋" w:eastAsia="仿宋"/>
          <w:color w:val="auto"/>
          <w:sz w:val="32"/>
          <w:szCs w:val="32"/>
        </w:rPr>
        <w:t>禁止下列行为：</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（一）擅自改变建筑主体承重结构、开挖地下空间、抬高地基地上部分水平高度等危害建筑安全的建设活动；</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（二）在建筑物屋顶以及外立面使用反光材料，安装太阳能、水箱、水塔、烟囱、电视塔、通讯和电力设备等影响历史风貌的设施；</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（三）摆放、设置与历史风貌不相协调的广告牌匾、遮阳棚；</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四</w:t>
      </w:r>
      <w:r>
        <w:rPr>
          <w:rFonts w:ascii="仿宋" w:hAnsi="仿宋" w:eastAsia="仿宋"/>
          <w:color w:val="auto"/>
          <w:sz w:val="32"/>
          <w:szCs w:val="32"/>
        </w:rPr>
        <w:t>）使用高音喇叭或者采用其他持续反复发出高噪声的方法进行广告宣传等活动；</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五</w:t>
      </w:r>
      <w:r>
        <w:rPr>
          <w:rFonts w:ascii="仿宋" w:hAnsi="仿宋" w:eastAsia="仿宋"/>
          <w:color w:val="auto"/>
          <w:sz w:val="32"/>
          <w:szCs w:val="32"/>
        </w:rPr>
        <w:t>）擅自占道经营、摆摊设点；</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六</w:t>
      </w:r>
      <w:r>
        <w:rPr>
          <w:rFonts w:ascii="仿宋" w:hAnsi="仿宋" w:eastAsia="仿宋"/>
          <w:color w:val="auto"/>
          <w:sz w:val="32"/>
          <w:szCs w:val="32"/>
        </w:rPr>
        <w:t>）法律法规禁止的其他行为。</w:t>
      </w:r>
    </w:p>
    <w:p>
      <w:pPr>
        <w:keepNext w:val="0"/>
        <w:keepLines w:val="0"/>
        <w:pageBreakBefore w:val="0"/>
        <w:kinsoku/>
        <w:overflowPunct/>
        <w:topLinePunct w:val="0"/>
        <w:autoSpaceDE/>
        <w:autoSpaceDN/>
        <w:bidi w:val="0"/>
        <w:adjustRightInd/>
        <w:snapToGrid/>
        <w:spacing w:after="0" w:line="59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第四章 保护利用</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二十八</w:t>
      </w:r>
      <w:r>
        <w:rPr>
          <w:rFonts w:hint="eastAsia" w:ascii="黑体" w:hAnsi="黑体" w:eastAsia="黑体" w:cs="Times New Roman"/>
          <w:color w:val="auto"/>
          <w:sz w:val="32"/>
          <w:szCs w:val="32"/>
        </w:rPr>
        <w:t>条【保护利用的原则】</w:t>
      </w:r>
      <w:r>
        <w:rPr>
          <w:rFonts w:ascii="仿宋" w:hAnsi="仿宋" w:eastAsia="仿宋"/>
          <w:color w:val="auto"/>
          <w:sz w:val="32"/>
          <w:szCs w:val="32"/>
        </w:rPr>
        <w:t xml:space="preserve"> </w:t>
      </w:r>
      <w:r>
        <w:rPr>
          <w:rFonts w:hint="eastAsia" w:ascii="仿宋" w:hAnsi="仿宋" w:eastAsia="仿宋"/>
          <w:color w:val="auto"/>
          <w:sz w:val="32"/>
          <w:szCs w:val="32"/>
        </w:rPr>
        <w:t>名城保护利用应当与其历史价值、艺术价值、科学价值、社会价值和文化价值相适应，实现保护利用相协调。</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鼓励和支持古城、历史文化街区、名镇、名村和历史建筑等名城保护对象的合理利用，但不得破坏自然景观、人文景观和历史文化资源。</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二十九</w:t>
      </w:r>
      <w:r>
        <w:rPr>
          <w:rFonts w:hint="eastAsia" w:ascii="黑体" w:hAnsi="黑体" w:eastAsia="黑体" w:cs="Times New Roman"/>
          <w:color w:val="auto"/>
          <w:sz w:val="32"/>
          <w:szCs w:val="32"/>
        </w:rPr>
        <w:t>条【保障</w:t>
      </w:r>
      <w:r>
        <w:rPr>
          <w:rFonts w:hint="eastAsia" w:ascii="黑体" w:hAnsi="黑体" w:eastAsia="黑体" w:cs="Times New Roman"/>
          <w:color w:val="auto"/>
          <w:sz w:val="32"/>
          <w:szCs w:val="32"/>
          <w:lang w:eastAsia="zh-CN"/>
        </w:rPr>
        <w:t>群众</w:t>
      </w:r>
      <w:r>
        <w:rPr>
          <w:rFonts w:hint="eastAsia" w:ascii="黑体" w:hAnsi="黑体" w:eastAsia="黑体" w:cs="Times New Roman"/>
          <w:color w:val="auto"/>
          <w:sz w:val="32"/>
          <w:szCs w:val="32"/>
        </w:rPr>
        <w:t>合法权益】</w:t>
      </w:r>
      <w:r>
        <w:rPr>
          <w:rFonts w:hint="eastAsia" w:ascii="仿宋" w:hAnsi="仿宋" w:eastAsia="仿宋"/>
          <w:color w:val="auto"/>
          <w:sz w:val="32"/>
          <w:szCs w:val="32"/>
        </w:rPr>
        <w:t>名城的保护利用应当保障当地</w:t>
      </w:r>
      <w:r>
        <w:rPr>
          <w:rFonts w:hint="eastAsia" w:ascii="仿宋" w:hAnsi="仿宋" w:eastAsia="仿宋"/>
          <w:color w:val="auto"/>
          <w:sz w:val="32"/>
          <w:szCs w:val="32"/>
          <w:lang w:eastAsia="zh-CN"/>
        </w:rPr>
        <w:t>群众</w:t>
      </w:r>
      <w:r>
        <w:rPr>
          <w:rFonts w:hint="eastAsia" w:ascii="仿宋" w:hAnsi="仿宋" w:eastAsia="仿宋"/>
          <w:color w:val="auto"/>
          <w:sz w:val="32"/>
          <w:szCs w:val="32"/>
        </w:rPr>
        <w:t>的合法权益，调动其参与保护的积极性。鼓励当地</w:t>
      </w:r>
      <w:r>
        <w:rPr>
          <w:rFonts w:hint="eastAsia" w:ascii="仿宋" w:hAnsi="仿宋" w:eastAsia="仿宋"/>
          <w:color w:val="auto"/>
          <w:sz w:val="32"/>
          <w:szCs w:val="32"/>
          <w:lang w:eastAsia="zh-CN"/>
        </w:rPr>
        <w:t>群众</w:t>
      </w:r>
      <w:r>
        <w:rPr>
          <w:rFonts w:hint="eastAsia" w:ascii="仿宋" w:hAnsi="仿宋" w:eastAsia="仿宋"/>
          <w:color w:val="auto"/>
          <w:sz w:val="32"/>
          <w:szCs w:val="32"/>
        </w:rPr>
        <w:t>从事地方特色产业的生产经营等相关活动，促进名城原有形态、生活方式的延续传承。</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三十</w:t>
      </w:r>
      <w:r>
        <w:rPr>
          <w:rFonts w:hint="eastAsia" w:ascii="黑体" w:hAnsi="黑体" w:eastAsia="黑体" w:cs="Times New Roman"/>
          <w:color w:val="auto"/>
          <w:sz w:val="32"/>
          <w:szCs w:val="32"/>
        </w:rPr>
        <w:t>条【利用资金扶持】</w:t>
      </w:r>
      <w:r>
        <w:rPr>
          <w:rFonts w:ascii="仿宋" w:hAnsi="仿宋" w:eastAsia="仿宋"/>
          <w:color w:val="auto"/>
          <w:sz w:val="32"/>
          <w:szCs w:val="32"/>
        </w:rPr>
        <w:t xml:space="preserve"> </w:t>
      </w:r>
      <w:r>
        <w:rPr>
          <w:rFonts w:hint="eastAsia" w:ascii="仿宋" w:hAnsi="仿宋" w:eastAsia="仿宋"/>
          <w:color w:val="auto"/>
          <w:sz w:val="32"/>
          <w:szCs w:val="32"/>
        </w:rPr>
        <w:t>玉溪市</w:t>
      </w:r>
      <w:r>
        <w:rPr>
          <w:rFonts w:hint="eastAsia" w:ascii="仿宋" w:hAnsi="仿宋" w:eastAsia="仿宋"/>
          <w:color w:val="auto"/>
          <w:sz w:val="32"/>
          <w:szCs w:val="32"/>
          <w:lang w:eastAsia="zh-CN"/>
        </w:rPr>
        <w:t>人民政府</w:t>
      </w:r>
      <w:r>
        <w:rPr>
          <w:rFonts w:hint="eastAsia" w:ascii="仿宋" w:hAnsi="仿宋" w:eastAsia="仿宋"/>
          <w:color w:val="auto"/>
          <w:sz w:val="32"/>
          <w:szCs w:val="32"/>
        </w:rPr>
        <w:t>、通海县人民政府应当通过政策支持、资金扶持等方式，提</w:t>
      </w:r>
      <w:r>
        <w:rPr>
          <w:rFonts w:hint="eastAsia" w:ascii="仿宋" w:hAnsi="仿宋" w:eastAsia="仿宋"/>
          <w:color w:val="auto"/>
          <w:sz w:val="32"/>
          <w:szCs w:val="32"/>
          <w:lang w:eastAsia="zh-CN"/>
        </w:rPr>
        <w:t>升</w:t>
      </w:r>
      <w:r>
        <w:rPr>
          <w:rFonts w:hint="eastAsia" w:ascii="仿宋" w:hAnsi="仿宋" w:eastAsia="仿宋"/>
          <w:color w:val="auto"/>
          <w:sz w:val="32"/>
          <w:szCs w:val="32"/>
        </w:rPr>
        <w:t>秀山、杞麓湖等景区景点的内涵和品质。支持单位和个人开展传统工艺和传统技艺加工制作、文化创意等与传统文化相协调的经营活动，推进活化利用，培育文化和旅游融合发展新业态。</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三十一</w:t>
      </w:r>
      <w:r>
        <w:rPr>
          <w:rFonts w:hint="eastAsia" w:ascii="黑体" w:hAnsi="黑体" w:eastAsia="黑体" w:cs="Times New Roman"/>
          <w:color w:val="auto"/>
          <w:sz w:val="32"/>
          <w:szCs w:val="32"/>
        </w:rPr>
        <w:t>条【鼓励个人参与文化保护利用】</w:t>
      </w:r>
      <w:r>
        <w:rPr>
          <w:rFonts w:hint="eastAsia" w:ascii="仿宋" w:hAnsi="仿宋" w:eastAsia="仿宋"/>
          <w:color w:val="auto"/>
          <w:sz w:val="32"/>
          <w:szCs w:val="32"/>
        </w:rPr>
        <w:t>鼓励单位和个人通过出资、捐资、捐赠、设立基金等方式，建立博物馆、陈列馆、纪念馆、非物质文化遗产传承中心，开展民风民俗文化活动，展示当地传统生产生活方式，挖掘名城历史故事、文化价值、精神内涵。</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三十二</w:t>
      </w:r>
      <w:r>
        <w:rPr>
          <w:rFonts w:hint="eastAsia" w:ascii="黑体" w:hAnsi="黑体" w:eastAsia="黑体" w:cs="Times New Roman"/>
          <w:color w:val="auto"/>
          <w:sz w:val="32"/>
          <w:szCs w:val="32"/>
        </w:rPr>
        <w:t>条【鼓励保护利用老旧闲置房屋】</w:t>
      </w:r>
      <w:r>
        <w:rPr>
          <w:rFonts w:hint="eastAsia" w:ascii="仿宋" w:hAnsi="仿宋" w:eastAsia="仿宋"/>
          <w:color w:val="auto"/>
          <w:sz w:val="32"/>
          <w:szCs w:val="32"/>
        </w:rPr>
        <w:t>鼓励市场主体依法通过产权置换、协议收购等方式，收储利用名城老旧闲置房屋，发展文化旅游产业。</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鼓励当地居民、村民和房屋所有权人、使用人，通过资金、传统技艺入股和房屋置换、转让、出租等多种形式，参与名城保护利用。</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三十三</w:t>
      </w:r>
      <w:r>
        <w:rPr>
          <w:rFonts w:hint="eastAsia" w:ascii="黑体" w:hAnsi="黑体" w:eastAsia="黑体" w:cs="Times New Roman"/>
          <w:color w:val="auto"/>
          <w:sz w:val="32"/>
          <w:szCs w:val="32"/>
        </w:rPr>
        <w:t>条【鼓励合理利用历史建筑】</w:t>
      </w:r>
      <w:r>
        <w:rPr>
          <w:rFonts w:ascii="黑体" w:hAnsi="黑体" w:eastAsia="黑体" w:cs="Times New Roman"/>
          <w:color w:val="auto"/>
          <w:sz w:val="32"/>
          <w:szCs w:val="32"/>
        </w:rPr>
        <w:t xml:space="preserve"> </w:t>
      </w:r>
      <w:r>
        <w:rPr>
          <w:rFonts w:hint="eastAsia" w:ascii="仿宋" w:hAnsi="仿宋" w:eastAsia="仿宋"/>
          <w:color w:val="auto"/>
          <w:sz w:val="32"/>
          <w:szCs w:val="32"/>
        </w:rPr>
        <w:t>鼓励、支持单位和个人在符合相关保护要求的基础上，合理利用历史建筑进行文化遗产展示，开展特色商业、休闲体验、民宿等经营活动。</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对历史建筑的合理利用应当与其历史价值、内部结构相适应，不得擅自改变建筑主体结构、主要平面布局和外观，不得危害建筑主体及附属设施的安全。</w:t>
      </w:r>
    </w:p>
    <w:p>
      <w:pPr>
        <w:keepNext w:val="0"/>
        <w:keepLines w:val="0"/>
        <w:pageBreakBefore w:val="0"/>
        <w:kinsoku/>
        <w:overflowPunct/>
        <w:topLinePunct w:val="0"/>
        <w:autoSpaceDE/>
        <w:autoSpaceDN/>
        <w:bidi w:val="0"/>
        <w:adjustRightInd/>
        <w:snapToGrid/>
        <w:spacing w:after="0" w:line="59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第五章 法律责任</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三十四</w:t>
      </w:r>
      <w:r>
        <w:rPr>
          <w:rFonts w:hint="eastAsia" w:ascii="黑体" w:hAnsi="黑体" w:eastAsia="黑体"/>
          <w:color w:val="auto"/>
          <w:sz w:val="32"/>
          <w:szCs w:val="32"/>
        </w:rPr>
        <w:t>条【名城保护范围法律责任】</w:t>
      </w:r>
      <w:r>
        <w:rPr>
          <w:rFonts w:hint="eastAsia" w:ascii="仿宋" w:hAnsi="仿宋" w:eastAsia="仿宋"/>
          <w:color w:val="auto"/>
          <w:sz w:val="32"/>
          <w:szCs w:val="32"/>
        </w:rPr>
        <w:t>违反本条例规定，在名城保护范围内有下列行为之一的，由相关行政主管部门按照下列规定</w:t>
      </w:r>
      <w:r>
        <w:rPr>
          <w:rFonts w:hint="eastAsia" w:ascii="仿宋" w:hAnsi="仿宋" w:eastAsia="仿宋"/>
          <w:color w:val="auto"/>
          <w:sz w:val="32"/>
          <w:szCs w:val="32"/>
          <w:lang w:eastAsia="zh-CN"/>
        </w:rPr>
        <w:t>给予</w:t>
      </w:r>
      <w:r>
        <w:rPr>
          <w:rFonts w:hint="eastAsia" w:ascii="仿宋" w:hAnsi="仿宋" w:eastAsia="仿宋"/>
          <w:color w:val="auto"/>
          <w:sz w:val="32"/>
          <w:szCs w:val="32"/>
        </w:rPr>
        <w:t>处罚，构成犯罪的，依法追究刑事责任：</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（一）违反第</w:t>
      </w:r>
      <w:r>
        <w:rPr>
          <w:rFonts w:hint="eastAsia" w:ascii="仿宋" w:hAnsi="仿宋" w:eastAsia="仿宋"/>
          <w:color w:val="auto"/>
          <w:sz w:val="32"/>
          <w:szCs w:val="32"/>
          <w:lang w:eastAsia="zh-CN"/>
        </w:rPr>
        <w:t>二十六</w:t>
      </w:r>
      <w:r>
        <w:rPr>
          <w:rFonts w:ascii="仿宋" w:hAnsi="仿宋" w:eastAsia="仿宋"/>
          <w:color w:val="auto"/>
          <w:sz w:val="32"/>
          <w:szCs w:val="32"/>
        </w:rPr>
        <w:t>条第一项，由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（二）违反第</w:t>
      </w:r>
      <w:r>
        <w:rPr>
          <w:rFonts w:hint="eastAsia" w:ascii="仿宋" w:hAnsi="仿宋" w:eastAsia="仿宋"/>
          <w:color w:val="auto"/>
          <w:sz w:val="32"/>
          <w:szCs w:val="32"/>
          <w:lang w:eastAsia="zh-CN"/>
        </w:rPr>
        <w:t>二十六</w:t>
      </w:r>
      <w:r>
        <w:rPr>
          <w:rFonts w:ascii="仿宋" w:hAnsi="仿宋" w:eastAsia="仿宋"/>
          <w:color w:val="auto"/>
          <w:sz w:val="32"/>
          <w:szCs w:val="32"/>
        </w:rPr>
        <w:t>条第二项规定，由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（三）违反第</w:t>
      </w:r>
      <w:r>
        <w:rPr>
          <w:rFonts w:hint="eastAsia" w:ascii="仿宋" w:hAnsi="仿宋" w:eastAsia="仿宋"/>
          <w:color w:val="auto"/>
          <w:sz w:val="32"/>
          <w:szCs w:val="32"/>
          <w:lang w:eastAsia="zh-CN"/>
        </w:rPr>
        <w:t>二十六</w:t>
      </w:r>
      <w:r>
        <w:rPr>
          <w:rFonts w:ascii="仿宋" w:hAnsi="仿宋" w:eastAsia="仿宋"/>
          <w:color w:val="auto"/>
          <w:sz w:val="32"/>
          <w:szCs w:val="32"/>
        </w:rPr>
        <w:t>条第三项规定的，由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（四）违反第</w:t>
      </w:r>
      <w:r>
        <w:rPr>
          <w:rFonts w:hint="eastAsia" w:ascii="仿宋" w:hAnsi="仿宋" w:eastAsia="仿宋"/>
          <w:color w:val="auto"/>
          <w:sz w:val="32"/>
          <w:szCs w:val="32"/>
          <w:lang w:eastAsia="zh-CN"/>
        </w:rPr>
        <w:t>二十六</w:t>
      </w:r>
      <w:r>
        <w:rPr>
          <w:rFonts w:hint="eastAsia" w:ascii="仿宋" w:hAnsi="仿宋" w:eastAsia="仿宋"/>
          <w:color w:val="auto"/>
          <w:sz w:val="32"/>
          <w:szCs w:val="32"/>
        </w:rPr>
        <w:t>条第四项规定的，由县人民政府</w:t>
      </w:r>
      <w:r>
        <w:rPr>
          <w:rFonts w:hint="eastAsia" w:ascii="仿宋" w:hAnsi="仿宋" w:eastAsia="仿宋"/>
          <w:color w:val="auto"/>
          <w:sz w:val="32"/>
          <w:szCs w:val="32"/>
          <w:lang w:eastAsia="zh-CN"/>
        </w:rPr>
        <w:t>住房和城乡建设主管部门</w:t>
      </w:r>
      <w:r>
        <w:rPr>
          <w:rFonts w:hint="eastAsia" w:ascii="仿宋" w:hAnsi="仿宋" w:eastAsia="仿宋"/>
          <w:color w:val="auto"/>
          <w:sz w:val="32"/>
          <w:szCs w:val="32"/>
        </w:rPr>
        <w:t>责令恢复原状，或者采取其他补救措施，处50元罚款。</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五</w:t>
      </w:r>
      <w:r>
        <w:rPr>
          <w:rFonts w:hint="eastAsia" w:ascii="仿宋" w:hAnsi="仿宋" w:eastAsia="仿宋"/>
          <w:color w:val="auto"/>
          <w:sz w:val="32"/>
          <w:szCs w:val="32"/>
        </w:rPr>
        <w:t>）违反第</w:t>
      </w:r>
      <w:r>
        <w:rPr>
          <w:rFonts w:hint="eastAsia" w:ascii="仿宋" w:hAnsi="仿宋" w:eastAsia="仿宋"/>
          <w:color w:val="auto"/>
          <w:sz w:val="32"/>
          <w:szCs w:val="32"/>
          <w:lang w:eastAsia="zh-CN"/>
        </w:rPr>
        <w:t>二十六</w:t>
      </w:r>
      <w:r>
        <w:rPr>
          <w:rFonts w:hint="eastAsia" w:ascii="仿宋" w:hAnsi="仿宋" w:eastAsia="仿宋"/>
          <w:color w:val="auto"/>
          <w:sz w:val="32"/>
          <w:szCs w:val="32"/>
        </w:rPr>
        <w:t>条第六项规定的，由县人民政府</w:t>
      </w:r>
      <w:r>
        <w:rPr>
          <w:rFonts w:hint="eastAsia" w:ascii="仿宋" w:hAnsi="仿宋" w:eastAsia="仿宋"/>
          <w:color w:val="auto"/>
          <w:sz w:val="32"/>
          <w:szCs w:val="32"/>
          <w:lang w:eastAsia="zh-CN"/>
        </w:rPr>
        <w:t>住房和城乡建设主管部门</w:t>
      </w:r>
      <w:r>
        <w:rPr>
          <w:rFonts w:hint="eastAsia" w:ascii="仿宋" w:hAnsi="仿宋" w:eastAsia="仿宋"/>
          <w:color w:val="auto"/>
          <w:sz w:val="32"/>
          <w:szCs w:val="32"/>
        </w:rPr>
        <w:t>责令限期改正，逾期不改正的，对单位处1万元以上5万元以下罚款，对个人处1000元以上1万元以下罚款。</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六</w:t>
      </w:r>
      <w:r>
        <w:rPr>
          <w:rFonts w:hint="eastAsia" w:ascii="仿宋" w:hAnsi="仿宋" w:eastAsia="仿宋"/>
          <w:color w:val="auto"/>
          <w:sz w:val="32"/>
          <w:szCs w:val="32"/>
        </w:rPr>
        <w:t>）违反第</w:t>
      </w:r>
      <w:r>
        <w:rPr>
          <w:rFonts w:hint="eastAsia" w:ascii="仿宋" w:hAnsi="仿宋" w:eastAsia="仿宋"/>
          <w:color w:val="auto"/>
          <w:sz w:val="32"/>
          <w:szCs w:val="32"/>
          <w:lang w:eastAsia="zh-CN"/>
        </w:rPr>
        <w:t>二十六</w:t>
      </w:r>
      <w:r>
        <w:rPr>
          <w:rFonts w:hint="eastAsia" w:ascii="仿宋" w:hAnsi="仿宋" w:eastAsia="仿宋"/>
          <w:color w:val="auto"/>
          <w:sz w:val="32"/>
          <w:szCs w:val="32"/>
        </w:rPr>
        <w:t>条第八项规定的，由公安机关责令停止燃放，处100元以上500元以下罚款；构成违反治安管理行为的，依法给予治安管理处罚。</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三十五</w:t>
      </w:r>
      <w:r>
        <w:rPr>
          <w:rFonts w:hint="eastAsia" w:ascii="黑体" w:hAnsi="黑体" w:eastAsia="黑体"/>
          <w:color w:val="auto"/>
          <w:sz w:val="32"/>
          <w:szCs w:val="32"/>
        </w:rPr>
        <w:t>条【保护核心区法律责任】</w:t>
      </w:r>
      <w:r>
        <w:rPr>
          <w:rFonts w:hint="eastAsia" w:ascii="仿宋" w:hAnsi="仿宋" w:eastAsia="仿宋"/>
          <w:color w:val="auto"/>
          <w:sz w:val="32"/>
          <w:szCs w:val="32"/>
        </w:rPr>
        <w:t>违反本条例规定，在名城保护核心区范围内有下列行为之一的，由相关行政主管部门按照下列规定</w:t>
      </w:r>
      <w:r>
        <w:rPr>
          <w:rFonts w:hint="eastAsia" w:ascii="仿宋" w:hAnsi="仿宋" w:eastAsia="仿宋"/>
          <w:color w:val="auto"/>
          <w:sz w:val="32"/>
          <w:szCs w:val="32"/>
          <w:lang w:eastAsia="zh-CN"/>
        </w:rPr>
        <w:t>给予</w:t>
      </w:r>
      <w:r>
        <w:rPr>
          <w:rFonts w:hint="eastAsia" w:ascii="仿宋" w:hAnsi="仿宋" w:eastAsia="仿宋"/>
          <w:color w:val="auto"/>
          <w:sz w:val="32"/>
          <w:szCs w:val="32"/>
        </w:rPr>
        <w:t>处罚，构成犯罪的，依法追究刑事责任：</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一</w:t>
      </w:r>
      <w:r>
        <w:rPr>
          <w:rFonts w:ascii="仿宋" w:hAnsi="仿宋" w:eastAsia="仿宋"/>
          <w:color w:val="auto"/>
          <w:sz w:val="32"/>
          <w:szCs w:val="32"/>
        </w:rPr>
        <w:t>）违反第</w:t>
      </w:r>
      <w:r>
        <w:rPr>
          <w:rFonts w:hint="eastAsia" w:ascii="仿宋" w:hAnsi="仿宋" w:eastAsia="仿宋"/>
          <w:color w:val="auto"/>
          <w:sz w:val="32"/>
          <w:szCs w:val="32"/>
          <w:lang w:eastAsia="zh-CN"/>
        </w:rPr>
        <w:t>二十七</w:t>
      </w:r>
      <w:r>
        <w:rPr>
          <w:rFonts w:ascii="仿宋" w:hAnsi="仿宋" w:eastAsia="仿宋"/>
          <w:color w:val="auto"/>
          <w:sz w:val="32"/>
          <w:szCs w:val="32"/>
        </w:rPr>
        <w:t>条第一项规定的，由县人民政府</w:t>
      </w:r>
      <w:r>
        <w:rPr>
          <w:rFonts w:hint="eastAsia" w:ascii="仿宋" w:hAnsi="仿宋" w:eastAsia="仿宋"/>
          <w:color w:val="auto"/>
          <w:sz w:val="32"/>
          <w:szCs w:val="32"/>
          <w:lang w:eastAsia="zh-CN"/>
        </w:rPr>
        <w:t>住房和城乡建设主管部门</w:t>
      </w:r>
      <w:r>
        <w:rPr>
          <w:rFonts w:ascii="仿宋" w:hAnsi="仿宋" w:eastAsia="仿宋"/>
          <w:color w:val="auto"/>
          <w:sz w:val="32"/>
          <w:szCs w:val="32"/>
        </w:rPr>
        <w:t>责令改正，对单位处50万元以上100万元以下罚款，对个人处5万元以上10万元以下罚款。造成损失的，依法承担赔偿责任。</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二</w:t>
      </w:r>
      <w:r>
        <w:rPr>
          <w:rFonts w:ascii="仿宋" w:hAnsi="仿宋" w:eastAsia="仿宋"/>
          <w:color w:val="auto"/>
          <w:sz w:val="32"/>
          <w:szCs w:val="32"/>
        </w:rPr>
        <w:t>）违反第</w:t>
      </w:r>
      <w:r>
        <w:rPr>
          <w:rFonts w:hint="eastAsia" w:ascii="仿宋" w:hAnsi="仿宋" w:eastAsia="仿宋"/>
          <w:color w:val="auto"/>
          <w:sz w:val="32"/>
          <w:szCs w:val="32"/>
          <w:lang w:eastAsia="zh-CN"/>
        </w:rPr>
        <w:t>二十七</w:t>
      </w:r>
      <w:r>
        <w:rPr>
          <w:rFonts w:ascii="仿宋" w:hAnsi="仿宋" w:eastAsia="仿宋"/>
          <w:color w:val="auto"/>
          <w:sz w:val="32"/>
          <w:szCs w:val="32"/>
        </w:rPr>
        <w:t>条第二项规定的，由县人民政府综合行政执法部门责令限期改正，恢复原状；逾期不改正的，由有关行政执法部门依法拆除，并处200元以上1000元以下罚款。</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三</w:t>
      </w:r>
      <w:r>
        <w:rPr>
          <w:rFonts w:ascii="仿宋" w:hAnsi="仿宋" w:eastAsia="仿宋"/>
          <w:color w:val="auto"/>
          <w:sz w:val="32"/>
          <w:szCs w:val="32"/>
        </w:rPr>
        <w:t>）违反第</w:t>
      </w:r>
      <w:r>
        <w:rPr>
          <w:rFonts w:hint="eastAsia" w:ascii="仿宋" w:hAnsi="仿宋" w:eastAsia="仿宋"/>
          <w:color w:val="auto"/>
          <w:sz w:val="32"/>
          <w:szCs w:val="32"/>
          <w:lang w:eastAsia="zh-CN"/>
        </w:rPr>
        <w:t>二十七</w:t>
      </w:r>
      <w:r>
        <w:rPr>
          <w:rFonts w:ascii="仿宋" w:hAnsi="仿宋" w:eastAsia="仿宋"/>
          <w:color w:val="auto"/>
          <w:sz w:val="32"/>
          <w:szCs w:val="32"/>
        </w:rPr>
        <w:t>条第</w:t>
      </w:r>
      <w:r>
        <w:rPr>
          <w:rFonts w:hint="eastAsia" w:ascii="仿宋" w:hAnsi="仿宋" w:eastAsia="仿宋"/>
          <w:color w:val="auto"/>
          <w:sz w:val="32"/>
          <w:szCs w:val="32"/>
        </w:rPr>
        <w:t>三</w:t>
      </w:r>
      <w:r>
        <w:rPr>
          <w:rFonts w:ascii="仿宋" w:hAnsi="仿宋" w:eastAsia="仿宋"/>
          <w:color w:val="auto"/>
          <w:sz w:val="32"/>
          <w:szCs w:val="32"/>
        </w:rPr>
        <w:t>项规定的，由县人民政府综合行政执法部门责令限期改正，恢复原状；逾期不改正的，由有关行政执法部门依法拆除，并处100元以上200元以下罚款。</w:t>
      </w:r>
    </w:p>
    <w:p>
      <w:pPr>
        <w:keepNext w:val="0"/>
        <w:keepLines w:val="0"/>
        <w:pageBreakBefore w:val="0"/>
        <w:kinsoku/>
        <w:overflowPunct/>
        <w:topLinePunct w:val="0"/>
        <w:autoSpaceDE/>
        <w:autoSpaceDN/>
        <w:bidi w:val="0"/>
        <w:adjustRightInd/>
        <w:snapToGrid/>
        <w:spacing w:after="0" w:line="590" w:lineRule="exact"/>
        <w:ind w:firstLine="640" w:firstLineChars="200"/>
        <w:textAlignment w:val="auto"/>
        <w:rPr>
          <w:rFonts w:hint="eastAsia"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三十六</w:t>
      </w:r>
      <w:r>
        <w:rPr>
          <w:rFonts w:hint="eastAsia" w:ascii="黑体" w:hAnsi="黑体" w:eastAsia="黑体"/>
          <w:color w:val="auto"/>
          <w:sz w:val="32"/>
          <w:szCs w:val="32"/>
        </w:rPr>
        <w:t>条【法律责任的补充】</w:t>
      </w:r>
      <w:r>
        <w:rPr>
          <w:rFonts w:hint="eastAsia" w:ascii="仿宋" w:hAnsi="仿宋" w:eastAsia="仿宋"/>
          <w:color w:val="auto"/>
          <w:sz w:val="32"/>
          <w:szCs w:val="32"/>
        </w:rPr>
        <w:t>违反本条例规定的行为，本条例未作处罚规定的，依照相关法律法规处罚。</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三十七</w:t>
      </w:r>
      <w:r>
        <w:rPr>
          <w:rFonts w:hint="eastAsia" w:ascii="黑体" w:hAnsi="黑体" w:eastAsia="黑体"/>
          <w:color w:val="auto"/>
          <w:sz w:val="32"/>
          <w:szCs w:val="32"/>
        </w:rPr>
        <w:t>条【国家机关工作人员责任】</w:t>
      </w:r>
      <w:r>
        <w:rPr>
          <w:rFonts w:hint="eastAsia" w:ascii="仿宋" w:hAnsi="仿宋" w:eastAsia="仿宋"/>
          <w:color w:val="auto"/>
          <w:sz w:val="32"/>
          <w:szCs w:val="32"/>
        </w:rPr>
        <w:t>国家机关及其工作人员在名城保护工作中不履行监督管理职责，发现违法行为不予查处或者有其他玩忽职守、滥用职权、徇私舞弊行为，构成犯罪的，依法追究刑事责任；尚</w:t>
      </w:r>
      <w:r>
        <w:rPr>
          <w:color w:val="auto"/>
        </w:rPr>
        <w:fldChar w:fldCharType="begin"/>
      </w:r>
      <w:r>
        <w:rPr>
          <w:color w:val="auto"/>
        </w:rPr>
        <w:instrText xml:space="preserve"> HYPERLINK "https://baike.baidu.com/item/%E4%B8%8D%E6%9E%84%E6%88%90%E7%8A%AF%E7%BD%AA/8817157" </w:instrText>
      </w:r>
      <w:r>
        <w:rPr>
          <w:color w:val="auto"/>
        </w:rPr>
        <w:fldChar w:fldCharType="separate"/>
      </w:r>
      <w:r>
        <w:rPr>
          <w:rFonts w:hint="eastAsia" w:ascii="仿宋" w:hAnsi="仿宋" w:eastAsia="仿宋"/>
          <w:color w:val="auto"/>
          <w:sz w:val="32"/>
          <w:szCs w:val="32"/>
        </w:rPr>
        <w:t>不构成犯罪</w:t>
      </w:r>
      <w:r>
        <w:rPr>
          <w:rFonts w:hint="eastAsia" w:ascii="仿宋" w:hAnsi="仿宋" w:eastAsia="仿宋"/>
          <w:color w:val="auto"/>
          <w:sz w:val="32"/>
          <w:szCs w:val="32"/>
        </w:rPr>
        <w:fldChar w:fldCharType="end"/>
      </w:r>
      <w:r>
        <w:rPr>
          <w:rFonts w:hint="eastAsia" w:ascii="仿宋" w:hAnsi="仿宋" w:eastAsia="仿宋"/>
          <w:color w:val="auto"/>
          <w:sz w:val="32"/>
          <w:szCs w:val="32"/>
        </w:rPr>
        <w:t>的，依法给予处分。</w:t>
      </w:r>
    </w:p>
    <w:p>
      <w:pPr>
        <w:keepNext w:val="0"/>
        <w:keepLines w:val="0"/>
        <w:pageBreakBefore w:val="0"/>
        <w:kinsoku/>
        <w:overflowPunct/>
        <w:topLinePunct w:val="0"/>
        <w:autoSpaceDE/>
        <w:autoSpaceDN/>
        <w:bidi w:val="0"/>
        <w:adjustRightInd/>
        <w:snapToGrid/>
        <w:spacing w:after="0" w:line="59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第六章 附则</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三十八</w:t>
      </w:r>
      <w:r>
        <w:rPr>
          <w:rFonts w:hint="eastAsia" w:ascii="黑体" w:hAnsi="黑体" w:eastAsia="黑体"/>
          <w:color w:val="auto"/>
          <w:sz w:val="32"/>
          <w:szCs w:val="32"/>
        </w:rPr>
        <w:t>条【实施办法】</w:t>
      </w:r>
      <w:r>
        <w:rPr>
          <w:rFonts w:hint="eastAsia" w:ascii="仿宋" w:hAnsi="仿宋" w:eastAsia="仿宋"/>
          <w:color w:val="auto"/>
          <w:sz w:val="32"/>
          <w:szCs w:val="32"/>
        </w:rPr>
        <w:t>通海县人民政府应当根据本条例制定实施办法。</w:t>
      </w:r>
    </w:p>
    <w:p>
      <w:pPr>
        <w:keepNext w:val="0"/>
        <w:keepLines w:val="0"/>
        <w:pageBreakBefore w:val="0"/>
        <w:kinsoku/>
        <w:overflowPunct/>
        <w:topLinePunct w:val="0"/>
        <w:autoSpaceDE/>
        <w:autoSpaceDN/>
        <w:bidi w:val="0"/>
        <w:adjustRightInd/>
        <w:snapToGrid/>
        <w:spacing w:after="0" w:line="590" w:lineRule="exact"/>
        <w:ind w:firstLine="640" w:firstLineChars="200"/>
        <w:jc w:val="both"/>
        <w:textAlignment w:val="auto"/>
        <w:rPr>
          <w:rFonts w:hint="eastAsia"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三十九</w:t>
      </w:r>
      <w:r>
        <w:rPr>
          <w:rFonts w:hint="eastAsia" w:ascii="黑体" w:hAnsi="黑体" w:eastAsia="黑体"/>
          <w:color w:val="auto"/>
          <w:sz w:val="32"/>
          <w:szCs w:val="32"/>
        </w:rPr>
        <w:t>条【实施时间】</w:t>
      </w:r>
      <w:r>
        <w:rPr>
          <w:rFonts w:hint="eastAsia" w:ascii="仿宋" w:hAnsi="仿宋" w:eastAsia="仿宋"/>
          <w:color w:val="auto"/>
          <w:sz w:val="32"/>
          <w:szCs w:val="32"/>
        </w:rPr>
        <w:t>本条例自  年  月  日 起施行。</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eastAsia" w:ascii="黑体" w:hAnsi="黑体" w:eastAsia="黑体"/>
          <w:color w:val="auto"/>
          <w:sz w:val="32"/>
          <w:szCs w:val="32"/>
        </w:rPr>
      </w:pPr>
    </w:p>
    <w:sectPr>
      <w:footerReference r:id="rId5" w:type="default"/>
      <w:pgSz w:w="11906" w:h="16838"/>
      <w:pgMar w:top="2041" w:right="1474" w:bottom="1304" w:left="1587" w:header="1361" w:footer="1191"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sz w:val="28"/>
                              <w:szCs w:val="28"/>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r>
                      <w:rPr>
                        <w:sz w:val="28"/>
                        <w:szCs w:val="28"/>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sz w:val="28"/>
                        <w:szCs w:val="28"/>
                      </w:rPr>
                      <w:t>—</w:t>
                    </w:r>
                  </w:p>
                </w:txbxContent>
              </v:textbox>
            </v:shape>
          </w:pict>
        </mc:Fallback>
      </mc:AlternateContent>
    </w:r>
  </w:p>
  <w:p>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4F"/>
    <w:rsid w:val="00005F57"/>
    <w:rsid w:val="0000618D"/>
    <w:rsid w:val="00007ADC"/>
    <w:rsid w:val="00012ABC"/>
    <w:rsid w:val="00012B38"/>
    <w:rsid w:val="00012C74"/>
    <w:rsid w:val="0001414E"/>
    <w:rsid w:val="00022030"/>
    <w:rsid w:val="00046F53"/>
    <w:rsid w:val="00054DEC"/>
    <w:rsid w:val="00082618"/>
    <w:rsid w:val="000835C1"/>
    <w:rsid w:val="00083A15"/>
    <w:rsid w:val="000A1102"/>
    <w:rsid w:val="000A5EE7"/>
    <w:rsid w:val="000A7879"/>
    <w:rsid w:val="000B7D88"/>
    <w:rsid w:val="000C0758"/>
    <w:rsid w:val="000C12E8"/>
    <w:rsid w:val="000D26C1"/>
    <w:rsid w:val="000D4E73"/>
    <w:rsid w:val="000E1FB4"/>
    <w:rsid w:val="000E781A"/>
    <w:rsid w:val="000F2E90"/>
    <w:rsid w:val="000F4145"/>
    <w:rsid w:val="000F7658"/>
    <w:rsid w:val="000F77E5"/>
    <w:rsid w:val="00104725"/>
    <w:rsid w:val="00116996"/>
    <w:rsid w:val="001200ED"/>
    <w:rsid w:val="00123B11"/>
    <w:rsid w:val="0013373E"/>
    <w:rsid w:val="001349E6"/>
    <w:rsid w:val="0014054A"/>
    <w:rsid w:val="00146A89"/>
    <w:rsid w:val="00150080"/>
    <w:rsid w:val="00150482"/>
    <w:rsid w:val="00150CC6"/>
    <w:rsid w:val="001624C1"/>
    <w:rsid w:val="00163DA6"/>
    <w:rsid w:val="0017373B"/>
    <w:rsid w:val="0017469A"/>
    <w:rsid w:val="00175B96"/>
    <w:rsid w:val="0017698D"/>
    <w:rsid w:val="00182D83"/>
    <w:rsid w:val="00183634"/>
    <w:rsid w:val="00184709"/>
    <w:rsid w:val="00186ACE"/>
    <w:rsid w:val="001920DD"/>
    <w:rsid w:val="001929AB"/>
    <w:rsid w:val="00196FAC"/>
    <w:rsid w:val="001A01EA"/>
    <w:rsid w:val="001A0251"/>
    <w:rsid w:val="001A1CFA"/>
    <w:rsid w:val="001A3DD3"/>
    <w:rsid w:val="001B2919"/>
    <w:rsid w:val="001B6857"/>
    <w:rsid w:val="001C42B3"/>
    <w:rsid w:val="001C48B7"/>
    <w:rsid w:val="001D70A3"/>
    <w:rsid w:val="001D70EB"/>
    <w:rsid w:val="001E174A"/>
    <w:rsid w:val="001E71C6"/>
    <w:rsid w:val="0021197B"/>
    <w:rsid w:val="002140F9"/>
    <w:rsid w:val="00223FCC"/>
    <w:rsid w:val="00232A77"/>
    <w:rsid w:val="00232BE7"/>
    <w:rsid w:val="00234594"/>
    <w:rsid w:val="002408C3"/>
    <w:rsid w:val="002456D1"/>
    <w:rsid w:val="0024663E"/>
    <w:rsid w:val="00263926"/>
    <w:rsid w:val="00264A18"/>
    <w:rsid w:val="00282AED"/>
    <w:rsid w:val="00284028"/>
    <w:rsid w:val="0029704B"/>
    <w:rsid w:val="002971A9"/>
    <w:rsid w:val="002A1679"/>
    <w:rsid w:val="002A4FC9"/>
    <w:rsid w:val="002B6478"/>
    <w:rsid w:val="002B6D83"/>
    <w:rsid w:val="002C6226"/>
    <w:rsid w:val="002C677A"/>
    <w:rsid w:val="002C7820"/>
    <w:rsid w:val="002D1008"/>
    <w:rsid w:val="002E22C4"/>
    <w:rsid w:val="002E758A"/>
    <w:rsid w:val="002F3FEF"/>
    <w:rsid w:val="00311577"/>
    <w:rsid w:val="00315639"/>
    <w:rsid w:val="003203CA"/>
    <w:rsid w:val="00321B68"/>
    <w:rsid w:val="00322181"/>
    <w:rsid w:val="00330C30"/>
    <w:rsid w:val="00334B76"/>
    <w:rsid w:val="00341814"/>
    <w:rsid w:val="00341E39"/>
    <w:rsid w:val="003427F0"/>
    <w:rsid w:val="00342D17"/>
    <w:rsid w:val="0034732B"/>
    <w:rsid w:val="003478AD"/>
    <w:rsid w:val="00350D0D"/>
    <w:rsid w:val="003544FB"/>
    <w:rsid w:val="0037177A"/>
    <w:rsid w:val="00391C69"/>
    <w:rsid w:val="003943BE"/>
    <w:rsid w:val="0039527D"/>
    <w:rsid w:val="003A02BF"/>
    <w:rsid w:val="003B17D9"/>
    <w:rsid w:val="003B4B3C"/>
    <w:rsid w:val="003C2164"/>
    <w:rsid w:val="003C4832"/>
    <w:rsid w:val="003C687C"/>
    <w:rsid w:val="003D045A"/>
    <w:rsid w:val="003D04C3"/>
    <w:rsid w:val="003D2907"/>
    <w:rsid w:val="003E7310"/>
    <w:rsid w:val="003F16B8"/>
    <w:rsid w:val="003F2BD7"/>
    <w:rsid w:val="003F6125"/>
    <w:rsid w:val="003F6674"/>
    <w:rsid w:val="00400986"/>
    <w:rsid w:val="00405C2E"/>
    <w:rsid w:val="0041159C"/>
    <w:rsid w:val="004235B2"/>
    <w:rsid w:val="00433194"/>
    <w:rsid w:val="0044259D"/>
    <w:rsid w:val="0044316F"/>
    <w:rsid w:val="00457999"/>
    <w:rsid w:val="0048726F"/>
    <w:rsid w:val="0049348F"/>
    <w:rsid w:val="00493ECE"/>
    <w:rsid w:val="00493F94"/>
    <w:rsid w:val="00495D08"/>
    <w:rsid w:val="004B6CBD"/>
    <w:rsid w:val="004B7D03"/>
    <w:rsid w:val="004C0298"/>
    <w:rsid w:val="004D47F2"/>
    <w:rsid w:val="004E7EE4"/>
    <w:rsid w:val="004F1691"/>
    <w:rsid w:val="004F5EAB"/>
    <w:rsid w:val="004F6418"/>
    <w:rsid w:val="005070CD"/>
    <w:rsid w:val="00511687"/>
    <w:rsid w:val="005129F9"/>
    <w:rsid w:val="00514FD9"/>
    <w:rsid w:val="00521D46"/>
    <w:rsid w:val="005249E6"/>
    <w:rsid w:val="00525AAA"/>
    <w:rsid w:val="00535DE1"/>
    <w:rsid w:val="00536B15"/>
    <w:rsid w:val="00545A4F"/>
    <w:rsid w:val="0055000C"/>
    <w:rsid w:val="00550F7C"/>
    <w:rsid w:val="00553431"/>
    <w:rsid w:val="0055589B"/>
    <w:rsid w:val="00562B10"/>
    <w:rsid w:val="00572390"/>
    <w:rsid w:val="00574677"/>
    <w:rsid w:val="00577D2B"/>
    <w:rsid w:val="005A18F5"/>
    <w:rsid w:val="005A3BF9"/>
    <w:rsid w:val="005B469E"/>
    <w:rsid w:val="005C644C"/>
    <w:rsid w:val="005C6E67"/>
    <w:rsid w:val="005D3B99"/>
    <w:rsid w:val="005D6AC5"/>
    <w:rsid w:val="005E1374"/>
    <w:rsid w:val="005E468B"/>
    <w:rsid w:val="005F103D"/>
    <w:rsid w:val="005F4E89"/>
    <w:rsid w:val="005F5F24"/>
    <w:rsid w:val="005F7D8E"/>
    <w:rsid w:val="006036C0"/>
    <w:rsid w:val="0060667C"/>
    <w:rsid w:val="0062152D"/>
    <w:rsid w:val="00621975"/>
    <w:rsid w:val="0062262F"/>
    <w:rsid w:val="00624C3E"/>
    <w:rsid w:val="00625706"/>
    <w:rsid w:val="00627405"/>
    <w:rsid w:val="00627F1E"/>
    <w:rsid w:val="0063338A"/>
    <w:rsid w:val="00644305"/>
    <w:rsid w:val="006452DF"/>
    <w:rsid w:val="006572AB"/>
    <w:rsid w:val="00665582"/>
    <w:rsid w:val="00665CA4"/>
    <w:rsid w:val="00671716"/>
    <w:rsid w:val="00675198"/>
    <w:rsid w:val="00677C09"/>
    <w:rsid w:val="00681FB9"/>
    <w:rsid w:val="00683ACD"/>
    <w:rsid w:val="006947B9"/>
    <w:rsid w:val="006A0E91"/>
    <w:rsid w:val="006A2563"/>
    <w:rsid w:val="006A646C"/>
    <w:rsid w:val="006B00CF"/>
    <w:rsid w:val="006B07A7"/>
    <w:rsid w:val="006B1B15"/>
    <w:rsid w:val="006B35DD"/>
    <w:rsid w:val="006B394D"/>
    <w:rsid w:val="006B4D0B"/>
    <w:rsid w:val="006B73E9"/>
    <w:rsid w:val="006C4CFA"/>
    <w:rsid w:val="006D024A"/>
    <w:rsid w:val="006D5E02"/>
    <w:rsid w:val="006D62B7"/>
    <w:rsid w:val="006D752D"/>
    <w:rsid w:val="006D7D7F"/>
    <w:rsid w:val="006F78D4"/>
    <w:rsid w:val="007325D9"/>
    <w:rsid w:val="00743AC9"/>
    <w:rsid w:val="00744EE2"/>
    <w:rsid w:val="00750D4F"/>
    <w:rsid w:val="00755CB4"/>
    <w:rsid w:val="007605C9"/>
    <w:rsid w:val="00763FA1"/>
    <w:rsid w:val="00770976"/>
    <w:rsid w:val="00772CA4"/>
    <w:rsid w:val="0078120D"/>
    <w:rsid w:val="007833F1"/>
    <w:rsid w:val="00787DBA"/>
    <w:rsid w:val="00791D63"/>
    <w:rsid w:val="007B32C7"/>
    <w:rsid w:val="007B4421"/>
    <w:rsid w:val="007B5677"/>
    <w:rsid w:val="007C5819"/>
    <w:rsid w:val="007E219F"/>
    <w:rsid w:val="007E5D69"/>
    <w:rsid w:val="007F3CDA"/>
    <w:rsid w:val="007F7E1B"/>
    <w:rsid w:val="00804D1C"/>
    <w:rsid w:val="00807E7F"/>
    <w:rsid w:val="00810C08"/>
    <w:rsid w:val="00811CD4"/>
    <w:rsid w:val="008154EB"/>
    <w:rsid w:val="008233B3"/>
    <w:rsid w:val="008331D3"/>
    <w:rsid w:val="00835FB3"/>
    <w:rsid w:val="008502D4"/>
    <w:rsid w:val="008513B4"/>
    <w:rsid w:val="00851D7D"/>
    <w:rsid w:val="00855292"/>
    <w:rsid w:val="00855671"/>
    <w:rsid w:val="00862703"/>
    <w:rsid w:val="00864360"/>
    <w:rsid w:val="0087681D"/>
    <w:rsid w:val="00883E17"/>
    <w:rsid w:val="00883EF7"/>
    <w:rsid w:val="008842F9"/>
    <w:rsid w:val="00886389"/>
    <w:rsid w:val="00893F3C"/>
    <w:rsid w:val="0089498B"/>
    <w:rsid w:val="008A24A9"/>
    <w:rsid w:val="008A302E"/>
    <w:rsid w:val="008B30E8"/>
    <w:rsid w:val="008B64DB"/>
    <w:rsid w:val="008C38B6"/>
    <w:rsid w:val="008C7BF7"/>
    <w:rsid w:val="008D15A5"/>
    <w:rsid w:val="008D56B7"/>
    <w:rsid w:val="008D7976"/>
    <w:rsid w:val="008D7FAD"/>
    <w:rsid w:val="008E6187"/>
    <w:rsid w:val="00903567"/>
    <w:rsid w:val="0091061A"/>
    <w:rsid w:val="00917C13"/>
    <w:rsid w:val="00922542"/>
    <w:rsid w:val="009261CF"/>
    <w:rsid w:val="00933B3A"/>
    <w:rsid w:val="009407FF"/>
    <w:rsid w:val="0094739A"/>
    <w:rsid w:val="009479F7"/>
    <w:rsid w:val="00952F1B"/>
    <w:rsid w:val="00953524"/>
    <w:rsid w:val="0095774E"/>
    <w:rsid w:val="00960A0E"/>
    <w:rsid w:val="00970C6B"/>
    <w:rsid w:val="00970CFA"/>
    <w:rsid w:val="009725D4"/>
    <w:rsid w:val="00973064"/>
    <w:rsid w:val="00977C7E"/>
    <w:rsid w:val="00996E4C"/>
    <w:rsid w:val="009A2603"/>
    <w:rsid w:val="009A3BBB"/>
    <w:rsid w:val="009A4C19"/>
    <w:rsid w:val="009A51B7"/>
    <w:rsid w:val="009A77AB"/>
    <w:rsid w:val="009B2366"/>
    <w:rsid w:val="009C52C5"/>
    <w:rsid w:val="009C6FC7"/>
    <w:rsid w:val="009C72CA"/>
    <w:rsid w:val="009D00FB"/>
    <w:rsid w:val="009E0A42"/>
    <w:rsid w:val="009E5783"/>
    <w:rsid w:val="009E72EE"/>
    <w:rsid w:val="009F2E1E"/>
    <w:rsid w:val="009F3E8D"/>
    <w:rsid w:val="009F6898"/>
    <w:rsid w:val="00A032B9"/>
    <w:rsid w:val="00A040FB"/>
    <w:rsid w:val="00A05198"/>
    <w:rsid w:val="00A139A6"/>
    <w:rsid w:val="00A379A0"/>
    <w:rsid w:val="00A413D2"/>
    <w:rsid w:val="00A4195E"/>
    <w:rsid w:val="00A43D11"/>
    <w:rsid w:val="00A54EB0"/>
    <w:rsid w:val="00A552CB"/>
    <w:rsid w:val="00A653E2"/>
    <w:rsid w:val="00A67342"/>
    <w:rsid w:val="00A722B4"/>
    <w:rsid w:val="00A73119"/>
    <w:rsid w:val="00A82114"/>
    <w:rsid w:val="00A831DB"/>
    <w:rsid w:val="00A83567"/>
    <w:rsid w:val="00A84CD9"/>
    <w:rsid w:val="00A86277"/>
    <w:rsid w:val="00A94704"/>
    <w:rsid w:val="00A96B3E"/>
    <w:rsid w:val="00AA1FD2"/>
    <w:rsid w:val="00AA28E9"/>
    <w:rsid w:val="00AB0AA2"/>
    <w:rsid w:val="00AB38F1"/>
    <w:rsid w:val="00AB55F0"/>
    <w:rsid w:val="00AC4223"/>
    <w:rsid w:val="00AD386E"/>
    <w:rsid w:val="00AD5D58"/>
    <w:rsid w:val="00AD6A20"/>
    <w:rsid w:val="00AD6F0F"/>
    <w:rsid w:val="00AE17CB"/>
    <w:rsid w:val="00AE25F3"/>
    <w:rsid w:val="00AE60DD"/>
    <w:rsid w:val="00AF283C"/>
    <w:rsid w:val="00B05123"/>
    <w:rsid w:val="00B068EF"/>
    <w:rsid w:val="00B14BCF"/>
    <w:rsid w:val="00B24F31"/>
    <w:rsid w:val="00B27AD2"/>
    <w:rsid w:val="00B37B27"/>
    <w:rsid w:val="00B469B7"/>
    <w:rsid w:val="00B47814"/>
    <w:rsid w:val="00B5083B"/>
    <w:rsid w:val="00B545FA"/>
    <w:rsid w:val="00B54624"/>
    <w:rsid w:val="00B546AB"/>
    <w:rsid w:val="00B575F7"/>
    <w:rsid w:val="00B57B6C"/>
    <w:rsid w:val="00B74A70"/>
    <w:rsid w:val="00B76506"/>
    <w:rsid w:val="00B83116"/>
    <w:rsid w:val="00B91662"/>
    <w:rsid w:val="00B92E47"/>
    <w:rsid w:val="00B97238"/>
    <w:rsid w:val="00BA023B"/>
    <w:rsid w:val="00BB17E8"/>
    <w:rsid w:val="00BC1DB1"/>
    <w:rsid w:val="00BC2FB7"/>
    <w:rsid w:val="00BD3DEE"/>
    <w:rsid w:val="00BE1590"/>
    <w:rsid w:val="00BE309B"/>
    <w:rsid w:val="00BE6C01"/>
    <w:rsid w:val="00BF403D"/>
    <w:rsid w:val="00C17753"/>
    <w:rsid w:val="00C21BB0"/>
    <w:rsid w:val="00C22276"/>
    <w:rsid w:val="00C276E1"/>
    <w:rsid w:val="00C31398"/>
    <w:rsid w:val="00C32B7A"/>
    <w:rsid w:val="00C41619"/>
    <w:rsid w:val="00C4561E"/>
    <w:rsid w:val="00C45B6F"/>
    <w:rsid w:val="00C47B68"/>
    <w:rsid w:val="00C5130E"/>
    <w:rsid w:val="00C52560"/>
    <w:rsid w:val="00C56666"/>
    <w:rsid w:val="00C60152"/>
    <w:rsid w:val="00C66010"/>
    <w:rsid w:val="00C66114"/>
    <w:rsid w:val="00C663D3"/>
    <w:rsid w:val="00C70DFE"/>
    <w:rsid w:val="00C817DC"/>
    <w:rsid w:val="00C86EEA"/>
    <w:rsid w:val="00C947C5"/>
    <w:rsid w:val="00C952F7"/>
    <w:rsid w:val="00CA02AA"/>
    <w:rsid w:val="00CA0823"/>
    <w:rsid w:val="00CA44D5"/>
    <w:rsid w:val="00CA7D51"/>
    <w:rsid w:val="00CB07C2"/>
    <w:rsid w:val="00CC07A2"/>
    <w:rsid w:val="00CC1B97"/>
    <w:rsid w:val="00CD77E9"/>
    <w:rsid w:val="00CD79F0"/>
    <w:rsid w:val="00CE6755"/>
    <w:rsid w:val="00CE6FDC"/>
    <w:rsid w:val="00CF1020"/>
    <w:rsid w:val="00CF18E7"/>
    <w:rsid w:val="00D00404"/>
    <w:rsid w:val="00D00855"/>
    <w:rsid w:val="00D05D3B"/>
    <w:rsid w:val="00D12AEE"/>
    <w:rsid w:val="00D2282C"/>
    <w:rsid w:val="00D32C5B"/>
    <w:rsid w:val="00D33355"/>
    <w:rsid w:val="00D528AF"/>
    <w:rsid w:val="00D83FD4"/>
    <w:rsid w:val="00DA11FA"/>
    <w:rsid w:val="00DA45BF"/>
    <w:rsid w:val="00DB2652"/>
    <w:rsid w:val="00DB3D7C"/>
    <w:rsid w:val="00DB52F4"/>
    <w:rsid w:val="00DC2C50"/>
    <w:rsid w:val="00DD4728"/>
    <w:rsid w:val="00DD4755"/>
    <w:rsid w:val="00DF1793"/>
    <w:rsid w:val="00DF3E41"/>
    <w:rsid w:val="00E03E09"/>
    <w:rsid w:val="00E0627D"/>
    <w:rsid w:val="00E1649F"/>
    <w:rsid w:val="00E16C2F"/>
    <w:rsid w:val="00E22ACF"/>
    <w:rsid w:val="00E30D87"/>
    <w:rsid w:val="00E319B3"/>
    <w:rsid w:val="00E347FD"/>
    <w:rsid w:val="00E35210"/>
    <w:rsid w:val="00E35293"/>
    <w:rsid w:val="00E36E68"/>
    <w:rsid w:val="00E449C0"/>
    <w:rsid w:val="00E46984"/>
    <w:rsid w:val="00E559FE"/>
    <w:rsid w:val="00E60B45"/>
    <w:rsid w:val="00E61016"/>
    <w:rsid w:val="00E630E4"/>
    <w:rsid w:val="00E7218D"/>
    <w:rsid w:val="00E73A07"/>
    <w:rsid w:val="00E7401C"/>
    <w:rsid w:val="00E80916"/>
    <w:rsid w:val="00E813C1"/>
    <w:rsid w:val="00E8442E"/>
    <w:rsid w:val="00E853D8"/>
    <w:rsid w:val="00E876E7"/>
    <w:rsid w:val="00E94998"/>
    <w:rsid w:val="00E95272"/>
    <w:rsid w:val="00E96DF8"/>
    <w:rsid w:val="00EB1345"/>
    <w:rsid w:val="00EB54A3"/>
    <w:rsid w:val="00EC428B"/>
    <w:rsid w:val="00EC4719"/>
    <w:rsid w:val="00ED4EF8"/>
    <w:rsid w:val="00EF08ED"/>
    <w:rsid w:val="00EF4353"/>
    <w:rsid w:val="00F06F48"/>
    <w:rsid w:val="00F07F2D"/>
    <w:rsid w:val="00F10369"/>
    <w:rsid w:val="00F107F5"/>
    <w:rsid w:val="00F12B17"/>
    <w:rsid w:val="00F146CF"/>
    <w:rsid w:val="00F22C02"/>
    <w:rsid w:val="00F36959"/>
    <w:rsid w:val="00F405D5"/>
    <w:rsid w:val="00F4281C"/>
    <w:rsid w:val="00F44CB8"/>
    <w:rsid w:val="00F57D10"/>
    <w:rsid w:val="00F624E3"/>
    <w:rsid w:val="00F637D3"/>
    <w:rsid w:val="00F72B97"/>
    <w:rsid w:val="00F83EF9"/>
    <w:rsid w:val="00F85F7F"/>
    <w:rsid w:val="00F96134"/>
    <w:rsid w:val="00F96AE6"/>
    <w:rsid w:val="00FA0841"/>
    <w:rsid w:val="00FB54FC"/>
    <w:rsid w:val="00FB5FC0"/>
    <w:rsid w:val="00FC499D"/>
    <w:rsid w:val="00FD0600"/>
    <w:rsid w:val="00FE6473"/>
    <w:rsid w:val="3F6ECE79"/>
    <w:rsid w:val="3F9FA492"/>
    <w:rsid w:val="3FFBDAFB"/>
    <w:rsid w:val="69F74F79"/>
    <w:rsid w:val="6DE9BCAB"/>
    <w:rsid w:val="6F7FDBE3"/>
    <w:rsid w:val="73FEF305"/>
    <w:rsid w:val="79FFB523"/>
    <w:rsid w:val="7E759ECA"/>
    <w:rsid w:val="7EBD6D39"/>
    <w:rsid w:val="D7B7A6A4"/>
    <w:rsid w:val="ECF7D35B"/>
    <w:rsid w:val="ECFFD3B8"/>
    <w:rsid w:val="FDFF9048"/>
    <w:rsid w:val="FE9FA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0"/>
    <w:rPr>
      <w:rFonts w:ascii="Times New Roman" w:hAnsi="Times New Roman" w:cs="Times New Roman"/>
      <w:sz w:val="24"/>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1064</Words>
  <Characters>6066</Characters>
  <Lines>50</Lines>
  <Paragraphs>14</Paragraphs>
  <TotalTime>3</TotalTime>
  <ScaleCrop>false</ScaleCrop>
  <LinksUpToDate>false</LinksUpToDate>
  <CharactersWithSpaces>7116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2024-09-06T09:46:00Z</dcterms:created>
  <dc:creator>奇 向</dc:creator>
  <cp:lastModifiedBy>user</cp:lastModifiedBy>
  <cp:lastPrinted>2024-09-05T02:41:00Z</cp:lastPrinted>
  <dcterms:modified xsi:type="dcterms:W3CDTF">2024-09-19T17:19:55Z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