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广播电视专用频段频率使用许可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市广电局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市广电局、县级广电部门（受理并逐级上报广电总局审批）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《广播电视管理条例》第十八条：国务院广播电视行政部门负责指配广播电视专用频段的频率，并核发频率专用指配证明。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第十九条：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8035B"/>
    <w:rsid w:val="4B4F88F6"/>
    <w:rsid w:val="7B48035B"/>
    <w:rsid w:val="D9E963A8"/>
    <w:rsid w:val="FF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2023-11-02T14:39:00Z</dcterms:created>
  <dc:creator>灯火阑珊</dc:creator>
  <cp:lastModifiedBy>user</cp:lastModifiedBy>
  <dcterms:modified xsi:type="dcterms:W3CDTF">2023-12-01T16:17:49Z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1754C52A7C974534AA0BC0F241AB5B5B</vt:lpwstr>
  </property>
</Properties>
</file>