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1999F">
      <w:pPr>
        <w:widowControl/>
        <w:spacing w:line="590" w:lineRule="exact"/>
        <w:jc w:val="left"/>
        <w:rPr>
          <w:rFonts w:ascii="宋体" w:hAnsi="宋体" w:eastAsia="宋体" w:cs="Times New Roman"/>
          <w:b/>
          <w:bCs/>
          <w:sz w:val="36"/>
          <w:szCs w:val="36"/>
        </w:rPr>
      </w:pPr>
      <w:bookmarkStart w:id="0" w:name="_Hlk88509949"/>
      <w:bookmarkStart w:id="102" w:name="_GoBack"/>
      <w:bookmarkEnd w:id="102"/>
    </w:p>
    <w:p w14:paraId="6EBB20C4">
      <w:pPr>
        <w:widowControl/>
        <w:spacing w:line="590" w:lineRule="exact"/>
        <w:jc w:val="left"/>
        <w:rPr>
          <w:rFonts w:ascii="宋体" w:hAnsi="宋体" w:eastAsia="宋体" w:cs="Times New Roman"/>
          <w:b/>
          <w:bCs/>
          <w:sz w:val="36"/>
          <w:szCs w:val="36"/>
        </w:rPr>
      </w:pPr>
    </w:p>
    <w:p w14:paraId="0E3C7EC6">
      <w:pPr>
        <w:widowControl/>
        <w:spacing w:line="590" w:lineRule="exact"/>
        <w:jc w:val="left"/>
        <w:rPr>
          <w:rFonts w:ascii="宋体" w:hAnsi="宋体" w:eastAsia="宋体" w:cs="Times New Roman"/>
          <w:b/>
          <w:bCs/>
          <w:sz w:val="36"/>
          <w:szCs w:val="36"/>
        </w:rPr>
      </w:pPr>
    </w:p>
    <w:p w14:paraId="5CC2E532">
      <w:pPr>
        <w:spacing w:line="590" w:lineRule="exact"/>
        <w:jc w:val="center"/>
        <w:rPr>
          <w:rFonts w:ascii="方正小标宋简体" w:hAnsi="方正小标宋_GBK" w:eastAsia="方正小标宋简体" w:cs="方正小标宋_GBK"/>
          <w:spacing w:val="6"/>
          <w:kern w:val="36"/>
          <w:sz w:val="44"/>
          <w:szCs w:val="44"/>
        </w:rPr>
      </w:pPr>
      <w:r>
        <w:rPr>
          <w:rFonts w:hint="eastAsia" w:ascii="方正小标宋简体" w:hAnsi="方正小标宋_GBK" w:eastAsia="方正小标宋简体" w:cs="方正小标宋_GBK"/>
          <w:spacing w:val="6"/>
          <w:kern w:val="36"/>
          <w:sz w:val="44"/>
          <w:szCs w:val="44"/>
        </w:rPr>
        <w:t>通海县教育和体育局2020年</w:t>
      </w:r>
    </w:p>
    <w:p w14:paraId="4B7AF12E">
      <w:pPr>
        <w:spacing w:line="590" w:lineRule="exact"/>
        <w:jc w:val="center"/>
        <w:rPr>
          <w:rFonts w:ascii="方正小标宋简体" w:hAnsi="方正小标宋_GBK" w:eastAsia="方正小标宋简体" w:cs="方正小标宋_GBK"/>
          <w:spacing w:val="6"/>
          <w:kern w:val="36"/>
          <w:sz w:val="44"/>
          <w:szCs w:val="44"/>
        </w:rPr>
      </w:pPr>
      <w:r>
        <w:rPr>
          <w:rFonts w:hint="eastAsia" w:ascii="方正小标宋简体" w:hAnsi="方正小标宋_GBK" w:eastAsia="方正小标宋简体" w:cs="方正小标宋_GBK"/>
          <w:spacing w:val="6"/>
          <w:kern w:val="36"/>
          <w:sz w:val="44"/>
          <w:szCs w:val="44"/>
        </w:rPr>
        <w:t>部门整体支出</w:t>
      </w:r>
    </w:p>
    <w:p w14:paraId="59C6C1E4">
      <w:pPr>
        <w:spacing w:line="590" w:lineRule="exact"/>
        <w:jc w:val="center"/>
        <w:rPr>
          <w:rFonts w:ascii="方正小标宋简体" w:hAnsi="方正小标宋_GBK" w:eastAsia="方正小标宋简体" w:cs="方正小标宋_GBK"/>
          <w:color w:val="000000"/>
          <w:spacing w:val="6"/>
          <w:sz w:val="72"/>
          <w:szCs w:val="72"/>
        </w:rPr>
      </w:pPr>
    </w:p>
    <w:p w14:paraId="0FA2D469">
      <w:pPr>
        <w:jc w:val="center"/>
        <w:rPr>
          <w:rFonts w:ascii="方正小标宋简体" w:hAnsi="宋体" w:eastAsia="方正小标宋简体" w:cs="Times New Roman"/>
          <w:color w:val="000000"/>
          <w:spacing w:val="6"/>
          <w:sz w:val="72"/>
          <w:szCs w:val="72"/>
        </w:rPr>
      </w:pPr>
      <w:r>
        <w:rPr>
          <w:rFonts w:hint="eastAsia" w:ascii="方正小标宋简体" w:hAnsi="方正小标宋_GBK" w:eastAsia="方正小标宋简体" w:cs="方正小标宋_GBK"/>
          <w:color w:val="000000"/>
          <w:spacing w:val="6"/>
          <w:sz w:val="72"/>
          <w:szCs w:val="72"/>
        </w:rPr>
        <w:t>绩效评价报告</w:t>
      </w:r>
    </w:p>
    <w:p w14:paraId="5134BDF5">
      <w:pPr>
        <w:spacing w:line="590" w:lineRule="exact"/>
        <w:rPr>
          <w:rFonts w:ascii="方正小标宋简体" w:hAnsi="Arial Narrow" w:eastAsia="方正小标宋简体" w:cs="Times New Roman"/>
          <w:spacing w:val="6"/>
          <w:kern w:val="0"/>
          <w:sz w:val="44"/>
          <w:szCs w:val="40"/>
        </w:rPr>
      </w:pPr>
    </w:p>
    <w:p w14:paraId="2DB6C248">
      <w:pPr>
        <w:spacing w:line="590" w:lineRule="exact"/>
        <w:rPr>
          <w:rFonts w:ascii="方正小标宋简体" w:hAnsi="Arial Narrow" w:eastAsia="方正小标宋简体" w:cs="Times New Roman"/>
          <w:spacing w:val="6"/>
          <w:kern w:val="0"/>
          <w:sz w:val="44"/>
          <w:szCs w:val="40"/>
        </w:rPr>
      </w:pPr>
    </w:p>
    <w:p w14:paraId="23EA665A">
      <w:pPr>
        <w:spacing w:line="590" w:lineRule="exact"/>
        <w:rPr>
          <w:rFonts w:ascii="方正小标宋简体" w:hAnsi="Arial Narrow" w:eastAsia="方正小标宋简体" w:cs="Times New Roman"/>
          <w:spacing w:val="6"/>
          <w:kern w:val="0"/>
          <w:sz w:val="44"/>
          <w:szCs w:val="40"/>
        </w:rPr>
      </w:pPr>
    </w:p>
    <w:p w14:paraId="2873E17A">
      <w:pPr>
        <w:spacing w:line="590" w:lineRule="exact"/>
        <w:rPr>
          <w:rFonts w:ascii="方正小标宋简体" w:hAnsi="Arial Narrow" w:eastAsia="方正小标宋简体" w:cs="Times New Roman"/>
          <w:spacing w:val="6"/>
          <w:kern w:val="0"/>
          <w:sz w:val="44"/>
          <w:szCs w:val="40"/>
        </w:rPr>
      </w:pPr>
    </w:p>
    <w:p w14:paraId="66D602D5">
      <w:pPr>
        <w:spacing w:line="590" w:lineRule="exact"/>
        <w:rPr>
          <w:rFonts w:ascii="方正小标宋简体" w:hAnsi="Arial Narrow" w:eastAsia="方正小标宋简体" w:cs="Times New Roman"/>
          <w:spacing w:val="6"/>
          <w:kern w:val="0"/>
          <w:sz w:val="44"/>
          <w:szCs w:val="40"/>
        </w:rPr>
      </w:pPr>
    </w:p>
    <w:p w14:paraId="5B4E6FEC">
      <w:pPr>
        <w:adjustRightInd w:val="0"/>
        <w:spacing w:line="590" w:lineRule="exact"/>
        <w:rPr>
          <w:rFonts w:ascii="黑体" w:hAnsi="黑体" w:eastAsia="黑体" w:cs="方正黑体_GBK"/>
          <w:color w:val="000000"/>
          <w:spacing w:val="6"/>
          <w:kern w:val="30"/>
          <w:sz w:val="30"/>
          <w:szCs w:val="30"/>
        </w:rPr>
      </w:pPr>
      <w:r>
        <w:rPr>
          <w:rFonts w:hint="eastAsia" w:ascii="黑体" w:hAnsi="黑体" w:eastAsia="黑体" w:cs="方正黑体_GBK"/>
          <w:color w:val="000000"/>
          <w:spacing w:val="6"/>
          <w:kern w:val="30"/>
          <w:sz w:val="30"/>
          <w:szCs w:val="30"/>
        </w:rPr>
        <w:t>委托单位名称：通海县财政局（章）</w:t>
      </w:r>
    </w:p>
    <w:p w14:paraId="74A54F8B">
      <w:pPr>
        <w:adjustRightInd w:val="0"/>
        <w:spacing w:line="590" w:lineRule="exact"/>
        <w:rPr>
          <w:rFonts w:ascii="黑体" w:hAnsi="黑体" w:eastAsia="黑体" w:cs="方正黑体_GBK"/>
          <w:color w:val="000000"/>
          <w:spacing w:val="6"/>
          <w:szCs w:val="30"/>
        </w:rPr>
      </w:pPr>
    </w:p>
    <w:p w14:paraId="534F8BF7">
      <w:pPr>
        <w:adjustRightInd w:val="0"/>
        <w:spacing w:line="590" w:lineRule="exact"/>
        <w:rPr>
          <w:rFonts w:ascii="黑体" w:hAnsi="黑体" w:eastAsia="黑体" w:cs="方正黑体_GBK"/>
          <w:color w:val="000000"/>
          <w:spacing w:val="6"/>
          <w:szCs w:val="30"/>
        </w:rPr>
      </w:pPr>
    </w:p>
    <w:p w14:paraId="353834F4">
      <w:pPr>
        <w:adjustRightInd w:val="0"/>
        <w:spacing w:line="590" w:lineRule="exact"/>
        <w:rPr>
          <w:rFonts w:ascii="黑体" w:hAnsi="黑体" w:eastAsia="黑体" w:cs="方正黑体_GBK"/>
          <w:color w:val="000000"/>
          <w:kern w:val="30"/>
          <w:sz w:val="30"/>
          <w:szCs w:val="30"/>
        </w:rPr>
      </w:pPr>
      <w:r>
        <w:rPr>
          <w:rFonts w:hint="eastAsia" w:ascii="黑体" w:hAnsi="黑体" w:eastAsia="黑体" w:cs="方正黑体_GBK"/>
          <w:color w:val="000000"/>
          <w:kern w:val="30"/>
          <w:sz w:val="30"/>
          <w:szCs w:val="30"/>
        </w:rPr>
        <w:t>评价机构名称：天健会计师事务所（特殊普通合伙）云南分所（章）</w:t>
      </w:r>
    </w:p>
    <w:p w14:paraId="161FC4EC">
      <w:pPr>
        <w:adjustRightInd w:val="0"/>
        <w:spacing w:line="590" w:lineRule="exact"/>
        <w:rPr>
          <w:rFonts w:ascii="黑体" w:hAnsi="黑体" w:eastAsia="黑体" w:cs="方正黑体_GBK"/>
          <w:color w:val="000000"/>
          <w:spacing w:val="6"/>
          <w:szCs w:val="30"/>
        </w:rPr>
      </w:pPr>
    </w:p>
    <w:p w14:paraId="3B334944">
      <w:pPr>
        <w:adjustRightInd w:val="0"/>
        <w:spacing w:line="590" w:lineRule="exact"/>
        <w:rPr>
          <w:rFonts w:ascii="黑体" w:hAnsi="黑体" w:eastAsia="黑体" w:cs="方正黑体_GBK"/>
          <w:color w:val="000000"/>
          <w:spacing w:val="6"/>
          <w:szCs w:val="30"/>
        </w:rPr>
      </w:pPr>
    </w:p>
    <w:p w14:paraId="7BB1978D">
      <w:pPr>
        <w:adjustRightInd w:val="0"/>
        <w:spacing w:line="590" w:lineRule="exact"/>
        <w:rPr>
          <w:rFonts w:ascii="黑体" w:hAnsi="黑体" w:eastAsia="黑体" w:cs="方正黑体_GBK"/>
          <w:color w:val="000000"/>
          <w:spacing w:val="6"/>
          <w:kern w:val="30"/>
          <w:sz w:val="30"/>
          <w:szCs w:val="30"/>
        </w:rPr>
      </w:pPr>
      <w:r>
        <w:rPr>
          <w:rFonts w:hint="eastAsia" w:ascii="黑体" w:hAnsi="黑体" w:eastAsia="黑体" w:cs="方正黑体_GBK"/>
          <w:color w:val="000000"/>
          <w:spacing w:val="6"/>
          <w:kern w:val="30"/>
          <w:sz w:val="30"/>
          <w:szCs w:val="30"/>
        </w:rPr>
        <w:t>项目评价起止时间：2021年8月30日至2021年9月15日</w:t>
      </w:r>
    </w:p>
    <w:p w14:paraId="196FA00D">
      <w:pPr>
        <w:adjustRightInd w:val="0"/>
        <w:spacing w:line="590" w:lineRule="exact"/>
        <w:rPr>
          <w:rFonts w:ascii="黑体" w:hAnsi="黑体" w:eastAsia="黑体" w:cs="方正黑体_GBK"/>
          <w:color w:val="000000"/>
          <w:spacing w:val="6"/>
          <w:kern w:val="30"/>
          <w:sz w:val="30"/>
          <w:szCs w:val="30"/>
        </w:rPr>
      </w:pPr>
      <w:r>
        <w:rPr>
          <w:rFonts w:hint="eastAsia" w:ascii="黑体" w:hAnsi="黑体" w:eastAsia="黑体" w:cs="方正黑体_GBK"/>
          <w:color w:val="000000"/>
          <w:spacing w:val="6"/>
          <w:kern w:val="30"/>
          <w:sz w:val="30"/>
          <w:szCs w:val="30"/>
        </w:rPr>
        <w:t>评价报告出具时间：</w:t>
      </w:r>
      <w:r>
        <w:rPr>
          <w:rFonts w:ascii="黑体" w:hAnsi="黑体" w:eastAsia="黑体" w:cs="方正黑体_GBK"/>
          <w:color w:val="000000"/>
          <w:spacing w:val="6"/>
          <w:kern w:val="30"/>
          <w:sz w:val="30"/>
          <w:szCs w:val="30"/>
        </w:rPr>
        <w:t>202</w:t>
      </w:r>
      <w:r>
        <w:rPr>
          <w:rFonts w:hint="eastAsia" w:ascii="黑体" w:hAnsi="黑体" w:eastAsia="黑体" w:cs="方正黑体_GBK"/>
          <w:color w:val="000000"/>
          <w:spacing w:val="6"/>
          <w:kern w:val="30"/>
          <w:sz w:val="30"/>
          <w:szCs w:val="30"/>
        </w:rPr>
        <w:t>1年</w:t>
      </w:r>
      <w:r>
        <w:rPr>
          <w:rFonts w:ascii="黑体" w:hAnsi="黑体" w:eastAsia="黑体" w:cs="方正黑体_GBK"/>
          <w:color w:val="000000"/>
          <w:spacing w:val="6"/>
          <w:kern w:val="30"/>
          <w:sz w:val="30"/>
          <w:szCs w:val="30"/>
        </w:rPr>
        <w:t>1</w:t>
      </w:r>
      <w:r>
        <w:rPr>
          <w:rFonts w:hint="eastAsia" w:ascii="黑体" w:hAnsi="黑体" w:eastAsia="黑体" w:cs="方正黑体_GBK"/>
          <w:color w:val="000000"/>
          <w:spacing w:val="6"/>
          <w:kern w:val="30"/>
          <w:sz w:val="30"/>
          <w:szCs w:val="30"/>
        </w:rPr>
        <w:t>0月25日</w:t>
      </w:r>
      <w:bookmarkEnd w:id="0"/>
    </w:p>
    <w:p w14:paraId="5F7319FE">
      <w:pPr>
        <w:pStyle w:val="6"/>
        <w:sectPr>
          <w:pgSz w:w="11906" w:h="16838"/>
          <w:pgMar w:top="1440" w:right="1800" w:bottom="1440" w:left="1800" w:header="851" w:footer="992" w:gutter="0"/>
          <w:pgNumType w:start="1"/>
          <w:cols w:space="425" w:num="1"/>
          <w:docGrid w:type="lines" w:linePitch="312" w:charSpace="0"/>
        </w:sectPr>
      </w:pPr>
    </w:p>
    <w:p w14:paraId="1EBE41E7">
      <w:pPr>
        <w:pStyle w:val="6"/>
      </w:pPr>
      <w:r>
        <w:rPr>
          <w:rFonts w:hint="eastAsia"/>
        </w:rPr>
        <w:t xml:space="preserve">目 </w:t>
      </w:r>
      <w:r>
        <w:t xml:space="preserve"> </w:t>
      </w:r>
      <w:r>
        <w:rPr>
          <w:rFonts w:hint="eastAsia"/>
        </w:rPr>
        <w:t>录</w:t>
      </w:r>
    </w:p>
    <w:p w14:paraId="7FDDC5D4"/>
    <w:sdt>
      <w:sdtPr>
        <w:rPr>
          <w:rFonts w:ascii="宋体" w:hAnsi="宋体" w:eastAsia="宋体" w:cs="宋体"/>
          <w:bCs/>
          <w:kern w:val="30"/>
          <w:sz w:val="28"/>
          <w:szCs w:val="28"/>
        </w:rPr>
        <w:id w:val="147475590"/>
        <w15:color w:val="DBDBDB"/>
        <w:docPartObj>
          <w:docPartGallery w:val="Table of Contents"/>
          <w:docPartUnique/>
        </w:docPartObj>
      </w:sdtPr>
      <w:sdtEndPr>
        <w:rPr>
          <w:rFonts w:ascii="宋体" w:hAnsi="宋体" w:eastAsia="宋体" w:cstheme="minorBidi"/>
          <w:b/>
          <w:bCs w:val="0"/>
          <w:kern w:val="0"/>
          <w:sz w:val="20"/>
          <w:szCs w:val="20"/>
        </w:rPr>
      </w:sdtEndPr>
      <w:sdtContent>
        <w:p w14:paraId="07E277A9">
          <w:pPr>
            <w:pStyle w:val="14"/>
            <w:tabs>
              <w:tab w:val="right" w:leader="dot" w:pos="8306"/>
            </w:tabs>
            <w:spacing w:line="440" w:lineRule="exact"/>
            <w:rPr>
              <w:rFonts w:ascii="宋体" w:hAnsi="宋体" w:eastAsia="宋体" w:cs="宋体"/>
              <w:bCs/>
              <w:kern w:val="30"/>
              <w:sz w:val="28"/>
              <w:szCs w:val="28"/>
            </w:rPr>
          </w:pPr>
          <w:r>
            <w:rPr>
              <w:rFonts w:ascii="宋体" w:hAnsi="宋体" w:eastAsia="宋体" w:cs="宋体"/>
              <w:bCs/>
              <w:kern w:val="30"/>
              <w:sz w:val="28"/>
              <w:szCs w:val="28"/>
            </w:rPr>
            <w:fldChar w:fldCharType="begin"/>
          </w:r>
          <w:r>
            <w:rPr>
              <w:rFonts w:ascii="宋体" w:hAnsi="宋体" w:eastAsia="宋体" w:cs="宋体"/>
              <w:bCs/>
              <w:kern w:val="30"/>
              <w:sz w:val="28"/>
              <w:szCs w:val="28"/>
            </w:rPr>
            <w:instrText xml:space="preserve">TOC \o "1-2" \h \u </w:instrText>
          </w:r>
          <w:r>
            <w:rPr>
              <w:rFonts w:ascii="宋体" w:hAnsi="宋体" w:eastAsia="宋体" w:cs="宋体"/>
              <w:bCs/>
              <w:kern w:val="30"/>
              <w:sz w:val="28"/>
              <w:szCs w:val="28"/>
            </w:rPr>
            <w:fldChar w:fldCharType="separate"/>
          </w:r>
          <w:r>
            <w:fldChar w:fldCharType="begin"/>
          </w:r>
          <w:r>
            <w:instrText xml:space="preserve"> HYPERLINK \l "_Toc21819" </w:instrText>
          </w:r>
          <w:r>
            <w:fldChar w:fldCharType="separate"/>
          </w:r>
          <w:r>
            <w:rPr>
              <w:rFonts w:hint="eastAsia" w:ascii="宋体" w:hAnsi="宋体" w:eastAsia="宋体" w:cs="宋体"/>
              <w:bCs/>
              <w:kern w:val="30"/>
              <w:sz w:val="28"/>
              <w:szCs w:val="28"/>
            </w:rPr>
            <w:t>一、基本情况</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_Toc21819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1</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15376269">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"_Toc22187" </w:instrText>
          </w:r>
          <w:r>
            <w:fldChar w:fldCharType="separate"/>
          </w:r>
          <w:r>
            <w:rPr>
              <w:rFonts w:hint="eastAsia" w:ascii="宋体" w:hAnsi="宋体" w:eastAsia="宋体" w:cs="宋体"/>
              <w:bCs/>
              <w:kern w:val="30"/>
              <w:sz w:val="28"/>
              <w:szCs w:val="28"/>
            </w:rPr>
            <w:t>（一）部门概况</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_Toc22187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1</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3409BAD2">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"_Toc26676" </w:instrText>
          </w:r>
          <w:r>
            <w:fldChar w:fldCharType="separate"/>
          </w:r>
          <w:r>
            <w:rPr>
              <w:rFonts w:hint="eastAsia" w:ascii="宋体" w:hAnsi="宋体" w:eastAsia="宋体" w:cs="宋体"/>
              <w:bCs/>
              <w:kern w:val="30"/>
              <w:sz w:val="28"/>
              <w:szCs w:val="28"/>
            </w:rPr>
            <w:t>（二）部门预算批复及资金安排情况</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_Toc26676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6</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16EB129D">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"_Toc6974" </w:instrText>
          </w:r>
          <w:r>
            <w:fldChar w:fldCharType="separate"/>
          </w:r>
          <w:r>
            <w:rPr>
              <w:rFonts w:hint="eastAsia" w:ascii="宋体" w:hAnsi="宋体" w:eastAsia="宋体" w:cs="宋体"/>
              <w:bCs/>
              <w:kern w:val="30"/>
              <w:sz w:val="28"/>
              <w:szCs w:val="28"/>
            </w:rPr>
            <w:t>（三）实施内容</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_Toc6974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8</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764BA1E9">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"_Toc3998" </w:instrText>
          </w:r>
          <w:r>
            <w:fldChar w:fldCharType="separate"/>
          </w:r>
          <w:r>
            <w:rPr>
              <w:rFonts w:hint="eastAsia" w:ascii="宋体" w:hAnsi="宋体" w:eastAsia="宋体" w:cs="宋体"/>
              <w:bCs/>
              <w:kern w:val="30"/>
              <w:sz w:val="28"/>
              <w:szCs w:val="28"/>
            </w:rPr>
            <w:t>（四）绩效目标设立情况</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_Toc3998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9</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12115958">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"_Toc31926" </w:instrText>
          </w:r>
          <w:r>
            <w:fldChar w:fldCharType="separate"/>
          </w:r>
          <w:r>
            <w:rPr>
              <w:rFonts w:hint="eastAsia" w:ascii="宋体" w:hAnsi="宋体" w:eastAsia="宋体" w:cs="宋体"/>
              <w:bCs/>
              <w:kern w:val="30"/>
              <w:sz w:val="28"/>
              <w:szCs w:val="28"/>
            </w:rPr>
            <w:t>（五）组织管理情况</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_Toc31926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11</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2BE18CBC">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"_Toc16050" </w:instrText>
          </w:r>
          <w:r>
            <w:fldChar w:fldCharType="separate"/>
          </w:r>
          <w:r>
            <w:rPr>
              <w:rFonts w:hint="eastAsia" w:ascii="宋体" w:hAnsi="宋体" w:eastAsia="宋体" w:cs="宋体"/>
              <w:bCs/>
              <w:kern w:val="30"/>
              <w:sz w:val="28"/>
              <w:szCs w:val="28"/>
            </w:rPr>
            <w:t>二、绩效评价工作开展情况</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_Toc16050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11</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7B66DD69">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"_Toc25889" </w:instrText>
          </w:r>
          <w:r>
            <w:fldChar w:fldCharType="separate"/>
          </w:r>
          <w:r>
            <w:rPr>
              <w:rFonts w:hint="eastAsia" w:ascii="宋体" w:hAnsi="宋体" w:eastAsia="宋体" w:cs="宋体"/>
              <w:bCs/>
              <w:kern w:val="30"/>
              <w:sz w:val="28"/>
              <w:szCs w:val="28"/>
            </w:rPr>
            <w:t>（一）绩效评价的目的</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_Toc25889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11</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5FD2DF36">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"_Toc21532" </w:instrText>
          </w:r>
          <w:r>
            <w:fldChar w:fldCharType="separate"/>
          </w:r>
          <w:r>
            <w:rPr>
              <w:rFonts w:hint="eastAsia" w:ascii="宋体" w:hAnsi="宋体" w:eastAsia="宋体" w:cs="宋体"/>
              <w:bCs/>
              <w:kern w:val="30"/>
              <w:sz w:val="28"/>
              <w:szCs w:val="28"/>
            </w:rPr>
            <w:t>（二）绩效评价原则、评价指标体系、评价方法、评价标准和评价抽样</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_Toc21532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12</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22B88BC5">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"_Toc10760" </w:instrText>
          </w:r>
          <w:r>
            <w:fldChar w:fldCharType="separate"/>
          </w:r>
          <w:r>
            <w:rPr>
              <w:rFonts w:hint="eastAsia" w:ascii="宋体" w:hAnsi="宋体" w:eastAsia="宋体" w:cs="宋体"/>
              <w:bCs/>
              <w:kern w:val="30"/>
              <w:sz w:val="28"/>
              <w:szCs w:val="28"/>
            </w:rPr>
            <w:t>（三）绩效评价工作过程</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_Toc10760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16</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282F5000">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"_Toc8864" </w:instrText>
          </w:r>
          <w:r>
            <w:fldChar w:fldCharType="separate"/>
          </w:r>
          <w:r>
            <w:rPr>
              <w:rFonts w:hint="eastAsia" w:ascii="宋体" w:hAnsi="宋体" w:eastAsia="宋体" w:cs="宋体"/>
              <w:bCs/>
              <w:kern w:val="30"/>
              <w:sz w:val="28"/>
              <w:szCs w:val="28"/>
            </w:rPr>
            <w:t>三、绩效评价情况</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_Toc8864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17</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007F4F71">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"_Toc24819" </w:instrText>
          </w:r>
          <w:r>
            <w:fldChar w:fldCharType="separate"/>
          </w:r>
          <w:r>
            <w:rPr>
              <w:rFonts w:hint="eastAsia" w:ascii="宋体" w:hAnsi="宋体" w:eastAsia="宋体" w:cs="宋体"/>
              <w:bCs/>
              <w:kern w:val="30"/>
              <w:sz w:val="28"/>
              <w:szCs w:val="28"/>
            </w:rPr>
            <w:t>（一）绩效评价分析</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_Toc24819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17</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14737293">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"_Toc10262" </w:instrText>
          </w:r>
          <w:r>
            <w:fldChar w:fldCharType="separate"/>
          </w:r>
          <w:r>
            <w:rPr>
              <w:rFonts w:hint="eastAsia" w:ascii="宋体" w:hAnsi="宋体" w:eastAsia="宋体" w:cs="宋体"/>
              <w:bCs/>
              <w:kern w:val="30"/>
              <w:sz w:val="28"/>
              <w:szCs w:val="28"/>
            </w:rPr>
            <w:t>（二）绩效评价结论</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_Toc10262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22</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27D5B3B2">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"_Toc7432" </w:instrText>
          </w:r>
          <w:r>
            <w:fldChar w:fldCharType="separate"/>
          </w:r>
          <w:r>
            <w:rPr>
              <w:rFonts w:hint="eastAsia" w:ascii="宋体" w:hAnsi="宋体" w:eastAsia="宋体" w:cs="宋体"/>
              <w:bCs/>
              <w:kern w:val="30"/>
              <w:sz w:val="28"/>
              <w:szCs w:val="28"/>
            </w:rPr>
            <w:t>（三）绩效目标的实现情况</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_Toc7432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23</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44863A80">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"_Toc11538" </w:instrText>
          </w:r>
          <w:r>
            <w:fldChar w:fldCharType="separate"/>
          </w:r>
          <w:r>
            <w:rPr>
              <w:rFonts w:hint="eastAsia" w:ascii="宋体" w:hAnsi="宋体" w:eastAsia="宋体" w:cs="宋体"/>
              <w:bCs/>
              <w:kern w:val="30"/>
              <w:sz w:val="28"/>
              <w:szCs w:val="28"/>
            </w:rPr>
            <w:t>四、存在问题及原因分析</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_Toc11538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24</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4FF56F8C">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"_Toc7861" </w:instrText>
          </w:r>
          <w:r>
            <w:fldChar w:fldCharType="separate"/>
          </w:r>
          <w:r>
            <w:rPr>
              <w:rFonts w:hint="eastAsia" w:ascii="宋体" w:hAnsi="宋体" w:eastAsia="宋体" w:cs="宋体"/>
              <w:bCs/>
              <w:kern w:val="30"/>
              <w:sz w:val="28"/>
              <w:szCs w:val="28"/>
            </w:rPr>
            <w:t>五、建议</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_Toc7861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27</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6CBC07D6">
          <w:pPr>
            <w:pStyle w:val="14"/>
            <w:tabs>
              <w:tab w:val="right" w:leader="dot" w:pos="8306"/>
            </w:tabs>
            <w:spacing w:line="440" w:lineRule="exact"/>
            <w:rPr>
              <w:rFonts w:ascii="宋体" w:hAnsi="宋体" w:eastAsia="宋体" w:cs="宋体"/>
              <w:bCs/>
              <w:kern w:val="30"/>
              <w:sz w:val="28"/>
              <w:szCs w:val="28"/>
            </w:rPr>
          </w:pPr>
          <w:r>
            <w:fldChar w:fldCharType="begin"/>
          </w:r>
          <w:r>
            <w:instrText xml:space="preserve"> HYPERLINK \l "_Toc4246" </w:instrText>
          </w:r>
          <w:r>
            <w:fldChar w:fldCharType="separate"/>
          </w:r>
          <w:r>
            <w:rPr>
              <w:rFonts w:hint="eastAsia" w:ascii="宋体" w:hAnsi="宋体" w:eastAsia="宋体" w:cs="宋体"/>
              <w:bCs/>
              <w:kern w:val="30"/>
              <w:sz w:val="28"/>
              <w:szCs w:val="28"/>
            </w:rPr>
            <w:t>六、其他需说明的情况</w:t>
          </w:r>
          <w:r>
            <w:rPr>
              <w:rFonts w:hint="eastAsia" w:ascii="宋体" w:hAnsi="宋体" w:eastAsia="宋体" w:cs="宋体"/>
              <w:bCs/>
              <w:kern w:val="30"/>
              <w:sz w:val="28"/>
              <w:szCs w:val="28"/>
            </w:rPr>
            <w:tab/>
          </w:r>
          <w:r>
            <w:rPr>
              <w:rFonts w:hint="eastAsia" w:ascii="宋体" w:hAnsi="宋体" w:eastAsia="宋体" w:cs="宋体"/>
              <w:bCs/>
              <w:kern w:val="30"/>
              <w:sz w:val="28"/>
              <w:szCs w:val="28"/>
            </w:rPr>
            <w:fldChar w:fldCharType="begin"/>
          </w:r>
          <w:r>
            <w:rPr>
              <w:rFonts w:hint="eastAsia" w:ascii="宋体" w:hAnsi="宋体" w:eastAsia="宋体" w:cs="宋体"/>
              <w:bCs/>
              <w:kern w:val="30"/>
              <w:sz w:val="28"/>
              <w:szCs w:val="28"/>
            </w:rPr>
            <w:instrText xml:space="preserve"> PAGEREF _Toc4246 \h </w:instrText>
          </w:r>
          <w:r>
            <w:rPr>
              <w:rFonts w:hint="eastAsia" w:ascii="宋体" w:hAnsi="宋体" w:eastAsia="宋体" w:cs="宋体"/>
              <w:bCs/>
              <w:kern w:val="30"/>
              <w:sz w:val="28"/>
              <w:szCs w:val="28"/>
            </w:rPr>
            <w:fldChar w:fldCharType="separate"/>
          </w:r>
          <w:r>
            <w:rPr>
              <w:rFonts w:ascii="宋体" w:hAnsi="宋体" w:eastAsia="宋体" w:cs="宋体"/>
              <w:bCs/>
              <w:kern w:val="30"/>
              <w:sz w:val="28"/>
              <w:szCs w:val="28"/>
            </w:rPr>
            <w:t>29</w:t>
          </w:r>
          <w:r>
            <w:rPr>
              <w:rFonts w:hint="eastAsia" w:ascii="宋体" w:hAnsi="宋体" w:eastAsia="宋体" w:cs="宋体"/>
              <w:bCs/>
              <w:kern w:val="30"/>
              <w:sz w:val="28"/>
              <w:szCs w:val="28"/>
            </w:rPr>
            <w:fldChar w:fldCharType="end"/>
          </w:r>
          <w:r>
            <w:rPr>
              <w:rFonts w:hint="eastAsia" w:ascii="宋体" w:hAnsi="宋体" w:eastAsia="宋体" w:cs="宋体"/>
              <w:bCs/>
              <w:kern w:val="30"/>
              <w:sz w:val="28"/>
              <w:szCs w:val="28"/>
            </w:rPr>
            <w:fldChar w:fldCharType="end"/>
          </w:r>
        </w:p>
        <w:p w14:paraId="5B18B35B">
          <w:pPr>
            <w:pStyle w:val="14"/>
            <w:tabs>
              <w:tab w:val="right" w:leader="dot" w:pos="8306"/>
            </w:tabs>
            <w:spacing w:line="440" w:lineRule="exact"/>
            <w:rPr>
              <w:rStyle w:val="10"/>
              <w:rFonts w:ascii="方正小标宋简体" w:eastAsia="方正小标宋简体" w:cs="黑体"/>
              <w:b/>
              <w:bCs/>
              <w:color w:val="auto"/>
              <w:sz w:val="44"/>
              <w:szCs w:val="44"/>
              <w:u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ascii="宋体" w:hAnsi="宋体" w:eastAsia="宋体" w:cs="宋体"/>
              <w:bCs/>
              <w:kern w:val="30"/>
              <w:sz w:val="28"/>
              <w:szCs w:val="28"/>
            </w:rPr>
            <w:fldChar w:fldCharType="end"/>
          </w:r>
        </w:p>
      </w:sdtContent>
    </w:sdt>
    <w:p w14:paraId="5EF8F2A9">
      <w:pPr>
        <w:pStyle w:val="6"/>
        <w:outlineLvl w:val="0"/>
        <w:rPr>
          <w:rStyle w:val="10"/>
          <w:rFonts w:ascii="方正小标宋简体" w:eastAsia="方正小标宋简体" w:cs="黑体"/>
          <w:b w:val="0"/>
          <w:bCs w:val="0"/>
          <w:color w:val="auto"/>
          <w:sz w:val="44"/>
          <w:szCs w:val="44"/>
          <w:u w:val="none"/>
        </w:rPr>
      </w:pPr>
      <w:bookmarkStart w:id="1" w:name="_Toc869"/>
      <w:r>
        <w:rPr>
          <w:rStyle w:val="10"/>
          <w:rFonts w:ascii="方正小标宋简体" w:eastAsia="方正小标宋简体" w:cs="黑体"/>
          <w:b w:val="0"/>
          <w:bCs w:val="0"/>
          <w:color w:val="auto"/>
          <w:sz w:val="44"/>
          <w:szCs w:val="44"/>
          <w:u w:val="none"/>
        </w:rPr>
        <w:t>通海县</w:t>
      </w:r>
      <w:r>
        <w:rPr>
          <w:rStyle w:val="10"/>
          <w:rFonts w:hint="eastAsia" w:ascii="方正小标宋简体" w:eastAsia="方正小标宋简体" w:cs="黑体"/>
          <w:b w:val="0"/>
          <w:bCs w:val="0"/>
          <w:color w:val="auto"/>
          <w:sz w:val="44"/>
          <w:szCs w:val="44"/>
          <w:u w:val="none"/>
        </w:rPr>
        <w:t>教育体育局2</w:t>
      </w:r>
      <w:r>
        <w:rPr>
          <w:rStyle w:val="10"/>
          <w:rFonts w:ascii="方正小标宋简体" w:eastAsia="方正小标宋简体" w:cs="黑体"/>
          <w:b w:val="0"/>
          <w:bCs w:val="0"/>
          <w:color w:val="auto"/>
          <w:sz w:val="44"/>
          <w:szCs w:val="44"/>
          <w:u w:val="none"/>
        </w:rPr>
        <w:t>020</w:t>
      </w:r>
      <w:r>
        <w:rPr>
          <w:rStyle w:val="10"/>
          <w:rFonts w:hint="eastAsia" w:ascii="方正小标宋简体" w:eastAsia="方正小标宋简体" w:cs="黑体"/>
          <w:b w:val="0"/>
          <w:bCs w:val="0"/>
          <w:color w:val="auto"/>
          <w:sz w:val="44"/>
          <w:szCs w:val="44"/>
          <w:u w:val="none"/>
        </w:rPr>
        <w:t>年部门整体支出</w:t>
      </w:r>
      <w:bookmarkEnd w:id="1"/>
    </w:p>
    <w:p w14:paraId="24F32E1A">
      <w:pPr>
        <w:pStyle w:val="6"/>
        <w:outlineLvl w:val="0"/>
        <w:rPr>
          <w:rStyle w:val="10"/>
          <w:rFonts w:ascii="方正小标宋简体" w:eastAsia="方正小标宋简体" w:cs="黑体"/>
          <w:b w:val="0"/>
          <w:bCs w:val="0"/>
          <w:color w:val="auto"/>
          <w:sz w:val="44"/>
          <w:szCs w:val="44"/>
          <w:u w:val="none"/>
        </w:rPr>
      </w:pPr>
      <w:bookmarkStart w:id="2" w:name="_Toc30842"/>
      <w:r>
        <w:rPr>
          <w:rStyle w:val="10"/>
          <w:rFonts w:hint="eastAsia" w:ascii="方正小标宋简体" w:eastAsia="方正小标宋简体" w:cs="黑体"/>
          <w:b w:val="0"/>
          <w:bCs w:val="0"/>
          <w:color w:val="auto"/>
          <w:sz w:val="44"/>
          <w:szCs w:val="44"/>
          <w:u w:val="none"/>
        </w:rPr>
        <w:t>绩效评价报告</w:t>
      </w:r>
      <w:bookmarkEnd w:id="2"/>
    </w:p>
    <w:p w14:paraId="633936D8">
      <w:pPr>
        <w:spacing w:line="590" w:lineRule="exact"/>
        <w:ind w:firstLine="600" w:firstLineChars="200"/>
        <w:rPr>
          <w:rFonts w:ascii="仿宋" w:hAnsi="仿宋" w:eastAsia="仿宋"/>
          <w:sz w:val="30"/>
          <w:szCs w:val="30"/>
        </w:rPr>
      </w:pPr>
      <w:bookmarkStart w:id="3" w:name="_Hlk50355040"/>
    </w:p>
    <w:p w14:paraId="009C35BF">
      <w:pPr>
        <w:spacing w:line="590" w:lineRule="exact"/>
        <w:ind w:firstLine="600" w:firstLineChars="200"/>
        <w:rPr>
          <w:rFonts w:ascii="仿宋" w:hAnsi="仿宋" w:eastAsia="仿宋"/>
          <w:sz w:val="30"/>
          <w:szCs w:val="30"/>
        </w:rPr>
      </w:pPr>
      <w:r>
        <w:rPr>
          <w:rFonts w:hint="eastAsia" w:ascii="仿宋" w:hAnsi="仿宋" w:eastAsia="仿宋"/>
          <w:sz w:val="30"/>
          <w:szCs w:val="30"/>
        </w:rPr>
        <w:t>根据玉溪市财政局关于转发《云南省财政厅关于印发</w:t>
      </w:r>
      <w:r>
        <w:rPr>
          <w:rFonts w:ascii="仿宋" w:hAnsi="仿宋" w:eastAsia="仿宋"/>
          <w:sz w:val="30"/>
          <w:szCs w:val="30"/>
        </w:rPr>
        <w:t>&lt;云南省项目支出绩效评价管理办法&gt;</w:t>
      </w:r>
      <w:r>
        <w:rPr>
          <w:rFonts w:hint="eastAsia" w:ascii="仿宋" w:hAnsi="仿宋" w:eastAsia="仿宋"/>
          <w:sz w:val="30"/>
          <w:szCs w:val="30"/>
        </w:rPr>
        <w:t>的通知》的通知（玉财投〔</w:t>
      </w:r>
      <w:r>
        <w:rPr>
          <w:rFonts w:ascii="仿宋" w:hAnsi="仿宋" w:eastAsia="仿宋"/>
          <w:sz w:val="30"/>
          <w:szCs w:val="30"/>
        </w:rPr>
        <w:t>2020</w:t>
      </w: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号）、《玉溪市市级财政支出预算绩效评价操作规程（试行）》（玉财投〔2018〕1号）</w:t>
      </w:r>
      <w:r>
        <w:rPr>
          <w:rFonts w:hint="eastAsia" w:ascii="仿宋" w:hAnsi="仿宋" w:eastAsia="仿宋"/>
          <w:spacing w:val="6"/>
          <w:sz w:val="30"/>
          <w:szCs w:val="30"/>
        </w:rPr>
        <w:t>以及《通海县预算绩效评价实施办法》（通财〔2017〕392号）</w:t>
      </w:r>
      <w:r>
        <w:rPr>
          <w:rFonts w:hint="eastAsia" w:ascii="仿宋" w:hAnsi="仿宋" w:eastAsia="仿宋"/>
          <w:sz w:val="30"/>
          <w:szCs w:val="30"/>
        </w:rPr>
        <w:t>的要求，天健会计师事务所（特殊普通合伙）云南分所接受通海县财政局委托，于</w:t>
      </w:r>
      <w:r>
        <w:rPr>
          <w:rFonts w:ascii="仿宋" w:hAnsi="仿宋" w:eastAsia="仿宋"/>
          <w:sz w:val="30"/>
          <w:szCs w:val="30"/>
        </w:rPr>
        <w:t>2021年8月至2021年10月</w:t>
      </w:r>
      <w:r>
        <w:rPr>
          <w:rFonts w:hint="eastAsia" w:ascii="仿宋" w:hAnsi="仿宋" w:eastAsia="仿宋"/>
          <w:sz w:val="30"/>
          <w:szCs w:val="30"/>
        </w:rPr>
        <w:t>对通海县教育体育局</w:t>
      </w:r>
      <w:r>
        <w:rPr>
          <w:rFonts w:ascii="仿宋" w:hAnsi="仿宋" w:eastAsia="仿宋"/>
          <w:sz w:val="30"/>
          <w:szCs w:val="30"/>
        </w:rPr>
        <w:t>2020年部门整体支出</w:t>
      </w:r>
      <w:r>
        <w:rPr>
          <w:rFonts w:hint="eastAsia" w:ascii="仿宋" w:hAnsi="仿宋" w:eastAsia="仿宋"/>
          <w:sz w:val="30"/>
          <w:szCs w:val="30"/>
        </w:rPr>
        <w:t>开展绩效评价。现将评价情况报告如下：</w:t>
      </w:r>
    </w:p>
    <w:p w14:paraId="0E757EDF">
      <w:pPr>
        <w:spacing w:line="579" w:lineRule="exact"/>
        <w:ind w:firstLine="600" w:firstLineChars="200"/>
        <w:outlineLvl w:val="0"/>
        <w:rPr>
          <w:rFonts w:ascii="黑体" w:hAnsi="黑体" w:eastAsia="黑体" w:cs="宋体"/>
          <w:kern w:val="30"/>
          <w:sz w:val="30"/>
          <w:szCs w:val="30"/>
        </w:rPr>
      </w:pPr>
      <w:bookmarkStart w:id="4" w:name="_Toc51423745"/>
      <w:bookmarkStart w:id="5" w:name="_Toc21819"/>
      <w:bookmarkStart w:id="6" w:name="_Toc528048301"/>
      <w:r>
        <w:rPr>
          <w:rFonts w:hint="eastAsia" w:ascii="黑体" w:hAnsi="黑体" w:eastAsia="黑体" w:cs="宋体"/>
          <w:kern w:val="30"/>
          <w:sz w:val="30"/>
          <w:szCs w:val="30"/>
        </w:rPr>
        <w:t>一、基本情况</w:t>
      </w:r>
      <w:bookmarkEnd w:id="4"/>
      <w:bookmarkEnd w:id="5"/>
      <w:bookmarkEnd w:id="6"/>
    </w:p>
    <w:p w14:paraId="1105D922">
      <w:pPr>
        <w:spacing w:line="579" w:lineRule="exact"/>
        <w:ind w:firstLine="600" w:firstLineChars="200"/>
        <w:outlineLvl w:val="1"/>
        <w:rPr>
          <w:rFonts w:ascii="楷体" w:hAnsi="楷体" w:eastAsia="楷体" w:cs="Times New Roman"/>
          <w:color w:val="000000"/>
          <w:kern w:val="30"/>
          <w:sz w:val="30"/>
          <w:szCs w:val="30"/>
        </w:rPr>
      </w:pPr>
      <w:bookmarkStart w:id="7" w:name="_Toc11684613"/>
      <w:bookmarkStart w:id="8" w:name="_Toc22187"/>
      <w:r>
        <w:rPr>
          <w:rFonts w:hint="eastAsia" w:ascii="楷体" w:hAnsi="楷体" w:eastAsia="楷体" w:cs="Times New Roman"/>
          <w:color w:val="000000"/>
          <w:kern w:val="30"/>
          <w:sz w:val="30"/>
          <w:szCs w:val="30"/>
        </w:rPr>
        <w:t>（一）部门概况</w:t>
      </w:r>
      <w:bookmarkEnd w:id="7"/>
      <w:bookmarkEnd w:id="8"/>
    </w:p>
    <w:p w14:paraId="62017EA7">
      <w:pPr>
        <w:spacing w:line="59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部门主要职责</w:t>
      </w:r>
    </w:p>
    <w:p w14:paraId="1EDBCD73">
      <w:pPr>
        <w:spacing w:line="59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019</w:t>
      </w:r>
      <w:r>
        <w:rPr>
          <w:rFonts w:hint="eastAsia" w:ascii="仿宋" w:hAnsi="仿宋" w:eastAsia="仿宋"/>
          <w:sz w:val="30"/>
          <w:szCs w:val="30"/>
        </w:rPr>
        <w:t>年3月，</w:t>
      </w:r>
      <w:bookmarkStart w:id="9" w:name="_Hlk82000639"/>
      <w:r>
        <w:rPr>
          <w:rFonts w:hint="eastAsia" w:ascii="仿宋" w:hAnsi="仿宋" w:eastAsia="仿宋"/>
          <w:sz w:val="30"/>
          <w:szCs w:val="30"/>
        </w:rPr>
        <w:t>《中共通海县委办公室 通海县人民政府办公室关于印发通海县教育体育局职能配置、内设机构和人员编制规定的通知》</w:t>
      </w:r>
      <w:r>
        <w:rPr>
          <w:rFonts w:ascii="仿宋" w:hAnsi="仿宋" w:eastAsia="仿宋"/>
          <w:sz w:val="30"/>
          <w:szCs w:val="30"/>
        </w:rPr>
        <w:t>（通</w:t>
      </w:r>
      <w:r>
        <w:rPr>
          <w:rFonts w:hint="eastAsia" w:ascii="仿宋" w:hAnsi="仿宋" w:eastAsia="仿宋"/>
          <w:sz w:val="30"/>
          <w:szCs w:val="30"/>
        </w:rPr>
        <w:t>室字</w:t>
      </w:r>
      <w:r>
        <w:rPr>
          <w:rFonts w:ascii="仿宋" w:hAnsi="仿宋" w:eastAsia="仿宋"/>
          <w:sz w:val="30"/>
          <w:szCs w:val="30"/>
        </w:rPr>
        <w:t>〔2019〕17号）</w:t>
      </w:r>
      <w:bookmarkEnd w:id="9"/>
      <w:r>
        <w:rPr>
          <w:rFonts w:hint="eastAsia" w:ascii="仿宋" w:hAnsi="仿宋" w:eastAsia="仿宋"/>
          <w:sz w:val="30"/>
          <w:szCs w:val="30"/>
        </w:rPr>
        <w:t>明确的部门基本职能如下：</w:t>
      </w:r>
    </w:p>
    <w:p w14:paraId="62B179F1">
      <w:pPr>
        <w:spacing w:line="59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贯彻执行党和国家教育体育工作方针政策和法律法规，拟订全县教育体育工作的规章草案和规范性文件，并组织实施。</w:t>
      </w:r>
    </w:p>
    <w:p w14:paraId="585F240C">
      <w:pPr>
        <w:spacing w:line="590" w:lineRule="exact"/>
        <w:ind w:firstLine="600" w:firstLineChars="200"/>
        <w:rPr>
          <w:rFonts w:ascii="仿宋" w:hAnsi="仿宋" w:eastAsia="仿宋"/>
          <w:sz w:val="30"/>
          <w:szCs w:val="30"/>
        </w:rPr>
      </w:pPr>
      <w:r>
        <w:rPr>
          <w:rFonts w:hint="eastAsia" w:ascii="仿宋" w:hAnsi="仿宋" w:eastAsia="仿宋"/>
          <w:sz w:val="30"/>
          <w:szCs w:val="30"/>
        </w:rPr>
        <w:t>（2）拟订全县教育体育体制改革方案、中长期发展规划和年度计划；指导全县各学校布局建设规划；指导和管理教育体育系统基本建设工作；指导县直单位和各学校体育场馆等体育基础设施的布局建设规划；统筹全县群众体育、竞技体育、青少年体育和教育体育产业发展规划；拟订全县教育体育系统人才队伍建设规划；统筹规划和指导全县各级各类学校校长、教师培训和继续教育工作。</w:t>
      </w:r>
    </w:p>
    <w:p w14:paraId="7B53A423">
      <w:pPr>
        <w:spacing w:line="590" w:lineRule="exact"/>
        <w:ind w:firstLine="600" w:firstLineChars="200"/>
        <w:rPr>
          <w:rFonts w:ascii="仿宋" w:hAnsi="仿宋" w:eastAsia="仿宋"/>
          <w:sz w:val="30"/>
          <w:szCs w:val="30"/>
        </w:rPr>
      </w:pPr>
      <w:r>
        <w:rPr>
          <w:rFonts w:hint="eastAsia" w:ascii="仿宋" w:hAnsi="仿宋" w:eastAsia="仿宋"/>
          <w:sz w:val="30"/>
          <w:szCs w:val="30"/>
        </w:rPr>
        <w:t>（3）管理县本级教育体育经费，会同有关部门拟订教育体育经费筹措、拨款、基建投资的意见和管理办法；加强体育彩票公益金使用管理；统筹安排全县教育经费附加、教育体育专项经费；会同有关部门检查、指导各乡镇（街道）、各学校教育体育事业经费的安排和使用情况；指导和监督县教育体育系统内部审计工作；负责各学校和所属事业单位的国有资产管理，会同有关部门监督教育收费标准的执行；实施家庭困难学生资助工作。</w:t>
      </w:r>
    </w:p>
    <w:p w14:paraId="3E0BB0F5">
      <w:pPr>
        <w:spacing w:line="590" w:lineRule="exact"/>
        <w:ind w:firstLine="600" w:firstLineChars="200"/>
        <w:rPr>
          <w:rFonts w:ascii="仿宋" w:hAnsi="仿宋" w:eastAsia="仿宋"/>
          <w:sz w:val="30"/>
          <w:szCs w:val="30"/>
        </w:rPr>
      </w:pPr>
      <w:r>
        <w:rPr>
          <w:rFonts w:hint="eastAsia" w:ascii="仿宋" w:hAnsi="仿宋" w:eastAsia="仿宋"/>
          <w:sz w:val="30"/>
          <w:szCs w:val="30"/>
        </w:rPr>
        <w:t>（4）管理和指导全县学前教育、义务教育、普通高中教育、特殊教育、职业教育和成人教育工作；统筹管理民办教育和社会培训机构，拟订民办教育发展规划和政策；指导、协调少数民族教育工作；指导各级各类学校开展教育教学、办学体制、激励机制改革；负责全县各级各类学校的建立、调整、撤销及其发展规模、学制、专业设置等审核、报批、审批工作。</w:t>
      </w:r>
    </w:p>
    <w:p w14:paraId="5DCCD579">
      <w:pPr>
        <w:spacing w:line="590" w:lineRule="exact"/>
        <w:ind w:firstLine="600" w:firstLineChars="200"/>
        <w:rPr>
          <w:rFonts w:ascii="仿宋" w:hAnsi="仿宋" w:eastAsia="仿宋"/>
          <w:sz w:val="30"/>
          <w:szCs w:val="30"/>
        </w:rPr>
      </w:pPr>
      <w:r>
        <w:rPr>
          <w:rFonts w:hint="eastAsia" w:ascii="仿宋" w:hAnsi="仿宋" w:eastAsia="仿宋"/>
          <w:sz w:val="30"/>
          <w:szCs w:val="30"/>
        </w:rPr>
        <w:t>（5）贯彻《全民健身条例》，负责推行全民健身计划，广泛开展全民健身活动；指导全民健身基础设施建设；开展国民体质监测。</w:t>
      </w:r>
    </w:p>
    <w:p w14:paraId="35D19584">
      <w:pPr>
        <w:spacing w:line="590" w:lineRule="exact"/>
        <w:ind w:firstLine="600" w:firstLineChars="200"/>
        <w:rPr>
          <w:rFonts w:ascii="仿宋" w:hAnsi="仿宋" w:eastAsia="仿宋"/>
          <w:sz w:val="30"/>
          <w:szCs w:val="30"/>
        </w:rPr>
      </w:pPr>
      <w:r>
        <w:rPr>
          <w:rFonts w:hint="eastAsia" w:ascii="仿宋" w:hAnsi="仿宋" w:eastAsia="仿宋"/>
          <w:sz w:val="30"/>
          <w:szCs w:val="30"/>
        </w:rPr>
        <w:t>（6）统筹全县竞技体育改革发展，管理业余训练和设置竞技运动项目；指导运动队伍建设，协调运动员社会保障工作；统筹全县青少年体育改革发展，指导和推进青少年体育工作；负责全县体育竞赛管理，组织参加和举办各级体育赛事。</w:t>
      </w:r>
    </w:p>
    <w:p w14:paraId="3C11A2A3">
      <w:pPr>
        <w:spacing w:line="590" w:lineRule="exact"/>
        <w:ind w:firstLine="600" w:firstLineChars="200"/>
        <w:rPr>
          <w:rFonts w:ascii="仿宋" w:hAnsi="仿宋" w:eastAsia="仿宋"/>
          <w:sz w:val="30"/>
          <w:szCs w:val="30"/>
        </w:rPr>
      </w:pPr>
      <w:r>
        <w:rPr>
          <w:rFonts w:hint="eastAsia" w:ascii="仿宋" w:hAnsi="仿宋" w:eastAsia="仿宋"/>
          <w:sz w:val="30"/>
          <w:szCs w:val="30"/>
        </w:rPr>
        <w:t>（7）制定全县各级各类学校招生计划和招生政策；负责各类高等学历教育招生考试，高、初中学业水平考试以及教师资格等其它社会考试工作；指导和管理全县中小学、学前学生学籍。</w:t>
      </w:r>
    </w:p>
    <w:p w14:paraId="5521A37A">
      <w:pPr>
        <w:spacing w:line="590" w:lineRule="exact"/>
        <w:ind w:firstLine="600" w:firstLineChars="200"/>
        <w:rPr>
          <w:rFonts w:ascii="仿宋" w:hAnsi="仿宋" w:eastAsia="仿宋"/>
          <w:sz w:val="30"/>
          <w:szCs w:val="30"/>
        </w:rPr>
      </w:pPr>
      <w:r>
        <w:rPr>
          <w:rFonts w:hint="eastAsia" w:ascii="仿宋" w:hAnsi="仿宋" w:eastAsia="仿宋"/>
          <w:sz w:val="30"/>
          <w:szCs w:val="30"/>
        </w:rPr>
        <w:t>（8）指导和协调全县教育体育系统的科研、科普工作；组织和指导教研机构和学校开展教育教学研究；负责教育体育领域科技研究、技术攻关和成果推广工作。</w:t>
      </w:r>
    </w:p>
    <w:p w14:paraId="106F2A56">
      <w:pPr>
        <w:spacing w:line="590" w:lineRule="exact"/>
        <w:ind w:firstLine="600" w:firstLineChars="200"/>
        <w:rPr>
          <w:rFonts w:ascii="仿宋" w:hAnsi="仿宋" w:eastAsia="仿宋"/>
          <w:sz w:val="30"/>
          <w:szCs w:val="30"/>
        </w:rPr>
      </w:pPr>
      <w:r>
        <w:rPr>
          <w:rFonts w:hint="eastAsia" w:ascii="仿宋" w:hAnsi="仿宋" w:eastAsia="仿宋"/>
          <w:sz w:val="30"/>
          <w:szCs w:val="30"/>
        </w:rPr>
        <w:t>（9）指导教育督导和评估，对乡镇政府、街道办事处的教育职责和学校的工作进行监督、检查、评估。</w:t>
      </w:r>
    </w:p>
    <w:p w14:paraId="1BD6D49A">
      <w:pPr>
        <w:spacing w:line="590" w:lineRule="exact"/>
        <w:ind w:firstLine="600" w:firstLineChars="200"/>
        <w:rPr>
          <w:rFonts w:ascii="仿宋" w:hAnsi="仿宋" w:eastAsia="仿宋"/>
          <w:sz w:val="30"/>
          <w:szCs w:val="30"/>
        </w:rPr>
      </w:pPr>
      <w:r>
        <w:rPr>
          <w:rFonts w:hint="eastAsia" w:ascii="仿宋" w:hAnsi="仿宋" w:eastAsia="仿宋"/>
          <w:sz w:val="30"/>
          <w:szCs w:val="30"/>
        </w:rPr>
        <w:t>（10）指导全县各级各类学校的思想政治工作、德育工作、精神文明建设工作；统筹管理和指导学校体育、卫生健康、艺术教育、法治教育、安全教育、国防教育和禁毒防艾教育；指导全县青少年科技活动和校外教育工作。</w:t>
      </w:r>
    </w:p>
    <w:p w14:paraId="261CE2FF">
      <w:pPr>
        <w:spacing w:line="59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1</w:t>
      </w:r>
      <w:r>
        <w:rPr>
          <w:rFonts w:hint="eastAsia" w:ascii="仿宋" w:hAnsi="仿宋" w:eastAsia="仿宋"/>
          <w:sz w:val="30"/>
          <w:szCs w:val="30"/>
        </w:rPr>
        <w:t>）统筹全县教育体育系统安全稳定工作；负责协调全县教育体育系统治安综合治理和安全管理工作；指导并做好各类应急预案及安全演练工作；指导、检查、督促全县教育体育系统信访稳定工作。</w:t>
      </w:r>
    </w:p>
    <w:p w14:paraId="7C7D9064">
      <w:pPr>
        <w:spacing w:line="59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2</w:t>
      </w:r>
      <w:r>
        <w:rPr>
          <w:rFonts w:hint="eastAsia" w:ascii="仿宋" w:hAnsi="仿宋" w:eastAsia="仿宋"/>
          <w:sz w:val="30"/>
          <w:szCs w:val="30"/>
        </w:rPr>
        <w:t>）负责教育体育人才队伍建设工作，指导各级各类学校加强师德师风建设和教职工管理；负责教师资格认定和教师、教练员专业技术职务评审工作；负责各义务教育学校校长教师交流轮岗工作，推进义务教育教师“县管校用”管理体制改革；负责全县教练员、裁判员及社会体育指导员的培训工作。</w:t>
      </w:r>
    </w:p>
    <w:p w14:paraId="4617252F">
      <w:pPr>
        <w:spacing w:line="59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3</w:t>
      </w:r>
      <w:r>
        <w:rPr>
          <w:rFonts w:hint="eastAsia" w:ascii="仿宋" w:hAnsi="仿宋" w:eastAsia="仿宋"/>
          <w:sz w:val="30"/>
          <w:szCs w:val="30"/>
        </w:rPr>
        <w:t>）管理全县教育体育系统对外交流与合作；管理全县语言文字规范化工作，负责和指导推广普通话、普通话师资培训和普通话水平测试工作；管理和指导本系统社团、协会组织。</w:t>
      </w:r>
    </w:p>
    <w:p w14:paraId="66D5ED18">
      <w:pPr>
        <w:spacing w:line="59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4</w:t>
      </w:r>
      <w:r>
        <w:rPr>
          <w:rFonts w:hint="eastAsia" w:ascii="仿宋" w:hAnsi="仿宋" w:eastAsia="仿宋"/>
          <w:sz w:val="30"/>
          <w:szCs w:val="30"/>
        </w:rPr>
        <w:t>）发展体育产业，促进体育消费；监督管理公共体育设施使用；推进体育公共服务体系建设；负责管理监督体育运动中的赛风赛纪和反兴奋剂工作。</w:t>
      </w:r>
    </w:p>
    <w:p w14:paraId="553CD2BE">
      <w:pPr>
        <w:spacing w:line="59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5</w:t>
      </w:r>
      <w:r>
        <w:rPr>
          <w:rFonts w:hint="eastAsia" w:ascii="仿宋" w:hAnsi="仿宋" w:eastAsia="仿宋"/>
          <w:sz w:val="30"/>
          <w:szCs w:val="30"/>
        </w:rPr>
        <w:t>）完成县委、县政府交办的其他任务。</w:t>
      </w:r>
    </w:p>
    <w:p w14:paraId="7E175A6D">
      <w:pPr>
        <w:spacing w:line="590" w:lineRule="exact"/>
        <w:ind w:firstLine="600" w:firstLineChars="200"/>
        <w:rPr>
          <w:rFonts w:ascii="仿宋" w:hAnsi="仿宋" w:eastAsia="仿宋"/>
          <w:sz w:val="30"/>
          <w:szCs w:val="30"/>
        </w:rPr>
      </w:pPr>
      <w:r>
        <w:rPr>
          <w:rFonts w:ascii="仿宋" w:hAnsi="仿宋" w:eastAsia="仿宋"/>
          <w:sz w:val="30"/>
          <w:szCs w:val="30"/>
        </w:rPr>
        <w:t>2.机构设置及人员情况</w:t>
      </w:r>
    </w:p>
    <w:p w14:paraId="02D7778C">
      <w:pPr>
        <w:spacing w:line="590" w:lineRule="exact"/>
        <w:ind w:firstLine="600" w:firstLineChars="200"/>
        <w:rPr>
          <w:rFonts w:ascii="仿宋" w:hAnsi="仿宋" w:eastAsia="仿宋"/>
          <w:sz w:val="30"/>
          <w:szCs w:val="30"/>
        </w:rPr>
      </w:pPr>
      <w:r>
        <w:rPr>
          <w:rFonts w:hint="eastAsia" w:ascii="仿宋" w:hAnsi="仿宋" w:eastAsia="仿宋"/>
          <w:sz w:val="30"/>
          <w:szCs w:val="30"/>
        </w:rPr>
        <w:t>通海县教育体育局独立编制机构数</w:t>
      </w:r>
      <w:r>
        <w:rPr>
          <w:rFonts w:ascii="仿宋" w:hAnsi="仿宋" w:eastAsia="仿宋"/>
          <w:sz w:val="30"/>
          <w:szCs w:val="30"/>
        </w:rPr>
        <w:t>25个，独立核算机构数25个</w:t>
      </w:r>
      <w:r>
        <w:rPr>
          <w:rFonts w:hint="eastAsia" w:ascii="仿宋" w:hAnsi="仿宋" w:eastAsia="仿宋"/>
          <w:sz w:val="30"/>
          <w:szCs w:val="30"/>
        </w:rPr>
        <w:t>，全部为财政全供给单位</w:t>
      </w:r>
      <w:r>
        <w:rPr>
          <w:rFonts w:ascii="仿宋" w:hAnsi="仿宋" w:eastAsia="仿宋"/>
          <w:sz w:val="30"/>
          <w:szCs w:val="30"/>
        </w:rPr>
        <w:t>。财政全供给单位中行政单位1个；非参公管理事业单位24个。</w:t>
      </w:r>
    </w:p>
    <w:p w14:paraId="1CF3E25D">
      <w:pPr>
        <w:spacing w:line="590" w:lineRule="exact"/>
        <w:ind w:firstLine="600" w:firstLineChars="200"/>
        <w:rPr>
          <w:rFonts w:ascii="仿宋" w:hAnsi="仿宋" w:eastAsia="仿宋"/>
          <w:sz w:val="30"/>
          <w:szCs w:val="30"/>
        </w:rPr>
      </w:pPr>
      <w:r>
        <w:rPr>
          <w:rFonts w:ascii="仿宋" w:hAnsi="仿宋" w:eastAsia="仿宋"/>
          <w:sz w:val="30"/>
          <w:szCs w:val="30"/>
        </w:rPr>
        <w:t>2020年年末人员总计2726人，在职人员2725人，离休人员1人，其中行政人员13人，非参公事业人员2712人，年末其他人员591人，年末学生人数36504人。</w:t>
      </w:r>
    </w:p>
    <w:p w14:paraId="17B237AA">
      <w:pPr>
        <w:spacing w:line="590" w:lineRule="exact"/>
        <w:ind w:firstLine="600" w:firstLineChars="20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部门中长期规划</w:t>
      </w:r>
    </w:p>
    <w:p w14:paraId="2E76E5BD">
      <w:pPr>
        <w:spacing w:line="590" w:lineRule="exact"/>
        <w:ind w:firstLine="600" w:firstLineChars="200"/>
        <w:rPr>
          <w:rFonts w:ascii="仿宋" w:hAnsi="仿宋" w:eastAsia="仿宋"/>
          <w:sz w:val="30"/>
          <w:szCs w:val="30"/>
        </w:rPr>
      </w:pPr>
      <w:r>
        <w:rPr>
          <w:rFonts w:hint="eastAsia" w:ascii="仿宋" w:hAnsi="仿宋" w:eastAsia="仿宋"/>
          <w:sz w:val="30"/>
          <w:szCs w:val="30"/>
        </w:rPr>
        <w:t>根据《通海县“十三五”教育事业发展规划</w:t>
      </w:r>
      <w:r>
        <w:rPr>
          <w:rFonts w:ascii="仿宋" w:hAnsi="仿宋" w:eastAsia="仿宋"/>
          <w:sz w:val="30"/>
          <w:szCs w:val="30"/>
        </w:rPr>
        <w:t>(2016-2020年)</w:t>
      </w:r>
      <w:r>
        <w:rPr>
          <w:rFonts w:hint="eastAsia" w:ascii="仿宋" w:hAnsi="仿宋" w:eastAsia="仿宋"/>
          <w:sz w:val="30"/>
          <w:szCs w:val="30"/>
        </w:rPr>
        <w:t>》“十三五”发展目标主要为：</w:t>
      </w:r>
      <w:bookmarkStart w:id="10" w:name="_Hlk81990830"/>
      <w:r>
        <w:rPr>
          <w:rFonts w:hint="eastAsia" w:ascii="仿宋" w:hAnsi="仿宋" w:eastAsia="仿宋"/>
          <w:sz w:val="30"/>
          <w:szCs w:val="30"/>
        </w:rPr>
        <w:t>到</w:t>
      </w:r>
      <w:r>
        <w:rPr>
          <w:rFonts w:ascii="仿宋" w:hAnsi="仿宋" w:eastAsia="仿宋"/>
          <w:sz w:val="30"/>
          <w:szCs w:val="30"/>
        </w:rPr>
        <w:t>2020年，全县在教育发展水平、人才培养质量、教育投入和教育贡献继续走在全市前列，为实现教育现代化打下坚实基础。</w:t>
      </w:r>
      <w:r>
        <w:rPr>
          <w:rFonts w:hint="eastAsia" w:ascii="仿宋" w:hAnsi="仿宋" w:eastAsia="仿宋"/>
          <w:sz w:val="30"/>
          <w:szCs w:val="30"/>
        </w:rPr>
        <w:t>具体为：教育普及达到更高水平。各级学生</w:t>
      </w:r>
      <w:r>
        <w:rPr>
          <w:rFonts w:ascii="仿宋" w:hAnsi="仿宋" w:eastAsia="仿宋"/>
          <w:sz w:val="30"/>
          <w:szCs w:val="30"/>
        </w:rPr>
        <w:t>入学率</w:t>
      </w:r>
      <w:r>
        <w:rPr>
          <w:rFonts w:hint="eastAsia" w:ascii="仿宋" w:hAnsi="仿宋" w:eastAsia="仿宋"/>
          <w:sz w:val="30"/>
          <w:szCs w:val="30"/>
        </w:rPr>
        <w:t>达到更高水平，</w:t>
      </w:r>
      <w:r>
        <w:rPr>
          <w:rFonts w:ascii="仿宋" w:hAnsi="仿宋" w:eastAsia="仿宋"/>
          <w:sz w:val="30"/>
          <w:szCs w:val="30"/>
        </w:rPr>
        <w:t>基本普及高中阶段教育。</w:t>
      </w:r>
      <w:r>
        <w:rPr>
          <w:rFonts w:hint="eastAsia" w:ascii="仿宋" w:hAnsi="仿宋" w:eastAsia="仿宋"/>
          <w:sz w:val="30"/>
          <w:szCs w:val="30"/>
        </w:rPr>
        <w:t>义务教育更加均衡发展。逐步实现办学条件标准化，均衡配置教育资源，消除择校现象，</w:t>
      </w:r>
      <w:r>
        <w:rPr>
          <w:rFonts w:ascii="仿宋" w:hAnsi="仿宋" w:eastAsia="仿宋"/>
          <w:sz w:val="30"/>
          <w:szCs w:val="30"/>
        </w:rPr>
        <w:t>实现义务教育基本均衡。教育质量得到更快提升。优质教育资源总量不断扩大，基本满足人民群众接受高质量、高水平教育的需求。教育公平保障制度更加完善。教育的公益性、普惠性充分体现，教育基本公共服务均等化进一步落实。弱势群体少年儿童的管理和服务机制全面形成。教育体制机制更具活力。办学体制灵活开放，管理体制科学高效，人才培养体制机制不断优化。</w:t>
      </w:r>
      <w:r>
        <w:rPr>
          <w:rFonts w:hint="eastAsia" w:ascii="仿宋" w:hAnsi="仿宋" w:eastAsia="仿宋"/>
          <w:sz w:val="30"/>
          <w:szCs w:val="30"/>
        </w:rPr>
        <w:t>终身教育体系更加完善。构建与各类教育相互衔接沟通、配套协调，相互促进，适应和谐社会建设的现代成人教育体系。</w:t>
      </w:r>
      <w:bookmarkEnd w:id="10"/>
    </w:p>
    <w:p w14:paraId="44B73860">
      <w:pPr>
        <w:spacing w:line="590" w:lineRule="exact"/>
        <w:ind w:firstLine="600" w:firstLineChars="200"/>
        <w:rPr>
          <w:rFonts w:ascii="仿宋" w:hAnsi="仿宋" w:eastAsia="仿宋"/>
          <w:sz w:val="30"/>
          <w:szCs w:val="30"/>
        </w:rPr>
      </w:pPr>
      <w:r>
        <w:rPr>
          <w:rFonts w:ascii="仿宋" w:hAnsi="仿宋" w:eastAsia="仿宋"/>
          <w:sz w:val="30"/>
          <w:szCs w:val="30"/>
        </w:rPr>
        <w:t>4.重点工作任务情况</w:t>
      </w:r>
    </w:p>
    <w:p w14:paraId="071C46D2">
      <w:pPr>
        <w:spacing w:line="590" w:lineRule="exact"/>
        <w:ind w:firstLine="600" w:firstLineChars="200"/>
        <w:rPr>
          <w:rFonts w:ascii="仿宋" w:hAnsi="仿宋" w:eastAsia="仿宋"/>
          <w:sz w:val="30"/>
          <w:szCs w:val="30"/>
        </w:rPr>
      </w:pPr>
      <w:bookmarkStart w:id="11" w:name="_Hlk81988284"/>
      <w:r>
        <w:rPr>
          <w:rFonts w:hint="eastAsia" w:ascii="仿宋" w:hAnsi="仿宋" w:eastAsia="仿宋"/>
          <w:sz w:val="30"/>
          <w:szCs w:val="30"/>
        </w:rPr>
        <w:t>（1）</w:t>
      </w:r>
      <w:r>
        <w:rPr>
          <w:rFonts w:ascii="仿宋" w:hAnsi="仿宋" w:eastAsia="仿宋"/>
          <w:sz w:val="30"/>
          <w:szCs w:val="30"/>
        </w:rPr>
        <w:t>加快学前教育发展，学前三年幼儿毛入园率达88％以上，提升义务教育均衡发展水平，推动普通高中特色化发展，高中阶段毛入学率达90％以上。</w:t>
      </w:r>
    </w:p>
    <w:p w14:paraId="5B19A823">
      <w:pPr>
        <w:spacing w:line="59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构建现代职业教育体系，做大做强</w:t>
      </w:r>
      <w:r>
        <w:rPr>
          <w:rFonts w:hint="eastAsia" w:ascii="仿宋" w:hAnsi="仿宋" w:eastAsia="仿宋"/>
          <w:sz w:val="30"/>
          <w:szCs w:val="30"/>
          <w:lang w:eastAsia="zh-CN"/>
        </w:rPr>
        <w:t>烹饪</w:t>
      </w:r>
      <w:r>
        <w:rPr>
          <w:rFonts w:ascii="仿宋" w:hAnsi="仿宋" w:eastAsia="仿宋"/>
          <w:sz w:val="30"/>
          <w:szCs w:val="30"/>
        </w:rPr>
        <w:t>专业，实现“一县一品，一县一特”的中职教育发展目标。</w:t>
      </w:r>
    </w:p>
    <w:p w14:paraId="564FA07D">
      <w:pPr>
        <w:spacing w:line="590" w:lineRule="exact"/>
        <w:ind w:firstLine="600" w:firstLineChars="20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提高教育教学质量，强化义务教育均衡发展，始终如一抓实</w:t>
      </w:r>
      <w:r>
        <w:rPr>
          <w:rFonts w:hint="eastAsia" w:ascii="仿宋" w:hAnsi="仿宋" w:eastAsia="仿宋"/>
          <w:sz w:val="30"/>
          <w:szCs w:val="30"/>
        </w:rPr>
        <w:t>“控辍保学”</w:t>
      </w:r>
      <w:r>
        <w:rPr>
          <w:rFonts w:ascii="仿宋" w:hAnsi="仿宋" w:eastAsia="仿宋"/>
          <w:sz w:val="30"/>
          <w:szCs w:val="30"/>
        </w:rPr>
        <w:t>工作，推进职教扶贫工作;支持和规范民办教育发展。</w:t>
      </w:r>
    </w:p>
    <w:p w14:paraId="6738CA41">
      <w:pPr>
        <w:spacing w:line="590" w:lineRule="exact"/>
        <w:ind w:firstLine="600" w:firstLineChars="200"/>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全面加强教师队伍建设，提高教师队伍素质。加大推进县城义务教育学校校长交流轮岗，完善教师培训、激励、评价、管理等机制，加强师德师风建设，加强名学校、名校长、名教师“三名”工程建设。</w:t>
      </w:r>
    </w:p>
    <w:p w14:paraId="7357C594">
      <w:pPr>
        <w:spacing w:line="590" w:lineRule="exact"/>
        <w:ind w:firstLine="600" w:firstLineChars="200"/>
        <w:rPr>
          <w:rFonts w:ascii="仿宋" w:hAnsi="仿宋" w:eastAsia="仿宋"/>
          <w:sz w:val="30"/>
          <w:szCs w:val="30"/>
        </w:rPr>
      </w:pPr>
      <w:r>
        <w:rPr>
          <w:rFonts w:hint="eastAsia" w:ascii="仿宋" w:hAnsi="仿宋" w:eastAsia="仿宋"/>
          <w:sz w:val="30"/>
          <w:szCs w:val="30"/>
        </w:rPr>
        <w:t>（5）</w:t>
      </w:r>
      <w:r>
        <w:rPr>
          <w:rFonts w:ascii="仿宋" w:hAnsi="仿宋" w:eastAsia="仿宋"/>
          <w:sz w:val="30"/>
          <w:szCs w:val="30"/>
        </w:rPr>
        <w:t>完成实施“七彩云南”全民健身工程，足球场地建设工程项目，实施全民健身计划，全民健身工程项目，广泛开展全民健身活动，完成制度性县级赛事活动。</w:t>
      </w:r>
    </w:p>
    <w:p w14:paraId="5262DB45">
      <w:pPr>
        <w:spacing w:line="590" w:lineRule="exact"/>
        <w:ind w:firstLine="600" w:firstLineChars="200"/>
        <w:rPr>
          <w:rFonts w:ascii="仿宋" w:hAnsi="仿宋" w:eastAsia="仿宋"/>
          <w:sz w:val="30"/>
          <w:szCs w:val="30"/>
        </w:rPr>
      </w:pPr>
      <w:r>
        <w:rPr>
          <w:rFonts w:hint="eastAsia" w:ascii="仿宋" w:hAnsi="仿宋" w:eastAsia="仿宋"/>
          <w:sz w:val="30"/>
          <w:szCs w:val="30"/>
        </w:rPr>
        <w:t>（6）</w:t>
      </w:r>
      <w:r>
        <w:rPr>
          <w:rFonts w:ascii="仿宋" w:hAnsi="仿宋" w:eastAsia="仿宋"/>
          <w:sz w:val="30"/>
          <w:szCs w:val="30"/>
        </w:rPr>
        <w:t>做好玉溪市承办云南省第十六届运动会分赛区工作，完成玉溪市青少年(学生)体育比赛参赛任务，重点完成好云南省第二届青少年运动会各项目比赛，向上一级学校选拔输送优秀体育人才。</w:t>
      </w:r>
    </w:p>
    <w:p w14:paraId="4EF01AF8">
      <w:pPr>
        <w:spacing w:line="590" w:lineRule="exact"/>
        <w:ind w:firstLine="600" w:firstLineChars="200"/>
        <w:rPr>
          <w:rFonts w:ascii="仿宋" w:hAnsi="仿宋" w:eastAsia="仿宋"/>
          <w:sz w:val="30"/>
          <w:szCs w:val="30"/>
        </w:rPr>
      </w:pPr>
      <w:r>
        <w:rPr>
          <w:rFonts w:hint="eastAsia" w:ascii="仿宋" w:hAnsi="仿宋" w:eastAsia="仿宋"/>
          <w:sz w:val="30"/>
          <w:szCs w:val="30"/>
        </w:rPr>
        <w:t>（7）</w:t>
      </w:r>
      <w:r>
        <w:rPr>
          <w:rFonts w:ascii="仿宋" w:hAnsi="仿宋" w:eastAsia="仿宋"/>
          <w:sz w:val="30"/>
          <w:szCs w:val="30"/>
        </w:rPr>
        <w:t>督促做好体育场升级改造工程项目后续工作，积极参与体育场升级改造工程项目的验收工作，确保各项场馆设施符合国家标准，并做好办公用房、体育场馆移交接管工作。认真研究制定体育场各项管理制度，使改造的场馆设施更加规范合理的为群众健身提供最优质的服务。</w:t>
      </w:r>
    </w:p>
    <w:p w14:paraId="44913B0F">
      <w:pPr>
        <w:spacing w:line="59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推进通海县秀山第一小学新区项目建设;完成通海县第三中学食堂项目建设;完成“厕所革命”学校旱厕改造工作。</w:t>
      </w:r>
    </w:p>
    <w:p w14:paraId="0201FB92">
      <w:pPr>
        <w:spacing w:line="59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精准摸排建档立卡等贫困家庭学生情况。</w:t>
      </w:r>
    </w:p>
    <w:p w14:paraId="217AFCA0">
      <w:pPr>
        <w:spacing w:line="59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0</w:t>
      </w:r>
      <w:r>
        <w:rPr>
          <w:rFonts w:hint="eastAsia" w:ascii="仿宋" w:hAnsi="仿宋" w:eastAsia="仿宋"/>
          <w:sz w:val="30"/>
          <w:szCs w:val="30"/>
        </w:rPr>
        <w:t>）</w:t>
      </w:r>
      <w:r>
        <w:rPr>
          <w:rFonts w:ascii="仿宋" w:hAnsi="仿宋" w:eastAsia="仿宋"/>
          <w:sz w:val="30"/>
          <w:szCs w:val="30"/>
        </w:rPr>
        <w:t>认真执行和落实好各种资助政策;拓宽学生资助政策宣传渠道，高效办理和完成助学贷款工作。</w:t>
      </w:r>
    </w:p>
    <w:p w14:paraId="650B2887">
      <w:pPr>
        <w:spacing w:line="59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完成县委、县政府和上级主管部门年中交办的目标任务和工作任务。</w:t>
      </w:r>
      <w:bookmarkEnd w:id="11"/>
    </w:p>
    <w:p w14:paraId="0C81651D">
      <w:pPr>
        <w:spacing w:line="579" w:lineRule="exact"/>
        <w:ind w:firstLine="600" w:firstLineChars="200"/>
        <w:outlineLvl w:val="1"/>
        <w:rPr>
          <w:rFonts w:ascii="楷体" w:hAnsi="楷体" w:eastAsia="楷体" w:cs="Times New Roman"/>
          <w:color w:val="000000"/>
          <w:kern w:val="30"/>
          <w:sz w:val="30"/>
          <w:szCs w:val="30"/>
        </w:rPr>
      </w:pPr>
      <w:bookmarkStart w:id="12" w:name="_Toc11684614"/>
      <w:bookmarkStart w:id="13" w:name="_Toc26676"/>
      <w:r>
        <w:rPr>
          <w:rFonts w:hint="eastAsia" w:ascii="楷体" w:hAnsi="楷体" w:eastAsia="楷体" w:cs="Times New Roman"/>
          <w:color w:val="000000"/>
          <w:kern w:val="30"/>
          <w:sz w:val="30"/>
          <w:szCs w:val="30"/>
        </w:rPr>
        <w:t>（二）部门预算批复及资金安排情况</w:t>
      </w:r>
      <w:bookmarkEnd w:id="12"/>
      <w:bookmarkEnd w:id="13"/>
    </w:p>
    <w:p w14:paraId="4DD01748">
      <w:pPr>
        <w:spacing w:line="590" w:lineRule="exact"/>
        <w:ind w:firstLine="600" w:firstLineChars="200"/>
        <w:rPr>
          <w:rFonts w:ascii="仿宋" w:hAnsi="仿宋" w:eastAsia="仿宋"/>
          <w:sz w:val="30"/>
          <w:szCs w:val="30"/>
        </w:rPr>
      </w:pPr>
      <w:r>
        <w:rPr>
          <w:rFonts w:hint="eastAsia" w:ascii="仿宋" w:hAnsi="仿宋" w:eastAsia="仿宋"/>
          <w:sz w:val="30"/>
          <w:szCs w:val="30"/>
        </w:rPr>
        <w:t>1.年初预算</w:t>
      </w:r>
    </w:p>
    <w:p w14:paraId="103A724E">
      <w:pPr>
        <w:spacing w:line="590" w:lineRule="exact"/>
        <w:ind w:firstLine="600" w:firstLineChars="200"/>
        <w:rPr>
          <w:rFonts w:ascii="仿宋" w:hAnsi="仿宋" w:eastAsia="仿宋"/>
          <w:sz w:val="30"/>
          <w:szCs w:val="30"/>
        </w:rPr>
      </w:pPr>
      <w:r>
        <w:rPr>
          <w:rFonts w:hint="eastAsia" w:ascii="仿宋" w:hAnsi="仿宋" w:eastAsia="仿宋"/>
          <w:sz w:val="30"/>
          <w:szCs w:val="30"/>
        </w:rPr>
        <w:t>（1）预算收入</w:t>
      </w:r>
    </w:p>
    <w:p w14:paraId="2DA03C9B">
      <w:pPr>
        <w:spacing w:line="59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年1月，《通海县财政局关于批复</w:t>
      </w:r>
      <w:r>
        <w:rPr>
          <w:rFonts w:ascii="仿宋" w:hAnsi="仿宋" w:eastAsia="仿宋"/>
          <w:sz w:val="30"/>
          <w:szCs w:val="30"/>
        </w:rPr>
        <w:t>2020年</w:t>
      </w:r>
      <w:r>
        <w:rPr>
          <w:rFonts w:hint="eastAsia" w:ascii="仿宋" w:hAnsi="仿宋" w:eastAsia="仿宋"/>
          <w:sz w:val="30"/>
          <w:szCs w:val="30"/>
        </w:rPr>
        <w:t>部门预算的通知》（通财〔</w:t>
      </w:r>
      <w:r>
        <w:rPr>
          <w:rFonts w:ascii="仿宋" w:hAnsi="仿宋" w:eastAsia="仿宋"/>
          <w:sz w:val="30"/>
          <w:szCs w:val="30"/>
        </w:rPr>
        <w:t>2020〕1号</w:t>
      </w:r>
      <w:r>
        <w:rPr>
          <w:rFonts w:hint="eastAsia" w:ascii="仿宋" w:hAnsi="仿宋" w:eastAsia="仿宋"/>
          <w:sz w:val="30"/>
          <w:szCs w:val="30"/>
        </w:rPr>
        <w:t>），批复部门财政拨款收入</w:t>
      </w:r>
      <w:r>
        <w:rPr>
          <w:rFonts w:ascii="仿宋" w:hAnsi="仿宋" w:eastAsia="仿宋"/>
          <w:sz w:val="30"/>
          <w:szCs w:val="30"/>
        </w:rPr>
        <w:t>54793.77万元，其中:本年收入54793.77万元，上年结转0万元。本年收入中，一般公共预算财政拨款54348.63万元</w:t>
      </w:r>
      <w:r>
        <w:rPr>
          <w:rFonts w:hint="eastAsia" w:ascii="仿宋" w:hAnsi="仿宋" w:eastAsia="仿宋"/>
          <w:sz w:val="30"/>
          <w:szCs w:val="30"/>
        </w:rPr>
        <w:t>。</w:t>
      </w:r>
      <w:r>
        <w:rPr>
          <w:rFonts w:ascii="仿宋" w:hAnsi="仿宋" w:eastAsia="仿宋"/>
          <w:sz w:val="30"/>
          <w:szCs w:val="30"/>
        </w:rPr>
        <w:t>（本级财力52787.86万元，收费成本补偿0.28万元，财政专户管理的收入445.14万元，国有资源（资产）有偿使用成本补偿0.7万元，其他非税收入安排1559.78万元）。</w:t>
      </w:r>
    </w:p>
    <w:p w14:paraId="33E8D52A">
      <w:pPr>
        <w:spacing w:line="590" w:lineRule="exact"/>
        <w:ind w:firstLine="600" w:firstLineChars="200"/>
        <w:rPr>
          <w:rFonts w:ascii="仿宋" w:hAnsi="仿宋" w:eastAsia="仿宋"/>
          <w:sz w:val="30"/>
          <w:szCs w:val="30"/>
        </w:rPr>
      </w:pPr>
      <w:r>
        <w:rPr>
          <w:rFonts w:hint="eastAsia" w:ascii="仿宋" w:hAnsi="仿宋" w:eastAsia="仿宋"/>
          <w:sz w:val="30"/>
          <w:szCs w:val="30"/>
        </w:rPr>
        <w:t>（2）预算支出</w:t>
      </w:r>
    </w:p>
    <w:p w14:paraId="7C6A264C">
      <w:pPr>
        <w:spacing w:line="590" w:lineRule="exact"/>
        <w:ind w:firstLine="600" w:firstLineChars="200"/>
        <w:rPr>
          <w:rFonts w:ascii="仿宋" w:hAnsi="仿宋" w:eastAsia="仿宋"/>
          <w:sz w:val="30"/>
          <w:szCs w:val="30"/>
        </w:rPr>
      </w:pPr>
      <w:bookmarkStart w:id="14" w:name="_Hlk81987701"/>
      <w:r>
        <w:rPr>
          <w:rFonts w:ascii="仿宋" w:hAnsi="仿宋" w:eastAsia="仿宋"/>
          <w:sz w:val="30"/>
          <w:szCs w:val="30"/>
        </w:rPr>
        <w:t>2020年部门预算总支出54793.77万元。财政拨款安排支出54793.77万元，其中基本支出53570.67万元，项目支出1223.10万元</w:t>
      </w:r>
      <w:r>
        <w:rPr>
          <w:rFonts w:hint="eastAsia" w:ascii="仿宋" w:hAnsi="仿宋" w:eastAsia="仿宋"/>
          <w:sz w:val="30"/>
          <w:szCs w:val="30"/>
        </w:rPr>
        <w:t>。</w:t>
      </w:r>
    </w:p>
    <w:bookmarkEnd w:id="14"/>
    <w:p w14:paraId="13EC4D9C">
      <w:pPr>
        <w:spacing w:line="590" w:lineRule="exact"/>
        <w:ind w:firstLine="600" w:firstLineChars="200"/>
        <w:rPr>
          <w:rFonts w:ascii="仿宋" w:hAnsi="仿宋" w:eastAsia="仿宋"/>
          <w:sz w:val="30"/>
          <w:szCs w:val="30"/>
        </w:rPr>
      </w:pPr>
      <w:r>
        <w:rPr>
          <w:rFonts w:hint="eastAsia" w:ascii="仿宋" w:hAnsi="仿宋" w:eastAsia="仿宋"/>
          <w:sz w:val="30"/>
          <w:szCs w:val="30"/>
        </w:rPr>
        <w:t>主要用于行政运行</w:t>
      </w:r>
      <w:r>
        <w:rPr>
          <w:rFonts w:ascii="仿宋" w:hAnsi="仿宋" w:eastAsia="仿宋"/>
          <w:sz w:val="30"/>
          <w:szCs w:val="30"/>
        </w:rPr>
        <w:t>210.03万元，一般行政管理事务48.24万元，其他教育管理事务支出475.55万元，学前教育2859.38万元，小学教育17768.98万元，初中教育10487.20万元，高中教育6141.47万元，其他普通教育支出265.98万元，职业高中教育959.88万元，其他特殊教育支出2.19万元，教师进修124.82万元，其他教育费附加安排的支出820万元，文化旅游体育与传媒支出112.18万元，社会保障和就业支出6360.15万元，卫生健康支出4021.62万元，住房保障支出4136.10万元。</w:t>
      </w:r>
    </w:p>
    <w:p w14:paraId="20790DF2">
      <w:pPr>
        <w:spacing w:line="59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年终决算</w:t>
      </w:r>
    </w:p>
    <w:p w14:paraId="76613BF4">
      <w:pPr>
        <w:spacing w:line="590" w:lineRule="exact"/>
        <w:ind w:firstLine="600" w:firstLineChars="200"/>
        <w:rPr>
          <w:rFonts w:ascii="仿宋" w:hAnsi="仿宋" w:eastAsia="仿宋"/>
          <w:sz w:val="30"/>
          <w:szCs w:val="30"/>
        </w:rPr>
      </w:pPr>
      <w:r>
        <w:rPr>
          <w:rFonts w:hint="eastAsia" w:ascii="仿宋" w:hAnsi="仿宋" w:eastAsia="仿宋"/>
          <w:sz w:val="30"/>
          <w:szCs w:val="30"/>
        </w:rPr>
        <w:t>（1）决算收入</w:t>
      </w:r>
    </w:p>
    <w:p w14:paraId="0B696C16">
      <w:pPr>
        <w:spacing w:line="59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年实际收入</w:t>
      </w:r>
      <w:r>
        <w:rPr>
          <w:rFonts w:ascii="仿宋" w:hAnsi="仿宋" w:eastAsia="仿宋"/>
          <w:sz w:val="30"/>
          <w:szCs w:val="30"/>
        </w:rPr>
        <w:t>65390</w:t>
      </w:r>
      <w:r>
        <w:rPr>
          <w:rFonts w:hint="eastAsia" w:ascii="仿宋" w:hAnsi="仿宋" w:eastAsia="仿宋"/>
          <w:sz w:val="30"/>
          <w:szCs w:val="30"/>
        </w:rPr>
        <w:t>.</w:t>
      </w:r>
      <w:r>
        <w:rPr>
          <w:rFonts w:ascii="仿宋" w:hAnsi="仿宋" w:eastAsia="仿宋"/>
          <w:sz w:val="30"/>
          <w:szCs w:val="30"/>
        </w:rPr>
        <w:t>55</w:t>
      </w:r>
      <w:r>
        <w:rPr>
          <w:rFonts w:hint="eastAsia" w:ascii="仿宋" w:hAnsi="仿宋" w:eastAsia="仿宋"/>
          <w:sz w:val="30"/>
          <w:szCs w:val="30"/>
        </w:rPr>
        <w:t>万元，其中：一般公共预算财政拨款收入</w:t>
      </w:r>
      <w:r>
        <w:rPr>
          <w:rFonts w:ascii="仿宋" w:hAnsi="仿宋" w:eastAsia="仿宋"/>
          <w:sz w:val="30"/>
          <w:szCs w:val="30"/>
        </w:rPr>
        <w:t>59511.24</w:t>
      </w:r>
      <w:r>
        <w:rPr>
          <w:rFonts w:hint="eastAsia" w:ascii="仿宋" w:hAnsi="仿宋" w:eastAsia="仿宋"/>
          <w:sz w:val="30"/>
          <w:szCs w:val="30"/>
        </w:rPr>
        <w:t>万元，政府性基金预算财政拨款收入</w:t>
      </w:r>
      <w:r>
        <w:rPr>
          <w:rFonts w:ascii="仿宋" w:hAnsi="仿宋" w:eastAsia="仿宋"/>
          <w:sz w:val="30"/>
          <w:szCs w:val="30"/>
        </w:rPr>
        <w:t>641.17</w:t>
      </w:r>
      <w:r>
        <w:rPr>
          <w:rFonts w:hint="eastAsia" w:ascii="仿宋" w:hAnsi="仿宋" w:eastAsia="仿宋"/>
          <w:sz w:val="30"/>
          <w:szCs w:val="30"/>
        </w:rPr>
        <w:t>万元，事业收入</w:t>
      </w:r>
      <w:r>
        <w:rPr>
          <w:rFonts w:ascii="仿宋" w:hAnsi="仿宋" w:eastAsia="仿宋"/>
          <w:sz w:val="30"/>
          <w:szCs w:val="30"/>
        </w:rPr>
        <w:t>319</w:t>
      </w:r>
      <w:r>
        <w:rPr>
          <w:rFonts w:hint="eastAsia" w:ascii="仿宋" w:hAnsi="仿宋" w:eastAsia="仿宋"/>
          <w:sz w:val="30"/>
          <w:szCs w:val="30"/>
        </w:rPr>
        <w:t>.</w:t>
      </w:r>
      <w:r>
        <w:rPr>
          <w:rFonts w:ascii="仿宋" w:hAnsi="仿宋" w:eastAsia="仿宋"/>
          <w:sz w:val="30"/>
          <w:szCs w:val="30"/>
        </w:rPr>
        <w:t>48</w:t>
      </w:r>
      <w:r>
        <w:rPr>
          <w:rFonts w:hint="eastAsia" w:ascii="仿宋" w:hAnsi="仿宋" w:eastAsia="仿宋"/>
          <w:sz w:val="30"/>
          <w:szCs w:val="30"/>
        </w:rPr>
        <w:t>万元，其他收入</w:t>
      </w:r>
      <w:r>
        <w:rPr>
          <w:rFonts w:ascii="仿宋" w:hAnsi="仿宋" w:eastAsia="仿宋"/>
          <w:sz w:val="30"/>
          <w:szCs w:val="30"/>
        </w:rPr>
        <w:t>2936</w:t>
      </w:r>
      <w:r>
        <w:rPr>
          <w:rFonts w:hint="eastAsia" w:ascii="仿宋" w:hAnsi="仿宋" w:eastAsia="仿宋"/>
          <w:sz w:val="30"/>
          <w:szCs w:val="30"/>
        </w:rPr>
        <w:t>.</w:t>
      </w:r>
      <w:r>
        <w:rPr>
          <w:rFonts w:ascii="仿宋" w:hAnsi="仿宋" w:eastAsia="仿宋"/>
          <w:sz w:val="30"/>
          <w:szCs w:val="30"/>
        </w:rPr>
        <w:t>10</w:t>
      </w:r>
      <w:r>
        <w:rPr>
          <w:rFonts w:hint="eastAsia" w:ascii="仿宋" w:hAnsi="仿宋" w:eastAsia="仿宋"/>
          <w:sz w:val="30"/>
          <w:szCs w:val="30"/>
        </w:rPr>
        <w:t>万元，</w:t>
      </w:r>
      <w:r>
        <w:rPr>
          <w:rFonts w:ascii="仿宋" w:hAnsi="仿宋" w:eastAsia="仿宋"/>
          <w:sz w:val="30"/>
          <w:szCs w:val="30"/>
        </w:rPr>
        <w:t>非财政拨款结余510.07</w:t>
      </w:r>
      <w:r>
        <w:rPr>
          <w:rFonts w:hint="eastAsia" w:ascii="仿宋" w:hAnsi="仿宋" w:eastAsia="仿宋"/>
          <w:sz w:val="30"/>
          <w:szCs w:val="30"/>
        </w:rPr>
        <w:t>万元，</w:t>
      </w:r>
      <w:r>
        <w:rPr>
          <w:rFonts w:ascii="仿宋" w:hAnsi="仿宋" w:eastAsia="仿宋"/>
          <w:sz w:val="30"/>
          <w:szCs w:val="30"/>
        </w:rPr>
        <w:t>年初结转和结余1472</w:t>
      </w:r>
      <w:r>
        <w:rPr>
          <w:rFonts w:hint="eastAsia" w:ascii="仿宋" w:hAnsi="仿宋" w:eastAsia="仿宋"/>
          <w:sz w:val="30"/>
          <w:szCs w:val="30"/>
        </w:rPr>
        <w:t>.</w:t>
      </w:r>
      <w:r>
        <w:rPr>
          <w:rFonts w:ascii="仿宋" w:hAnsi="仿宋" w:eastAsia="仿宋"/>
          <w:sz w:val="30"/>
          <w:szCs w:val="30"/>
        </w:rPr>
        <w:t>49</w:t>
      </w:r>
      <w:r>
        <w:rPr>
          <w:rFonts w:hint="eastAsia" w:ascii="仿宋" w:hAnsi="仿宋" w:eastAsia="仿宋"/>
          <w:sz w:val="30"/>
          <w:szCs w:val="30"/>
        </w:rPr>
        <w:t>万元。</w:t>
      </w:r>
    </w:p>
    <w:p w14:paraId="48DE6B56">
      <w:pPr>
        <w:spacing w:line="590" w:lineRule="exact"/>
        <w:ind w:firstLine="600" w:firstLineChars="200"/>
        <w:rPr>
          <w:rFonts w:ascii="仿宋" w:hAnsi="仿宋" w:eastAsia="仿宋"/>
          <w:sz w:val="30"/>
          <w:szCs w:val="30"/>
        </w:rPr>
      </w:pPr>
      <w:r>
        <w:rPr>
          <w:rFonts w:hint="eastAsia" w:ascii="仿宋" w:hAnsi="仿宋" w:eastAsia="仿宋"/>
          <w:sz w:val="30"/>
          <w:szCs w:val="30"/>
        </w:rPr>
        <w:t>（2）决算支出</w:t>
      </w:r>
    </w:p>
    <w:p w14:paraId="63956E81">
      <w:pPr>
        <w:spacing w:line="590" w:lineRule="exact"/>
        <w:ind w:firstLine="600" w:firstLineChars="200"/>
        <w:rPr>
          <w:rFonts w:ascii="仿宋" w:hAnsi="仿宋" w:eastAsia="仿宋"/>
          <w:sz w:val="30"/>
          <w:szCs w:val="30"/>
        </w:rPr>
      </w:pPr>
      <w:r>
        <w:rPr>
          <w:rFonts w:ascii="仿宋" w:hAnsi="仿宋" w:eastAsia="仿宋"/>
          <w:sz w:val="30"/>
          <w:szCs w:val="30"/>
        </w:rPr>
        <w:t>2020年部门</w:t>
      </w:r>
      <w:r>
        <w:rPr>
          <w:rFonts w:hint="eastAsia" w:ascii="仿宋" w:hAnsi="仿宋" w:eastAsia="仿宋"/>
          <w:sz w:val="30"/>
          <w:szCs w:val="30"/>
        </w:rPr>
        <w:t>决算</w:t>
      </w:r>
      <w:r>
        <w:rPr>
          <w:rFonts w:ascii="仿宋" w:hAnsi="仿宋" w:eastAsia="仿宋"/>
          <w:sz w:val="30"/>
          <w:szCs w:val="30"/>
        </w:rPr>
        <w:t>总支出63989.56万元，其中基本支出51620.60万元，项目支出12368.96万元</w:t>
      </w:r>
      <w:r>
        <w:rPr>
          <w:rFonts w:hint="eastAsia" w:ascii="仿宋" w:hAnsi="仿宋" w:eastAsia="仿宋"/>
          <w:sz w:val="30"/>
          <w:szCs w:val="30"/>
        </w:rPr>
        <w:t>。</w:t>
      </w:r>
    </w:p>
    <w:p w14:paraId="31FC92CD">
      <w:pPr>
        <w:spacing w:line="579" w:lineRule="exact"/>
        <w:ind w:firstLine="600" w:firstLineChars="200"/>
        <w:outlineLvl w:val="1"/>
        <w:rPr>
          <w:rFonts w:ascii="楷体" w:hAnsi="楷体" w:eastAsia="楷体" w:cs="Times New Roman"/>
          <w:color w:val="000000"/>
          <w:kern w:val="30"/>
          <w:sz w:val="30"/>
          <w:szCs w:val="30"/>
        </w:rPr>
      </w:pPr>
      <w:bookmarkStart w:id="15" w:name="_Toc6974"/>
      <w:r>
        <w:rPr>
          <w:rFonts w:hint="eastAsia" w:ascii="楷体" w:hAnsi="楷体" w:eastAsia="楷体" w:cs="Times New Roman"/>
          <w:color w:val="000000"/>
          <w:kern w:val="30"/>
          <w:sz w:val="30"/>
          <w:szCs w:val="30"/>
        </w:rPr>
        <w:t>（三）实施内容</w:t>
      </w:r>
      <w:bookmarkEnd w:id="15"/>
    </w:p>
    <w:p w14:paraId="20433EF0">
      <w:pPr>
        <w:spacing w:line="59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部门预算执行情况</w:t>
      </w:r>
    </w:p>
    <w:p w14:paraId="13B87336">
      <w:pPr>
        <w:spacing w:line="590" w:lineRule="exact"/>
        <w:ind w:firstLine="600" w:firstLineChars="200"/>
        <w:rPr>
          <w:rFonts w:ascii="仿宋" w:hAnsi="仿宋" w:eastAsia="仿宋"/>
          <w:sz w:val="30"/>
          <w:szCs w:val="30"/>
        </w:rPr>
      </w:pPr>
      <w:r>
        <w:rPr>
          <w:rFonts w:ascii="仿宋" w:hAnsi="仿宋" w:eastAsia="仿宋"/>
          <w:sz w:val="30"/>
          <w:szCs w:val="30"/>
        </w:rPr>
        <w:t>2020年部门</w:t>
      </w:r>
      <w:r>
        <w:rPr>
          <w:rFonts w:hint="eastAsia" w:ascii="仿宋" w:hAnsi="仿宋" w:eastAsia="仿宋"/>
          <w:sz w:val="30"/>
          <w:szCs w:val="30"/>
        </w:rPr>
        <w:t>决算</w:t>
      </w:r>
      <w:r>
        <w:rPr>
          <w:rFonts w:ascii="仿宋" w:hAnsi="仿宋" w:eastAsia="仿宋"/>
          <w:sz w:val="30"/>
          <w:szCs w:val="30"/>
        </w:rPr>
        <w:t>支出63989.56万元</w:t>
      </w:r>
      <w:r>
        <w:rPr>
          <w:rFonts w:hint="eastAsia" w:ascii="仿宋" w:hAnsi="仿宋" w:eastAsia="仿宋"/>
          <w:sz w:val="30"/>
          <w:szCs w:val="30"/>
        </w:rPr>
        <w:t>，</w:t>
      </w:r>
      <w:r>
        <w:rPr>
          <w:rFonts w:ascii="仿宋" w:hAnsi="仿宋" w:eastAsia="仿宋"/>
          <w:sz w:val="30"/>
          <w:szCs w:val="30"/>
        </w:rPr>
        <w:t>其中基本支出51620.60万元，项目支出12368.96万元。</w:t>
      </w:r>
      <w:r>
        <w:rPr>
          <w:rFonts w:hint="eastAsia" w:ascii="仿宋" w:hAnsi="仿宋" w:eastAsia="仿宋"/>
          <w:sz w:val="30"/>
          <w:szCs w:val="30"/>
        </w:rPr>
        <w:t>年末结余分配</w:t>
      </w:r>
      <w:r>
        <w:rPr>
          <w:rFonts w:ascii="仿宋" w:hAnsi="仿宋" w:eastAsia="仿宋"/>
          <w:sz w:val="30"/>
          <w:szCs w:val="30"/>
        </w:rPr>
        <w:t>10.64万元，年末结转和结余1390.36</w:t>
      </w:r>
      <w:r>
        <w:rPr>
          <w:rFonts w:hint="eastAsia" w:ascii="仿宋" w:hAnsi="仿宋" w:eastAsia="仿宋"/>
          <w:sz w:val="30"/>
          <w:szCs w:val="30"/>
        </w:rPr>
        <w:t>万元。</w:t>
      </w:r>
    </w:p>
    <w:p w14:paraId="4EAACA2D">
      <w:pPr>
        <w:spacing w:line="590" w:lineRule="exact"/>
        <w:ind w:firstLine="600" w:firstLineChars="200"/>
        <w:rPr>
          <w:rFonts w:ascii="仿宋" w:hAnsi="仿宋" w:eastAsia="仿宋"/>
          <w:sz w:val="30"/>
          <w:szCs w:val="30"/>
        </w:rPr>
      </w:pPr>
      <w:r>
        <w:rPr>
          <w:rFonts w:ascii="仿宋" w:hAnsi="仿宋" w:eastAsia="仿宋"/>
          <w:sz w:val="30"/>
          <w:szCs w:val="30"/>
        </w:rPr>
        <w:t>2.重点工作任务的完成情况</w:t>
      </w:r>
    </w:p>
    <w:p w14:paraId="1010C513">
      <w:pPr>
        <w:spacing w:line="59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1）学前三年幼儿毛入园率达89.08％以上，提升义务教育均衡发展水平，推动普通高中特色化发展，高中阶段毛入学率达92.15％以上。</w:t>
      </w:r>
    </w:p>
    <w:p w14:paraId="4F43B27C">
      <w:pPr>
        <w:spacing w:line="59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2）构建现代职业教育体系，做大做强</w:t>
      </w:r>
      <w:r>
        <w:rPr>
          <w:rFonts w:hint="eastAsia" w:ascii="仿宋" w:hAnsi="仿宋" w:eastAsia="仿宋"/>
          <w:sz w:val="30"/>
          <w:szCs w:val="30"/>
          <w:lang w:eastAsia="zh-CN"/>
        </w:rPr>
        <w:t>烹饪</w:t>
      </w:r>
      <w:r>
        <w:rPr>
          <w:rFonts w:ascii="仿宋" w:hAnsi="仿宋" w:eastAsia="仿宋"/>
          <w:sz w:val="30"/>
          <w:szCs w:val="30"/>
        </w:rPr>
        <w:t>专业，</w:t>
      </w:r>
      <w:r>
        <w:rPr>
          <w:rFonts w:hint="eastAsia" w:ascii="仿宋" w:hAnsi="仿宋" w:eastAsia="仿宋"/>
          <w:sz w:val="30"/>
          <w:szCs w:val="30"/>
        </w:rPr>
        <w:t>多次代表云南省参加了全国、省、市烹饪项目（中餐热菜、中式面点、西餐热菜、冷拼与雕刻）比赛，分别获得团体金奖、银奖和个人比赛一等、二等奖。</w:t>
      </w:r>
    </w:p>
    <w:p w14:paraId="2AD261DD">
      <w:pPr>
        <w:spacing w:line="59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3）提高教育教学质量，强化义务教育均衡发展，</w:t>
      </w:r>
      <w:r>
        <w:rPr>
          <w:rFonts w:hint="eastAsia" w:ascii="仿宋" w:hAnsi="仿宋" w:eastAsia="仿宋"/>
          <w:sz w:val="30"/>
          <w:szCs w:val="30"/>
        </w:rPr>
        <w:t>义务教育巩固率达</w:t>
      </w:r>
      <w:r>
        <w:rPr>
          <w:rFonts w:ascii="仿宋" w:hAnsi="仿宋" w:eastAsia="仿宋"/>
          <w:sz w:val="30"/>
          <w:szCs w:val="30"/>
        </w:rPr>
        <w:t>96.78%</w:t>
      </w:r>
      <w:r>
        <w:rPr>
          <w:rFonts w:hint="eastAsia" w:ascii="仿宋" w:hAnsi="仿宋" w:eastAsia="仿宋"/>
          <w:sz w:val="30"/>
          <w:szCs w:val="30"/>
        </w:rPr>
        <w:t>。</w:t>
      </w:r>
      <w:r>
        <w:rPr>
          <w:rFonts w:ascii="仿宋" w:hAnsi="仿宋" w:eastAsia="仿宋"/>
          <w:sz w:val="30"/>
          <w:szCs w:val="30"/>
        </w:rPr>
        <w:t>始终如一抓实</w:t>
      </w:r>
      <w:bookmarkStart w:id="16" w:name="_Hlk81988804"/>
      <w:r>
        <w:rPr>
          <w:rFonts w:hint="eastAsia" w:ascii="仿宋" w:hAnsi="仿宋" w:eastAsia="仿宋"/>
          <w:sz w:val="30"/>
          <w:szCs w:val="30"/>
        </w:rPr>
        <w:t>“</w:t>
      </w:r>
      <w:r>
        <w:rPr>
          <w:rFonts w:ascii="仿宋" w:hAnsi="仿宋" w:eastAsia="仿宋"/>
          <w:sz w:val="30"/>
          <w:szCs w:val="30"/>
        </w:rPr>
        <w:t>控</w:t>
      </w:r>
      <w:r>
        <w:rPr>
          <w:rFonts w:hint="eastAsia" w:ascii="仿宋" w:hAnsi="仿宋" w:eastAsia="仿宋"/>
          <w:sz w:val="30"/>
          <w:szCs w:val="30"/>
        </w:rPr>
        <w:t>辍</w:t>
      </w:r>
      <w:r>
        <w:rPr>
          <w:rFonts w:ascii="仿宋" w:hAnsi="仿宋" w:eastAsia="仿宋"/>
          <w:sz w:val="30"/>
          <w:szCs w:val="30"/>
        </w:rPr>
        <w:t>保学</w:t>
      </w:r>
      <w:r>
        <w:rPr>
          <w:rFonts w:hint="eastAsia" w:ascii="仿宋" w:hAnsi="仿宋" w:eastAsia="仿宋"/>
          <w:sz w:val="30"/>
          <w:szCs w:val="30"/>
        </w:rPr>
        <w:t>”</w:t>
      </w:r>
      <w:bookmarkEnd w:id="16"/>
      <w:r>
        <w:rPr>
          <w:rFonts w:ascii="仿宋" w:hAnsi="仿宋" w:eastAsia="仿宋"/>
          <w:sz w:val="30"/>
          <w:szCs w:val="30"/>
        </w:rPr>
        <w:t>工作，</w:t>
      </w:r>
      <w:r>
        <w:rPr>
          <w:rFonts w:hint="eastAsia" w:ascii="仿宋" w:hAnsi="仿宋" w:eastAsia="仿宋"/>
          <w:sz w:val="30"/>
          <w:szCs w:val="30"/>
        </w:rPr>
        <w:t>小学在校生辍学率为</w:t>
      </w:r>
      <w:r>
        <w:rPr>
          <w:rFonts w:ascii="仿宋" w:hAnsi="仿宋" w:eastAsia="仿宋"/>
          <w:sz w:val="30"/>
          <w:szCs w:val="30"/>
        </w:rPr>
        <w:t>0</w:t>
      </w:r>
      <w:r>
        <w:rPr>
          <w:rFonts w:hint="eastAsia" w:ascii="仿宋" w:hAnsi="仿宋" w:eastAsia="仿宋"/>
          <w:sz w:val="30"/>
          <w:szCs w:val="30"/>
        </w:rPr>
        <w:t>，初中户籍人口辍学率为</w:t>
      </w:r>
      <w:r>
        <w:rPr>
          <w:rFonts w:ascii="仿宋" w:hAnsi="仿宋" w:eastAsia="仿宋"/>
          <w:sz w:val="30"/>
          <w:szCs w:val="30"/>
        </w:rPr>
        <w:t>0.021%。</w:t>
      </w:r>
    </w:p>
    <w:p w14:paraId="0881B33C">
      <w:pPr>
        <w:spacing w:line="59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4）全面加强教师队伍建设，提高教师队伍素质。</w:t>
      </w:r>
      <w:r>
        <w:rPr>
          <w:rFonts w:hint="eastAsia" w:ascii="仿宋" w:hAnsi="仿宋" w:eastAsia="仿宋"/>
          <w:sz w:val="30"/>
          <w:szCs w:val="30"/>
        </w:rPr>
        <w:t>推进县域内义务教育学校校长、教师交流轮岗</w:t>
      </w:r>
      <w:r>
        <w:rPr>
          <w:rFonts w:ascii="仿宋" w:hAnsi="仿宋" w:eastAsia="仿宋"/>
          <w:sz w:val="30"/>
          <w:szCs w:val="30"/>
        </w:rPr>
        <w:t>。</w:t>
      </w:r>
      <w:r>
        <w:rPr>
          <w:rFonts w:hint="eastAsia" w:ascii="仿宋" w:hAnsi="仿宋" w:eastAsia="仿宋"/>
          <w:sz w:val="30"/>
          <w:szCs w:val="30"/>
        </w:rPr>
        <w:t>有序推进推优评选工作，推出市级先进集体</w:t>
      </w:r>
      <w:r>
        <w:rPr>
          <w:rFonts w:ascii="仿宋" w:hAnsi="仿宋" w:eastAsia="仿宋"/>
          <w:sz w:val="30"/>
          <w:szCs w:val="30"/>
        </w:rPr>
        <w:t>1个；优秀教师9名；优秀班主任4名；优秀校长1名；优秀教育工作者2名。</w:t>
      </w:r>
    </w:p>
    <w:p w14:paraId="3F328C0E">
      <w:pPr>
        <w:spacing w:line="59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继续稳步推进</w:t>
      </w:r>
      <w:r>
        <w:rPr>
          <w:rFonts w:ascii="仿宋" w:hAnsi="仿宋" w:eastAsia="仿宋"/>
          <w:sz w:val="30"/>
          <w:szCs w:val="30"/>
        </w:rPr>
        <w:t>“七彩云南”全民健身工程，</w:t>
      </w:r>
      <w:r>
        <w:rPr>
          <w:rFonts w:hint="eastAsia" w:ascii="仿宋" w:hAnsi="仿宋" w:eastAsia="仿宋"/>
          <w:sz w:val="30"/>
          <w:szCs w:val="30"/>
        </w:rPr>
        <w:t>完成</w:t>
      </w:r>
      <w:r>
        <w:rPr>
          <w:rFonts w:ascii="仿宋" w:hAnsi="仿宋" w:eastAsia="仿宋"/>
          <w:sz w:val="30"/>
          <w:szCs w:val="30"/>
        </w:rPr>
        <w:t>37块足球场建设任务</w:t>
      </w:r>
      <w:r>
        <w:rPr>
          <w:rFonts w:hint="eastAsia" w:ascii="仿宋" w:hAnsi="仿宋" w:eastAsia="仿宋"/>
          <w:sz w:val="30"/>
          <w:szCs w:val="30"/>
        </w:rPr>
        <w:t>。</w:t>
      </w:r>
      <w:r>
        <w:rPr>
          <w:rFonts w:ascii="仿宋" w:hAnsi="仿宋" w:eastAsia="仿宋"/>
          <w:sz w:val="30"/>
          <w:szCs w:val="30"/>
        </w:rPr>
        <w:t>实施全民健身计划，</w:t>
      </w:r>
      <w:r>
        <w:rPr>
          <w:rFonts w:hint="eastAsia" w:ascii="仿宋" w:hAnsi="仿宋" w:eastAsia="仿宋"/>
          <w:sz w:val="30"/>
          <w:szCs w:val="30"/>
        </w:rPr>
        <w:t>全民健身工程项目已在全县乡镇、行政村全覆盖，人均拥有体育健身场地面积</w:t>
      </w:r>
      <w:r>
        <w:rPr>
          <w:rFonts w:ascii="仿宋" w:hAnsi="仿宋" w:eastAsia="仿宋"/>
          <w:sz w:val="30"/>
          <w:szCs w:val="30"/>
        </w:rPr>
        <w:t>1.32平方米。</w:t>
      </w:r>
    </w:p>
    <w:p w14:paraId="2A2D51A1">
      <w:pPr>
        <w:spacing w:line="59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以组队、训练、参赛</w:t>
      </w:r>
      <w:r>
        <w:rPr>
          <w:rFonts w:ascii="仿宋" w:hAnsi="仿宋" w:eastAsia="仿宋"/>
          <w:sz w:val="30"/>
          <w:szCs w:val="30"/>
        </w:rPr>
        <w:t>2020年云南省第二届青少年运动会预赛和参赛玉溪市青少年（学生）田径、篮球、足球、游泳等比赛为契机，认真抓好业余训练工作，参赛取得好成绩。</w:t>
      </w:r>
    </w:p>
    <w:p w14:paraId="41A2BD63">
      <w:pPr>
        <w:spacing w:line="59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7）通海县秀山第一小学新区项目</w:t>
      </w:r>
      <w:r>
        <w:rPr>
          <w:rFonts w:hint="eastAsia" w:ascii="仿宋" w:hAnsi="仿宋" w:eastAsia="仿宋"/>
          <w:sz w:val="30"/>
          <w:szCs w:val="30"/>
        </w:rPr>
        <w:t>施工方已进场施工</w:t>
      </w:r>
      <w:r>
        <w:rPr>
          <w:rFonts w:ascii="仿宋" w:hAnsi="仿宋" w:eastAsia="仿宋"/>
          <w:sz w:val="30"/>
          <w:szCs w:val="30"/>
        </w:rPr>
        <w:t>;完成“厕所革命”学校旱厕改造</w:t>
      </w:r>
      <w:r>
        <w:rPr>
          <w:rFonts w:hint="eastAsia" w:ascii="仿宋" w:hAnsi="仿宋" w:eastAsia="仿宋"/>
          <w:sz w:val="30"/>
          <w:szCs w:val="30"/>
        </w:rPr>
        <w:t>项目1</w:t>
      </w:r>
      <w:r>
        <w:rPr>
          <w:rFonts w:ascii="仿宋" w:hAnsi="仿宋" w:eastAsia="仿宋"/>
          <w:sz w:val="30"/>
          <w:szCs w:val="30"/>
        </w:rPr>
        <w:t>3</w:t>
      </w:r>
      <w:r>
        <w:rPr>
          <w:rFonts w:hint="eastAsia" w:ascii="仿宋" w:hAnsi="仿宋" w:eastAsia="仿宋"/>
          <w:sz w:val="30"/>
          <w:szCs w:val="30"/>
        </w:rPr>
        <w:t>个，已于</w:t>
      </w:r>
      <w:r>
        <w:rPr>
          <w:rFonts w:ascii="仿宋" w:hAnsi="仿宋" w:eastAsia="仿宋"/>
          <w:sz w:val="30"/>
          <w:szCs w:val="30"/>
        </w:rPr>
        <w:t>2020年3月全部实施完成投入使用。</w:t>
      </w:r>
    </w:p>
    <w:p w14:paraId="11086087">
      <w:pPr>
        <w:spacing w:line="59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8）精准摸排建档立卡等贫困家庭学生情况</w:t>
      </w:r>
      <w:r>
        <w:rPr>
          <w:rFonts w:hint="eastAsia" w:ascii="仿宋" w:hAnsi="仿宋" w:eastAsia="仿宋"/>
          <w:sz w:val="30"/>
          <w:szCs w:val="30"/>
        </w:rPr>
        <w:t>，实现了从各学段建档立卡家庭学生资助全覆盖。</w:t>
      </w:r>
    </w:p>
    <w:p w14:paraId="159717E8">
      <w:pPr>
        <w:spacing w:line="59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9）认真执行和落实好各种资助政策;拓宽学生资助政策宣传渠道，高效办理和完成助学贷款工作。</w:t>
      </w:r>
    </w:p>
    <w:p w14:paraId="65EE43BD">
      <w:pPr>
        <w:spacing w:line="579" w:lineRule="exact"/>
        <w:ind w:firstLine="600" w:firstLineChars="200"/>
        <w:outlineLvl w:val="1"/>
        <w:rPr>
          <w:rFonts w:ascii="楷体" w:hAnsi="楷体" w:eastAsia="楷体" w:cs="Times New Roman"/>
          <w:color w:val="000000"/>
          <w:kern w:val="30"/>
          <w:sz w:val="30"/>
          <w:szCs w:val="30"/>
        </w:rPr>
      </w:pPr>
      <w:bookmarkStart w:id="17" w:name="_Toc11684616"/>
      <w:bookmarkStart w:id="18" w:name="_Toc3998"/>
      <w:r>
        <w:rPr>
          <w:rFonts w:hint="eastAsia" w:ascii="楷体" w:hAnsi="楷体" w:eastAsia="楷体" w:cs="Times New Roman"/>
          <w:color w:val="000000"/>
          <w:kern w:val="30"/>
          <w:sz w:val="30"/>
          <w:szCs w:val="30"/>
        </w:rPr>
        <w:t>（四）绩效目标设立情况</w:t>
      </w:r>
      <w:bookmarkEnd w:id="17"/>
      <w:bookmarkEnd w:id="18"/>
    </w:p>
    <w:p w14:paraId="52B4F810">
      <w:pPr>
        <w:spacing w:line="590" w:lineRule="exact"/>
        <w:ind w:firstLine="600" w:firstLineChars="200"/>
        <w:rPr>
          <w:rFonts w:ascii="仿宋" w:hAnsi="仿宋" w:eastAsia="仿宋"/>
          <w:sz w:val="30"/>
          <w:szCs w:val="30"/>
        </w:rPr>
      </w:pPr>
      <w:r>
        <w:rPr>
          <w:rFonts w:hint="eastAsia" w:ascii="仿宋" w:hAnsi="仿宋" w:eastAsia="仿宋"/>
          <w:sz w:val="30"/>
          <w:szCs w:val="30"/>
        </w:rPr>
        <w:t>1.预算申报绩效目标和绩效指标情况</w:t>
      </w:r>
    </w:p>
    <w:p w14:paraId="3576A42C">
      <w:pPr>
        <w:spacing w:line="590" w:lineRule="exact"/>
        <w:ind w:firstLine="600" w:firstLineChars="200"/>
        <w:rPr>
          <w:rFonts w:ascii="仿宋" w:hAnsi="仿宋" w:eastAsia="仿宋"/>
          <w:sz w:val="30"/>
          <w:szCs w:val="30"/>
        </w:rPr>
      </w:pPr>
      <w:r>
        <w:rPr>
          <w:rFonts w:hint="eastAsia" w:ascii="仿宋" w:hAnsi="仿宋" w:eastAsia="仿宋"/>
          <w:sz w:val="30"/>
          <w:szCs w:val="30"/>
        </w:rPr>
        <w:t>通海县教育体育局2</w:t>
      </w:r>
      <w:r>
        <w:rPr>
          <w:rFonts w:ascii="仿宋" w:hAnsi="仿宋" w:eastAsia="仿宋"/>
          <w:sz w:val="30"/>
          <w:szCs w:val="30"/>
        </w:rPr>
        <w:t>020</w:t>
      </w:r>
      <w:r>
        <w:rPr>
          <w:rFonts w:hint="eastAsia" w:ascii="仿宋" w:hAnsi="仿宋" w:eastAsia="仿宋"/>
          <w:sz w:val="30"/>
          <w:szCs w:val="30"/>
        </w:rPr>
        <w:t>年部门预算申报年度绩效目标和指标，其中申报绩效指标4个，具体为：</w:t>
      </w:r>
    </w:p>
    <w:p w14:paraId="0834FC95">
      <w:pPr>
        <w:spacing w:line="590" w:lineRule="exact"/>
        <w:ind w:firstLine="600" w:firstLineChars="200"/>
        <w:rPr>
          <w:rFonts w:ascii="仿宋" w:hAnsi="仿宋" w:eastAsia="仿宋"/>
          <w:sz w:val="30"/>
          <w:szCs w:val="30"/>
        </w:rPr>
      </w:pPr>
      <w:r>
        <w:rPr>
          <w:rFonts w:hint="eastAsia" w:ascii="仿宋" w:hAnsi="仿宋" w:eastAsia="仿宋"/>
          <w:sz w:val="30"/>
          <w:szCs w:val="30"/>
        </w:rPr>
        <w:t>（1）</w:t>
      </w:r>
      <w:bookmarkStart w:id="19" w:name="_Hlk81990688"/>
      <w:r>
        <w:rPr>
          <w:rFonts w:hint="eastAsia" w:ascii="仿宋" w:hAnsi="仿宋" w:eastAsia="仿宋"/>
          <w:sz w:val="30"/>
          <w:szCs w:val="30"/>
        </w:rPr>
        <w:t>促进整个教育体育系统的健康稳定发展≥9</w:t>
      </w:r>
      <w:r>
        <w:rPr>
          <w:rFonts w:ascii="仿宋" w:hAnsi="仿宋" w:eastAsia="仿宋"/>
          <w:sz w:val="30"/>
          <w:szCs w:val="30"/>
        </w:rPr>
        <w:t>5</w:t>
      </w:r>
      <w:r>
        <w:rPr>
          <w:rFonts w:hint="eastAsia" w:ascii="仿宋" w:hAnsi="仿宋" w:eastAsia="仿宋"/>
          <w:sz w:val="30"/>
          <w:szCs w:val="30"/>
        </w:rPr>
        <w:t>%；</w:t>
      </w:r>
    </w:p>
    <w:p w14:paraId="4FC967E7">
      <w:pPr>
        <w:spacing w:line="590" w:lineRule="exact"/>
        <w:ind w:firstLine="600" w:firstLineChars="200"/>
        <w:rPr>
          <w:rFonts w:ascii="仿宋" w:hAnsi="仿宋" w:eastAsia="仿宋"/>
          <w:sz w:val="30"/>
          <w:szCs w:val="30"/>
        </w:rPr>
      </w:pPr>
      <w:r>
        <w:rPr>
          <w:rFonts w:hint="eastAsia" w:ascii="仿宋" w:hAnsi="仿宋" w:eastAsia="仿宋"/>
          <w:sz w:val="30"/>
          <w:szCs w:val="30"/>
        </w:rPr>
        <w:t>（2）教育体育事业目标任务完成≥9</w:t>
      </w:r>
      <w:r>
        <w:rPr>
          <w:rFonts w:ascii="仿宋" w:hAnsi="仿宋" w:eastAsia="仿宋"/>
          <w:sz w:val="30"/>
          <w:szCs w:val="30"/>
        </w:rPr>
        <w:t>5</w:t>
      </w:r>
      <w:r>
        <w:rPr>
          <w:rFonts w:hint="eastAsia" w:ascii="仿宋" w:hAnsi="仿宋" w:eastAsia="仿宋"/>
          <w:sz w:val="30"/>
          <w:szCs w:val="30"/>
        </w:rPr>
        <w:t>%；</w:t>
      </w:r>
    </w:p>
    <w:p w14:paraId="4FAD95B2">
      <w:pPr>
        <w:spacing w:line="590" w:lineRule="exact"/>
        <w:ind w:firstLine="600" w:firstLineChars="200"/>
        <w:rPr>
          <w:rFonts w:ascii="仿宋" w:hAnsi="仿宋" w:eastAsia="仿宋"/>
          <w:sz w:val="30"/>
          <w:szCs w:val="30"/>
        </w:rPr>
      </w:pPr>
      <w:r>
        <w:rPr>
          <w:rFonts w:hint="eastAsia" w:ascii="仿宋" w:hAnsi="仿宋" w:eastAsia="仿宋"/>
          <w:sz w:val="30"/>
          <w:szCs w:val="30"/>
        </w:rPr>
        <w:t>（3）对社会、教育体育事业可持续影响</w:t>
      </w:r>
      <w:bookmarkEnd w:id="19"/>
      <w:r>
        <w:rPr>
          <w:rFonts w:hint="eastAsia" w:ascii="仿宋" w:hAnsi="仿宋" w:eastAsia="仿宋"/>
          <w:sz w:val="30"/>
          <w:szCs w:val="30"/>
        </w:rPr>
        <w:t>≥9</w:t>
      </w:r>
      <w:r>
        <w:rPr>
          <w:rFonts w:ascii="仿宋" w:hAnsi="仿宋" w:eastAsia="仿宋"/>
          <w:sz w:val="30"/>
          <w:szCs w:val="30"/>
        </w:rPr>
        <w:t>5</w:t>
      </w:r>
      <w:r>
        <w:rPr>
          <w:rFonts w:hint="eastAsia" w:ascii="仿宋" w:hAnsi="仿宋" w:eastAsia="仿宋"/>
          <w:sz w:val="30"/>
          <w:szCs w:val="30"/>
        </w:rPr>
        <w:t>%；</w:t>
      </w:r>
    </w:p>
    <w:p w14:paraId="6376977F">
      <w:pPr>
        <w:spacing w:line="590" w:lineRule="exact"/>
        <w:ind w:firstLine="600" w:firstLineChars="200"/>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教师、学生及社会人员</w:t>
      </w:r>
      <w:r>
        <w:rPr>
          <w:rFonts w:hint="eastAsia" w:ascii="仿宋" w:hAnsi="仿宋" w:eastAsia="仿宋"/>
          <w:sz w:val="30"/>
          <w:szCs w:val="30"/>
        </w:rPr>
        <w:t>满意度≥9</w:t>
      </w:r>
      <w:r>
        <w:rPr>
          <w:rFonts w:ascii="仿宋" w:hAnsi="仿宋" w:eastAsia="仿宋"/>
          <w:sz w:val="30"/>
          <w:szCs w:val="30"/>
        </w:rPr>
        <w:t>8</w:t>
      </w:r>
      <w:r>
        <w:rPr>
          <w:rFonts w:hint="eastAsia" w:ascii="仿宋" w:hAnsi="仿宋" w:eastAsia="仿宋"/>
          <w:sz w:val="30"/>
          <w:szCs w:val="30"/>
        </w:rPr>
        <w:t>%。</w:t>
      </w:r>
    </w:p>
    <w:p w14:paraId="62C3CF98">
      <w:pPr>
        <w:spacing w:line="590" w:lineRule="exact"/>
        <w:ind w:firstLine="600" w:firstLineChars="200"/>
        <w:rPr>
          <w:rFonts w:ascii="仿宋" w:hAnsi="仿宋" w:eastAsia="仿宋"/>
          <w:sz w:val="30"/>
          <w:szCs w:val="30"/>
        </w:rPr>
      </w:pPr>
      <w:r>
        <w:rPr>
          <w:rFonts w:hint="eastAsia" w:ascii="仿宋" w:hAnsi="仿宋" w:eastAsia="仿宋"/>
          <w:sz w:val="30"/>
          <w:szCs w:val="30"/>
        </w:rPr>
        <w:t>具体指标内容详见附件</w:t>
      </w:r>
      <w:r>
        <w:rPr>
          <w:rFonts w:ascii="仿宋" w:hAnsi="仿宋" w:eastAsia="仿宋"/>
          <w:sz w:val="30"/>
          <w:szCs w:val="30"/>
        </w:rPr>
        <w:t>1-1。</w:t>
      </w:r>
    </w:p>
    <w:p w14:paraId="6FA04F15">
      <w:pPr>
        <w:spacing w:line="590" w:lineRule="exact"/>
        <w:ind w:firstLine="600" w:firstLineChars="200"/>
        <w:rPr>
          <w:rFonts w:ascii="仿宋" w:hAnsi="仿宋" w:eastAsia="仿宋"/>
          <w:sz w:val="30"/>
          <w:szCs w:val="30"/>
        </w:rPr>
      </w:pPr>
      <w:r>
        <w:rPr>
          <w:rFonts w:ascii="仿宋" w:hAnsi="仿宋" w:eastAsia="仿宋"/>
          <w:sz w:val="30"/>
          <w:szCs w:val="30"/>
        </w:rPr>
        <w:t>2.绩效评</w:t>
      </w:r>
      <w:r>
        <w:rPr>
          <w:rFonts w:hint="eastAsia" w:ascii="仿宋" w:hAnsi="仿宋" w:eastAsia="仿宋"/>
          <w:sz w:val="30"/>
          <w:szCs w:val="30"/>
        </w:rPr>
        <w:t>价</w:t>
      </w:r>
      <w:r>
        <w:rPr>
          <w:rFonts w:ascii="仿宋" w:hAnsi="仿宋" w:eastAsia="仿宋"/>
          <w:sz w:val="30"/>
          <w:szCs w:val="30"/>
        </w:rPr>
        <w:t>调整后的绩效目标和绩效指标情况</w:t>
      </w:r>
    </w:p>
    <w:p w14:paraId="17EAB3E4">
      <w:pPr>
        <w:spacing w:line="59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通海县教育体育局申报部门整体支出绩效目标时，存在以任务待目标的情况。绩效指标未能全面反映部门整体支出履职产出和效益情况，部分三级指标未细化、量化，指标不清晰，难以准确衡量。如“促进整个教育体育系统的健康稳定发展”、“</w:t>
      </w:r>
      <w:r>
        <w:rPr>
          <w:rFonts w:ascii="仿宋" w:hAnsi="仿宋" w:eastAsia="仿宋"/>
          <w:sz w:val="30"/>
          <w:szCs w:val="30"/>
        </w:rPr>
        <w:t>对社会、教育体育事业可持续影响</w:t>
      </w:r>
      <w:r>
        <w:rPr>
          <w:rFonts w:hint="eastAsia" w:ascii="仿宋" w:hAnsi="仿宋" w:eastAsia="仿宋"/>
          <w:sz w:val="30"/>
          <w:szCs w:val="30"/>
        </w:rPr>
        <w:t>”等。评价工作组结合部门履职和</w:t>
      </w:r>
      <w:r>
        <w:rPr>
          <w:rFonts w:ascii="仿宋" w:hAnsi="仿宋" w:eastAsia="仿宋"/>
          <w:sz w:val="30"/>
          <w:szCs w:val="30"/>
        </w:rPr>
        <w:t>2020年工作要点，并与</w:t>
      </w:r>
      <w:r>
        <w:rPr>
          <w:rFonts w:hint="eastAsia" w:ascii="仿宋" w:hAnsi="仿宋" w:eastAsia="仿宋"/>
          <w:sz w:val="30"/>
          <w:szCs w:val="30"/>
        </w:rPr>
        <w:t>通海县教育体育局</w:t>
      </w:r>
      <w:r>
        <w:rPr>
          <w:rFonts w:ascii="仿宋" w:hAnsi="仿宋" w:eastAsia="仿宋"/>
          <w:sz w:val="30"/>
          <w:szCs w:val="30"/>
        </w:rPr>
        <w:t>充分沟通交流后，完善并调整了绩效目标和绩效指标，形成绩效评价绩效目标和绩效指标。</w:t>
      </w:r>
    </w:p>
    <w:p w14:paraId="0A580C72">
      <w:pPr>
        <w:spacing w:line="590" w:lineRule="exact"/>
        <w:ind w:firstLine="600" w:firstLineChars="200"/>
        <w:rPr>
          <w:rFonts w:ascii="仿宋" w:hAnsi="仿宋" w:eastAsia="仿宋"/>
          <w:sz w:val="30"/>
          <w:szCs w:val="30"/>
        </w:rPr>
      </w:pPr>
      <w:r>
        <w:rPr>
          <w:rFonts w:ascii="仿宋" w:hAnsi="仿宋" w:eastAsia="仿宋"/>
          <w:sz w:val="30"/>
          <w:szCs w:val="30"/>
        </w:rPr>
        <w:t>2020年绩效评价部门整体支出产出和效果方面的绩效目标从</w:t>
      </w:r>
      <w:r>
        <w:rPr>
          <w:rFonts w:hint="eastAsia" w:ascii="仿宋" w:hAnsi="仿宋" w:eastAsia="仿宋"/>
          <w:sz w:val="30"/>
          <w:szCs w:val="30"/>
        </w:rPr>
        <w:t>七</w:t>
      </w:r>
      <w:r>
        <w:rPr>
          <w:rFonts w:ascii="仿宋" w:hAnsi="仿宋" w:eastAsia="仿宋"/>
          <w:sz w:val="30"/>
          <w:szCs w:val="30"/>
        </w:rPr>
        <w:t>个方面体现。</w:t>
      </w:r>
      <w:r>
        <w:rPr>
          <w:rFonts w:hint="eastAsia" w:ascii="仿宋" w:hAnsi="仿宋" w:eastAsia="仿宋"/>
          <w:sz w:val="30"/>
          <w:szCs w:val="30"/>
        </w:rPr>
        <w:t>一是</w:t>
      </w:r>
      <w:r>
        <w:rPr>
          <w:rFonts w:ascii="仿宋" w:hAnsi="仿宋" w:eastAsia="仿宋"/>
          <w:sz w:val="30"/>
          <w:szCs w:val="30"/>
        </w:rPr>
        <w:t>教育普及达到更高水平</w:t>
      </w:r>
      <w:r>
        <w:rPr>
          <w:rFonts w:hint="eastAsia" w:ascii="仿宋" w:hAnsi="仿宋" w:eastAsia="仿宋"/>
          <w:sz w:val="30"/>
          <w:szCs w:val="30"/>
        </w:rPr>
        <w:t>，</w:t>
      </w:r>
      <w:r>
        <w:rPr>
          <w:rFonts w:ascii="仿宋" w:hAnsi="仿宋" w:eastAsia="仿宋"/>
          <w:sz w:val="30"/>
          <w:szCs w:val="30"/>
        </w:rPr>
        <w:t>各级学生入学率达到更高水平，基本普及高中阶段教育</w:t>
      </w:r>
      <w:r>
        <w:rPr>
          <w:rFonts w:hint="eastAsia" w:ascii="仿宋" w:hAnsi="仿宋" w:eastAsia="仿宋"/>
          <w:sz w:val="30"/>
          <w:szCs w:val="30"/>
        </w:rPr>
        <w:t>；二是</w:t>
      </w:r>
      <w:r>
        <w:rPr>
          <w:rFonts w:ascii="仿宋" w:hAnsi="仿宋" w:eastAsia="仿宋"/>
          <w:sz w:val="30"/>
          <w:szCs w:val="30"/>
        </w:rPr>
        <w:t>义务教育更加均衡发展</w:t>
      </w:r>
      <w:r>
        <w:rPr>
          <w:rFonts w:hint="eastAsia" w:ascii="仿宋" w:hAnsi="仿宋" w:eastAsia="仿宋"/>
          <w:sz w:val="30"/>
          <w:szCs w:val="30"/>
        </w:rPr>
        <w:t>；三是</w:t>
      </w:r>
      <w:r>
        <w:rPr>
          <w:rFonts w:ascii="仿宋" w:hAnsi="仿宋" w:eastAsia="仿宋"/>
          <w:sz w:val="30"/>
          <w:szCs w:val="30"/>
        </w:rPr>
        <w:t>教育质量得到更快提升</w:t>
      </w:r>
      <w:r>
        <w:rPr>
          <w:rFonts w:hint="eastAsia" w:ascii="仿宋" w:hAnsi="仿宋" w:eastAsia="仿宋"/>
          <w:sz w:val="30"/>
          <w:szCs w:val="30"/>
        </w:rPr>
        <w:t>；四是</w:t>
      </w:r>
      <w:r>
        <w:rPr>
          <w:rFonts w:ascii="仿宋" w:hAnsi="仿宋" w:eastAsia="仿宋"/>
          <w:sz w:val="30"/>
          <w:szCs w:val="30"/>
        </w:rPr>
        <w:t>教育公平保障制度更加完善</w:t>
      </w:r>
      <w:r>
        <w:rPr>
          <w:rFonts w:hint="eastAsia" w:ascii="仿宋" w:hAnsi="仿宋" w:eastAsia="仿宋"/>
          <w:sz w:val="30"/>
          <w:szCs w:val="30"/>
        </w:rPr>
        <w:t>；五是</w:t>
      </w:r>
      <w:r>
        <w:rPr>
          <w:rFonts w:ascii="仿宋" w:hAnsi="仿宋" w:eastAsia="仿宋"/>
          <w:sz w:val="30"/>
          <w:szCs w:val="30"/>
        </w:rPr>
        <w:t>弱势群体少年儿童的管理和服务机制全</w:t>
      </w:r>
      <w:r>
        <w:rPr>
          <w:rFonts w:hint="eastAsia" w:ascii="仿宋" w:hAnsi="仿宋" w:eastAsia="仿宋"/>
          <w:sz w:val="30"/>
          <w:szCs w:val="30"/>
        </w:rPr>
        <w:t>面形成，建一所特殊教育学校，使残疾儿童入学率达</w:t>
      </w:r>
      <w:r>
        <w:rPr>
          <w:rFonts w:ascii="仿宋" w:hAnsi="仿宋" w:eastAsia="仿宋"/>
          <w:sz w:val="30"/>
          <w:szCs w:val="30"/>
        </w:rPr>
        <w:t>95%以上，残疾少年入学率达95%以上</w:t>
      </w:r>
      <w:r>
        <w:rPr>
          <w:rFonts w:hint="eastAsia" w:ascii="仿宋" w:hAnsi="仿宋" w:eastAsia="仿宋"/>
          <w:sz w:val="30"/>
          <w:szCs w:val="30"/>
        </w:rPr>
        <w:t>；六是教育体制机制更具活力；七是终身教育体系更加完善，全县国民受教育年限达到</w:t>
      </w:r>
      <w:r>
        <w:rPr>
          <w:rFonts w:ascii="仿宋" w:hAnsi="仿宋" w:eastAsia="仿宋"/>
          <w:sz w:val="30"/>
          <w:szCs w:val="30"/>
        </w:rPr>
        <w:t>10.6年。</w:t>
      </w: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年绩效评价部门整体支出绩效指标是绩效目标的细化和分解，具体从产出数量、产出质量、社会效益和满意度等方面设置了</w:t>
      </w:r>
      <w:r>
        <w:rPr>
          <w:rFonts w:ascii="仿宋" w:hAnsi="仿宋" w:eastAsia="仿宋"/>
          <w:sz w:val="30"/>
          <w:szCs w:val="30"/>
        </w:rPr>
        <w:t>19个三级指标，具体指标内容详见附件1-2。</w:t>
      </w:r>
    </w:p>
    <w:p w14:paraId="49411E0F">
      <w:pPr>
        <w:spacing w:line="579" w:lineRule="exact"/>
        <w:ind w:firstLine="420" w:firstLineChars="200"/>
        <w:outlineLvl w:val="1"/>
        <w:rPr>
          <w:rFonts w:ascii="楷体" w:hAnsi="楷体" w:eastAsia="楷体" w:cs="Times New Roman"/>
          <w:color w:val="000000"/>
          <w:kern w:val="30"/>
          <w:sz w:val="30"/>
          <w:szCs w:val="30"/>
        </w:rPr>
      </w:pPr>
      <w:bookmarkStart w:id="20" w:name="_Toc31926"/>
      <w:r>
        <w:rPr>
          <w:rFonts w:hint="eastAsia"/>
        </w:rPr>
        <w:fldChar w:fldCharType="begin"/>
      </w:r>
      <w:r>
        <w:instrText xml:space="preserve"> HYPERLINK \l "_Toc434746189" </w:instrText>
      </w:r>
      <w:r>
        <w:rPr>
          <w:rFonts w:hint="eastAsia"/>
        </w:rPr>
        <w:fldChar w:fldCharType="separate"/>
      </w:r>
      <w:bookmarkStart w:id="21" w:name="_Toc11684617"/>
      <w:r>
        <w:rPr>
          <w:rFonts w:hint="eastAsia" w:ascii="楷体" w:hAnsi="楷体" w:eastAsia="楷体" w:cs="Times New Roman"/>
          <w:color w:val="000000"/>
          <w:kern w:val="30"/>
          <w:sz w:val="30"/>
          <w:szCs w:val="30"/>
        </w:rPr>
        <w:t>（五）</w:t>
      </w:r>
      <w:r>
        <w:rPr>
          <w:rFonts w:hint="eastAsia" w:ascii="楷体" w:hAnsi="楷体" w:eastAsia="楷体" w:cs="Times New Roman"/>
          <w:color w:val="000000"/>
          <w:kern w:val="30"/>
          <w:sz w:val="30"/>
          <w:szCs w:val="30"/>
        </w:rPr>
        <w:fldChar w:fldCharType="end"/>
      </w:r>
      <w:r>
        <w:rPr>
          <w:rFonts w:hint="eastAsia" w:ascii="楷体" w:hAnsi="楷体" w:eastAsia="楷体" w:cs="Times New Roman"/>
          <w:color w:val="000000"/>
          <w:kern w:val="30"/>
          <w:sz w:val="30"/>
          <w:szCs w:val="30"/>
        </w:rPr>
        <w:t>组织管理情况</w:t>
      </w:r>
      <w:bookmarkEnd w:id="20"/>
      <w:bookmarkEnd w:id="21"/>
    </w:p>
    <w:p w14:paraId="0AEB7286">
      <w:pPr>
        <w:spacing w:line="590" w:lineRule="exact"/>
        <w:ind w:firstLine="600" w:firstLineChars="200"/>
        <w:rPr>
          <w:rFonts w:ascii="仿宋" w:hAnsi="仿宋" w:eastAsia="仿宋"/>
          <w:sz w:val="30"/>
          <w:szCs w:val="30"/>
        </w:rPr>
      </w:pPr>
      <w:r>
        <w:rPr>
          <w:rFonts w:hint="eastAsia" w:ascii="仿宋" w:hAnsi="仿宋" w:eastAsia="仿宋"/>
          <w:sz w:val="30"/>
          <w:szCs w:val="30"/>
        </w:rPr>
        <w:t>1.部门预算绩效管理情况</w:t>
      </w:r>
    </w:p>
    <w:p w14:paraId="7FD02EE0">
      <w:pPr>
        <w:spacing w:line="590" w:lineRule="exact"/>
        <w:ind w:firstLine="600" w:firstLineChars="200"/>
        <w:rPr>
          <w:rFonts w:ascii="仿宋" w:hAnsi="仿宋" w:eastAsia="仿宋"/>
          <w:sz w:val="30"/>
          <w:szCs w:val="30"/>
        </w:rPr>
      </w:pPr>
      <w:r>
        <w:rPr>
          <w:rFonts w:hint="eastAsia" w:ascii="仿宋" w:hAnsi="仿宋" w:eastAsia="仿宋"/>
          <w:sz w:val="30"/>
          <w:szCs w:val="30"/>
        </w:rPr>
        <w:t>通海县教育体育局</w:t>
      </w:r>
      <w:r>
        <w:rPr>
          <w:rFonts w:ascii="仿宋" w:hAnsi="仿宋" w:eastAsia="仿宋"/>
          <w:sz w:val="30"/>
          <w:szCs w:val="30"/>
        </w:rPr>
        <w:t>以贯彻执行</w:t>
      </w:r>
      <w:r>
        <w:rPr>
          <w:rFonts w:hint="eastAsia" w:ascii="仿宋" w:hAnsi="仿宋" w:eastAsia="仿宋"/>
          <w:sz w:val="30"/>
          <w:szCs w:val="30"/>
          <w:lang w:eastAsia="zh-CN"/>
        </w:rPr>
        <w:t>《中华人民共和国预算法》</w:t>
      </w:r>
      <w:r>
        <w:rPr>
          <w:rFonts w:ascii="仿宋" w:hAnsi="仿宋" w:eastAsia="仿宋"/>
          <w:sz w:val="30"/>
          <w:szCs w:val="30"/>
        </w:rPr>
        <w:t>，深化</w:t>
      </w:r>
      <w:r>
        <w:rPr>
          <w:rFonts w:hint="eastAsia" w:ascii="仿宋" w:hAnsi="仿宋" w:eastAsia="仿宋"/>
          <w:sz w:val="30"/>
          <w:szCs w:val="30"/>
        </w:rPr>
        <w:t>部门</w:t>
      </w:r>
      <w:r>
        <w:rPr>
          <w:rFonts w:ascii="仿宋" w:hAnsi="仿宋" w:eastAsia="仿宋"/>
          <w:sz w:val="30"/>
          <w:szCs w:val="30"/>
        </w:rPr>
        <w:t>治理体系建设为契机，结合国务院深化预算</w:t>
      </w:r>
      <w:r>
        <w:rPr>
          <w:rFonts w:hint="eastAsia" w:ascii="仿宋" w:hAnsi="仿宋" w:eastAsia="仿宋"/>
          <w:sz w:val="30"/>
          <w:szCs w:val="30"/>
        </w:rPr>
        <w:t>绩效</w:t>
      </w:r>
      <w:r>
        <w:rPr>
          <w:rFonts w:ascii="仿宋" w:hAnsi="仿宋" w:eastAsia="仿宋"/>
          <w:sz w:val="30"/>
          <w:szCs w:val="30"/>
        </w:rPr>
        <w:t>体制改革措施要。制订、修订了</w:t>
      </w:r>
      <w:r>
        <w:rPr>
          <w:rFonts w:hint="eastAsia" w:ascii="仿宋" w:hAnsi="仿宋" w:eastAsia="仿宋"/>
          <w:sz w:val="30"/>
          <w:szCs w:val="30"/>
        </w:rPr>
        <w:t>《通海县教育体育局预算绩效管理制度》、《</w:t>
      </w:r>
      <w:r>
        <w:rPr>
          <w:rFonts w:ascii="仿宋" w:hAnsi="仿宋" w:eastAsia="仿宋"/>
          <w:sz w:val="30"/>
          <w:szCs w:val="30"/>
        </w:rPr>
        <w:t>通海县教育体育局项目支出绩效评价方法</w:t>
      </w:r>
      <w:r>
        <w:rPr>
          <w:rFonts w:hint="eastAsia" w:ascii="仿宋" w:hAnsi="仿宋" w:eastAsia="仿宋"/>
          <w:sz w:val="30"/>
          <w:szCs w:val="30"/>
        </w:rPr>
        <w:t>》、《</w:t>
      </w:r>
      <w:r>
        <w:rPr>
          <w:rFonts w:ascii="仿宋" w:hAnsi="仿宋" w:eastAsia="仿宋"/>
          <w:sz w:val="30"/>
          <w:szCs w:val="30"/>
        </w:rPr>
        <w:t>通海县教育体育局预算绩效管理沟通协调工作机制</w:t>
      </w:r>
      <w:r>
        <w:rPr>
          <w:rFonts w:hint="eastAsia" w:ascii="仿宋" w:hAnsi="仿宋" w:eastAsia="仿宋"/>
          <w:sz w:val="30"/>
          <w:szCs w:val="30"/>
        </w:rPr>
        <w:t>》、《</w:t>
      </w:r>
      <w:r>
        <w:rPr>
          <w:rFonts w:ascii="仿宋" w:hAnsi="仿宋" w:eastAsia="仿宋"/>
          <w:sz w:val="30"/>
          <w:szCs w:val="30"/>
        </w:rPr>
        <w:t>通海县教育体育局预算绩效管理实施方案</w:t>
      </w:r>
      <w:r>
        <w:rPr>
          <w:rFonts w:hint="eastAsia" w:ascii="仿宋" w:hAnsi="仿宋" w:eastAsia="仿宋"/>
          <w:sz w:val="30"/>
          <w:szCs w:val="30"/>
        </w:rPr>
        <w:t>》</w:t>
      </w:r>
      <w:r>
        <w:rPr>
          <w:rFonts w:ascii="仿宋" w:hAnsi="仿宋" w:eastAsia="仿宋"/>
          <w:sz w:val="30"/>
          <w:szCs w:val="30"/>
        </w:rPr>
        <w:t>等</w:t>
      </w:r>
      <w:r>
        <w:rPr>
          <w:rFonts w:hint="eastAsia" w:ascii="仿宋" w:hAnsi="仿宋" w:eastAsia="仿宋"/>
          <w:sz w:val="30"/>
          <w:szCs w:val="30"/>
        </w:rPr>
        <w:t>管理</w:t>
      </w:r>
      <w:r>
        <w:rPr>
          <w:rFonts w:ascii="仿宋" w:hAnsi="仿宋" w:eastAsia="仿宋"/>
          <w:sz w:val="30"/>
          <w:szCs w:val="30"/>
        </w:rPr>
        <w:t>办法。</w:t>
      </w:r>
    </w:p>
    <w:p w14:paraId="3908172E">
      <w:pPr>
        <w:spacing w:line="590" w:lineRule="exact"/>
        <w:ind w:firstLine="600" w:firstLineChars="200"/>
        <w:rPr>
          <w:rFonts w:ascii="仿宋" w:hAnsi="仿宋" w:eastAsia="仿宋"/>
          <w:sz w:val="30"/>
          <w:szCs w:val="30"/>
        </w:rPr>
      </w:pPr>
      <w:r>
        <w:rPr>
          <w:rFonts w:ascii="仿宋" w:hAnsi="仿宋" w:eastAsia="仿宋"/>
          <w:sz w:val="30"/>
          <w:szCs w:val="30"/>
        </w:rPr>
        <w:t>2.预决算信息公开</w:t>
      </w:r>
    </w:p>
    <w:p w14:paraId="15E0950B">
      <w:pPr>
        <w:spacing w:line="590" w:lineRule="exact"/>
        <w:ind w:firstLine="600" w:firstLineChars="200"/>
        <w:rPr>
          <w:rFonts w:ascii="仿宋" w:hAnsi="仿宋" w:eastAsia="仿宋"/>
          <w:sz w:val="30"/>
          <w:szCs w:val="30"/>
        </w:rPr>
      </w:pPr>
      <w:r>
        <w:rPr>
          <w:rFonts w:hint="eastAsia" w:ascii="仿宋" w:hAnsi="仿宋" w:eastAsia="仿宋"/>
          <w:sz w:val="30"/>
          <w:szCs w:val="30"/>
        </w:rPr>
        <w:t>按照政府信息公开有关规定在门户网站上公开相关预决算信息，保证部门预决算管理的公开透明。通海县教育体育局已公开2</w:t>
      </w:r>
      <w:r>
        <w:rPr>
          <w:rFonts w:ascii="仿宋" w:hAnsi="仿宋" w:eastAsia="仿宋"/>
          <w:sz w:val="30"/>
          <w:szCs w:val="30"/>
        </w:rPr>
        <w:t>020</w:t>
      </w:r>
      <w:r>
        <w:rPr>
          <w:rFonts w:hint="eastAsia" w:ascii="仿宋" w:hAnsi="仿宋" w:eastAsia="仿宋"/>
          <w:sz w:val="30"/>
          <w:szCs w:val="30"/>
        </w:rPr>
        <w:t>年部门预算及部门决算相关信息。</w:t>
      </w:r>
    </w:p>
    <w:p w14:paraId="57FD49E6">
      <w:pPr>
        <w:spacing w:line="579" w:lineRule="exact"/>
        <w:ind w:firstLine="600" w:firstLineChars="200"/>
        <w:outlineLvl w:val="0"/>
        <w:rPr>
          <w:rFonts w:ascii="黑体" w:hAnsi="黑体" w:eastAsia="黑体" w:cs="宋体"/>
          <w:kern w:val="30"/>
          <w:sz w:val="30"/>
          <w:szCs w:val="30"/>
        </w:rPr>
      </w:pPr>
      <w:bookmarkStart w:id="22" w:name="_Toc51423750"/>
      <w:bookmarkStart w:id="23" w:name="_Toc16050"/>
      <w:r>
        <w:rPr>
          <w:rFonts w:hint="eastAsia" w:ascii="黑体" w:hAnsi="黑体" w:eastAsia="黑体" w:cs="宋体"/>
          <w:kern w:val="30"/>
          <w:sz w:val="30"/>
          <w:szCs w:val="30"/>
        </w:rPr>
        <w:t>二、绩效评价工作开展情况</w:t>
      </w:r>
      <w:bookmarkEnd w:id="22"/>
      <w:bookmarkEnd w:id="23"/>
    </w:p>
    <w:p w14:paraId="3766AFDB">
      <w:pPr>
        <w:spacing w:line="579" w:lineRule="exact"/>
        <w:ind w:firstLine="600" w:firstLineChars="200"/>
        <w:outlineLvl w:val="1"/>
        <w:rPr>
          <w:rFonts w:ascii="楷体" w:hAnsi="楷体" w:eastAsia="楷体" w:cs="Times New Roman"/>
          <w:kern w:val="30"/>
          <w:sz w:val="30"/>
          <w:szCs w:val="30"/>
        </w:rPr>
      </w:pPr>
      <w:bookmarkStart w:id="24" w:name="_Toc25889"/>
      <w:bookmarkStart w:id="25" w:name="_Toc51423751"/>
      <w:r>
        <w:rPr>
          <w:rFonts w:hint="eastAsia" w:ascii="楷体" w:hAnsi="楷体" w:eastAsia="楷体" w:cs="Times New Roman"/>
          <w:kern w:val="30"/>
          <w:sz w:val="30"/>
          <w:szCs w:val="30"/>
        </w:rPr>
        <w:t>（一）绩效评价的目的</w:t>
      </w:r>
      <w:bookmarkEnd w:id="24"/>
      <w:bookmarkEnd w:id="25"/>
    </w:p>
    <w:p w14:paraId="54292312">
      <w:pPr>
        <w:spacing w:line="579" w:lineRule="exact"/>
        <w:ind w:firstLine="624" w:firstLineChars="200"/>
        <w:rPr>
          <w:rFonts w:ascii="宋体" w:hAnsi="宋体" w:eastAsia="仿宋" w:cs="仿宋_GB2312"/>
          <w:spacing w:val="6"/>
          <w:kern w:val="0"/>
          <w:sz w:val="30"/>
          <w:szCs w:val="30"/>
        </w:rPr>
      </w:pPr>
      <w:r>
        <w:rPr>
          <w:rFonts w:hint="eastAsia" w:ascii="宋体" w:hAnsi="宋体" w:eastAsia="仿宋" w:cs="仿宋_GB2312"/>
          <w:spacing w:val="6"/>
          <w:kern w:val="0"/>
          <w:sz w:val="30"/>
          <w:szCs w:val="30"/>
        </w:rPr>
        <w:t>1</w:t>
      </w:r>
      <w:r>
        <w:rPr>
          <w:rFonts w:ascii="宋体" w:hAnsi="宋体" w:eastAsia="仿宋" w:cs="仿宋_GB2312"/>
          <w:spacing w:val="6"/>
          <w:kern w:val="0"/>
          <w:sz w:val="30"/>
          <w:szCs w:val="30"/>
        </w:rPr>
        <w:t>.</w:t>
      </w:r>
      <w:r>
        <w:rPr>
          <w:rFonts w:hint="eastAsia" w:ascii="宋体" w:hAnsi="宋体" w:eastAsia="仿宋" w:cs="仿宋_GB2312"/>
          <w:spacing w:val="6"/>
          <w:kern w:val="0"/>
          <w:sz w:val="30"/>
          <w:szCs w:val="30"/>
        </w:rPr>
        <w:t>绩效评价目的</w:t>
      </w:r>
    </w:p>
    <w:p w14:paraId="29F1388E">
      <w:pPr>
        <w:spacing w:line="590" w:lineRule="exact"/>
        <w:ind w:firstLine="600" w:firstLineChars="200"/>
        <w:rPr>
          <w:rFonts w:ascii="仿宋" w:hAnsi="仿宋" w:eastAsia="仿宋"/>
          <w:sz w:val="30"/>
          <w:szCs w:val="30"/>
        </w:rPr>
      </w:pPr>
      <w:r>
        <w:rPr>
          <w:rFonts w:hint="eastAsia" w:ascii="仿宋" w:hAnsi="仿宋" w:eastAsia="仿宋"/>
          <w:sz w:val="30"/>
          <w:szCs w:val="30"/>
        </w:rPr>
        <w:t>绩效评价的主要目的是在通海县教育体育局</w:t>
      </w:r>
      <w:r>
        <w:rPr>
          <w:rFonts w:ascii="仿宋" w:hAnsi="仿宋" w:eastAsia="仿宋"/>
          <w:sz w:val="30"/>
          <w:szCs w:val="30"/>
        </w:rPr>
        <w:t>2020年</w:t>
      </w:r>
      <w:r>
        <w:rPr>
          <w:rFonts w:hint="eastAsia" w:ascii="仿宋" w:hAnsi="仿宋" w:eastAsia="仿宋"/>
          <w:sz w:val="30"/>
          <w:szCs w:val="30"/>
        </w:rPr>
        <w:t>部门整体支出</w:t>
      </w:r>
      <w:r>
        <w:rPr>
          <w:rFonts w:ascii="仿宋" w:hAnsi="仿宋" w:eastAsia="仿宋"/>
          <w:sz w:val="30"/>
          <w:szCs w:val="30"/>
        </w:rPr>
        <w:t>绩效自评的基础上，通过评价进一步客观地反映各层级执行情况、部门履职情况、公共财政资源配置情况、资金使用情况、项目实施情况和效果，分析绩效目标完成情况，总结好的经验和做法，研究影响绩效的问题和原因，提出解决的措施和办法。为进一步规范财政资金运行和预算绩效管理，完善政策制度，推动部门有效履职，优化资源配置和财政支出结构，强化支出责任，提高财政资金使用效益提供支撑。</w:t>
      </w:r>
    </w:p>
    <w:p w14:paraId="46ACC5F8">
      <w:pPr>
        <w:spacing w:line="590" w:lineRule="exact"/>
        <w:ind w:firstLine="600" w:firstLineChars="200"/>
        <w:rPr>
          <w:rFonts w:ascii="仿宋" w:hAnsi="仿宋" w:eastAsia="仿宋"/>
          <w:sz w:val="30"/>
          <w:szCs w:val="30"/>
        </w:rPr>
      </w:pPr>
      <w:r>
        <w:rPr>
          <w:rFonts w:ascii="仿宋" w:hAnsi="仿宋" w:eastAsia="仿宋"/>
          <w:sz w:val="30"/>
          <w:szCs w:val="30"/>
        </w:rPr>
        <w:t>2.绩效评价对象和范围</w:t>
      </w:r>
    </w:p>
    <w:p w14:paraId="54A0CD91">
      <w:pPr>
        <w:spacing w:line="590" w:lineRule="exact"/>
        <w:ind w:firstLine="600" w:firstLineChars="200"/>
        <w:rPr>
          <w:rFonts w:ascii="仿宋" w:hAnsi="仿宋" w:eastAsia="仿宋"/>
          <w:sz w:val="30"/>
          <w:szCs w:val="30"/>
        </w:rPr>
      </w:pPr>
      <w:r>
        <w:rPr>
          <w:rFonts w:hint="eastAsia" w:ascii="仿宋" w:hAnsi="仿宋" w:eastAsia="仿宋"/>
          <w:sz w:val="30"/>
          <w:szCs w:val="30"/>
        </w:rPr>
        <w:t>本次绩效评价的范围为</w:t>
      </w:r>
      <w:r>
        <w:rPr>
          <w:rFonts w:ascii="仿宋" w:hAnsi="仿宋" w:eastAsia="仿宋"/>
          <w:sz w:val="30"/>
          <w:szCs w:val="30"/>
        </w:rPr>
        <w:t>2020年</w:t>
      </w:r>
      <w:r>
        <w:rPr>
          <w:rFonts w:hint="eastAsia" w:ascii="仿宋" w:hAnsi="仿宋" w:eastAsia="仿宋"/>
          <w:sz w:val="30"/>
          <w:szCs w:val="30"/>
        </w:rPr>
        <w:t>通海县教育体育局部门整体支出</w:t>
      </w:r>
      <w:r>
        <w:rPr>
          <w:rFonts w:ascii="仿宋" w:hAnsi="仿宋" w:eastAsia="仿宋"/>
          <w:sz w:val="30"/>
          <w:szCs w:val="30"/>
        </w:rPr>
        <w:t>，包括</w:t>
      </w:r>
      <w:r>
        <w:rPr>
          <w:rFonts w:hint="eastAsia" w:ascii="仿宋" w:hAnsi="仿宋" w:eastAsia="仿宋"/>
          <w:sz w:val="30"/>
          <w:szCs w:val="30"/>
        </w:rPr>
        <w:t>年度内部门所有收入及支出</w:t>
      </w:r>
      <w:r>
        <w:rPr>
          <w:rFonts w:ascii="仿宋" w:hAnsi="仿宋" w:eastAsia="仿宋"/>
          <w:sz w:val="30"/>
          <w:szCs w:val="30"/>
        </w:rPr>
        <w:t>。</w:t>
      </w:r>
    </w:p>
    <w:p w14:paraId="6C1722B0">
      <w:pPr>
        <w:spacing w:line="579" w:lineRule="exact"/>
        <w:ind w:firstLine="624" w:firstLineChars="200"/>
        <w:outlineLvl w:val="1"/>
        <w:rPr>
          <w:rFonts w:ascii="楷体" w:hAnsi="楷体" w:eastAsia="楷体" w:cs="Times New Roman"/>
          <w:spacing w:val="6"/>
          <w:kern w:val="30"/>
          <w:sz w:val="30"/>
          <w:szCs w:val="30"/>
        </w:rPr>
      </w:pPr>
      <w:bookmarkStart w:id="26" w:name="_Toc45789259"/>
      <w:bookmarkStart w:id="27" w:name="_Toc21532"/>
      <w:bookmarkStart w:id="28" w:name="_Toc51423752"/>
      <w:r>
        <w:rPr>
          <w:rFonts w:hint="eastAsia" w:ascii="楷体" w:hAnsi="楷体" w:eastAsia="楷体" w:cs="Times New Roman"/>
          <w:spacing w:val="6"/>
          <w:kern w:val="30"/>
          <w:sz w:val="30"/>
          <w:szCs w:val="30"/>
        </w:rPr>
        <w:t>（二）绩效评价原则、评价指标体系、评价方法、评价标准和评价抽样</w:t>
      </w:r>
      <w:bookmarkEnd w:id="26"/>
      <w:bookmarkEnd w:id="27"/>
      <w:bookmarkEnd w:id="28"/>
    </w:p>
    <w:p w14:paraId="1F7D7BED">
      <w:pPr>
        <w:tabs>
          <w:tab w:val="right" w:pos="8214"/>
        </w:tabs>
        <w:spacing w:line="579" w:lineRule="exact"/>
        <w:ind w:firstLine="624" w:firstLineChars="200"/>
        <w:rPr>
          <w:rFonts w:ascii="仿宋" w:hAnsi="仿宋" w:eastAsia="仿宋" w:cs="Times New Roman"/>
          <w:spacing w:val="6"/>
          <w:kern w:val="30"/>
          <w:sz w:val="30"/>
          <w:szCs w:val="30"/>
        </w:rPr>
      </w:pPr>
      <w:r>
        <w:rPr>
          <w:rFonts w:hint="eastAsia" w:ascii="仿宋" w:hAnsi="仿宋" w:eastAsia="仿宋" w:cs="Times New Roman"/>
          <w:spacing w:val="6"/>
          <w:kern w:val="30"/>
          <w:sz w:val="30"/>
          <w:szCs w:val="30"/>
        </w:rPr>
        <w:t>1.绩效评价原则</w:t>
      </w:r>
    </w:p>
    <w:p w14:paraId="0DAB6AF2">
      <w:pPr>
        <w:spacing w:line="579" w:lineRule="exact"/>
        <w:ind w:firstLine="600" w:firstLineChars="200"/>
        <w:rPr>
          <w:rFonts w:ascii="仿宋" w:hAnsi="仿宋" w:eastAsia="仿宋" w:cs="Times New Roman"/>
          <w:kern w:val="30"/>
          <w:sz w:val="30"/>
          <w:szCs w:val="30"/>
        </w:rPr>
      </w:pPr>
      <w:r>
        <w:rPr>
          <w:rFonts w:hint="eastAsia" w:ascii="仿宋" w:hAnsi="仿宋" w:eastAsia="仿宋" w:cs="Times New Roman"/>
          <w:kern w:val="30"/>
          <w:sz w:val="30"/>
          <w:szCs w:val="30"/>
        </w:rPr>
        <w:t>（</w:t>
      </w:r>
      <w:r>
        <w:rPr>
          <w:rFonts w:ascii="仿宋" w:hAnsi="仿宋" w:eastAsia="仿宋" w:cs="Times New Roman"/>
          <w:kern w:val="30"/>
          <w:sz w:val="30"/>
          <w:szCs w:val="30"/>
        </w:rPr>
        <w:t>1</w:t>
      </w:r>
      <w:r>
        <w:rPr>
          <w:rFonts w:hint="eastAsia" w:ascii="仿宋" w:hAnsi="仿宋" w:eastAsia="仿宋" w:cs="Times New Roman"/>
          <w:kern w:val="30"/>
          <w:sz w:val="30"/>
          <w:szCs w:val="30"/>
        </w:rPr>
        <w:t>）科学规范原则。绩效评价注重财政支出的经济性、效率性和有效性，合理确定绩效目标和评价内容，运用简便有效、定量与定性分析相结合的方法进行评价。</w:t>
      </w:r>
    </w:p>
    <w:p w14:paraId="65D9977A">
      <w:pPr>
        <w:spacing w:line="579" w:lineRule="exact"/>
        <w:ind w:firstLine="600" w:firstLineChars="200"/>
        <w:rPr>
          <w:rFonts w:ascii="仿宋" w:hAnsi="仿宋" w:eastAsia="仿宋" w:cs="Times New Roman"/>
          <w:kern w:val="30"/>
          <w:sz w:val="30"/>
          <w:szCs w:val="30"/>
        </w:rPr>
      </w:pPr>
      <w:r>
        <w:rPr>
          <w:rFonts w:ascii="仿宋" w:hAnsi="仿宋" w:eastAsia="仿宋" w:cs="Times New Roman"/>
          <w:kern w:val="30"/>
          <w:sz w:val="30"/>
          <w:szCs w:val="30"/>
        </w:rPr>
        <w:t>（2</w:t>
      </w:r>
      <w:r>
        <w:rPr>
          <w:rFonts w:hint="eastAsia" w:ascii="仿宋" w:hAnsi="仿宋" w:eastAsia="仿宋" w:cs="Times New Roman"/>
          <w:kern w:val="30"/>
          <w:sz w:val="30"/>
          <w:szCs w:val="30"/>
        </w:rPr>
        <w:t>）公正公开原则。绩效评价符合真实、客观、公正的要求，做到依据合法、标准统一、资料可靠、实事求是、公开透明。</w:t>
      </w:r>
    </w:p>
    <w:p w14:paraId="14E97968">
      <w:pPr>
        <w:spacing w:line="579" w:lineRule="exact"/>
        <w:ind w:firstLine="600" w:firstLineChars="200"/>
        <w:rPr>
          <w:rFonts w:ascii="仿宋" w:hAnsi="仿宋" w:eastAsia="仿宋" w:cs="Times New Roman"/>
          <w:kern w:val="30"/>
          <w:sz w:val="30"/>
          <w:szCs w:val="30"/>
        </w:rPr>
      </w:pPr>
      <w:r>
        <w:rPr>
          <w:rFonts w:hint="eastAsia" w:ascii="仿宋" w:hAnsi="仿宋" w:eastAsia="仿宋" w:cs="Times New Roman"/>
          <w:kern w:val="30"/>
          <w:sz w:val="30"/>
          <w:szCs w:val="30"/>
        </w:rPr>
        <w:t>（3）</w:t>
      </w:r>
      <w:r>
        <w:rPr>
          <w:rFonts w:hint="eastAsia" w:ascii="仿宋" w:hAnsi="仿宋" w:eastAsia="仿宋" w:cs="Times New Roman"/>
          <w:spacing w:val="6"/>
          <w:kern w:val="30"/>
          <w:sz w:val="30"/>
          <w:szCs w:val="30"/>
        </w:rPr>
        <w:t>目标引领原则。绩效评价围绕项目的绩效目标、实施单位的履职目标两个方面开展，设置全面量化或可衡量的指标来评价项目绩效目标的实际完成情况。</w:t>
      </w:r>
    </w:p>
    <w:p w14:paraId="32EF1619">
      <w:pPr>
        <w:tabs>
          <w:tab w:val="right" w:pos="8214"/>
        </w:tabs>
        <w:spacing w:line="579" w:lineRule="exact"/>
        <w:ind w:firstLine="600" w:firstLineChars="200"/>
        <w:rPr>
          <w:rFonts w:ascii="仿宋" w:hAnsi="仿宋" w:eastAsia="仿宋" w:cs="Times New Roman"/>
          <w:spacing w:val="6"/>
          <w:kern w:val="30"/>
          <w:sz w:val="30"/>
          <w:szCs w:val="30"/>
        </w:rPr>
      </w:pPr>
      <w:r>
        <w:rPr>
          <w:rFonts w:hint="eastAsia" w:ascii="仿宋" w:hAnsi="仿宋" w:eastAsia="仿宋" w:cs="Times New Roman"/>
          <w:kern w:val="30"/>
          <w:sz w:val="30"/>
          <w:szCs w:val="30"/>
        </w:rPr>
        <w:t>（4）绩效相关原则。绩效评价围绕具体支出及其产出绩效进行，评价结果清晰反映支出和产出绩效之间的紧密对应关系</w:t>
      </w:r>
      <w:r>
        <w:rPr>
          <w:rFonts w:hint="eastAsia" w:ascii="仿宋" w:hAnsi="仿宋" w:eastAsia="仿宋" w:cs="Times New Roman"/>
          <w:spacing w:val="6"/>
          <w:kern w:val="30"/>
          <w:sz w:val="30"/>
          <w:szCs w:val="30"/>
        </w:rPr>
        <w:t>。</w:t>
      </w:r>
    </w:p>
    <w:p w14:paraId="49264792">
      <w:pPr>
        <w:spacing w:line="579" w:lineRule="exact"/>
        <w:ind w:firstLine="600" w:firstLineChars="200"/>
        <w:rPr>
          <w:rFonts w:ascii="仿宋" w:hAnsi="仿宋" w:eastAsia="仿宋" w:cs="Times New Roman"/>
          <w:kern w:val="30"/>
          <w:sz w:val="30"/>
          <w:szCs w:val="30"/>
        </w:rPr>
      </w:pPr>
      <w:r>
        <w:rPr>
          <w:rFonts w:ascii="仿宋" w:hAnsi="仿宋" w:eastAsia="仿宋" w:cs="Times New Roman"/>
          <w:kern w:val="30"/>
          <w:sz w:val="30"/>
          <w:szCs w:val="30"/>
        </w:rPr>
        <w:t>2.</w:t>
      </w:r>
      <w:r>
        <w:rPr>
          <w:rFonts w:hint="eastAsia" w:ascii="仿宋" w:hAnsi="仿宋" w:eastAsia="仿宋" w:cs="Times New Roman"/>
          <w:kern w:val="30"/>
          <w:sz w:val="30"/>
          <w:szCs w:val="30"/>
        </w:rPr>
        <w:t>绩效评价指标体系</w:t>
      </w:r>
    </w:p>
    <w:p w14:paraId="276B296B">
      <w:pPr>
        <w:spacing w:line="579" w:lineRule="exact"/>
        <w:ind w:firstLine="624" w:firstLineChars="200"/>
        <w:rPr>
          <w:rFonts w:ascii="仿宋" w:hAnsi="Times New Roman" w:eastAsia="仿宋" w:cs="Times New Roman"/>
          <w:kern w:val="30"/>
          <w:sz w:val="30"/>
          <w:szCs w:val="21"/>
        </w:rPr>
      </w:pPr>
      <w:r>
        <w:rPr>
          <w:rFonts w:hint="eastAsia" w:ascii="仿宋" w:hAnsi="仿宋" w:eastAsia="仿宋" w:cs="Times New Roman"/>
          <w:spacing w:val="6"/>
          <w:kern w:val="0"/>
          <w:sz w:val="30"/>
          <w:szCs w:val="30"/>
        </w:rPr>
        <w:t>本次评价指标体系遵照《云南省项目支出绩效评价管理办法》的规定，结合</w:t>
      </w:r>
      <w:r>
        <w:rPr>
          <w:rFonts w:hint="eastAsia" w:ascii="仿宋" w:hAnsi="Times New Roman" w:eastAsia="仿宋" w:cs="Times New Roman"/>
          <w:kern w:val="30"/>
          <w:sz w:val="30"/>
          <w:szCs w:val="21"/>
        </w:rPr>
        <w:t>《玉溪市市级财政支出预算绩效评价操作规程（试行）》的</w:t>
      </w:r>
      <w:r>
        <w:rPr>
          <w:rFonts w:hint="eastAsia" w:ascii="仿宋" w:hAnsi="仿宋" w:eastAsia="仿宋" w:cs="Times New Roman"/>
          <w:spacing w:val="6"/>
          <w:kern w:val="0"/>
          <w:sz w:val="30"/>
          <w:szCs w:val="30"/>
        </w:rPr>
        <w:t>要求</w:t>
      </w:r>
      <w:bookmarkStart w:id="29" w:name="_Hlk43567622"/>
      <w:r>
        <w:rPr>
          <w:rFonts w:hint="eastAsia" w:ascii="仿宋" w:hAnsi="仿宋" w:eastAsia="仿宋" w:cs="Times New Roman"/>
          <w:spacing w:val="6"/>
          <w:kern w:val="0"/>
          <w:sz w:val="30"/>
          <w:szCs w:val="30"/>
        </w:rPr>
        <w:t>，</w:t>
      </w:r>
      <w:r>
        <w:rPr>
          <w:rFonts w:hint="eastAsia" w:ascii="仿宋" w:hAnsi="Times New Roman" w:eastAsia="仿宋" w:cs="Times New Roman"/>
          <w:kern w:val="30"/>
          <w:sz w:val="30"/>
          <w:szCs w:val="21"/>
        </w:rPr>
        <w:t>考虑资金下达文件、预算申报和批复等文件设置。共设置</w:t>
      </w:r>
      <w:r>
        <w:rPr>
          <w:rFonts w:hint="eastAsia" w:ascii="仿宋" w:hAnsi="仿宋" w:eastAsia="仿宋" w:cs="Times New Roman"/>
          <w:spacing w:val="6"/>
          <w:kern w:val="0"/>
          <w:sz w:val="30"/>
          <w:szCs w:val="30"/>
        </w:rPr>
        <w:t>决策、过程</w:t>
      </w:r>
      <w:bookmarkEnd w:id="29"/>
      <w:r>
        <w:rPr>
          <w:rFonts w:hint="eastAsia" w:ascii="仿宋" w:hAnsi="仿宋" w:eastAsia="仿宋" w:cs="Times New Roman"/>
          <w:spacing w:val="6"/>
          <w:kern w:val="0"/>
          <w:sz w:val="30"/>
          <w:szCs w:val="30"/>
        </w:rPr>
        <w:t>、产出和效益四个一级指标，所占权重分别为</w:t>
      </w:r>
      <w:r>
        <w:rPr>
          <w:rFonts w:ascii="仿宋" w:hAnsi="仿宋" w:eastAsia="仿宋" w:cs="Times New Roman"/>
          <w:spacing w:val="6"/>
          <w:kern w:val="0"/>
          <w:sz w:val="30"/>
          <w:szCs w:val="30"/>
        </w:rPr>
        <w:t>15</w:t>
      </w:r>
      <w:r>
        <w:rPr>
          <w:rFonts w:hint="eastAsia" w:ascii="仿宋" w:hAnsi="仿宋" w:eastAsia="仿宋" w:cs="Times New Roman"/>
          <w:spacing w:val="6"/>
          <w:kern w:val="0"/>
          <w:sz w:val="30"/>
          <w:szCs w:val="30"/>
        </w:rPr>
        <w:t>%、2</w:t>
      </w:r>
      <w:r>
        <w:rPr>
          <w:rFonts w:ascii="仿宋" w:hAnsi="仿宋" w:eastAsia="仿宋" w:cs="Times New Roman"/>
          <w:spacing w:val="6"/>
          <w:kern w:val="0"/>
          <w:sz w:val="30"/>
          <w:szCs w:val="30"/>
        </w:rPr>
        <w:t>0</w:t>
      </w:r>
      <w:r>
        <w:rPr>
          <w:rFonts w:hint="eastAsia" w:ascii="仿宋" w:hAnsi="仿宋" w:eastAsia="仿宋" w:cs="Times New Roman"/>
          <w:spacing w:val="6"/>
          <w:kern w:val="0"/>
          <w:sz w:val="30"/>
          <w:szCs w:val="30"/>
        </w:rPr>
        <w:t>%、3</w:t>
      </w:r>
      <w:r>
        <w:rPr>
          <w:rFonts w:ascii="仿宋" w:hAnsi="仿宋" w:eastAsia="仿宋" w:cs="Times New Roman"/>
          <w:spacing w:val="6"/>
          <w:kern w:val="0"/>
          <w:sz w:val="30"/>
          <w:szCs w:val="30"/>
        </w:rPr>
        <w:t>5</w:t>
      </w:r>
      <w:r>
        <w:rPr>
          <w:rFonts w:hint="eastAsia" w:ascii="仿宋" w:hAnsi="仿宋" w:eastAsia="仿宋" w:cs="Times New Roman"/>
          <w:spacing w:val="6"/>
          <w:kern w:val="0"/>
          <w:sz w:val="30"/>
          <w:szCs w:val="30"/>
        </w:rPr>
        <w:t>%、</w:t>
      </w:r>
      <w:r>
        <w:rPr>
          <w:rFonts w:ascii="仿宋" w:hAnsi="仿宋" w:eastAsia="仿宋" w:cs="Times New Roman"/>
          <w:spacing w:val="6"/>
          <w:kern w:val="0"/>
          <w:sz w:val="30"/>
          <w:szCs w:val="30"/>
        </w:rPr>
        <w:t>30</w:t>
      </w:r>
      <w:r>
        <w:rPr>
          <w:rFonts w:hint="eastAsia" w:ascii="仿宋" w:hAnsi="仿宋" w:eastAsia="仿宋" w:cs="Times New Roman"/>
          <w:spacing w:val="6"/>
          <w:kern w:val="0"/>
          <w:sz w:val="30"/>
          <w:szCs w:val="30"/>
        </w:rPr>
        <w:t>%，决策和过程的二级、三级指标</w:t>
      </w:r>
      <w:r>
        <w:rPr>
          <w:rFonts w:hint="eastAsia" w:ascii="仿宋" w:hAnsi="Times New Roman" w:eastAsia="仿宋" w:cs="Times New Roman"/>
          <w:kern w:val="30"/>
          <w:sz w:val="30"/>
          <w:szCs w:val="21"/>
        </w:rPr>
        <w:t>结合部门情况，采纳了部分共性指标</w:t>
      </w:r>
      <w:r>
        <w:rPr>
          <w:rFonts w:hint="eastAsia" w:ascii="仿宋" w:hAnsi="仿宋" w:eastAsia="仿宋" w:cs="Times New Roman"/>
          <w:spacing w:val="6"/>
          <w:kern w:val="0"/>
          <w:sz w:val="30"/>
          <w:szCs w:val="30"/>
        </w:rPr>
        <w:t>；产出指标设置了入学升学情况、学校建设发展情况、“改薄提升”建设实施情况、体育建设、师资力量五个二级指标;效益指标设置了社会效益、可持续发展和满意度三个二级指标</w:t>
      </w:r>
      <w:r>
        <w:rPr>
          <w:rFonts w:hint="eastAsia" w:ascii="仿宋" w:hAnsi="仿宋" w:eastAsia="仿宋" w:cs="Times New Roman"/>
          <w:color w:val="000000"/>
          <w:kern w:val="30"/>
          <w:sz w:val="30"/>
          <w:szCs w:val="30"/>
        </w:rPr>
        <w:t>，三级为</w:t>
      </w:r>
      <w:r>
        <w:rPr>
          <w:rFonts w:hint="eastAsia" w:ascii="仿宋" w:hAnsi="Times New Roman" w:eastAsia="仿宋" w:cs="Times New Roman"/>
          <w:kern w:val="30"/>
          <w:sz w:val="30"/>
          <w:szCs w:val="21"/>
        </w:rPr>
        <w:t>根据本次评价项目特点设计的个性指标。详见附件2.绩效评价指标体系。</w:t>
      </w:r>
    </w:p>
    <w:p w14:paraId="7A078550">
      <w:pPr>
        <w:spacing w:line="579" w:lineRule="exact"/>
        <w:ind w:firstLine="600" w:firstLineChars="200"/>
        <w:rPr>
          <w:rFonts w:ascii="仿宋" w:hAnsi="仿宋" w:eastAsia="仿宋" w:cs="Times New Roman"/>
          <w:kern w:val="30"/>
          <w:sz w:val="30"/>
          <w:szCs w:val="30"/>
        </w:rPr>
      </w:pPr>
      <w:r>
        <w:rPr>
          <w:rFonts w:ascii="仿宋" w:hAnsi="仿宋" w:eastAsia="仿宋" w:cs="Times New Roman"/>
          <w:kern w:val="30"/>
          <w:sz w:val="30"/>
          <w:szCs w:val="30"/>
        </w:rPr>
        <w:t>3.</w:t>
      </w:r>
      <w:r>
        <w:rPr>
          <w:rFonts w:hint="eastAsia" w:ascii="仿宋" w:hAnsi="仿宋" w:eastAsia="仿宋" w:cs="Times New Roman"/>
          <w:kern w:val="30"/>
          <w:sz w:val="30"/>
          <w:szCs w:val="30"/>
        </w:rPr>
        <w:t>绩效评价方法</w:t>
      </w:r>
    </w:p>
    <w:p w14:paraId="5C3F8A3A">
      <w:pPr>
        <w:spacing w:line="579" w:lineRule="exact"/>
        <w:ind w:firstLine="600" w:firstLineChars="200"/>
        <w:rPr>
          <w:rFonts w:ascii="仿宋" w:hAnsi="Times New Roman" w:eastAsia="仿宋" w:cs="Times New Roman"/>
          <w:kern w:val="30"/>
          <w:sz w:val="30"/>
          <w:szCs w:val="21"/>
        </w:rPr>
      </w:pPr>
      <w:r>
        <w:rPr>
          <w:rFonts w:hint="eastAsia" w:ascii="仿宋" w:hAnsi="仿宋" w:eastAsia="仿宋" w:cs="Times New Roman"/>
          <w:kern w:val="30"/>
          <w:sz w:val="30"/>
          <w:szCs w:val="21"/>
        </w:rPr>
        <w:t>结合评价项目的具体情况，本次评价主要采用资料审阅、比较分析法、资金查验法、公众评判法等方法进行评价。从决策、过程、产出和效益</w:t>
      </w:r>
      <w:r>
        <w:rPr>
          <w:rFonts w:hint="eastAsia" w:ascii="仿宋" w:hAnsi="Times New Roman" w:eastAsia="仿宋" w:cs="Times New Roman"/>
          <w:kern w:val="30"/>
          <w:sz w:val="30"/>
          <w:szCs w:val="21"/>
        </w:rPr>
        <w:t>四个方面，对部门资金的使用管理，综合效益等内容进行评价。</w:t>
      </w:r>
    </w:p>
    <w:p w14:paraId="3C18F1D3">
      <w:pPr>
        <w:spacing w:line="579" w:lineRule="exact"/>
        <w:ind w:firstLine="600" w:firstLineChars="200"/>
        <w:rPr>
          <w:rFonts w:ascii="仿宋" w:hAnsi="仿宋" w:eastAsia="仿宋" w:cs="Times New Roman"/>
          <w:kern w:val="30"/>
          <w:sz w:val="30"/>
          <w:szCs w:val="21"/>
        </w:rPr>
      </w:pPr>
      <w:r>
        <w:rPr>
          <w:rFonts w:hint="eastAsia" w:ascii="仿宋" w:hAnsi="仿宋" w:eastAsia="仿宋" w:cs="Times New Roman"/>
          <w:kern w:val="30"/>
          <w:sz w:val="30"/>
          <w:szCs w:val="21"/>
        </w:rPr>
        <w:t>（</w:t>
      </w:r>
      <w:r>
        <w:rPr>
          <w:rFonts w:ascii="仿宋" w:hAnsi="仿宋" w:eastAsia="仿宋" w:cs="Times New Roman"/>
          <w:kern w:val="30"/>
          <w:sz w:val="30"/>
          <w:szCs w:val="21"/>
        </w:rPr>
        <w:t>1</w:t>
      </w:r>
      <w:r>
        <w:rPr>
          <w:rFonts w:hint="eastAsia" w:ascii="仿宋" w:hAnsi="仿宋" w:eastAsia="仿宋" w:cs="Times New Roman"/>
          <w:kern w:val="30"/>
          <w:sz w:val="30"/>
          <w:szCs w:val="21"/>
        </w:rPr>
        <w:t>）资料审阅</w:t>
      </w:r>
    </w:p>
    <w:p w14:paraId="6EC50895">
      <w:pPr>
        <w:spacing w:line="579" w:lineRule="exact"/>
        <w:ind w:firstLine="600" w:firstLineChars="200"/>
        <w:rPr>
          <w:rFonts w:ascii="仿宋" w:hAnsi="仿宋" w:eastAsia="仿宋" w:cs="Times New Roman"/>
          <w:kern w:val="30"/>
          <w:sz w:val="30"/>
          <w:szCs w:val="21"/>
        </w:rPr>
      </w:pPr>
      <w:r>
        <w:rPr>
          <w:rFonts w:hint="eastAsia" w:ascii="仿宋" w:hAnsi="仿宋" w:eastAsia="仿宋" w:cs="Times New Roman"/>
          <w:kern w:val="30"/>
          <w:sz w:val="30"/>
          <w:szCs w:val="21"/>
        </w:rPr>
        <w:t>获取通海县教育体育局相关政策文件、通海县财政局预算批复、资金下达文件、项目管理和资金管理办法、自评报告、工作总结、资金收支的会计账簿资料相关数据等，进行认真审阅，准确把握项目资金的安排和使用情况、项目实施的内容、服务对象，通过查阅资料初步了解项目实施情况和绩效目标的实现情况，为评价工作收集充分、有效的证据。</w:t>
      </w:r>
    </w:p>
    <w:p w14:paraId="487C199B">
      <w:pPr>
        <w:spacing w:line="579" w:lineRule="exact"/>
        <w:ind w:firstLine="600" w:firstLineChars="200"/>
        <w:rPr>
          <w:rFonts w:ascii="仿宋" w:hAnsi="仿宋" w:eastAsia="仿宋" w:cs="Times New Roman"/>
          <w:kern w:val="30"/>
          <w:sz w:val="30"/>
          <w:szCs w:val="21"/>
        </w:rPr>
      </w:pPr>
      <w:r>
        <w:rPr>
          <w:rFonts w:hint="eastAsia" w:ascii="仿宋" w:hAnsi="仿宋" w:eastAsia="仿宋" w:cs="Times New Roman"/>
          <w:kern w:val="30"/>
          <w:sz w:val="30"/>
          <w:szCs w:val="21"/>
        </w:rPr>
        <w:t>（2）比较分析法</w:t>
      </w:r>
    </w:p>
    <w:p w14:paraId="6C5B10DA">
      <w:pPr>
        <w:spacing w:line="579" w:lineRule="exact"/>
        <w:ind w:firstLine="600" w:firstLineChars="200"/>
        <w:rPr>
          <w:rFonts w:ascii="仿宋" w:hAnsi="仿宋" w:eastAsia="仿宋" w:cs="Times New Roman"/>
          <w:kern w:val="30"/>
          <w:sz w:val="30"/>
          <w:szCs w:val="21"/>
        </w:rPr>
      </w:pPr>
      <w:r>
        <w:rPr>
          <w:rFonts w:hint="eastAsia" w:ascii="仿宋" w:hAnsi="仿宋" w:eastAsia="仿宋" w:cs="Times New Roman"/>
          <w:kern w:val="30"/>
          <w:sz w:val="30"/>
          <w:szCs w:val="21"/>
        </w:rPr>
        <w:t>通过对比预定目标和实际产出、效益，分析部门及项目产出的完成情况和效益实现程度，分析项目实施产生的效益。</w:t>
      </w:r>
    </w:p>
    <w:p w14:paraId="51C04228">
      <w:pPr>
        <w:spacing w:line="579" w:lineRule="exact"/>
        <w:ind w:firstLine="600" w:firstLineChars="200"/>
        <w:rPr>
          <w:rFonts w:ascii="仿宋" w:hAnsi="仿宋" w:eastAsia="仿宋" w:cs="Times New Roman"/>
          <w:kern w:val="30"/>
          <w:sz w:val="30"/>
          <w:szCs w:val="21"/>
        </w:rPr>
      </w:pPr>
      <w:r>
        <w:rPr>
          <w:rFonts w:hint="eastAsia" w:ascii="仿宋" w:hAnsi="仿宋" w:eastAsia="仿宋" w:cs="Times New Roman"/>
          <w:kern w:val="30"/>
          <w:sz w:val="30"/>
          <w:szCs w:val="21"/>
        </w:rPr>
        <w:t>（3）资金查验法</w:t>
      </w:r>
    </w:p>
    <w:p w14:paraId="35AF733F">
      <w:pPr>
        <w:spacing w:line="579" w:lineRule="exact"/>
        <w:ind w:firstLine="600" w:firstLineChars="200"/>
        <w:rPr>
          <w:rFonts w:ascii="仿宋" w:hAnsi="仿宋" w:eastAsia="仿宋" w:cs="Times New Roman"/>
          <w:kern w:val="30"/>
          <w:sz w:val="30"/>
          <w:szCs w:val="21"/>
        </w:rPr>
      </w:pPr>
      <w:r>
        <w:rPr>
          <w:rFonts w:hint="eastAsia" w:ascii="仿宋" w:hAnsi="仿宋" w:eastAsia="仿宋" w:cs="Times New Roman"/>
          <w:kern w:val="30"/>
          <w:sz w:val="30"/>
          <w:szCs w:val="21"/>
        </w:rPr>
        <w:t>通过对通海县教育体育局及下属事业单位会计账簿记录和原始凭证的检查，对资金的到位、拨付及使用情况进行梳理和检查，对资金未使用的原因进行追溯分析。结合各种统计报表对相关数据勾稽关系进行对比分析，发现疑点时延伸以前年度资金使用情况，通过对资金流向的追溯，判断资金使用的合规性、合理性和相关性。</w:t>
      </w:r>
    </w:p>
    <w:p w14:paraId="26900E07">
      <w:pPr>
        <w:spacing w:line="579" w:lineRule="exact"/>
        <w:ind w:firstLine="600" w:firstLineChars="200"/>
        <w:rPr>
          <w:rFonts w:ascii="仿宋" w:hAnsi="仿宋" w:eastAsia="仿宋" w:cs="Times New Roman"/>
          <w:kern w:val="30"/>
          <w:sz w:val="30"/>
          <w:szCs w:val="21"/>
        </w:rPr>
      </w:pPr>
      <w:r>
        <w:rPr>
          <w:rFonts w:hint="eastAsia" w:ascii="仿宋" w:hAnsi="仿宋" w:eastAsia="仿宋" w:cs="Times New Roman"/>
          <w:kern w:val="30"/>
          <w:sz w:val="30"/>
          <w:szCs w:val="21"/>
        </w:rPr>
        <w:t>（4）实地调查法</w:t>
      </w:r>
    </w:p>
    <w:p w14:paraId="2C284541">
      <w:pPr>
        <w:spacing w:line="579" w:lineRule="exact"/>
        <w:ind w:firstLine="600" w:firstLineChars="200"/>
        <w:rPr>
          <w:rFonts w:ascii="仿宋" w:hAnsi="仿宋" w:eastAsia="仿宋" w:cs="Times New Roman"/>
          <w:kern w:val="30"/>
          <w:sz w:val="30"/>
          <w:szCs w:val="21"/>
        </w:rPr>
      </w:pPr>
      <w:r>
        <w:rPr>
          <w:rFonts w:hint="eastAsia" w:ascii="仿宋" w:hAnsi="仿宋" w:eastAsia="仿宋" w:cs="Times New Roman"/>
          <w:kern w:val="30"/>
          <w:sz w:val="30"/>
          <w:szCs w:val="21"/>
        </w:rPr>
        <w:t>本次实地评价结合</w:t>
      </w:r>
      <w:r>
        <w:rPr>
          <w:rFonts w:ascii="仿宋" w:hAnsi="仿宋" w:eastAsia="仿宋" w:cs="Times New Roman"/>
          <w:kern w:val="30"/>
          <w:sz w:val="30"/>
          <w:szCs w:val="21"/>
        </w:rPr>
        <w:t>2020</w:t>
      </w:r>
      <w:r>
        <w:rPr>
          <w:rFonts w:hint="eastAsia" w:ascii="仿宋" w:hAnsi="仿宋" w:eastAsia="仿宋" w:cs="Times New Roman"/>
          <w:kern w:val="30"/>
          <w:sz w:val="30"/>
          <w:szCs w:val="21"/>
        </w:rPr>
        <w:t>年通海县教育体育局部门整体支出资金的使用情况实地调查采取现场查验及询问的方式，进行实地调查，在现场采用召开座谈会、问卷调查、设计基础数据采集表等方式进行实地调查取证。</w:t>
      </w:r>
    </w:p>
    <w:p w14:paraId="3B1EC6D6">
      <w:pPr>
        <w:spacing w:line="579" w:lineRule="exact"/>
        <w:ind w:firstLine="600" w:firstLineChars="200"/>
        <w:rPr>
          <w:rFonts w:ascii="仿宋" w:hAnsi="仿宋" w:eastAsia="仿宋" w:cs="Times New Roman"/>
          <w:kern w:val="30"/>
          <w:sz w:val="30"/>
          <w:szCs w:val="21"/>
        </w:rPr>
      </w:pPr>
      <w:r>
        <w:rPr>
          <w:rFonts w:hint="eastAsia" w:ascii="仿宋" w:hAnsi="仿宋" w:eastAsia="仿宋" w:cs="Times New Roman"/>
          <w:kern w:val="30"/>
          <w:sz w:val="30"/>
          <w:szCs w:val="21"/>
        </w:rPr>
        <w:t>（</w:t>
      </w:r>
      <w:r>
        <w:rPr>
          <w:rFonts w:ascii="仿宋" w:hAnsi="仿宋" w:eastAsia="仿宋" w:cs="Times New Roman"/>
          <w:kern w:val="30"/>
          <w:sz w:val="30"/>
          <w:szCs w:val="21"/>
        </w:rPr>
        <w:t>5</w:t>
      </w:r>
      <w:r>
        <w:rPr>
          <w:rFonts w:hint="eastAsia" w:ascii="仿宋" w:hAnsi="仿宋" w:eastAsia="仿宋" w:cs="Times New Roman"/>
          <w:kern w:val="30"/>
          <w:sz w:val="30"/>
          <w:szCs w:val="21"/>
        </w:rPr>
        <w:t>）公众评判法</w:t>
      </w:r>
    </w:p>
    <w:p w14:paraId="00F26BB1">
      <w:pPr>
        <w:spacing w:line="579" w:lineRule="exact"/>
        <w:ind w:firstLine="600" w:firstLineChars="200"/>
        <w:rPr>
          <w:rFonts w:ascii="仿宋" w:hAnsi="仿宋" w:eastAsia="仿宋" w:cs="Times New Roman"/>
          <w:kern w:val="30"/>
          <w:sz w:val="30"/>
          <w:szCs w:val="21"/>
        </w:rPr>
      </w:pPr>
      <w:r>
        <w:rPr>
          <w:rFonts w:hint="eastAsia" w:ascii="仿宋" w:hAnsi="仿宋" w:eastAsia="仿宋" w:cs="Times New Roman"/>
          <w:kern w:val="30"/>
          <w:sz w:val="30"/>
          <w:szCs w:val="21"/>
        </w:rPr>
        <w:t>通过现场调查与座谈、发放问卷等方式，对教职工、学生及家长等直接或间接受益对象进行调查，了解和分析相关群体的满意度。问卷设计的问题与部门整体紧密相关且简单、清晰明了，通过问卷调查采集对项目实施情况和实施效果的意见和建议，为满意度等提供定性与定量评价的基础。</w:t>
      </w:r>
    </w:p>
    <w:p w14:paraId="0D3EDCD0">
      <w:pPr>
        <w:tabs>
          <w:tab w:val="right" w:pos="8214"/>
        </w:tabs>
        <w:spacing w:line="579" w:lineRule="exact"/>
        <w:ind w:firstLine="624" w:firstLineChars="200"/>
        <w:rPr>
          <w:rFonts w:ascii="仿宋" w:hAnsi="仿宋" w:eastAsia="仿宋" w:cs="Times New Roman"/>
          <w:spacing w:val="6"/>
          <w:kern w:val="30"/>
          <w:sz w:val="30"/>
          <w:szCs w:val="30"/>
        </w:rPr>
      </w:pPr>
      <w:r>
        <w:rPr>
          <w:rFonts w:ascii="仿宋" w:hAnsi="仿宋" w:eastAsia="仿宋" w:cs="Times New Roman"/>
          <w:spacing w:val="6"/>
          <w:kern w:val="30"/>
          <w:sz w:val="30"/>
          <w:szCs w:val="30"/>
        </w:rPr>
        <w:t>4.评价标准</w:t>
      </w:r>
    </w:p>
    <w:p w14:paraId="0A453426">
      <w:pPr>
        <w:spacing w:line="579" w:lineRule="exact"/>
        <w:ind w:firstLine="624" w:firstLineChars="200"/>
        <w:rPr>
          <w:rFonts w:ascii="仿宋" w:hAnsi="仿宋" w:eastAsia="仿宋" w:cs="Times New Roman"/>
          <w:spacing w:val="6"/>
          <w:kern w:val="0"/>
          <w:sz w:val="30"/>
          <w:szCs w:val="30"/>
        </w:rPr>
      </w:pPr>
      <w:r>
        <w:rPr>
          <w:rFonts w:hint="eastAsia" w:ascii="仿宋" w:hAnsi="仿宋" w:eastAsia="仿宋" w:cs="Times New Roman"/>
          <w:spacing w:val="6"/>
          <w:kern w:val="0"/>
          <w:sz w:val="30"/>
          <w:szCs w:val="30"/>
        </w:rPr>
        <w:t>本次评价标准采用了计划标准、历史标准和行业标准，用于对指标完成情况进行比较。计划标准是根据年初制定的目标、计划作为评价标准；历史标准是参照历史数据，取前两年的平均值作为评价标准；行业标准是根据全国的统一标准进行等级评定和排名。评价采用百分制，各级指标依据其指标权重确定分值，评价人员根据评价情况对各级指标进行打分，最终得分由各级评价指标得分加总得出。根据最终得分情况将评价标准分为四个等级：优（得分≥</w:t>
      </w:r>
      <w:r>
        <w:rPr>
          <w:rFonts w:ascii="仿宋" w:hAnsi="仿宋" w:eastAsia="仿宋" w:cs="Times New Roman"/>
          <w:spacing w:val="6"/>
          <w:kern w:val="0"/>
          <w:sz w:val="30"/>
          <w:szCs w:val="30"/>
        </w:rPr>
        <w:t>90分）；良（80分≤得分﹤90分）；中（60分≤得分﹤80分）；差（得分﹤60分）。</w:t>
      </w:r>
    </w:p>
    <w:p w14:paraId="03FBC1B8">
      <w:pPr>
        <w:spacing w:line="579" w:lineRule="exact"/>
        <w:ind w:firstLine="600" w:firstLineChars="200"/>
        <w:rPr>
          <w:rFonts w:ascii="仿宋" w:hAnsi="仿宋" w:eastAsia="仿宋" w:cs="Times New Roman"/>
          <w:kern w:val="30"/>
          <w:sz w:val="30"/>
          <w:szCs w:val="30"/>
        </w:rPr>
      </w:pPr>
      <w:r>
        <w:rPr>
          <w:rFonts w:ascii="仿宋" w:hAnsi="仿宋" w:eastAsia="仿宋" w:cs="Times New Roman"/>
          <w:kern w:val="30"/>
          <w:sz w:val="30"/>
          <w:szCs w:val="30"/>
        </w:rPr>
        <w:t>5.</w:t>
      </w:r>
      <w:r>
        <w:rPr>
          <w:rFonts w:hint="eastAsia" w:ascii="仿宋" w:hAnsi="仿宋" w:eastAsia="仿宋" w:cs="Times New Roman"/>
          <w:kern w:val="30"/>
          <w:sz w:val="30"/>
          <w:szCs w:val="30"/>
        </w:rPr>
        <w:t>评价抽样</w:t>
      </w:r>
    </w:p>
    <w:p w14:paraId="06AF68D7">
      <w:pPr>
        <w:spacing w:line="579" w:lineRule="exact"/>
        <w:ind w:firstLine="624" w:firstLineChars="200"/>
        <w:rPr>
          <w:rFonts w:ascii="仿宋" w:hAnsi="仿宋" w:eastAsia="仿宋" w:cs="Times New Roman"/>
          <w:spacing w:val="6"/>
          <w:kern w:val="30"/>
          <w:sz w:val="30"/>
          <w:szCs w:val="30"/>
        </w:rPr>
      </w:pPr>
      <w:r>
        <w:rPr>
          <w:rFonts w:hint="eastAsia" w:ascii="仿宋" w:hAnsi="仿宋" w:eastAsia="仿宋" w:cs="Times New Roman"/>
          <w:spacing w:val="6"/>
          <w:kern w:val="30"/>
          <w:sz w:val="30"/>
          <w:szCs w:val="30"/>
        </w:rPr>
        <w:t>根据通海县教育体育局部门整体支出的实际情况，评价时抽样结合年度重点工作任务方向，本次评价抽取通海县第一幼儿园、通海县秀山第一小学、通海县第一中学、通海县九龙中学进行实地评价。抽取的单位重点检查会计凭证、项目实施过程及验收相关资料，评价资金使用的合规性等。根据抽样资料检查情况随机抽取部分项目现场查勘。</w:t>
      </w:r>
    </w:p>
    <w:p w14:paraId="3604F694">
      <w:pPr>
        <w:spacing w:line="579" w:lineRule="exact"/>
        <w:ind w:firstLine="600" w:firstLineChars="200"/>
        <w:rPr>
          <w:rFonts w:ascii="仿宋" w:hAnsi="仿宋" w:eastAsia="仿宋" w:cs="Times New Roman"/>
          <w:kern w:val="30"/>
          <w:sz w:val="30"/>
          <w:szCs w:val="21"/>
        </w:rPr>
      </w:pPr>
      <w:r>
        <w:rPr>
          <w:rFonts w:ascii="仿宋" w:hAnsi="仿宋" w:eastAsia="仿宋" w:cs="Times New Roman"/>
          <w:kern w:val="30"/>
          <w:sz w:val="30"/>
          <w:szCs w:val="30"/>
        </w:rPr>
        <w:t>6.</w:t>
      </w:r>
      <w:r>
        <w:rPr>
          <w:rFonts w:hint="eastAsia" w:ascii="仿宋" w:hAnsi="仿宋" w:eastAsia="仿宋" w:cs="Times New Roman"/>
          <w:kern w:val="30"/>
          <w:sz w:val="30"/>
          <w:szCs w:val="30"/>
        </w:rPr>
        <w:t>绩效评价依据</w:t>
      </w:r>
    </w:p>
    <w:p w14:paraId="752A4754">
      <w:pPr>
        <w:spacing w:line="579" w:lineRule="exact"/>
        <w:ind w:firstLine="624" w:firstLineChars="200"/>
        <w:rPr>
          <w:rFonts w:ascii="仿宋" w:hAnsi="仿宋" w:eastAsia="仿宋" w:cs="Times New Roman"/>
          <w:spacing w:val="6"/>
          <w:kern w:val="30"/>
          <w:sz w:val="30"/>
          <w:szCs w:val="30"/>
        </w:rPr>
      </w:pPr>
      <w:r>
        <w:rPr>
          <w:rFonts w:hint="eastAsia" w:ascii="仿宋" w:hAnsi="仿宋" w:eastAsia="仿宋" w:cs="Times New Roman"/>
          <w:spacing w:val="6"/>
          <w:sz w:val="30"/>
          <w:szCs w:val="30"/>
        </w:rPr>
        <w:t>（</w:t>
      </w:r>
      <w:r>
        <w:rPr>
          <w:rFonts w:ascii="仿宋" w:hAnsi="仿宋" w:eastAsia="仿宋" w:cs="Times New Roman"/>
          <w:spacing w:val="6"/>
          <w:sz w:val="30"/>
          <w:szCs w:val="30"/>
        </w:rPr>
        <w:t>1</w:t>
      </w:r>
      <w:r>
        <w:rPr>
          <w:rFonts w:hint="eastAsia" w:ascii="仿宋" w:hAnsi="仿宋" w:eastAsia="仿宋" w:cs="Times New Roman"/>
          <w:spacing w:val="6"/>
          <w:sz w:val="30"/>
          <w:szCs w:val="30"/>
        </w:rPr>
        <w:t>）《中华人民共和国预算法》（201</w:t>
      </w:r>
      <w:r>
        <w:rPr>
          <w:rFonts w:ascii="仿宋" w:hAnsi="仿宋" w:eastAsia="仿宋" w:cs="Times New Roman"/>
          <w:spacing w:val="6"/>
          <w:sz w:val="30"/>
          <w:szCs w:val="30"/>
        </w:rPr>
        <w:t>8</w:t>
      </w:r>
      <w:r>
        <w:rPr>
          <w:rFonts w:hint="eastAsia" w:ascii="仿宋" w:hAnsi="仿宋" w:eastAsia="仿宋" w:cs="Times New Roman"/>
          <w:spacing w:val="6"/>
          <w:sz w:val="30"/>
          <w:szCs w:val="30"/>
        </w:rPr>
        <w:t>年修订）</w:t>
      </w:r>
    </w:p>
    <w:p w14:paraId="6C5C907A">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Times New Roman"/>
          <w:kern w:val="30"/>
          <w:sz w:val="30"/>
          <w:szCs w:val="21"/>
        </w:rPr>
        <w:t>（2）</w:t>
      </w:r>
      <w:r>
        <w:rPr>
          <w:rFonts w:ascii="仿宋" w:hAnsi="Times New Roman" w:eastAsia="仿宋" w:cs="Times New Roman"/>
          <w:kern w:val="30"/>
          <w:sz w:val="30"/>
          <w:szCs w:val="21"/>
        </w:rPr>
        <w:t>《财政部关于印发项目支出绩效评价管理办法的通知》（财预〔2020〕10号）</w:t>
      </w:r>
    </w:p>
    <w:p w14:paraId="4137EFC3">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Times New Roman"/>
          <w:kern w:val="30"/>
          <w:sz w:val="30"/>
          <w:szCs w:val="21"/>
        </w:rPr>
        <w:t>（3）</w:t>
      </w:r>
      <w:r>
        <w:rPr>
          <w:rFonts w:ascii="仿宋" w:hAnsi="Times New Roman" w:eastAsia="仿宋" w:cs="Times New Roman"/>
          <w:kern w:val="30"/>
          <w:sz w:val="30"/>
          <w:szCs w:val="21"/>
        </w:rPr>
        <w:t>《关于贯彻落实&lt;中共云南省委、云南省人民政府关于全面实施预算绩效管理的实施意见&gt;的通知》（通办发〔2019〕33号）</w:t>
      </w:r>
    </w:p>
    <w:p w14:paraId="59017359">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Times New Roman"/>
          <w:kern w:val="30"/>
          <w:sz w:val="30"/>
          <w:szCs w:val="21"/>
        </w:rPr>
        <w:t>（4）</w:t>
      </w:r>
      <w:r>
        <w:rPr>
          <w:rFonts w:ascii="仿宋" w:hAnsi="Times New Roman" w:eastAsia="仿宋" w:cs="Times New Roman"/>
          <w:kern w:val="30"/>
          <w:sz w:val="30"/>
          <w:szCs w:val="21"/>
        </w:rPr>
        <w:t>《关于印发&lt;玉溪市市级财政支出预算绩效评价操作规程（试行）&gt;的通知》（玉财投〔2018〕1号）</w:t>
      </w:r>
    </w:p>
    <w:p w14:paraId="1BDA378F">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Times New Roman"/>
          <w:kern w:val="30"/>
          <w:sz w:val="30"/>
          <w:szCs w:val="21"/>
        </w:rPr>
        <w:t>（5）</w:t>
      </w:r>
      <w:r>
        <w:rPr>
          <w:rFonts w:ascii="仿宋" w:hAnsi="Times New Roman" w:eastAsia="仿宋" w:cs="Times New Roman"/>
          <w:kern w:val="30"/>
          <w:sz w:val="30"/>
          <w:szCs w:val="21"/>
        </w:rPr>
        <w:t>《通海县预算绩效评价实施办法》（通财〔2017〕392号）</w:t>
      </w:r>
    </w:p>
    <w:p w14:paraId="4FEC443C">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Times New Roman"/>
          <w:kern w:val="30"/>
          <w:sz w:val="30"/>
          <w:szCs w:val="21"/>
        </w:rPr>
        <w:t>（6）</w:t>
      </w:r>
      <w:r>
        <w:rPr>
          <w:rFonts w:ascii="仿宋" w:hAnsi="Times New Roman" w:eastAsia="仿宋" w:cs="Times New Roman"/>
          <w:kern w:val="30"/>
          <w:sz w:val="30"/>
          <w:szCs w:val="21"/>
        </w:rPr>
        <w:t>《通海县“十三五”教育事业发展规划》</w:t>
      </w:r>
    </w:p>
    <w:p w14:paraId="3B721856">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Times New Roman"/>
          <w:kern w:val="30"/>
          <w:sz w:val="30"/>
          <w:szCs w:val="21"/>
        </w:rPr>
        <w:t>（7）</w:t>
      </w:r>
      <w:r>
        <w:rPr>
          <w:rFonts w:ascii="仿宋" w:hAnsi="Times New Roman" w:eastAsia="仿宋" w:cs="Times New Roman"/>
          <w:kern w:val="30"/>
          <w:sz w:val="30"/>
          <w:szCs w:val="21"/>
        </w:rPr>
        <w:t>《中共通海县委办公室 通海县人民政府办公室关于印发通海县教育体育局职能配置、内设机构和人员编制规定的通知》（通室字〔2019〕17号）</w:t>
      </w:r>
    </w:p>
    <w:p w14:paraId="2616685D">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Times New Roman"/>
          <w:kern w:val="30"/>
          <w:sz w:val="30"/>
          <w:szCs w:val="21"/>
        </w:rPr>
        <w:t>（8）</w:t>
      </w:r>
      <w:r>
        <w:rPr>
          <w:rFonts w:ascii="仿宋" w:hAnsi="Times New Roman" w:eastAsia="仿宋" w:cs="Times New Roman"/>
          <w:kern w:val="30"/>
          <w:sz w:val="30"/>
          <w:szCs w:val="21"/>
        </w:rPr>
        <w:t>《教育部关于印发中等职业学校设置标准的通知》（教职成〔2010〕12号）</w:t>
      </w:r>
    </w:p>
    <w:p w14:paraId="289F1683">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Times New Roman"/>
          <w:kern w:val="30"/>
          <w:sz w:val="30"/>
          <w:szCs w:val="21"/>
        </w:rPr>
        <w:t>（9）</w:t>
      </w:r>
      <w:r>
        <w:rPr>
          <w:rFonts w:ascii="仿宋" w:hAnsi="Times New Roman" w:eastAsia="仿宋" w:cs="Times New Roman"/>
          <w:kern w:val="30"/>
          <w:sz w:val="30"/>
          <w:szCs w:val="21"/>
        </w:rPr>
        <w:t>《云南省义务教育学校办学基本标准》</w:t>
      </w:r>
    </w:p>
    <w:p w14:paraId="5A6FDA86">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Times New Roman"/>
          <w:kern w:val="30"/>
          <w:sz w:val="30"/>
          <w:szCs w:val="21"/>
        </w:rPr>
        <w:t>（1</w:t>
      </w:r>
      <w:r>
        <w:rPr>
          <w:rFonts w:ascii="仿宋" w:hAnsi="Times New Roman" w:eastAsia="仿宋" w:cs="Times New Roman"/>
          <w:kern w:val="30"/>
          <w:sz w:val="30"/>
          <w:szCs w:val="21"/>
        </w:rPr>
        <w:t>0</w:t>
      </w:r>
      <w:r>
        <w:rPr>
          <w:rFonts w:hint="eastAsia" w:ascii="仿宋" w:hAnsi="Times New Roman" w:eastAsia="仿宋" w:cs="Times New Roman"/>
          <w:kern w:val="30"/>
          <w:sz w:val="30"/>
          <w:szCs w:val="21"/>
        </w:rPr>
        <w:t>）</w:t>
      </w:r>
      <w:r>
        <w:rPr>
          <w:rFonts w:ascii="仿宋" w:hAnsi="Times New Roman" w:eastAsia="仿宋" w:cs="Times New Roman"/>
          <w:kern w:val="30"/>
          <w:sz w:val="30"/>
          <w:szCs w:val="21"/>
        </w:rPr>
        <w:t>通海县教育体育局“十三五”工作总结和“十四五”规划编制研究及2021工作计划</w:t>
      </w:r>
    </w:p>
    <w:p w14:paraId="6137B13A">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Times New Roman"/>
          <w:kern w:val="30"/>
          <w:sz w:val="30"/>
          <w:szCs w:val="21"/>
        </w:rPr>
        <w:t>（1</w:t>
      </w:r>
      <w:r>
        <w:rPr>
          <w:rFonts w:ascii="仿宋" w:hAnsi="Times New Roman" w:eastAsia="仿宋" w:cs="Times New Roman"/>
          <w:kern w:val="30"/>
          <w:sz w:val="30"/>
          <w:szCs w:val="21"/>
        </w:rPr>
        <w:t>1</w:t>
      </w:r>
      <w:r>
        <w:rPr>
          <w:rFonts w:hint="eastAsia" w:ascii="仿宋" w:hAnsi="Times New Roman" w:eastAsia="仿宋" w:cs="Times New Roman"/>
          <w:kern w:val="30"/>
          <w:sz w:val="30"/>
          <w:szCs w:val="21"/>
        </w:rPr>
        <w:t>）</w:t>
      </w:r>
      <w:r>
        <w:rPr>
          <w:rFonts w:ascii="仿宋" w:hAnsi="Times New Roman" w:eastAsia="仿宋" w:cs="Times New Roman"/>
          <w:kern w:val="30"/>
          <w:sz w:val="30"/>
          <w:szCs w:val="21"/>
        </w:rPr>
        <w:t>通海县教育体育局2019年工作总结及2020年工作计划</w:t>
      </w:r>
    </w:p>
    <w:p w14:paraId="64837BE6">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Times New Roman"/>
          <w:kern w:val="30"/>
          <w:sz w:val="30"/>
          <w:szCs w:val="21"/>
        </w:rPr>
        <w:t>（1</w:t>
      </w:r>
      <w:r>
        <w:rPr>
          <w:rFonts w:ascii="仿宋" w:hAnsi="Times New Roman" w:eastAsia="仿宋" w:cs="Times New Roman"/>
          <w:kern w:val="30"/>
          <w:sz w:val="30"/>
          <w:szCs w:val="21"/>
        </w:rPr>
        <w:t>2</w:t>
      </w:r>
      <w:r>
        <w:rPr>
          <w:rFonts w:hint="eastAsia" w:ascii="仿宋" w:hAnsi="Times New Roman" w:eastAsia="仿宋" w:cs="Times New Roman"/>
          <w:kern w:val="30"/>
          <w:sz w:val="30"/>
          <w:szCs w:val="21"/>
        </w:rPr>
        <w:t>）</w:t>
      </w:r>
      <w:r>
        <w:rPr>
          <w:rFonts w:ascii="仿宋" w:hAnsi="Times New Roman" w:eastAsia="仿宋" w:cs="Times New Roman"/>
          <w:kern w:val="30"/>
          <w:sz w:val="30"/>
          <w:szCs w:val="21"/>
        </w:rPr>
        <w:t>其他</w:t>
      </w:r>
    </w:p>
    <w:p w14:paraId="4010DD2D">
      <w:pPr>
        <w:spacing w:line="579" w:lineRule="exact"/>
        <w:ind w:firstLine="624" w:firstLineChars="200"/>
        <w:outlineLvl w:val="1"/>
        <w:rPr>
          <w:rFonts w:ascii="楷体" w:hAnsi="楷体" w:eastAsia="楷体" w:cs="Times New Roman"/>
          <w:spacing w:val="6"/>
          <w:kern w:val="30"/>
          <w:sz w:val="30"/>
          <w:szCs w:val="30"/>
        </w:rPr>
      </w:pPr>
      <w:bookmarkStart w:id="30" w:name="_Toc51423753"/>
      <w:bookmarkStart w:id="31" w:name="_Toc10760"/>
      <w:r>
        <w:rPr>
          <w:rFonts w:hint="eastAsia" w:ascii="楷体" w:hAnsi="楷体" w:eastAsia="楷体" w:cs="Times New Roman"/>
          <w:spacing w:val="6"/>
          <w:kern w:val="30"/>
          <w:sz w:val="30"/>
          <w:szCs w:val="30"/>
        </w:rPr>
        <w:t>（三）绩效评价工作过程</w:t>
      </w:r>
      <w:bookmarkEnd w:id="30"/>
      <w:bookmarkEnd w:id="31"/>
    </w:p>
    <w:p w14:paraId="5C48A22A">
      <w:pPr>
        <w:spacing w:line="579" w:lineRule="exact"/>
        <w:ind w:firstLine="600" w:firstLineChars="200"/>
        <w:rPr>
          <w:rFonts w:ascii="仿宋" w:hAnsi="仿宋" w:eastAsia="仿宋" w:cs="Times New Roman"/>
          <w:kern w:val="0"/>
          <w:sz w:val="30"/>
          <w:szCs w:val="21"/>
        </w:rPr>
      </w:pPr>
      <w:r>
        <w:rPr>
          <w:rFonts w:hint="eastAsia" w:ascii="仿宋" w:hAnsi="仿宋" w:eastAsia="仿宋" w:cs="Times New Roman"/>
          <w:kern w:val="0"/>
          <w:sz w:val="30"/>
          <w:szCs w:val="21"/>
        </w:rPr>
        <w:t>绩效评价工作过程主要为：开展项目前期调研，编制实施方案，方案征求意见，实地评价，撰写绩效评价报告，绩效评价报告征求意见及修改完善，出具绩效评价报告。</w:t>
      </w:r>
    </w:p>
    <w:p w14:paraId="7B22E28C">
      <w:pPr>
        <w:snapToGrid w:val="0"/>
        <w:spacing w:line="579" w:lineRule="exact"/>
        <w:ind w:firstLine="600" w:firstLineChars="200"/>
        <w:contextualSpacing/>
        <w:rPr>
          <w:rFonts w:ascii="仿宋" w:hAnsi="仿宋" w:eastAsia="仿宋" w:cs="Times New Roman"/>
          <w:kern w:val="0"/>
          <w:sz w:val="30"/>
          <w:szCs w:val="21"/>
        </w:rPr>
      </w:pPr>
      <w:r>
        <w:rPr>
          <w:rFonts w:hint="eastAsia" w:ascii="仿宋" w:hAnsi="仿宋" w:eastAsia="仿宋" w:cs="Times New Roman"/>
          <w:kern w:val="0"/>
          <w:sz w:val="30"/>
          <w:szCs w:val="21"/>
        </w:rPr>
        <w:t>1</w:t>
      </w:r>
      <w:r>
        <w:rPr>
          <w:rFonts w:ascii="仿宋" w:hAnsi="仿宋" w:eastAsia="仿宋" w:cs="Times New Roman"/>
          <w:kern w:val="0"/>
          <w:sz w:val="30"/>
          <w:szCs w:val="21"/>
        </w:rPr>
        <w:t>.开展前期调研：评价工作组与</w:t>
      </w:r>
      <w:r>
        <w:rPr>
          <w:rFonts w:hint="eastAsia" w:ascii="仿宋" w:hAnsi="仿宋" w:eastAsia="仿宋" w:cs="Times New Roman"/>
          <w:kern w:val="0"/>
          <w:sz w:val="30"/>
          <w:szCs w:val="21"/>
        </w:rPr>
        <w:t>相关单位</w:t>
      </w:r>
      <w:r>
        <w:rPr>
          <w:rFonts w:ascii="仿宋" w:hAnsi="仿宋" w:eastAsia="仿宋" w:cs="Times New Roman"/>
          <w:kern w:val="0"/>
          <w:sz w:val="30"/>
          <w:szCs w:val="21"/>
        </w:rPr>
        <w:t>充分沟通，准确了解</w:t>
      </w:r>
      <w:r>
        <w:rPr>
          <w:rFonts w:hint="eastAsia" w:ascii="仿宋" w:hAnsi="仿宋" w:eastAsia="仿宋" w:cs="Times New Roman"/>
          <w:kern w:val="0"/>
          <w:sz w:val="30"/>
          <w:szCs w:val="21"/>
        </w:rPr>
        <w:t>部门</w:t>
      </w:r>
      <w:r>
        <w:rPr>
          <w:rFonts w:ascii="仿宋" w:hAnsi="仿宋" w:eastAsia="仿宋" w:cs="Times New Roman"/>
          <w:kern w:val="0"/>
          <w:sz w:val="30"/>
          <w:szCs w:val="21"/>
        </w:rPr>
        <w:t>概况，多渠道收集</w:t>
      </w:r>
      <w:r>
        <w:rPr>
          <w:rFonts w:hint="eastAsia" w:ascii="仿宋" w:hAnsi="仿宋" w:eastAsia="仿宋" w:cs="Times New Roman"/>
          <w:kern w:val="0"/>
          <w:sz w:val="30"/>
          <w:szCs w:val="21"/>
        </w:rPr>
        <w:t>部门</w:t>
      </w:r>
      <w:r>
        <w:rPr>
          <w:rFonts w:ascii="仿宋" w:hAnsi="仿宋" w:eastAsia="仿宋" w:cs="Times New Roman"/>
          <w:kern w:val="0"/>
          <w:sz w:val="30"/>
          <w:szCs w:val="21"/>
        </w:rPr>
        <w:t>背景资料，重点收集与评价</w:t>
      </w:r>
      <w:r>
        <w:rPr>
          <w:rFonts w:hint="eastAsia" w:ascii="仿宋" w:hAnsi="仿宋" w:eastAsia="仿宋" w:cs="Times New Roman"/>
          <w:kern w:val="0"/>
          <w:sz w:val="30"/>
          <w:szCs w:val="21"/>
        </w:rPr>
        <w:t>部门</w:t>
      </w:r>
      <w:r>
        <w:rPr>
          <w:rFonts w:ascii="仿宋" w:hAnsi="仿宋" w:eastAsia="仿宋" w:cs="Times New Roman"/>
          <w:kern w:val="0"/>
          <w:sz w:val="30"/>
          <w:szCs w:val="21"/>
        </w:rPr>
        <w:t>相关的政策文件、资金分配文件、资金管理办法、实施方案、国家和行业标准数据</w:t>
      </w:r>
      <w:r>
        <w:rPr>
          <w:rFonts w:hint="eastAsia" w:ascii="仿宋" w:hAnsi="仿宋" w:eastAsia="仿宋" w:cs="Times New Roman"/>
          <w:kern w:val="0"/>
          <w:sz w:val="30"/>
          <w:szCs w:val="21"/>
        </w:rPr>
        <w:t>。</w:t>
      </w:r>
    </w:p>
    <w:p w14:paraId="5FE2B1FA">
      <w:pPr>
        <w:snapToGrid w:val="0"/>
        <w:spacing w:line="579" w:lineRule="exact"/>
        <w:ind w:firstLine="600" w:firstLineChars="200"/>
        <w:contextualSpacing/>
        <w:rPr>
          <w:rFonts w:ascii="仿宋" w:hAnsi="仿宋" w:eastAsia="仿宋" w:cs="Times New Roman"/>
          <w:kern w:val="0"/>
          <w:sz w:val="30"/>
          <w:szCs w:val="21"/>
        </w:rPr>
      </w:pPr>
      <w:r>
        <w:rPr>
          <w:rFonts w:hint="eastAsia" w:ascii="仿宋" w:hAnsi="仿宋" w:eastAsia="仿宋" w:cs="Times New Roman"/>
          <w:kern w:val="0"/>
          <w:sz w:val="30"/>
          <w:szCs w:val="21"/>
        </w:rPr>
        <w:t>2</w:t>
      </w:r>
      <w:r>
        <w:rPr>
          <w:rFonts w:ascii="仿宋" w:hAnsi="仿宋" w:eastAsia="仿宋" w:cs="Times New Roman"/>
          <w:kern w:val="0"/>
          <w:sz w:val="30"/>
          <w:szCs w:val="21"/>
        </w:rPr>
        <w:t>.制定绩效评价工作方案</w:t>
      </w:r>
      <w:r>
        <w:rPr>
          <w:rFonts w:hint="eastAsia" w:ascii="仿宋" w:hAnsi="仿宋" w:eastAsia="仿宋" w:cs="Times New Roman"/>
          <w:kern w:val="0"/>
          <w:sz w:val="30"/>
          <w:szCs w:val="21"/>
        </w:rPr>
        <w:t>及评价试点</w:t>
      </w:r>
      <w:r>
        <w:rPr>
          <w:rFonts w:ascii="仿宋" w:hAnsi="仿宋" w:eastAsia="仿宋" w:cs="Times New Roman"/>
          <w:kern w:val="0"/>
          <w:sz w:val="30"/>
          <w:szCs w:val="21"/>
        </w:rPr>
        <w:t>：根据</w:t>
      </w:r>
      <w:r>
        <w:rPr>
          <w:rFonts w:hint="eastAsia" w:ascii="仿宋" w:hAnsi="仿宋" w:eastAsia="仿宋" w:cs="Times New Roman"/>
          <w:kern w:val="0"/>
          <w:sz w:val="30"/>
          <w:szCs w:val="21"/>
        </w:rPr>
        <w:t>部门</w:t>
      </w:r>
      <w:r>
        <w:rPr>
          <w:rFonts w:ascii="仿宋" w:hAnsi="仿宋" w:eastAsia="仿宋" w:cs="Times New Roman"/>
          <w:kern w:val="0"/>
          <w:sz w:val="30"/>
          <w:szCs w:val="21"/>
        </w:rPr>
        <w:t>实际情况，制定</w:t>
      </w:r>
      <w:r>
        <w:rPr>
          <w:rFonts w:hint="eastAsia" w:ascii="仿宋" w:hAnsi="仿宋" w:eastAsia="仿宋" w:cs="Times New Roman"/>
          <w:kern w:val="0"/>
          <w:sz w:val="30"/>
          <w:szCs w:val="21"/>
        </w:rPr>
        <w:t>实施方案。</w:t>
      </w:r>
      <w:r>
        <w:rPr>
          <w:rFonts w:ascii="仿宋" w:hAnsi="仿宋" w:eastAsia="仿宋" w:cs="Times New Roman"/>
          <w:kern w:val="0"/>
          <w:sz w:val="30"/>
          <w:szCs w:val="21"/>
        </w:rPr>
        <w:t>形成征求意见稿</w:t>
      </w:r>
      <w:r>
        <w:rPr>
          <w:rFonts w:hint="eastAsia" w:ascii="仿宋" w:hAnsi="仿宋" w:eastAsia="仿宋" w:cs="Times New Roman"/>
          <w:kern w:val="0"/>
          <w:sz w:val="30"/>
          <w:szCs w:val="21"/>
        </w:rPr>
        <w:t>并</w:t>
      </w:r>
      <w:r>
        <w:rPr>
          <w:rFonts w:ascii="仿宋" w:hAnsi="仿宋" w:eastAsia="仿宋" w:cs="Times New Roman"/>
          <w:kern w:val="0"/>
          <w:sz w:val="30"/>
          <w:szCs w:val="21"/>
        </w:rPr>
        <w:t>提交评价相关方征求意见</w:t>
      </w:r>
      <w:r>
        <w:rPr>
          <w:rFonts w:hint="eastAsia" w:ascii="仿宋" w:hAnsi="仿宋" w:eastAsia="仿宋" w:cs="Times New Roman"/>
          <w:kern w:val="0"/>
          <w:sz w:val="30"/>
          <w:szCs w:val="21"/>
        </w:rPr>
        <w:t>，</w:t>
      </w:r>
      <w:r>
        <w:rPr>
          <w:rFonts w:ascii="仿宋" w:hAnsi="仿宋" w:eastAsia="仿宋" w:cs="Times New Roman"/>
          <w:kern w:val="0"/>
          <w:sz w:val="30"/>
          <w:szCs w:val="21"/>
        </w:rPr>
        <w:t>进一步修改完善实施方案和评价指标体系。</w:t>
      </w:r>
    </w:p>
    <w:p w14:paraId="52AF754E">
      <w:pPr>
        <w:snapToGrid w:val="0"/>
        <w:spacing w:line="579" w:lineRule="exact"/>
        <w:ind w:firstLine="600" w:firstLineChars="200"/>
        <w:contextualSpacing/>
        <w:rPr>
          <w:rFonts w:ascii="仿宋" w:hAnsi="仿宋" w:eastAsia="仿宋" w:cs="Times New Roman"/>
          <w:kern w:val="0"/>
          <w:sz w:val="30"/>
          <w:szCs w:val="21"/>
        </w:rPr>
      </w:pPr>
      <w:r>
        <w:rPr>
          <w:rFonts w:hint="eastAsia" w:ascii="仿宋" w:hAnsi="仿宋" w:eastAsia="仿宋" w:cs="Times New Roman"/>
          <w:kern w:val="0"/>
          <w:sz w:val="30"/>
          <w:szCs w:val="21"/>
        </w:rPr>
        <w:t>3</w:t>
      </w:r>
      <w:r>
        <w:rPr>
          <w:rFonts w:ascii="仿宋" w:hAnsi="仿宋" w:eastAsia="仿宋" w:cs="Times New Roman"/>
          <w:kern w:val="0"/>
          <w:sz w:val="30"/>
          <w:szCs w:val="21"/>
        </w:rPr>
        <w:t>.实地评价：评价工作组根据评价工作方案，通过查阅资料、资料分析、现场勘查、问卷调查和访谈、综合评价等方式，对</w:t>
      </w:r>
      <w:r>
        <w:rPr>
          <w:rFonts w:hint="eastAsia" w:ascii="仿宋" w:hAnsi="仿宋" w:eastAsia="仿宋" w:cs="Times New Roman"/>
          <w:kern w:val="0"/>
          <w:sz w:val="30"/>
          <w:szCs w:val="21"/>
        </w:rPr>
        <w:t>部门</w:t>
      </w:r>
      <w:r>
        <w:rPr>
          <w:rFonts w:ascii="仿宋" w:hAnsi="仿宋" w:eastAsia="仿宋" w:cs="Times New Roman"/>
          <w:kern w:val="0"/>
          <w:sz w:val="30"/>
          <w:szCs w:val="21"/>
        </w:rPr>
        <w:t>实施情况进行评价。</w:t>
      </w:r>
    </w:p>
    <w:p w14:paraId="5952760B">
      <w:pPr>
        <w:snapToGrid w:val="0"/>
        <w:spacing w:line="579" w:lineRule="exact"/>
        <w:ind w:firstLine="600" w:firstLineChars="200"/>
        <w:contextualSpacing/>
        <w:rPr>
          <w:rFonts w:ascii="仿宋" w:hAnsi="仿宋" w:eastAsia="仿宋" w:cs="Times New Roman"/>
          <w:kern w:val="0"/>
          <w:sz w:val="30"/>
          <w:szCs w:val="21"/>
        </w:rPr>
      </w:pPr>
      <w:r>
        <w:rPr>
          <w:rFonts w:hint="eastAsia" w:ascii="仿宋" w:hAnsi="仿宋" w:eastAsia="仿宋" w:cs="Times New Roman"/>
          <w:kern w:val="0"/>
          <w:sz w:val="30"/>
          <w:szCs w:val="21"/>
        </w:rPr>
        <w:t>4</w:t>
      </w:r>
      <w:r>
        <w:rPr>
          <w:rFonts w:ascii="仿宋" w:hAnsi="仿宋" w:eastAsia="仿宋" w:cs="Times New Roman"/>
          <w:kern w:val="0"/>
          <w:sz w:val="30"/>
          <w:szCs w:val="21"/>
        </w:rPr>
        <w:t>.撰写绩效评价报告：汇总相关数据</w:t>
      </w:r>
      <w:r>
        <w:rPr>
          <w:rFonts w:hint="eastAsia" w:ascii="仿宋" w:hAnsi="仿宋" w:eastAsia="仿宋" w:cs="Times New Roman"/>
          <w:kern w:val="0"/>
          <w:sz w:val="30"/>
          <w:szCs w:val="21"/>
        </w:rPr>
        <w:t>，</w:t>
      </w:r>
      <w:r>
        <w:rPr>
          <w:rFonts w:ascii="仿宋" w:hAnsi="仿宋" w:eastAsia="仿宋" w:cs="Times New Roman"/>
          <w:kern w:val="0"/>
          <w:sz w:val="30"/>
          <w:szCs w:val="21"/>
        </w:rPr>
        <w:t>分析整理绩效评价情况，撰写评价报告。形成绩效评价报告</w:t>
      </w:r>
      <w:r>
        <w:rPr>
          <w:rFonts w:hint="eastAsia" w:ascii="仿宋" w:hAnsi="仿宋" w:eastAsia="仿宋" w:cs="Times New Roman"/>
          <w:kern w:val="0"/>
          <w:sz w:val="30"/>
          <w:szCs w:val="21"/>
        </w:rPr>
        <w:t>（</w:t>
      </w:r>
      <w:r>
        <w:rPr>
          <w:rFonts w:ascii="仿宋" w:hAnsi="仿宋" w:eastAsia="仿宋" w:cs="Times New Roman"/>
          <w:kern w:val="0"/>
          <w:sz w:val="30"/>
          <w:szCs w:val="21"/>
        </w:rPr>
        <w:t>征求意见稿</w:t>
      </w:r>
      <w:r>
        <w:rPr>
          <w:rFonts w:hint="eastAsia" w:ascii="仿宋" w:hAnsi="仿宋" w:eastAsia="仿宋" w:cs="Times New Roman"/>
          <w:kern w:val="0"/>
          <w:sz w:val="30"/>
          <w:szCs w:val="21"/>
        </w:rPr>
        <w:t>）,并</w:t>
      </w:r>
      <w:r>
        <w:rPr>
          <w:rFonts w:ascii="仿宋" w:hAnsi="仿宋" w:eastAsia="仿宋" w:cs="Times New Roman"/>
          <w:kern w:val="0"/>
          <w:sz w:val="30"/>
          <w:szCs w:val="21"/>
        </w:rPr>
        <w:t>提交评价相关方征求意见，在充分考虑评价相关方反馈意见的基础上，修改完善绩效评价报告。</w:t>
      </w:r>
    </w:p>
    <w:p w14:paraId="79D27C64">
      <w:pPr>
        <w:spacing w:line="579" w:lineRule="exact"/>
        <w:ind w:firstLine="600" w:firstLineChars="200"/>
        <w:rPr>
          <w:rFonts w:ascii="仿宋" w:hAnsi="Times New Roman" w:eastAsia="仿宋" w:cs="Times New Roman"/>
          <w:kern w:val="30"/>
          <w:sz w:val="30"/>
          <w:szCs w:val="21"/>
        </w:rPr>
      </w:pPr>
      <w:r>
        <w:rPr>
          <w:rFonts w:hint="eastAsia" w:ascii="仿宋" w:hAnsi="仿宋" w:eastAsia="仿宋" w:cs="Times New Roman"/>
          <w:kern w:val="0"/>
          <w:sz w:val="30"/>
          <w:szCs w:val="21"/>
        </w:rPr>
        <w:t>5</w:t>
      </w:r>
      <w:r>
        <w:rPr>
          <w:rFonts w:ascii="仿宋" w:hAnsi="仿宋" w:eastAsia="仿宋" w:cs="Times New Roman"/>
          <w:kern w:val="0"/>
          <w:sz w:val="30"/>
          <w:szCs w:val="21"/>
        </w:rPr>
        <w:t>.出具绩效评价报告：按规范要求出具绩效评价报告。</w:t>
      </w:r>
    </w:p>
    <w:p w14:paraId="27F2823D">
      <w:pPr>
        <w:spacing w:line="579" w:lineRule="exact"/>
        <w:ind w:firstLine="600" w:firstLineChars="200"/>
        <w:outlineLvl w:val="0"/>
        <w:rPr>
          <w:rFonts w:ascii="黑体" w:hAnsi="黑体" w:eastAsia="黑体" w:cs="宋体"/>
          <w:kern w:val="30"/>
          <w:sz w:val="30"/>
          <w:szCs w:val="30"/>
        </w:rPr>
      </w:pPr>
      <w:bookmarkStart w:id="32" w:name="_Toc51423754"/>
      <w:bookmarkStart w:id="33" w:name="_Toc8864"/>
      <w:r>
        <w:rPr>
          <w:rFonts w:hint="eastAsia" w:ascii="黑体" w:hAnsi="黑体" w:eastAsia="黑体" w:cs="宋体"/>
          <w:kern w:val="30"/>
          <w:sz w:val="30"/>
          <w:szCs w:val="30"/>
        </w:rPr>
        <w:t>三、绩效评价情况</w:t>
      </w:r>
      <w:bookmarkEnd w:id="32"/>
      <w:bookmarkEnd w:id="33"/>
    </w:p>
    <w:p w14:paraId="71C5349A">
      <w:pPr>
        <w:spacing w:line="579" w:lineRule="exact"/>
        <w:ind w:firstLine="600" w:firstLineChars="200"/>
        <w:outlineLvl w:val="1"/>
        <w:rPr>
          <w:rFonts w:ascii="楷体" w:hAnsi="楷体" w:eastAsia="楷体" w:cs="Times New Roman"/>
          <w:kern w:val="30"/>
          <w:sz w:val="30"/>
          <w:szCs w:val="30"/>
        </w:rPr>
      </w:pPr>
      <w:bookmarkStart w:id="34" w:name="_Toc24819"/>
      <w:bookmarkStart w:id="35" w:name="_Toc51423755"/>
      <w:r>
        <w:rPr>
          <w:rFonts w:hint="eastAsia" w:ascii="楷体" w:hAnsi="楷体" w:eastAsia="楷体" w:cs="Times New Roman"/>
          <w:kern w:val="30"/>
          <w:sz w:val="30"/>
          <w:szCs w:val="30"/>
        </w:rPr>
        <w:t>（一）绩效评价分析</w:t>
      </w:r>
      <w:bookmarkEnd w:id="34"/>
      <w:bookmarkEnd w:id="35"/>
    </w:p>
    <w:p w14:paraId="4AC52B67">
      <w:pPr>
        <w:spacing w:line="579" w:lineRule="exact"/>
        <w:ind w:firstLine="624" w:firstLineChars="200"/>
        <w:rPr>
          <w:rFonts w:ascii="仿宋" w:hAnsi="仿宋" w:eastAsia="仿宋" w:cs="Times New Roman"/>
          <w:spacing w:val="6"/>
          <w:kern w:val="30"/>
          <w:sz w:val="30"/>
          <w:szCs w:val="30"/>
        </w:rPr>
      </w:pPr>
      <w:bookmarkStart w:id="36" w:name="_Toc44434772"/>
      <w:r>
        <w:rPr>
          <w:rFonts w:hint="eastAsia" w:ascii="仿宋" w:hAnsi="仿宋" w:eastAsia="仿宋" w:cs="Times New Roman"/>
          <w:spacing w:val="6"/>
          <w:kern w:val="30"/>
          <w:sz w:val="30"/>
          <w:szCs w:val="30"/>
        </w:rPr>
        <w:t>1</w:t>
      </w:r>
      <w:r>
        <w:rPr>
          <w:rFonts w:ascii="仿宋" w:hAnsi="仿宋" w:eastAsia="仿宋" w:cs="Times New Roman"/>
          <w:spacing w:val="6"/>
          <w:kern w:val="30"/>
          <w:sz w:val="30"/>
          <w:szCs w:val="30"/>
        </w:rPr>
        <w:t>.</w:t>
      </w:r>
      <w:r>
        <w:rPr>
          <w:rFonts w:hint="eastAsia" w:ascii="仿宋" w:hAnsi="仿宋" w:eastAsia="仿宋" w:cs="Times New Roman"/>
          <w:spacing w:val="6"/>
          <w:kern w:val="30"/>
          <w:sz w:val="30"/>
          <w:szCs w:val="30"/>
        </w:rPr>
        <w:t>决策情况分析</w:t>
      </w:r>
      <w:bookmarkEnd w:id="36"/>
    </w:p>
    <w:p w14:paraId="557D0738">
      <w:pPr>
        <w:spacing w:line="590" w:lineRule="exact"/>
        <w:ind w:firstLine="600" w:firstLineChars="200"/>
        <w:rPr>
          <w:rFonts w:ascii="仿宋" w:hAnsi="仿宋" w:eastAsia="仿宋"/>
          <w:sz w:val="30"/>
          <w:szCs w:val="30"/>
        </w:rPr>
      </w:pPr>
      <w:r>
        <w:rPr>
          <w:rFonts w:hint="eastAsia" w:ascii="仿宋" w:hAnsi="仿宋" w:eastAsia="仿宋"/>
          <w:sz w:val="30"/>
          <w:szCs w:val="30"/>
        </w:rPr>
        <w:t>决策情况满分</w:t>
      </w:r>
      <w:r>
        <w:rPr>
          <w:rFonts w:ascii="仿宋" w:hAnsi="仿宋" w:eastAsia="仿宋"/>
          <w:sz w:val="30"/>
          <w:szCs w:val="30"/>
        </w:rPr>
        <w:t>15分，得分13.6分，得分率90.67%。其中</w:t>
      </w:r>
      <w:r>
        <w:rPr>
          <w:rFonts w:hint="eastAsia" w:ascii="仿宋" w:hAnsi="仿宋" w:eastAsia="仿宋"/>
          <w:sz w:val="30"/>
          <w:szCs w:val="30"/>
        </w:rPr>
        <w:t>目标设定</w:t>
      </w:r>
      <w:r>
        <w:rPr>
          <w:rFonts w:ascii="仿宋" w:hAnsi="仿宋" w:eastAsia="仿宋"/>
          <w:sz w:val="30"/>
          <w:szCs w:val="30"/>
        </w:rPr>
        <w:t>得分率为72%，</w:t>
      </w:r>
      <w:r>
        <w:rPr>
          <w:rFonts w:hint="eastAsia" w:ascii="仿宋" w:hAnsi="仿宋" w:eastAsia="仿宋"/>
          <w:sz w:val="30"/>
          <w:szCs w:val="30"/>
        </w:rPr>
        <w:t>预算编制</w:t>
      </w:r>
      <w:r>
        <w:rPr>
          <w:rFonts w:ascii="仿宋" w:hAnsi="仿宋" w:eastAsia="仿宋"/>
          <w:sz w:val="30"/>
          <w:szCs w:val="30"/>
        </w:rPr>
        <w:t>得分率为100%</w:t>
      </w:r>
      <w:r>
        <w:rPr>
          <w:rFonts w:hint="eastAsia" w:ascii="仿宋" w:hAnsi="仿宋" w:eastAsia="仿宋"/>
          <w:sz w:val="30"/>
          <w:szCs w:val="30"/>
        </w:rPr>
        <w:t>，收入情况</w:t>
      </w:r>
      <w:r>
        <w:rPr>
          <w:rFonts w:ascii="仿宋" w:hAnsi="仿宋" w:eastAsia="仿宋"/>
          <w:sz w:val="30"/>
          <w:szCs w:val="30"/>
        </w:rPr>
        <w:t>得分率为100%</w:t>
      </w:r>
      <w:r>
        <w:rPr>
          <w:rFonts w:hint="eastAsia" w:ascii="仿宋" w:hAnsi="仿宋" w:eastAsia="仿宋"/>
          <w:sz w:val="30"/>
          <w:szCs w:val="30"/>
        </w:rPr>
        <w:t>，预算配置</w:t>
      </w:r>
      <w:r>
        <w:rPr>
          <w:rFonts w:ascii="仿宋" w:hAnsi="仿宋" w:eastAsia="仿宋"/>
          <w:sz w:val="30"/>
          <w:szCs w:val="30"/>
        </w:rPr>
        <w:t>得分率100%</w:t>
      </w:r>
      <w:r>
        <w:rPr>
          <w:rFonts w:hint="eastAsia" w:ascii="仿宋" w:hAnsi="仿宋" w:eastAsia="仿宋"/>
          <w:sz w:val="30"/>
          <w:szCs w:val="30"/>
        </w:rPr>
        <w:t>。</w:t>
      </w:r>
    </w:p>
    <w:p w14:paraId="18BD80BE">
      <w:pPr>
        <w:spacing w:line="590" w:lineRule="exact"/>
        <w:ind w:firstLine="600" w:firstLineChars="200"/>
        <w:rPr>
          <w:rFonts w:ascii="仿宋" w:hAnsi="仿宋" w:eastAsia="仿宋"/>
          <w:sz w:val="30"/>
          <w:szCs w:val="30"/>
        </w:rPr>
      </w:pPr>
      <w:r>
        <w:rPr>
          <w:rFonts w:hint="eastAsia" w:ascii="仿宋" w:hAnsi="仿宋" w:eastAsia="仿宋"/>
          <w:sz w:val="30"/>
          <w:szCs w:val="30"/>
        </w:rPr>
        <w:t>部门绩效目标的设定符合国家法律法规、国民经济和社会发展总体规划，符合部门“三定”方案确定的职责和中长期规划，部门整体支出年度目标与年度重点工作任务一致。绩效指标设置未能全面反映部门及项目的实际产出和效益，部分项目设置的绩效指标无法考核。</w:t>
      </w:r>
    </w:p>
    <w:p w14:paraId="1275298F">
      <w:pPr>
        <w:spacing w:line="590" w:lineRule="exact"/>
        <w:ind w:firstLine="600" w:firstLineChars="200"/>
        <w:rPr>
          <w:rFonts w:ascii="仿宋" w:hAnsi="仿宋" w:eastAsia="仿宋"/>
          <w:sz w:val="30"/>
          <w:szCs w:val="30"/>
        </w:rPr>
      </w:pPr>
      <w:r>
        <w:rPr>
          <w:rFonts w:hint="eastAsia" w:ascii="仿宋" w:hAnsi="仿宋" w:eastAsia="仿宋"/>
          <w:sz w:val="30"/>
          <w:szCs w:val="30"/>
        </w:rPr>
        <w:t>部门预算编审情况较好，预算编制科学和准确。非税收入管理规范，按规定履行批复程序应交尽缴，全年征缴非税收入2</w:t>
      </w:r>
      <w:r>
        <w:rPr>
          <w:rFonts w:ascii="仿宋" w:hAnsi="仿宋" w:eastAsia="仿宋"/>
          <w:sz w:val="30"/>
          <w:szCs w:val="30"/>
        </w:rPr>
        <w:t>087.42</w:t>
      </w:r>
      <w:r>
        <w:rPr>
          <w:rFonts w:hint="eastAsia" w:ascii="仿宋" w:hAnsi="仿宋" w:eastAsia="仿宋"/>
          <w:sz w:val="30"/>
          <w:szCs w:val="30"/>
        </w:rPr>
        <w:t>万元。部门对人员成本的控制较好，</w:t>
      </w:r>
      <w:r>
        <w:rPr>
          <w:rFonts w:ascii="仿宋" w:hAnsi="仿宋" w:eastAsia="仿宋"/>
          <w:sz w:val="30"/>
          <w:szCs w:val="30"/>
        </w:rPr>
        <w:t>2020年三公经费预算数为8.09万元</w:t>
      </w:r>
      <w:r>
        <w:rPr>
          <w:rFonts w:hint="eastAsia" w:ascii="仿宋" w:hAnsi="仿宋" w:eastAsia="仿宋"/>
          <w:sz w:val="30"/>
          <w:szCs w:val="30"/>
        </w:rPr>
        <w:t>较</w:t>
      </w:r>
      <w:r>
        <w:rPr>
          <w:rFonts w:ascii="仿宋" w:hAnsi="仿宋" w:eastAsia="仿宋"/>
          <w:sz w:val="30"/>
          <w:szCs w:val="30"/>
        </w:rPr>
        <w:t>2019年三公经费预算数8.10万元</w:t>
      </w:r>
      <w:r>
        <w:rPr>
          <w:rFonts w:hint="eastAsia" w:ascii="仿宋" w:hAnsi="仿宋" w:eastAsia="仿宋"/>
          <w:sz w:val="30"/>
          <w:szCs w:val="30"/>
        </w:rPr>
        <w:t>减少0</w:t>
      </w:r>
      <w:r>
        <w:rPr>
          <w:rFonts w:ascii="仿宋" w:hAnsi="仿宋" w:eastAsia="仿宋"/>
          <w:sz w:val="30"/>
          <w:szCs w:val="30"/>
        </w:rPr>
        <w:t>.01</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“三公经费”变动率为-</w:t>
      </w:r>
      <w:r>
        <w:rPr>
          <w:rFonts w:ascii="仿宋" w:hAnsi="仿宋" w:eastAsia="仿宋"/>
          <w:sz w:val="30"/>
          <w:szCs w:val="30"/>
        </w:rPr>
        <w:t>0.12</w:t>
      </w:r>
      <w:r>
        <w:rPr>
          <w:rFonts w:hint="eastAsia" w:ascii="仿宋" w:hAnsi="仿宋" w:eastAsia="仿宋"/>
          <w:sz w:val="30"/>
          <w:szCs w:val="30"/>
        </w:rPr>
        <w:t>%，控制较好。</w:t>
      </w:r>
    </w:p>
    <w:p w14:paraId="63B739DA">
      <w:pPr>
        <w:spacing w:line="590" w:lineRule="exact"/>
        <w:ind w:firstLine="600" w:firstLineChars="200"/>
        <w:rPr>
          <w:rFonts w:ascii="仿宋" w:hAnsi="仿宋" w:eastAsia="仿宋"/>
          <w:sz w:val="30"/>
          <w:szCs w:val="30"/>
        </w:rPr>
      </w:pPr>
      <w:r>
        <w:rPr>
          <w:rFonts w:ascii="仿宋" w:hAnsi="仿宋" w:eastAsia="仿宋"/>
          <w:sz w:val="30"/>
          <w:szCs w:val="30"/>
        </w:rPr>
        <w:t>2.过程情况方面</w:t>
      </w:r>
    </w:p>
    <w:p w14:paraId="3AAA3C4D">
      <w:pPr>
        <w:spacing w:line="590" w:lineRule="exact"/>
        <w:ind w:firstLine="600" w:firstLineChars="200"/>
        <w:rPr>
          <w:rFonts w:ascii="仿宋" w:hAnsi="仿宋" w:eastAsia="仿宋"/>
          <w:sz w:val="30"/>
          <w:szCs w:val="30"/>
        </w:rPr>
      </w:pPr>
      <w:r>
        <w:rPr>
          <w:rFonts w:hint="eastAsia" w:ascii="仿宋" w:hAnsi="仿宋" w:eastAsia="仿宋"/>
          <w:sz w:val="30"/>
          <w:szCs w:val="30"/>
        </w:rPr>
        <w:t>过程情况满分</w:t>
      </w:r>
      <w:r>
        <w:rPr>
          <w:rFonts w:ascii="仿宋" w:hAnsi="仿宋" w:eastAsia="仿宋"/>
          <w:sz w:val="30"/>
          <w:szCs w:val="30"/>
        </w:rPr>
        <w:t>20分，得分14.69分，得分率73.45</w:t>
      </w:r>
      <w:r>
        <w:rPr>
          <w:rFonts w:hint="eastAsia" w:ascii="仿宋" w:hAnsi="仿宋" w:eastAsia="仿宋"/>
          <w:sz w:val="30"/>
          <w:szCs w:val="30"/>
        </w:rPr>
        <w:t>%</w:t>
      </w:r>
      <w:r>
        <w:rPr>
          <w:rFonts w:ascii="仿宋" w:hAnsi="仿宋" w:eastAsia="仿宋"/>
          <w:sz w:val="30"/>
          <w:szCs w:val="30"/>
        </w:rPr>
        <w:t>%。其中</w:t>
      </w:r>
      <w:r>
        <w:rPr>
          <w:rFonts w:hint="eastAsia" w:ascii="仿宋" w:hAnsi="仿宋" w:eastAsia="仿宋"/>
          <w:sz w:val="30"/>
          <w:szCs w:val="30"/>
        </w:rPr>
        <w:t>预算执行</w:t>
      </w:r>
      <w:r>
        <w:rPr>
          <w:rFonts w:ascii="仿宋" w:hAnsi="仿宋" w:eastAsia="仿宋"/>
          <w:sz w:val="30"/>
          <w:szCs w:val="30"/>
        </w:rPr>
        <w:t>得分率为56.90%，财务管理得分率为85.71%</w:t>
      </w:r>
      <w:r>
        <w:rPr>
          <w:rFonts w:hint="eastAsia" w:ascii="仿宋" w:hAnsi="仿宋" w:eastAsia="仿宋"/>
          <w:sz w:val="30"/>
          <w:szCs w:val="30"/>
        </w:rPr>
        <w:t>、资产管理1</w:t>
      </w:r>
      <w:r>
        <w:rPr>
          <w:rFonts w:ascii="仿宋" w:hAnsi="仿宋" w:eastAsia="仿宋"/>
          <w:sz w:val="30"/>
          <w:szCs w:val="30"/>
        </w:rPr>
        <w:t>00</w:t>
      </w:r>
      <w:r>
        <w:rPr>
          <w:rFonts w:hint="eastAsia" w:ascii="仿宋" w:hAnsi="仿宋" w:eastAsia="仿宋"/>
          <w:sz w:val="30"/>
          <w:szCs w:val="30"/>
        </w:rPr>
        <w:t>%。</w:t>
      </w:r>
    </w:p>
    <w:p w14:paraId="0923A8E9">
      <w:pPr>
        <w:spacing w:line="590" w:lineRule="exact"/>
        <w:ind w:firstLine="600" w:firstLineChars="200"/>
        <w:rPr>
          <w:rFonts w:ascii="仿宋" w:hAnsi="仿宋" w:eastAsia="仿宋"/>
          <w:sz w:val="30"/>
          <w:szCs w:val="30"/>
        </w:rPr>
      </w:pPr>
      <w:r>
        <w:rPr>
          <w:rFonts w:hint="eastAsia" w:ascii="仿宋" w:hAnsi="仿宋" w:eastAsia="仿宋"/>
          <w:sz w:val="30"/>
          <w:szCs w:val="30"/>
        </w:rPr>
        <w:t>预算执行方面。“三公”经费支出预算为</w:t>
      </w:r>
      <w:r>
        <w:rPr>
          <w:rFonts w:ascii="仿宋" w:hAnsi="仿宋" w:eastAsia="仿宋"/>
          <w:sz w:val="30"/>
          <w:szCs w:val="30"/>
        </w:rPr>
        <w:t>8.09万元，支出决算为7.63万元，“三公经费”控制率为94.31%</w:t>
      </w:r>
      <w:r>
        <w:rPr>
          <w:rFonts w:hint="eastAsia" w:ascii="仿宋" w:hAnsi="仿宋" w:eastAsia="仿宋"/>
          <w:sz w:val="30"/>
          <w:szCs w:val="30"/>
        </w:rPr>
        <w:t>，</w:t>
      </w:r>
      <w:r>
        <w:rPr>
          <w:rFonts w:ascii="仿宋" w:hAnsi="仿宋" w:eastAsia="仿宋"/>
          <w:sz w:val="30"/>
          <w:szCs w:val="30"/>
        </w:rPr>
        <w:t>“三公经费”控制程度较好</w:t>
      </w:r>
      <w:r>
        <w:rPr>
          <w:rFonts w:hint="eastAsia" w:ascii="仿宋" w:hAnsi="仿宋" w:eastAsia="仿宋"/>
          <w:sz w:val="30"/>
          <w:szCs w:val="30"/>
        </w:rPr>
        <w:t>，但</w:t>
      </w:r>
      <w:r>
        <w:rPr>
          <w:rFonts w:ascii="仿宋" w:hAnsi="仿宋" w:eastAsia="仿宋"/>
          <w:sz w:val="30"/>
          <w:szCs w:val="30"/>
        </w:rPr>
        <w:t>预算执行进度</w:t>
      </w:r>
      <w:r>
        <w:rPr>
          <w:rFonts w:hint="eastAsia" w:ascii="仿宋" w:hAnsi="仿宋" w:eastAsia="仿宋"/>
          <w:sz w:val="30"/>
          <w:szCs w:val="30"/>
        </w:rPr>
        <w:t>还有待加强</w:t>
      </w:r>
      <w:r>
        <w:rPr>
          <w:rFonts w:ascii="仿宋" w:hAnsi="仿宋" w:eastAsia="仿宋"/>
          <w:sz w:val="30"/>
          <w:szCs w:val="30"/>
        </w:rPr>
        <w:t>。</w:t>
      </w:r>
      <w:r>
        <w:rPr>
          <w:rFonts w:hint="eastAsia" w:ascii="仿宋" w:hAnsi="仿宋" w:eastAsia="仿宋"/>
          <w:sz w:val="30"/>
          <w:szCs w:val="30"/>
        </w:rPr>
        <w:t>预算完成数9</w:t>
      </w:r>
      <w:r>
        <w:rPr>
          <w:rFonts w:ascii="仿宋" w:hAnsi="仿宋" w:eastAsia="仿宋"/>
          <w:sz w:val="30"/>
          <w:szCs w:val="30"/>
        </w:rPr>
        <w:t>7.86</w:t>
      </w:r>
      <w:r>
        <w:rPr>
          <w:rFonts w:hint="eastAsia" w:ascii="仿宋" w:hAnsi="仿宋" w:eastAsia="仿宋"/>
          <w:sz w:val="30"/>
          <w:szCs w:val="30"/>
        </w:rPr>
        <w:t>%，预算调整率1</w:t>
      </w:r>
      <w:r>
        <w:rPr>
          <w:rFonts w:ascii="仿宋" w:hAnsi="仿宋" w:eastAsia="仿宋"/>
          <w:sz w:val="30"/>
          <w:szCs w:val="30"/>
        </w:rPr>
        <w:t>0.68</w:t>
      </w:r>
      <w:r>
        <w:rPr>
          <w:rFonts w:hint="eastAsia" w:ascii="仿宋" w:hAnsi="仿宋" w:eastAsia="仿宋"/>
          <w:sz w:val="30"/>
          <w:szCs w:val="30"/>
        </w:rPr>
        <w:t>%，结转结余率为</w:t>
      </w:r>
      <w:r>
        <w:rPr>
          <w:rFonts w:ascii="仿宋" w:hAnsi="仿宋" w:eastAsia="仿宋"/>
          <w:sz w:val="30"/>
          <w:szCs w:val="30"/>
        </w:rPr>
        <w:t>2.14%</w:t>
      </w:r>
      <w:r>
        <w:rPr>
          <w:rFonts w:hint="eastAsia" w:ascii="仿宋" w:hAnsi="仿宋" w:eastAsia="仿宋"/>
          <w:sz w:val="30"/>
          <w:szCs w:val="30"/>
        </w:rPr>
        <w:t>，较2</w:t>
      </w:r>
      <w:r>
        <w:rPr>
          <w:rFonts w:ascii="仿宋" w:hAnsi="仿宋" w:eastAsia="仿宋"/>
          <w:sz w:val="30"/>
          <w:szCs w:val="30"/>
        </w:rPr>
        <w:t>019</w:t>
      </w:r>
      <w:r>
        <w:rPr>
          <w:rFonts w:hint="eastAsia" w:ascii="仿宋" w:hAnsi="仿宋" w:eastAsia="仿宋"/>
          <w:sz w:val="30"/>
          <w:szCs w:val="30"/>
        </w:rPr>
        <w:t>年有所增长。预算执行进度未达到</w:t>
      </w:r>
      <w:r>
        <w:rPr>
          <w:rFonts w:ascii="仿宋" w:hAnsi="仿宋" w:eastAsia="仿宋"/>
          <w:sz w:val="30"/>
          <w:szCs w:val="30"/>
        </w:rPr>
        <w:t>二季度、三季度、11月底执行进度</w:t>
      </w:r>
      <w:r>
        <w:rPr>
          <w:rFonts w:hint="eastAsia" w:ascii="仿宋" w:hAnsi="仿宋" w:eastAsia="仿宋"/>
          <w:sz w:val="30"/>
          <w:szCs w:val="30"/>
        </w:rPr>
        <w:t>的</w:t>
      </w:r>
      <w:r>
        <w:rPr>
          <w:rFonts w:ascii="仿宋" w:hAnsi="仿宋" w:eastAsia="仿宋"/>
          <w:sz w:val="30"/>
          <w:szCs w:val="30"/>
        </w:rPr>
        <w:t>要求。</w:t>
      </w:r>
    </w:p>
    <w:p w14:paraId="3C4ACEF5">
      <w:pPr>
        <w:spacing w:line="590" w:lineRule="exact"/>
        <w:ind w:firstLine="480" w:firstLineChars="200"/>
        <w:jc w:val="center"/>
        <w:rPr>
          <w:rFonts w:ascii="黑体" w:hAnsi="黑体" w:eastAsia="黑体"/>
          <w:sz w:val="24"/>
          <w:szCs w:val="24"/>
        </w:rPr>
      </w:pPr>
      <w:r>
        <w:rPr>
          <w:rFonts w:hint="eastAsia" w:ascii="黑体" w:hAnsi="黑体" w:eastAsia="黑体"/>
          <w:sz w:val="24"/>
          <w:szCs w:val="24"/>
        </w:rPr>
        <w:t>表</w:t>
      </w:r>
      <w:r>
        <w:rPr>
          <w:rFonts w:ascii="黑体" w:hAnsi="黑体" w:eastAsia="黑体"/>
          <w:sz w:val="24"/>
          <w:szCs w:val="24"/>
        </w:rPr>
        <w:t>1</w:t>
      </w:r>
      <w:r>
        <w:rPr>
          <w:rFonts w:hint="eastAsia" w:ascii="黑体" w:hAnsi="黑体" w:eastAsia="黑体"/>
          <w:sz w:val="24"/>
          <w:szCs w:val="24"/>
        </w:rPr>
        <w:t>：预算执行比率情况表</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50"/>
        <w:gridCol w:w="2754"/>
        <w:gridCol w:w="1612"/>
        <w:gridCol w:w="2296"/>
        <w:gridCol w:w="1033"/>
      </w:tblGrid>
      <w:tr w14:paraId="0202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1150" w:type="dxa"/>
            <w:shd w:val="clear" w:color="auto" w:fill="auto"/>
            <w:noWrap/>
            <w:vAlign w:val="center"/>
          </w:tcPr>
          <w:p w14:paraId="104194A2">
            <w:pPr>
              <w:widowControl/>
              <w:spacing w:line="24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xml:space="preserve">类 </w:t>
            </w:r>
            <w:r>
              <w:rPr>
                <w:rFonts w:ascii="仿宋" w:hAnsi="仿宋" w:eastAsia="仿宋" w:cs="宋体"/>
                <w:b/>
                <w:bCs/>
                <w:color w:val="000000"/>
                <w:kern w:val="0"/>
                <w:sz w:val="20"/>
                <w:szCs w:val="20"/>
              </w:rPr>
              <w:t xml:space="preserve"> </w:t>
            </w:r>
            <w:r>
              <w:rPr>
                <w:rFonts w:hint="eastAsia" w:ascii="仿宋" w:hAnsi="仿宋" w:eastAsia="仿宋" w:cs="宋体"/>
                <w:b/>
                <w:bCs/>
                <w:color w:val="000000"/>
                <w:kern w:val="0"/>
                <w:sz w:val="20"/>
                <w:szCs w:val="20"/>
              </w:rPr>
              <w:t>别</w:t>
            </w:r>
          </w:p>
        </w:tc>
        <w:tc>
          <w:tcPr>
            <w:tcW w:w="2754" w:type="dxa"/>
            <w:shd w:val="clear" w:color="auto" w:fill="auto"/>
            <w:noWrap/>
            <w:vAlign w:val="center"/>
          </w:tcPr>
          <w:p w14:paraId="70601648">
            <w:pPr>
              <w:widowControl/>
              <w:spacing w:line="24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xml:space="preserve">项 </w:t>
            </w:r>
            <w:r>
              <w:rPr>
                <w:rFonts w:ascii="仿宋" w:hAnsi="仿宋" w:eastAsia="仿宋" w:cs="宋体"/>
                <w:b/>
                <w:bCs/>
                <w:color w:val="000000"/>
                <w:kern w:val="0"/>
                <w:sz w:val="20"/>
                <w:szCs w:val="20"/>
              </w:rPr>
              <w:t xml:space="preserve"> </w:t>
            </w:r>
            <w:r>
              <w:rPr>
                <w:rFonts w:hint="eastAsia" w:ascii="仿宋" w:hAnsi="仿宋" w:eastAsia="仿宋" w:cs="宋体"/>
                <w:b/>
                <w:bCs/>
                <w:color w:val="000000"/>
                <w:kern w:val="0"/>
                <w:sz w:val="20"/>
                <w:szCs w:val="20"/>
              </w:rPr>
              <w:t>目</w:t>
            </w:r>
          </w:p>
        </w:tc>
        <w:tc>
          <w:tcPr>
            <w:tcW w:w="1612" w:type="dxa"/>
            <w:shd w:val="clear" w:color="auto" w:fill="auto"/>
            <w:vAlign w:val="center"/>
          </w:tcPr>
          <w:p w14:paraId="5B6623DB">
            <w:pPr>
              <w:widowControl/>
              <w:spacing w:line="24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金额（万元）</w:t>
            </w:r>
          </w:p>
        </w:tc>
        <w:tc>
          <w:tcPr>
            <w:tcW w:w="2296" w:type="dxa"/>
            <w:shd w:val="clear" w:color="auto" w:fill="auto"/>
            <w:noWrap/>
            <w:vAlign w:val="center"/>
          </w:tcPr>
          <w:p w14:paraId="26A6C387">
            <w:pPr>
              <w:widowControl/>
              <w:spacing w:line="24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项目</w:t>
            </w:r>
          </w:p>
        </w:tc>
        <w:tc>
          <w:tcPr>
            <w:tcW w:w="1033" w:type="dxa"/>
            <w:shd w:val="clear" w:color="auto" w:fill="auto"/>
            <w:noWrap/>
            <w:vAlign w:val="center"/>
          </w:tcPr>
          <w:p w14:paraId="53CFCC87">
            <w:pPr>
              <w:widowControl/>
              <w:spacing w:line="24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比率</w:t>
            </w:r>
          </w:p>
        </w:tc>
      </w:tr>
      <w:tr w14:paraId="40A5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150" w:type="dxa"/>
            <w:vMerge w:val="restart"/>
            <w:shd w:val="clear" w:color="auto" w:fill="auto"/>
            <w:noWrap/>
            <w:vAlign w:val="center"/>
          </w:tcPr>
          <w:p w14:paraId="39A419D8">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预算执行</w:t>
            </w:r>
          </w:p>
        </w:tc>
        <w:tc>
          <w:tcPr>
            <w:tcW w:w="2754" w:type="dxa"/>
            <w:shd w:val="clear" w:color="auto" w:fill="auto"/>
            <w:noWrap/>
            <w:vAlign w:val="center"/>
          </w:tcPr>
          <w:p w14:paraId="0EC27560">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收入决算数</w:t>
            </w:r>
          </w:p>
        </w:tc>
        <w:tc>
          <w:tcPr>
            <w:tcW w:w="1612" w:type="dxa"/>
            <w:shd w:val="clear" w:color="auto" w:fill="auto"/>
            <w:noWrap/>
            <w:vAlign w:val="center"/>
          </w:tcPr>
          <w:p w14:paraId="6628B3F6">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65,390.55</w:t>
            </w:r>
          </w:p>
        </w:tc>
        <w:tc>
          <w:tcPr>
            <w:tcW w:w="2296" w:type="dxa"/>
            <w:vMerge w:val="restart"/>
            <w:shd w:val="clear" w:color="auto" w:fill="auto"/>
            <w:noWrap/>
            <w:vAlign w:val="center"/>
          </w:tcPr>
          <w:p w14:paraId="30BF6D9C">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支出预算完成率</w:t>
            </w:r>
          </w:p>
        </w:tc>
        <w:tc>
          <w:tcPr>
            <w:tcW w:w="1033" w:type="dxa"/>
            <w:vMerge w:val="restart"/>
            <w:shd w:val="clear" w:color="auto" w:fill="auto"/>
            <w:noWrap/>
            <w:vAlign w:val="center"/>
          </w:tcPr>
          <w:p w14:paraId="3777E03A">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97.86%</w:t>
            </w:r>
          </w:p>
        </w:tc>
      </w:tr>
      <w:tr w14:paraId="23FC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150" w:type="dxa"/>
            <w:vMerge w:val="continue"/>
            <w:shd w:val="clear" w:color="auto" w:fill="auto"/>
            <w:vAlign w:val="center"/>
          </w:tcPr>
          <w:p w14:paraId="0188AB23">
            <w:pPr>
              <w:spacing w:line="240" w:lineRule="exact"/>
              <w:jc w:val="center"/>
              <w:rPr>
                <w:rFonts w:ascii="仿宋" w:hAnsi="仿宋" w:eastAsia="仿宋" w:cs="宋体"/>
                <w:color w:val="000000"/>
                <w:kern w:val="0"/>
                <w:sz w:val="20"/>
                <w:szCs w:val="20"/>
              </w:rPr>
            </w:pPr>
          </w:p>
        </w:tc>
        <w:tc>
          <w:tcPr>
            <w:tcW w:w="2754" w:type="dxa"/>
            <w:shd w:val="clear" w:color="auto" w:fill="auto"/>
            <w:noWrap/>
            <w:vAlign w:val="center"/>
          </w:tcPr>
          <w:p w14:paraId="1B839839">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预算完成数</w:t>
            </w:r>
          </w:p>
        </w:tc>
        <w:tc>
          <w:tcPr>
            <w:tcW w:w="1612" w:type="dxa"/>
            <w:shd w:val="clear" w:color="auto" w:fill="auto"/>
            <w:noWrap/>
            <w:vAlign w:val="center"/>
          </w:tcPr>
          <w:p w14:paraId="61F33155">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63,989.56</w:t>
            </w:r>
          </w:p>
        </w:tc>
        <w:tc>
          <w:tcPr>
            <w:tcW w:w="2296" w:type="dxa"/>
            <w:vMerge w:val="continue"/>
            <w:vAlign w:val="center"/>
          </w:tcPr>
          <w:p w14:paraId="6ABB8099">
            <w:pPr>
              <w:widowControl/>
              <w:spacing w:line="240" w:lineRule="exact"/>
              <w:jc w:val="left"/>
              <w:rPr>
                <w:rFonts w:ascii="仿宋" w:hAnsi="仿宋" w:eastAsia="仿宋" w:cs="宋体"/>
                <w:color w:val="000000"/>
                <w:kern w:val="0"/>
                <w:sz w:val="20"/>
                <w:szCs w:val="20"/>
              </w:rPr>
            </w:pPr>
          </w:p>
        </w:tc>
        <w:tc>
          <w:tcPr>
            <w:tcW w:w="1033" w:type="dxa"/>
            <w:vMerge w:val="continue"/>
            <w:vAlign w:val="center"/>
          </w:tcPr>
          <w:p w14:paraId="586C433B">
            <w:pPr>
              <w:widowControl/>
              <w:spacing w:line="240" w:lineRule="exact"/>
              <w:jc w:val="left"/>
              <w:rPr>
                <w:rFonts w:ascii="仿宋" w:hAnsi="仿宋" w:eastAsia="仿宋" w:cs="宋体"/>
                <w:color w:val="000000"/>
                <w:kern w:val="0"/>
                <w:sz w:val="20"/>
                <w:szCs w:val="20"/>
              </w:rPr>
            </w:pPr>
          </w:p>
        </w:tc>
      </w:tr>
      <w:tr w14:paraId="2EA2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150" w:type="dxa"/>
            <w:vMerge w:val="continue"/>
            <w:shd w:val="clear" w:color="auto" w:fill="auto"/>
            <w:vAlign w:val="center"/>
          </w:tcPr>
          <w:p w14:paraId="25FEFA4D">
            <w:pPr>
              <w:spacing w:line="240" w:lineRule="exact"/>
              <w:jc w:val="center"/>
              <w:rPr>
                <w:rFonts w:ascii="仿宋" w:hAnsi="仿宋" w:eastAsia="仿宋" w:cs="宋体"/>
                <w:color w:val="000000"/>
                <w:kern w:val="0"/>
                <w:sz w:val="20"/>
                <w:szCs w:val="20"/>
              </w:rPr>
            </w:pPr>
          </w:p>
        </w:tc>
        <w:tc>
          <w:tcPr>
            <w:tcW w:w="2754" w:type="dxa"/>
            <w:shd w:val="clear" w:color="auto" w:fill="auto"/>
            <w:noWrap/>
            <w:vAlign w:val="center"/>
          </w:tcPr>
          <w:p w14:paraId="327C4CE8">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本年度结转结余数</w:t>
            </w:r>
          </w:p>
        </w:tc>
        <w:tc>
          <w:tcPr>
            <w:tcW w:w="1612" w:type="dxa"/>
            <w:shd w:val="clear" w:color="auto" w:fill="auto"/>
            <w:noWrap/>
            <w:vAlign w:val="center"/>
          </w:tcPr>
          <w:p w14:paraId="17449930">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1,390.36</w:t>
            </w:r>
          </w:p>
        </w:tc>
        <w:tc>
          <w:tcPr>
            <w:tcW w:w="2296" w:type="dxa"/>
            <w:vMerge w:val="restart"/>
            <w:shd w:val="clear" w:color="auto" w:fill="auto"/>
            <w:noWrap/>
            <w:vAlign w:val="center"/>
          </w:tcPr>
          <w:p w14:paraId="33F21EEF">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结转结余变动率</w:t>
            </w:r>
          </w:p>
        </w:tc>
        <w:tc>
          <w:tcPr>
            <w:tcW w:w="1033" w:type="dxa"/>
            <w:vMerge w:val="restart"/>
            <w:shd w:val="clear" w:color="auto" w:fill="auto"/>
            <w:noWrap/>
            <w:vAlign w:val="center"/>
          </w:tcPr>
          <w:p w14:paraId="4FB0A016">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19.71</w:t>
            </w:r>
            <w:r>
              <w:rPr>
                <w:rFonts w:hint="eastAsia" w:ascii="仿宋" w:hAnsi="仿宋" w:eastAsia="仿宋" w:cs="宋体"/>
                <w:color w:val="000000"/>
                <w:kern w:val="0"/>
                <w:sz w:val="20"/>
                <w:szCs w:val="20"/>
              </w:rPr>
              <w:t>%</w:t>
            </w:r>
          </w:p>
        </w:tc>
      </w:tr>
      <w:tr w14:paraId="7196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150" w:type="dxa"/>
            <w:vMerge w:val="continue"/>
            <w:shd w:val="clear" w:color="auto" w:fill="auto"/>
            <w:vAlign w:val="center"/>
          </w:tcPr>
          <w:p w14:paraId="31260740">
            <w:pPr>
              <w:spacing w:line="240" w:lineRule="exact"/>
              <w:jc w:val="center"/>
              <w:rPr>
                <w:rFonts w:ascii="仿宋" w:hAnsi="仿宋" w:eastAsia="仿宋" w:cs="宋体"/>
                <w:color w:val="000000"/>
                <w:kern w:val="0"/>
                <w:sz w:val="20"/>
                <w:szCs w:val="20"/>
              </w:rPr>
            </w:pPr>
          </w:p>
        </w:tc>
        <w:tc>
          <w:tcPr>
            <w:tcW w:w="2754" w:type="dxa"/>
            <w:shd w:val="clear" w:color="auto" w:fill="auto"/>
            <w:noWrap/>
            <w:vAlign w:val="center"/>
          </w:tcPr>
          <w:p w14:paraId="07A5ABD7">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上年度结转结余数</w:t>
            </w:r>
          </w:p>
        </w:tc>
        <w:tc>
          <w:tcPr>
            <w:tcW w:w="1612" w:type="dxa"/>
            <w:shd w:val="clear" w:color="auto" w:fill="auto"/>
            <w:noWrap/>
            <w:vAlign w:val="center"/>
          </w:tcPr>
          <w:p w14:paraId="5D596BD6">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1,161.40</w:t>
            </w:r>
          </w:p>
        </w:tc>
        <w:tc>
          <w:tcPr>
            <w:tcW w:w="2296" w:type="dxa"/>
            <w:vMerge w:val="continue"/>
            <w:vAlign w:val="center"/>
          </w:tcPr>
          <w:p w14:paraId="2A968433">
            <w:pPr>
              <w:widowControl/>
              <w:spacing w:line="240" w:lineRule="exact"/>
              <w:jc w:val="left"/>
              <w:rPr>
                <w:rFonts w:ascii="仿宋" w:hAnsi="仿宋" w:eastAsia="仿宋" w:cs="宋体"/>
                <w:color w:val="000000"/>
                <w:kern w:val="0"/>
                <w:sz w:val="20"/>
                <w:szCs w:val="20"/>
              </w:rPr>
            </w:pPr>
          </w:p>
        </w:tc>
        <w:tc>
          <w:tcPr>
            <w:tcW w:w="1033" w:type="dxa"/>
            <w:vMerge w:val="continue"/>
            <w:vAlign w:val="center"/>
          </w:tcPr>
          <w:p w14:paraId="34A3DB6B">
            <w:pPr>
              <w:widowControl/>
              <w:spacing w:line="240" w:lineRule="exact"/>
              <w:jc w:val="left"/>
              <w:rPr>
                <w:rFonts w:ascii="仿宋" w:hAnsi="仿宋" w:eastAsia="仿宋" w:cs="宋体"/>
                <w:color w:val="000000"/>
                <w:kern w:val="0"/>
                <w:sz w:val="20"/>
                <w:szCs w:val="20"/>
              </w:rPr>
            </w:pPr>
          </w:p>
        </w:tc>
      </w:tr>
      <w:tr w14:paraId="732B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150" w:type="dxa"/>
            <w:vMerge w:val="continue"/>
            <w:shd w:val="clear" w:color="auto" w:fill="auto"/>
            <w:vAlign w:val="center"/>
          </w:tcPr>
          <w:p w14:paraId="734A9B1C">
            <w:pPr>
              <w:spacing w:line="240" w:lineRule="exact"/>
              <w:jc w:val="center"/>
              <w:rPr>
                <w:rFonts w:ascii="仿宋" w:hAnsi="仿宋" w:eastAsia="仿宋" w:cs="宋体"/>
                <w:color w:val="000000"/>
                <w:kern w:val="0"/>
                <w:sz w:val="20"/>
                <w:szCs w:val="20"/>
              </w:rPr>
            </w:pPr>
          </w:p>
        </w:tc>
        <w:tc>
          <w:tcPr>
            <w:tcW w:w="2754" w:type="dxa"/>
            <w:shd w:val="clear" w:color="auto" w:fill="auto"/>
            <w:noWrap/>
            <w:vAlign w:val="center"/>
          </w:tcPr>
          <w:p w14:paraId="2B64A35B">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公用经费预算安排数</w:t>
            </w:r>
          </w:p>
        </w:tc>
        <w:tc>
          <w:tcPr>
            <w:tcW w:w="1612" w:type="dxa"/>
            <w:shd w:val="clear" w:color="auto" w:fill="auto"/>
            <w:noWrap/>
            <w:vAlign w:val="center"/>
          </w:tcPr>
          <w:p w14:paraId="2C62225E">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4,750.83</w:t>
            </w:r>
          </w:p>
        </w:tc>
        <w:tc>
          <w:tcPr>
            <w:tcW w:w="2296" w:type="dxa"/>
            <w:vMerge w:val="restart"/>
            <w:shd w:val="clear" w:color="auto" w:fill="auto"/>
            <w:noWrap/>
            <w:vAlign w:val="center"/>
          </w:tcPr>
          <w:p w14:paraId="367E4C37">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公用经费控制率</w:t>
            </w:r>
          </w:p>
        </w:tc>
        <w:tc>
          <w:tcPr>
            <w:tcW w:w="1033" w:type="dxa"/>
            <w:vMerge w:val="restart"/>
            <w:shd w:val="clear" w:color="auto" w:fill="auto"/>
            <w:noWrap/>
            <w:vAlign w:val="center"/>
          </w:tcPr>
          <w:p w14:paraId="6C762F20">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108.17%</w:t>
            </w:r>
          </w:p>
        </w:tc>
      </w:tr>
      <w:tr w14:paraId="4B4B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150" w:type="dxa"/>
            <w:vMerge w:val="continue"/>
            <w:shd w:val="clear" w:color="auto" w:fill="auto"/>
            <w:vAlign w:val="center"/>
          </w:tcPr>
          <w:p w14:paraId="3CEECE49">
            <w:pPr>
              <w:spacing w:line="240" w:lineRule="exact"/>
              <w:jc w:val="center"/>
              <w:rPr>
                <w:rFonts w:ascii="仿宋" w:hAnsi="仿宋" w:eastAsia="仿宋" w:cs="宋体"/>
                <w:color w:val="000000"/>
                <w:kern w:val="0"/>
                <w:sz w:val="20"/>
                <w:szCs w:val="20"/>
              </w:rPr>
            </w:pPr>
          </w:p>
        </w:tc>
        <w:tc>
          <w:tcPr>
            <w:tcW w:w="2754" w:type="dxa"/>
            <w:shd w:val="clear" w:color="auto" w:fill="auto"/>
            <w:noWrap/>
            <w:vAlign w:val="center"/>
          </w:tcPr>
          <w:p w14:paraId="1D639C00">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公用经费实际支出数</w:t>
            </w:r>
          </w:p>
        </w:tc>
        <w:tc>
          <w:tcPr>
            <w:tcW w:w="1612" w:type="dxa"/>
            <w:shd w:val="clear" w:color="auto" w:fill="auto"/>
            <w:noWrap/>
            <w:vAlign w:val="center"/>
          </w:tcPr>
          <w:p w14:paraId="1CDC49B3">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5,139.11</w:t>
            </w:r>
          </w:p>
        </w:tc>
        <w:tc>
          <w:tcPr>
            <w:tcW w:w="2296" w:type="dxa"/>
            <w:vMerge w:val="continue"/>
            <w:vAlign w:val="center"/>
          </w:tcPr>
          <w:p w14:paraId="7DBB18A0">
            <w:pPr>
              <w:widowControl/>
              <w:spacing w:line="240" w:lineRule="exact"/>
              <w:jc w:val="left"/>
              <w:rPr>
                <w:rFonts w:ascii="仿宋" w:hAnsi="仿宋" w:eastAsia="仿宋" w:cs="宋体"/>
                <w:color w:val="000000"/>
                <w:kern w:val="0"/>
                <w:sz w:val="20"/>
                <w:szCs w:val="20"/>
              </w:rPr>
            </w:pPr>
          </w:p>
        </w:tc>
        <w:tc>
          <w:tcPr>
            <w:tcW w:w="1033" w:type="dxa"/>
            <w:vMerge w:val="continue"/>
            <w:vAlign w:val="center"/>
          </w:tcPr>
          <w:p w14:paraId="1A28945C">
            <w:pPr>
              <w:widowControl/>
              <w:spacing w:line="240" w:lineRule="exact"/>
              <w:jc w:val="left"/>
              <w:rPr>
                <w:rFonts w:ascii="仿宋" w:hAnsi="仿宋" w:eastAsia="仿宋" w:cs="宋体"/>
                <w:color w:val="000000"/>
                <w:kern w:val="0"/>
                <w:sz w:val="20"/>
                <w:szCs w:val="20"/>
              </w:rPr>
            </w:pPr>
          </w:p>
        </w:tc>
      </w:tr>
      <w:tr w14:paraId="60B3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150" w:type="dxa"/>
            <w:vMerge w:val="continue"/>
            <w:shd w:val="clear" w:color="auto" w:fill="auto"/>
            <w:vAlign w:val="center"/>
          </w:tcPr>
          <w:p w14:paraId="4E4B3D74">
            <w:pPr>
              <w:spacing w:line="240" w:lineRule="exact"/>
              <w:jc w:val="center"/>
              <w:rPr>
                <w:rFonts w:ascii="仿宋" w:hAnsi="仿宋" w:eastAsia="仿宋" w:cs="宋体"/>
                <w:color w:val="000000"/>
                <w:kern w:val="0"/>
                <w:sz w:val="20"/>
                <w:szCs w:val="20"/>
              </w:rPr>
            </w:pPr>
          </w:p>
        </w:tc>
        <w:tc>
          <w:tcPr>
            <w:tcW w:w="2754" w:type="dxa"/>
            <w:shd w:val="clear" w:color="auto" w:fill="auto"/>
            <w:noWrap/>
            <w:vAlign w:val="center"/>
          </w:tcPr>
          <w:p w14:paraId="4338388D">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“三公经费”预算安排数</w:t>
            </w:r>
          </w:p>
        </w:tc>
        <w:tc>
          <w:tcPr>
            <w:tcW w:w="1612" w:type="dxa"/>
            <w:shd w:val="clear" w:color="auto" w:fill="auto"/>
            <w:noWrap/>
            <w:vAlign w:val="center"/>
          </w:tcPr>
          <w:p w14:paraId="5EB2A3FC">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8.09</w:t>
            </w:r>
          </w:p>
        </w:tc>
        <w:tc>
          <w:tcPr>
            <w:tcW w:w="2296" w:type="dxa"/>
            <w:vMerge w:val="restart"/>
            <w:shd w:val="clear" w:color="auto" w:fill="auto"/>
            <w:noWrap/>
            <w:vAlign w:val="center"/>
          </w:tcPr>
          <w:p w14:paraId="53191202">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“三公经费”控制率</w:t>
            </w:r>
          </w:p>
        </w:tc>
        <w:tc>
          <w:tcPr>
            <w:tcW w:w="1033" w:type="dxa"/>
            <w:vMerge w:val="restart"/>
            <w:shd w:val="clear" w:color="auto" w:fill="auto"/>
            <w:noWrap/>
            <w:vAlign w:val="center"/>
          </w:tcPr>
          <w:p w14:paraId="1CE69F3D">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94.31</w:t>
            </w:r>
            <w:r>
              <w:rPr>
                <w:rFonts w:hint="eastAsia" w:ascii="仿宋" w:hAnsi="仿宋" w:eastAsia="仿宋" w:cs="宋体"/>
                <w:color w:val="000000"/>
                <w:kern w:val="0"/>
                <w:sz w:val="20"/>
                <w:szCs w:val="20"/>
              </w:rPr>
              <w:t>%</w:t>
            </w:r>
          </w:p>
        </w:tc>
      </w:tr>
      <w:tr w14:paraId="1D09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150" w:type="dxa"/>
            <w:vMerge w:val="continue"/>
            <w:shd w:val="clear" w:color="auto" w:fill="auto"/>
            <w:vAlign w:val="center"/>
          </w:tcPr>
          <w:p w14:paraId="44FB4E87">
            <w:pPr>
              <w:spacing w:line="240" w:lineRule="exact"/>
              <w:jc w:val="center"/>
              <w:rPr>
                <w:rFonts w:ascii="仿宋" w:hAnsi="仿宋" w:eastAsia="仿宋" w:cs="宋体"/>
                <w:color w:val="000000"/>
                <w:kern w:val="0"/>
                <w:sz w:val="20"/>
                <w:szCs w:val="20"/>
              </w:rPr>
            </w:pPr>
          </w:p>
        </w:tc>
        <w:tc>
          <w:tcPr>
            <w:tcW w:w="2754" w:type="dxa"/>
            <w:shd w:val="clear" w:color="auto" w:fill="auto"/>
            <w:noWrap/>
            <w:vAlign w:val="center"/>
          </w:tcPr>
          <w:p w14:paraId="670534D1">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“三公经费”实际支出数</w:t>
            </w:r>
          </w:p>
        </w:tc>
        <w:tc>
          <w:tcPr>
            <w:tcW w:w="1612" w:type="dxa"/>
            <w:shd w:val="clear" w:color="auto" w:fill="auto"/>
            <w:noWrap/>
            <w:vAlign w:val="center"/>
          </w:tcPr>
          <w:p w14:paraId="5AE553C4">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7.63</w:t>
            </w:r>
          </w:p>
        </w:tc>
        <w:tc>
          <w:tcPr>
            <w:tcW w:w="2296" w:type="dxa"/>
            <w:vMerge w:val="continue"/>
            <w:vAlign w:val="center"/>
          </w:tcPr>
          <w:p w14:paraId="446DAFF1">
            <w:pPr>
              <w:widowControl/>
              <w:spacing w:line="240" w:lineRule="exact"/>
              <w:jc w:val="left"/>
              <w:rPr>
                <w:rFonts w:ascii="仿宋" w:hAnsi="仿宋" w:eastAsia="仿宋" w:cs="宋体"/>
                <w:color w:val="000000"/>
                <w:kern w:val="0"/>
                <w:sz w:val="20"/>
                <w:szCs w:val="20"/>
              </w:rPr>
            </w:pPr>
          </w:p>
        </w:tc>
        <w:tc>
          <w:tcPr>
            <w:tcW w:w="1033" w:type="dxa"/>
            <w:vMerge w:val="continue"/>
            <w:vAlign w:val="center"/>
          </w:tcPr>
          <w:p w14:paraId="1F9275CC">
            <w:pPr>
              <w:widowControl/>
              <w:spacing w:line="240" w:lineRule="exact"/>
              <w:jc w:val="left"/>
              <w:rPr>
                <w:rFonts w:ascii="仿宋" w:hAnsi="仿宋" w:eastAsia="仿宋" w:cs="宋体"/>
                <w:color w:val="000000"/>
                <w:kern w:val="0"/>
                <w:sz w:val="20"/>
                <w:szCs w:val="20"/>
              </w:rPr>
            </w:pPr>
          </w:p>
        </w:tc>
      </w:tr>
      <w:tr w14:paraId="65C5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150" w:type="dxa"/>
            <w:vMerge w:val="restart"/>
            <w:shd w:val="clear" w:color="auto" w:fill="auto"/>
            <w:vAlign w:val="center"/>
          </w:tcPr>
          <w:p w14:paraId="44E4886E">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预算执行</w:t>
            </w:r>
          </w:p>
        </w:tc>
        <w:tc>
          <w:tcPr>
            <w:tcW w:w="2754" w:type="dxa"/>
            <w:shd w:val="clear" w:color="auto" w:fill="auto"/>
            <w:noWrap/>
            <w:vAlign w:val="center"/>
          </w:tcPr>
          <w:p w14:paraId="7C801CFF">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政府采购预算数</w:t>
            </w:r>
          </w:p>
        </w:tc>
        <w:tc>
          <w:tcPr>
            <w:tcW w:w="1612" w:type="dxa"/>
            <w:shd w:val="clear" w:color="auto" w:fill="auto"/>
            <w:noWrap/>
            <w:vAlign w:val="center"/>
          </w:tcPr>
          <w:p w14:paraId="7440015D">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583.62</w:t>
            </w:r>
          </w:p>
        </w:tc>
        <w:tc>
          <w:tcPr>
            <w:tcW w:w="2296" w:type="dxa"/>
            <w:vMerge w:val="restart"/>
            <w:shd w:val="clear" w:color="auto" w:fill="auto"/>
            <w:noWrap/>
            <w:vAlign w:val="center"/>
          </w:tcPr>
          <w:p w14:paraId="7E3D97DD">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政府采购执行率</w:t>
            </w:r>
          </w:p>
        </w:tc>
        <w:tc>
          <w:tcPr>
            <w:tcW w:w="1033" w:type="dxa"/>
            <w:vMerge w:val="restart"/>
            <w:shd w:val="clear" w:color="auto" w:fill="auto"/>
            <w:noWrap/>
            <w:vAlign w:val="center"/>
          </w:tcPr>
          <w:p w14:paraId="54D5ABD3">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34.54</w:t>
            </w:r>
            <w:r>
              <w:rPr>
                <w:rFonts w:hint="eastAsia" w:ascii="仿宋" w:hAnsi="仿宋" w:eastAsia="仿宋" w:cs="宋体"/>
                <w:color w:val="000000"/>
                <w:kern w:val="0"/>
                <w:sz w:val="20"/>
                <w:szCs w:val="20"/>
              </w:rPr>
              <w:t>%</w:t>
            </w:r>
          </w:p>
        </w:tc>
      </w:tr>
      <w:tr w14:paraId="1C60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150" w:type="dxa"/>
            <w:vMerge w:val="continue"/>
            <w:shd w:val="clear" w:color="auto" w:fill="auto"/>
            <w:vAlign w:val="center"/>
          </w:tcPr>
          <w:p w14:paraId="7E3417D3">
            <w:pPr>
              <w:widowControl/>
              <w:spacing w:line="240" w:lineRule="exact"/>
              <w:jc w:val="center"/>
              <w:rPr>
                <w:rFonts w:ascii="仿宋" w:hAnsi="仿宋" w:eastAsia="仿宋" w:cs="宋体"/>
                <w:color w:val="000000"/>
                <w:kern w:val="0"/>
                <w:sz w:val="20"/>
                <w:szCs w:val="20"/>
              </w:rPr>
            </w:pPr>
          </w:p>
        </w:tc>
        <w:tc>
          <w:tcPr>
            <w:tcW w:w="2754" w:type="dxa"/>
            <w:shd w:val="clear" w:color="auto" w:fill="auto"/>
            <w:noWrap/>
            <w:vAlign w:val="center"/>
          </w:tcPr>
          <w:p w14:paraId="7FC6A351">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政府采购实际支出数</w:t>
            </w:r>
          </w:p>
        </w:tc>
        <w:tc>
          <w:tcPr>
            <w:tcW w:w="1612" w:type="dxa"/>
            <w:shd w:val="clear" w:color="auto" w:fill="auto"/>
            <w:noWrap/>
            <w:vAlign w:val="center"/>
          </w:tcPr>
          <w:p w14:paraId="7866AD9B">
            <w:pPr>
              <w:widowControl/>
              <w:spacing w:line="24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201.57</w:t>
            </w:r>
          </w:p>
        </w:tc>
        <w:tc>
          <w:tcPr>
            <w:tcW w:w="2296" w:type="dxa"/>
            <w:vMerge w:val="continue"/>
            <w:shd w:val="clear" w:color="auto" w:fill="auto"/>
            <w:noWrap/>
            <w:vAlign w:val="center"/>
          </w:tcPr>
          <w:p w14:paraId="7F53B4AA">
            <w:pPr>
              <w:widowControl/>
              <w:spacing w:line="240" w:lineRule="exact"/>
              <w:jc w:val="center"/>
              <w:rPr>
                <w:rFonts w:ascii="仿宋" w:hAnsi="仿宋" w:eastAsia="仿宋" w:cs="宋体"/>
                <w:color w:val="000000"/>
                <w:kern w:val="0"/>
                <w:sz w:val="20"/>
                <w:szCs w:val="20"/>
              </w:rPr>
            </w:pPr>
          </w:p>
        </w:tc>
        <w:tc>
          <w:tcPr>
            <w:tcW w:w="1033" w:type="dxa"/>
            <w:vMerge w:val="continue"/>
            <w:shd w:val="clear" w:color="auto" w:fill="auto"/>
            <w:noWrap/>
            <w:vAlign w:val="center"/>
          </w:tcPr>
          <w:p w14:paraId="36931C9E">
            <w:pPr>
              <w:widowControl/>
              <w:spacing w:line="240" w:lineRule="exact"/>
              <w:jc w:val="center"/>
              <w:rPr>
                <w:rFonts w:ascii="仿宋" w:hAnsi="仿宋" w:eastAsia="仿宋" w:cs="宋体"/>
                <w:color w:val="000000"/>
                <w:kern w:val="0"/>
                <w:sz w:val="20"/>
                <w:szCs w:val="20"/>
              </w:rPr>
            </w:pPr>
          </w:p>
        </w:tc>
      </w:tr>
    </w:tbl>
    <w:p w14:paraId="356F8492">
      <w:pPr>
        <w:spacing w:line="590" w:lineRule="exact"/>
        <w:ind w:firstLine="600" w:firstLineChars="200"/>
        <w:rPr>
          <w:rFonts w:ascii="仿宋" w:hAnsi="仿宋" w:eastAsia="仿宋"/>
          <w:sz w:val="30"/>
          <w:szCs w:val="30"/>
        </w:rPr>
      </w:pPr>
      <w:r>
        <w:rPr>
          <w:rFonts w:hint="eastAsia" w:ascii="仿宋" w:hAnsi="仿宋" w:eastAsia="仿宋"/>
          <w:sz w:val="30"/>
          <w:szCs w:val="30"/>
        </w:rPr>
        <w:t>预算管理方面。内部控制健全，预决算管理公开透明，按要求开展绩效管理工作，在资金使用方面还需加强监督管理。按规定内容和规定时限公开了预决算信息；</w:t>
      </w:r>
      <w:r>
        <w:rPr>
          <w:rFonts w:ascii="仿宋" w:hAnsi="仿宋" w:eastAsia="仿宋"/>
          <w:sz w:val="30"/>
          <w:szCs w:val="30"/>
        </w:rPr>
        <w:t>2020年</w:t>
      </w:r>
      <w:r>
        <w:rPr>
          <w:rFonts w:hint="eastAsia" w:ascii="仿宋" w:hAnsi="仿宋" w:eastAsia="仿宋"/>
          <w:sz w:val="30"/>
          <w:szCs w:val="30"/>
        </w:rPr>
        <w:t>完成了绩效运行监控、绩效自评及绩效考核工作，</w:t>
      </w:r>
      <w:r>
        <w:rPr>
          <w:rFonts w:ascii="仿宋" w:hAnsi="仿宋" w:eastAsia="仿宋"/>
          <w:sz w:val="30"/>
          <w:szCs w:val="30"/>
        </w:rPr>
        <w:t>成立</w:t>
      </w:r>
      <w:r>
        <w:rPr>
          <w:rFonts w:hint="eastAsia" w:ascii="仿宋" w:hAnsi="仿宋" w:eastAsia="仿宋"/>
          <w:sz w:val="30"/>
          <w:szCs w:val="30"/>
        </w:rPr>
        <w:t>绩效</w:t>
      </w:r>
      <w:r>
        <w:rPr>
          <w:rFonts w:ascii="仿宋" w:hAnsi="仿宋" w:eastAsia="仿宋"/>
          <w:sz w:val="30"/>
          <w:szCs w:val="30"/>
        </w:rPr>
        <w:t>自评</w:t>
      </w:r>
      <w:r>
        <w:rPr>
          <w:rFonts w:hint="eastAsia" w:ascii="仿宋" w:hAnsi="仿宋" w:eastAsia="仿宋"/>
          <w:sz w:val="30"/>
          <w:szCs w:val="30"/>
        </w:rPr>
        <w:t>领导</w:t>
      </w:r>
      <w:r>
        <w:rPr>
          <w:rFonts w:ascii="仿宋" w:hAnsi="仿宋" w:eastAsia="仿宋"/>
          <w:sz w:val="30"/>
          <w:szCs w:val="30"/>
        </w:rPr>
        <w:t>小组；在资金使用方面，</w:t>
      </w:r>
      <w:r>
        <w:rPr>
          <w:rFonts w:hint="eastAsia" w:ascii="仿宋" w:hAnsi="仿宋" w:eastAsia="仿宋"/>
          <w:sz w:val="30"/>
          <w:szCs w:val="30"/>
        </w:rPr>
        <w:t>存在基本支出和项目支出界限不清、未严格按照合同约定付款方式付款、报销不及时等问题</w:t>
      </w:r>
      <w:r>
        <w:rPr>
          <w:rFonts w:ascii="仿宋" w:hAnsi="仿宋" w:eastAsia="仿宋"/>
          <w:sz w:val="30"/>
          <w:szCs w:val="30"/>
        </w:rPr>
        <w:t>。</w:t>
      </w:r>
    </w:p>
    <w:p w14:paraId="47A8EADA">
      <w:pPr>
        <w:spacing w:line="590" w:lineRule="exact"/>
        <w:ind w:firstLine="600" w:firstLineChars="200"/>
        <w:rPr>
          <w:rFonts w:ascii="仿宋" w:hAnsi="仿宋" w:eastAsia="仿宋"/>
          <w:sz w:val="30"/>
          <w:szCs w:val="30"/>
        </w:rPr>
      </w:pPr>
      <w:r>
        <w:rPr>
          <w:rFonts w:hint="eastAsia" w:ascii="仿宋" w:hAnsi="仿宋" w:eastAsia="仿宋"/>
          <w:sz w:val="30"/>
          <w:szCs w:val="30"/>
        </w:rPr>
        <w:t>资产管理方面。为加强资产管理、规范资产管理行为制定相关的管理制度。</w:t>
      </w:r>
      <w:r>
        <w:rPr>
          <w:rFonts w:ascii="仿宋" w:hAnsi="仿宋" w:eastAsia="仿宋"/>
          <w:sz w:val="30"/>
          <w:szCs w:val="30"/>
        </w:rPr>
        <w:t>资产管理安全，无闲置资产。</w:t>
      </w:r>
    </w:p>
    <w:p w14:paraId="6E3914D5">
      <w:pPr>
        <w:spacing w:line="590" w:lineRule="exact"/>
        <w:ind w:firstLine="600" w:firstLineChars="200"/>
        <w:rPr>
          <w:rFonts w:ascii="仿宋" w:hAnsi="仿宋" w:eastAsia="仿宋"/>
          <w:sz w:val="30"/>
          <w:szCs w:val="30"/>
        </w:rPr>
      </w:pPr>
      <w:r>
        <w:rPr>
          <w:rFonts w:ascii="仿宋" w:hAnsi="仿宋" w:eastAsia="仿宋"/>
          <w:sz w:val="30"/>
          <w:szCs w:val="30"/>
        </w:rPr>
        <w:t>3.产出情况方面</w:t>
      </w:r>
    </w:p>
    <w:p w14:paraId="225A0B6F">
      <w:pPr>
        <w:spacing w:line="579" w:lineRule="exact"/>
        <w:ind w:firstLine="600" w:firstLineChars="200"/>
        <w:rPr>
          <w:rFonts w:ascii="仿宋" w:hAnsi="仿宋" w:eastAsia="仿宋"/>
          <w:sz w:val="30"/>
          <w:szCs w:val="30"/>
        </w:rPr>
      </w:pPr>
      <w:r>
        <w:rPr>
          <w:rFonts w:hint="eastAsia" w:ascii="仿宋" w:hAnsi="仿宋" w:eastAsia="仿宋"/>
          <w:sz w:val="30"/>
          <w:szCs w:val="30"/>
        </w:rPr>
        <w:t>产出情况满分</w:t>
      </w:r>
      <w:r>
        <w:rPr>
          <w:rFonts w:ascii="仿宋" w:hAnsi="仿宋" w:eastAsia="仿宋"/>
          <w:sz w:val="30"/>
          <w:szCs w:val="30"/>
        </w:rPr>
        <w:t>35</w:t>
      </w:r>
      <w:r>
        <w:rPr>
          <w:rFonts w:hint="eastAsia" w:ascii="仿宋" w:hAnsi="仿宋" w:eastAsia="仿宋"/>
          <w:sz w:val="30"/>
          <w:szCs w:val="30"/>
        </w:rPr>
        <w:t>分，得分</w:t>
      </w:r>
      <w:r>
        <w:rPr>
          <w:rFonts w:ascii="仿宋" w:hAnsi="仿宋" w:eastAsia="仿宋"/>
          <w:sz w:val="30"/>
          <w:szCs w:val="30"/>
        </w:rPr>
        <w:t>25.66</w:t>
      </w:r>
      <w:r>
        <w:rPr>
          <w:rFonts w:hint="eastAsia" w:ascii="仿宋" w:hAnsi="仿宋" w:eastAsia="仿宋"/>
          <w:sz w:val="30"/>
          <w:szCs w:val="30"/>
        </w:rPr>
        <w:t>分，得分率</w:t>
      </w:r>
      <w:r>
        <w:rPr>
          <w:rFonts w:ascii="仿宋" w:hAnsi="仿宋" w:eastAsia="仿宋"/>
          <w:sz w:val="30"/>
          <w:szCs w:val="30"/>
        </w:rPr>
        <w:t>73.31</w:t>
      </w:r>
      <w:r>
        <w:rPr>
          <w:rFonts w:hint="eastAsia" w:ascii="仿宋" w:hAnsi="仿宋" w:eastAsia="仿宋"/>
          <w:sz w:val="30"/>
          <w:szCs w:val="30"/>
        </w:rPr>
        <w:t>%。其中入学升学情况得分率为</w:t>
      </w:r>
      <w:r>
        <w:rPr>
          <w:rFonts w:ascii="仿宋" w:hAnsi="仿宋" w:eastAsia="仿宋"/>
          <w:sz w:val="30"/>
          <w:szCs w:val="30"/>
        </w:rPr>
        <w:t>90</w:t>
      </w:r>
      <w:r>
        <w:rPr>
          <w:rFonts w:hint="eastAsia" w:ascii="仿宋" w:hAnsi="仿宋" w:eastAsia="仿宋"/>
          <w:sz w:val="30"/>
          <w:szCs w:val="30"/>
        </w:rPr>
        <w:t>%，学校建设发展情况得分率为</w:t>
      </w:r>
      <w:r>
        <w:rPr>
          <w:rFonts w:ascii="仿宋" w:hAnsi="仿宋" w:eastAsia="仿宋"/>
          <w:sz w:val="30"/>
          <w:szCs w:val="30"/>
        </w:rPr>
        <w:t>78.40</w:t>
      </w:r>
      <w:r>
        <w:rPr>
          <w:rFonts w:hint="eastAsia" w:ascii="仿宋" w:hAnsi="仿宋" w:eastAsia="仿宋"/>
          <w:sz w:val="30"/>
          <w:szCs w:val="30"/>
        </w:rPr>
        <w:t>%，“改薄提升”建设实施情况得分率为</w:t>
      </w:r>
      <w:r>
        <w:rPr>
          <w:rFonts w:ascii="仿宋" w:hAnsi="仿宋" w:eastAsia="仿宋"/>
          <w:sz w:val="30"/>
          <w:szCs w:val="30"/>
        </w:rPr>
        <w:t>74.14</w:t>
      </w:r>
      <w:r>
        <w:rPr>
          <w:rFonts w:hint="eastAsia" w:ascii="仿宋" w:hAnsi="仿宋" w:eastAsia="仿宋"/>
          <w:sz w:val="30"/>
          <w:szCs w:val="30"/>
        </w:rPr>
        <w:t>%，体育建设得分率为</w:t>
      </w:r>
      <w:r>
        <w:rPr>
          <w:rFonts w:ascii="仿宋" w:hAnsi="仿宋" w:eastAsia="仿宋"/>
          <w:sz w:val="30"/>
          <w:szCs w:val="30"/>
        </w:rPr>
        <w:t>80.60</w:t>
      </w:r>
      <w:r>
        <w:rPr>
          <w:rFonts w:hint="eastAsia" w:ascii="仿宋" w:hAnsi="仿宋" w:eastAsia="仿宋"/>
          <w:sz w:val="30"/>
          <w:szCs w:val="30"/>
        </w:rPr>
        <w:t>%，师资力量得分率5</w:t>
      </w:r>
      <w:r>
        <w:rPr>
          <w:rFonts w:ascii="仿宋" w:hAnsi="仿宋" w:eastAsia="仿宋"/>
          <w:sz w:val="30"/>
          <w:szCs w:val="30"/>
        </w:rPr>
        <w:t>1.25</w:t>
      </w:r>
      <w:r>
        <w:rPr>
          <w:rFonts w:hint="eastAsia" w:ascii="仿宋" w:hAnsi="仿宋" w:eastAsia="仿宋"/>
          <w:sz w:val="30"/>
          <w:szCs w:val="30"/>
        </w:rPr>
        <w:t>%。</w:t>
      </w:r>
    </w:p>
    <w:p w14:paraId="49971D62">
      <w:pPr>
        <w:spacing w:line="590" w:lineRule="exact"/>
        <w:ind w:firstLine="600" w:firstLineChars="200"/>
        <w:rPr>
          <w:rFonts w:ascii="仿宋" w:hAnsi="仿宋" w:eastAsia="仿宋"/>
          <w:sz w:val="30"/>
          <w:szCs w:val="30"/>
        </w:rPr>
      </w:pPr>
      <w:r>
        <w:rPr>
          <w:rFonts w:hint="eastAsia" w:ascii="仿宋" w:hAnsi="仿宋" w:eastAsia="仿宋"/>
          <w:sz w:val="30"/>
          <w:szCs w:val="30"/>
        </w:rPr>
        <w:t>入学升学情况方面。学前三年毛入园率未达《通海县“十三五”教育事业发展规划》计划的</w:t>
      </w:r>
      <w:r>
        <w:rPr>
          <w:rFonts w:ascii="仿宋" w:hAnsi="仿宋" w:eastAsia="仿宋"/>
          <w:sz w:val="30"/>
          <w:szCs w:val="30"/>
        </w:rPr>
        <w:t>90%</w:t>
      </w:r>
      <w:r>
        <w:rPr>
          <w:rFonts w:hint="eastAsia" w:ascii="仿宋" w:hAnsi="仿宋" w:eastAsia="仿宋"/>
          <w:sz w:val="30"/>
          <w:szCs w:val="30"/>
        </w:rPr>
        <w:t>，其余入学升学情况完成较好。2</w:t>
      </w:r>
      <w:r>
        <w:rPr>
          <w:rFonts w:ascii="仿宋" w:hAnsi="仿宋" w:eastAsia="仿宋"/>
          <w:sz w:val="30"/>
          <w:szCs w:val="30"/>
        </w:rPr>
        <w:t>020</w:t>
      </w:r>
      <w:r>
        <w:rPr>
          <w:rFonts w:hint="eastAsia" w:ascii="仿宋" w:hAnsi="仿宋" w:eastAsia="仿宋"/>
          <w:sz w:val="30"/>
          <w:szCs w:val="30"/>
        </w:rPr>
        <w:t>年全县</w:t>
      </w:r>
      <w:r>
        <w:rPr>
          <w:rFonts w:ascii="仿宋" w:hAnsi="仿宋" w:eastAsia="仿宋"/>
          <w:sz w:val="30"/>
          <w:szCs w:val="30"/>
        </w:rPr>
        <w:t>3-6岁幼儿入园入班率为99.86%，学前三年毛入园率达89.06%</w:t>
      </w:r>
      <w:r>
        <w:rPr>
          <w:rFonts w:hint="eastAsia" w:ascii="仿宋" w:hAnsi="仿宋" w:eastAsia="仿宋"/>
          <w:sz w:val="30"/>
          <w:szCs w:val="30"/>
        </w:rPr>
        <w:t>。适龄儿童入学率达</w:t>
      </w:r>
      <w:r>
        <w:rPr>
          <w:rFonts w:ascii="仿宋" w:hAnsi="仿宋" w:eastAsia="仿宋"/>
          <w:sz w:val="30"/>
          <w:szCs w:val="30"/>
        </w:rPr>
        <w:t>99.98%，适龄少年入学率达99.8%，初中升学率94.97％</w:t>
      </w:r>
      <w:r>
        <w:rPr>
          <w:rFonts w:hint="eastAsia" w:ascii="仿宋" w:hAnsi="仿宋" w:eastAsia="仿宋"/>
          <w:sz w:val="30"/>
          <w:szCs w:val="30"/>
        </w:rPr>
        <w:t>，</w:t>
      </w:r>
      <w:r>
        <w:rPr>
          <w:rFonts w:ascii="仿宋" w:hAnsi="仿宋" w:eastAsia="仿宋"/>
          <w:sz w:val="30"/>
          <w:szCs w:val="30"/>
        </w:rPr>
        <w:t>高中阶段毛入学率92.15%</w:t>
      </w:r>
      <w:r>
        <w:rPr>
          <w:rFonts w:hint="eastAsia" w:ascii="仿宋" w:hAnsi="仿宋" w:eastAsia="仿宋"/>
          <w:sz w:val="30"/>
          <w:szCs w:val="30"/>
        </w:rPr>
        <w:t>。</w:t>
      </w:r>
    </w:p>
    <w:p w14:paraId="16ADD326">
      <w:pPr>
        <w:spacing w:line="590" w:lineRule="exact"/>
        <w:ind w:firstLine="600" w:firstLineChars="200"/>
        <w:rPr>
          <w:rFonts w:ascii="仿宋" w:hAnsi="仿宋" w:eastAsia="仿宋"/>
          <w:sz w:val="30"/>
          <w:szCs w:val="30"/>
        </w:rPr>
      </w:pPr>
      <w:r>
        <w:rPr>
          <w:rFonts w:hint="eastAsia" w:ascii="仿宋" w:hAnsi="仿宋" w:eastAsia="仿宋"/>
          <w:sz w:val="30"/>
          <w:szCs w:val="30"/>
        </w:rPr>
        <w:t>学校建设发展情况方面。通海一幼晋升为省一级一等幼儿园，全县有幼儿园</w:t>
      </w:r>
      <w:r>
        <w:rPr>
          <w:rFonts w:ascii="仿宋" w:hAnsi="仿宋" w:eastAsia="仿宋"/>
          <w:sz w:val="30"/>
          <w:szCs w:val="30"/>
        </w:rPr>
        <w:t>47所，现有省一级一等幼儿园1所，省一级二等幼儿园1所</w:t>
      </w:r>
      <w:r>
        <w:rPr>
          <w:rFonts w:hint="eastAsia" w:ascii="仿宋" w:hAnsi="仿宋" w:eastAsia="仿宋"/>
          <w:sz w:val="30"/>
          <w:szCs w:val="30"/>
        </w:rPr>
        <w:t>，未达到《通海县“十三五”教育事业发展规划》乡镇（街道）中心幼儿园有</w:t>
      </w:r>
      <w:r>
        <w:rPr>
          <w:rFonts w:ascii="仿宋" w:hAnsi="仿宋" w:eastAsia="仿宋"/>
          <w:sz w:val="30"/>
          <w:szCs w:val="30"/>
        </w:rPr>
        <w:t>10%以上达省一级幼儿园</w:t>
      </w:r>
      <w:r>
        <w:rPr>
          <w:rFonts w:hint="eastAsia" w:ascii="仿宋" w:hAnsi="仿宋" w:eastAsia="仿宋"/>
          <w:sz w:val="30"/>
          <w:szCs w:val="30"/>
        </w:rPr>
        <w:t>的</w:t>
      </w:r>
      <w:r>
        <w:rPr>
          <w:rFonts w:ascii="仿宋" w:hAnsi="仿宋" w:eastAsia="仿宋"/>
          <w:sz w:val="30"/>
          <w:szCs w:val="30"/>
        </w:rPr>
        <w:t>目标</w:t>
      </w:r>
      <w:r>
        <w:rPr>
          <w:rFonts w:hint="eastAsia" w:ascii="仿宋" w:hAnsi="仿宋" w:eastAsia="仿宋"/>
          <w:sz w:val="30"/>
          <w:szCs w:val="30"/>
        </w:rPr>
        <w:t>。现有普通高中</w:t>
      </w:r>
      <w:r>
        <w:rPr>
          <w:rFonts w:ascii="仿宋" w:hAnsi="仿宋" w:eastAsia="仿宋"/>
          <w:sz w:val="30"/>
          <w:szCs w:val="30"/>
        </w:rPr>
        <w:t>4623人，中等职业学校839人</w:t>
      </w:r>
      <w:r>
        <w:rPr>
          <w:rFonts w:hint="eastAsia" w:ascii="仿宋" w:hAnsi="仿宋" w:eastAsia="仿宋"/>
          <w:sz w:val="30"/>
          <w:szCs w:val="30"/>
        </w:rPr>
        <w:t>，在校生规模与“十三五”规划略有差异。初中成绩排名全市第</w:t>
      </w:r>
      <w:r>
        <w:rPr>
          <w:rFonts w:ascii="仿宋" w:hAnsi="仿宋" w:eastAsia="仿宋"/>
          <w:sz w:val="30"/>
          <w:szCs w:val="30"/>
        </w:rPr>
        <w:t>3名</w:t>
      </w:r>
      <w:r>
        <w:rPr>
          <w:rFonts w:hint="eastAsia" w:ascii="仿宋" w:hAnsi="仿宋" w:eastAsia="仿宋"/>
          <w:sz w:val="30"/>
          <w:szCs w:val="30"/>
        </w:rPr>
        <w:t>。特殊教育学校已建成，</w:t>
      </w:r>
      <w:r>
        <w:rPr>
          <w:rFonts w:ascii="仿宋" w:hAnsi="仿宋" w:eastAsia="仿宋"/>
          <w:sz w:val="30"/>
          <w:szCs w:val="30"/>
        </w:rPr>
        <w:t>全县适龄残疾少儿入学率达97.08%</w:t>
      </w:r>
      <w:r>
        <w:rPr>
          <w:rFonts w:hint="eastAsia" w:ascii="仿宋" w:hAnsi="仿宋" w:eastAsia="仿宋"/>
          <w:sz w:val="30"/>
          <w:szCs w:val="30"/>
        </w:rPr>
        <w:t>。</w:t>
      </w:r>
    </w:p>
    <w:p w14:paraId="02B5C04A">
      <w:pPr>
        <w:spacing w:line="590" w:lineRule="exact"/>
        <w:ind w:firstLine="600" w:firstLineChars="200"/>
        <w:rPr>
          <w:rFonts w:ascii="仿宋" w:hAnsi="仿宋" w:eastAsia="仿宋"/>
          <w:sz w:val="30"/>
          <w:szCs w:val="30"/>
        </w:rPr>
      </w:pPr>
      <w:r>
        <w:rPr>
          <w:rFonts w:hint="eastAsia" w:ascii="仿宋" w:hAnsi="仿宋" w:eastAsia="仿宋"/>
          <w:sz w:val="30"/>
          <w:szCs w:val="30"/>
        </w:rPr>
        <w:t>“改薄提升”建设实施方面。积极组织</w:t>
      </w:r>
      <w:bookmarkStart w:id="37" w:name="_Hlk84523801"/>
      <w:r>
        <w:rPr>
          <w:rFonts w:hint="eastAsia" w:ascii="仿宋" w:hAnsi="仿宋" w:eastAsia="仿宋"/>
          <w:sz w:val="30"/>
          <w:szCs w:val="30"/>
        </w:rPr>
        <w:t>“全面改薄”项目实施，进一步提升各类学校办学条件，优化教育资源结构</w:t>
      </w:r>
      <w:bookmarkEnd w:id="37"/>
      <w:r>
        <w:rPr>
          <w:rFonts w:hint="eastAsia" w:ascii="仿宋" w:hAnsi="仿宋" w:eastAsia="仿宋"/>
          <w:sz w:val="30"/>
          <w:szCs w:val="30"/>
        </w:rPr>
        <w:t>，促进全县教育事业的健康发展。批复校舍规划建设4</w:t>
      </w:r>
      <w:r>
        <w:rPr>
          <w:rFonts w:ascii="仿宋" w:hAnsi="仿宋" w:eastAsia="仿宋"/>
          <w:sz w:val="30"/>
          <w:szCs w:val="30"/>
        </w:rPr>
        <w:t>808</w:t>
      </w:r>
      <w:r>
        <w:rPr>
          <w:rFonts w:hint="eastAsia" w:ascii="仿宋" w:hAnsi="仿宋" w:eastAsia="仿宋"/>
          <w:sz w:val="30"/>
          <w:szCs w:val="30"/>
        </w:rPr>
        <w:t>米，实际建设完成4</w:t>
      </w:r>
      <w:r>
        <w:rPr>
          <w:rFonts w:ascii="仿宋" w:hAnsi="仿宋" w:eastAsia="仿宋"/>
          <w:sz w:val="30"/>
          <w:szCs w:val="30"/>
        </w:rPr>
        <w:t>408</w:t>
      </w:r>
      <w:r>
        <w:rPr>
          <w:rFonts w:hint="eastAsia" w:ascii="仿宋" w:hAnsi="仿宋" w:eastAsia="仿宋"/>
          <w:sz w:val="30"/>
          <w:szCs w:val="30"/>
        </w:rPr>
        <w:t>米，除玉溪市通海县秀山街道六一小学食堂建设项目已完成审批，目前正在办理招标手续外，其余项目均已建设完成。加快教育信息化建设，助推教育现代化。积极探索智慧教育，完成了通海县智慧教育建设规划</w:t>
      </w:r>
      <w:r>
        <w:rPr>
          <w:rFonts w:ascii="仿宋" w:hAnsi="仿宋" w:eastAsia="仿宋"/>
          <w:sz w:val="30"/>
          <w:szCs w:val="30"/>
        </w:rPr>
        <w:t>，河西中学和九龙中学实现了触控一体机100%到班，极大提高了学校的信息化配备水平</w:t>
      </w:r>
      <w:r>
        <w:rPr>
          <w:rFonts w:hint="eastAsia" w:ascii="仿宋" w:hAnsi="仿宋" w:eastAsia="仿宋"/>
          <w:sz w:val="30"/>
          <w:szCs w:val="30"/>
        </w:rPr>
        <w:t>，多媒体教学设备完成率为4</w:t>
      </w:r>
      <w:r>
        <w:rPr>
          <w:rFonts w:ascii="仿宋" w:hAnsi="仿宋" w:eastAsia="仿宋"/>
          <w:sz w:val="30"/>
          <w:szCs w:val="30"/>
        </w:rPr>
        <w:t>4.71</w:t>
      </w:r>
      <w:r>
        <w:rPr>
          <w:rFonts w:hint="eastAsia" w:ascii="仿宋" w:hAnsi="仿宋" w:eastAsia="仿宋"/>
          <w:sz w:val="30"/>
          <w:szCs w:val="30"/>
        </w:rPr>
        <w:t>%。</w:t>
      </w:r>
    </w:p>
    <w:p w14:paraId="7BDC5D98">
      <w:pPr>
        <w:spacing w:line="590" w:lineRule="exact"/>
        <w:ind w:firstLine="600" w:firstLineChars="200"/>
        <w:rPr>
          <w:rFonts w:ascii="仿宋" w:hAnsi="仿宋" w:eastAsia="仿宋"/>
          <w:sz w:val="30"/>
          <w:szCs w:val="30"/>
        </w:rPr>
      </w:pPr>
      <w:r>
        <w:rPr>
          <w:rFonts w:hint="eastAsia" w:ascii="仿宋" w:hAnsi="仿宋" w:eastAsia="仿宋"/>
          <w:sz w:val="30"/>
          <w:szCs w:val="30"/>
        </w:rPr>
        <w:t>体育建设方面。群众体育蓬勃发展，举办通海县</w:t>
      </w:r>
      <w:r>
        <w:rPr>
          <w:rFonts w:ascii="仿宋" w:hAnsi="仿宋" w:eastAsia="仿宋"/>
          <w:sz w:val="30"/>
          <w:szCs w:val="30"/>
        </w:rPr>
        <w:t>2020年春节“体彩杯”体育系列竞赛</w:t>
      </w:r>
      <w:r>
        <w:rPr>
          <w:rFonts w:hint="eastAsia" w:ascii="仿宋" w:hAnsi="仿宋" w:eastAsia="仿宋"/>
          <w:sz w:val="30"/>
          <w:szCs w:val="30"/>
        </w:rPr>
        <w:t>、全民健身日系列活动、通海县中小学生足球、篮球、啦啦操比赛等多种活动，体育事业稳步发展。</w:t>
      </w:r>
    </w:p>
    <w:p w14:paraId="1854535E">
      <w:pPr>
        <w:spacing w:line="590" w:lineRule="exact"/>
        <w:rPr>
          <w:rFonts w:ascii="仿宋" w:hAnsi="仿宋" w:eastAsia="仿宋"/>
          <w:sz w:val="30"/>
          <w:szCs w:val="30"/>
        </w:rPr>
      </w:pPr>
      <w:r>
        <w:rPr>
          <w:rFonts w:hint="eastAsia" w:ascii="仿宋" w:hAnsi="仿宋" w:eastAsia="仿宋"/>
          <w:sz w:val="30"/>
          <w:szCs w:val="30"/>
        </w:rPr>
        <w:t>同时完成了全县体育场地常态化调查统计，目前通海县全民健身工程项目已在全县乡镇、行政村全覆盖，人均拥有体育健身场地面积</w:t>
      </w:r>
      <w:r>
        <w:rPr>
          <w:rFonts w:ascii="仿宋" w:hAnsi="仿宋" w:eastAsia="仿宋"/>
          <w:sz w:val="30"/>
          <w:szCs w:val="30"/>
        </w:rPr>
        <w:t>1.32平方米</w:t>
      </w:r>
      <w:r>
        <w:rPr>
          <w:rFonts w:hint="eastAsia" w:ascii="仿宋" w:hAnsi="仿宋" w:eastAsia="仿宋"/>
          <w:sz w:val="30"/>
          <w:szCs w:val="30"/>
        </w:rPr>
        <w:t>较</w:t>
      </w:r>
      <w:r>
        <w:rPr>
          <w:rFonts w:ascii="仿宋" w:hAnsi="仿宋" w:eastAsia="仿宋"/>
          <w:sz w:val="30"/>
          <w:szCs w:val="30"/>
        </w:rPr>
        <w:t>2019年人均拥有体育场地面积1.27平方米</w:t>
      </w:r>
      <w:r>
        <w:rPr>
          <w:rFonts w:hint="eastAsia" w:ascii="仿宋" w:hAnsi="仿宋" w:eastAsia="仿宋"/>
          <w:sz w:val="30"/>
          <w:szCs w:val="30"/>
        </w:rPr>
        <w:t>有所增长</w:t>
      </w:r>
      <w:r>
        <w:rPr>
          <w:rFonts w:ascii="仿宋" w:hAnsi="仿宋" w:eastAsia="仿宋"/>
          <w:sz w:val="30"/>
          <w:szCs w:val="30"/>
        </w:rPr>
        <w:t>。</w:t>
      </w:r>
      <w:r>
        <w:rPr>
          <w:rFonts w:hint="eastAsia" w:ascii="仿宋" w:hAnsi="仿宋" w:eastAsia="仿宋"/>
          <w:sz w:val="30"/>
          <w:szCs w:val="30"/>
        </w:rPr>
        <w:t>杞麓湖国家湿地公园健身步道建设情况较好。《云南省足球场地设施建设规划（</w:t>
      </w:r>
      <w:r>
        <w:rPr>
          <w:rFonts w:ascii="仿宋" w:hAnsi="仿宋" w:eastAsia="仿宋"/>
          <w:sz w:val="30"/>
          <w:szCs w:val="30"/>
        </w:rPr>
        <w:t>2016-2020年）》《云南省足球场地设施建设工作方案（2019-2020年）》要求</w:t>
      </w:r>
      <w:r>
        <w:rPr>
          <w:rFonts w:hint="eastAsia" w:ascii="仿宋" w:hAnsi="仿宋" w:eastAsia="仿宋"/>
          <w:sz w:val="30"/>
          <w:szCs w:val="30"/>
        </w:rPr>
        <w:t>建设</w:t>
      </w:r>
      <w:r>
        <w:rPr>
          <w:rFonts w:ascii="仿宋" w:hAnsi="仿宋" w:eastAsia="仿宋"/>
          <w:sz w:val="30"/>
          <w:szCs w:val="30"/>
        </w:rPr>
        <w:t>43块</w:t>
      </w:r>
      <w:r>
        <w:rPr>
          <w:rFonts w:hint="eastAsia" w:ascii="仿宋" w:hAnsi="仿宋" w:eastAsia="仿宋"/>
          <w:sz w:val="30"/>
          <w:szCs w:val="30"/>
        </w:rPr>
        <w:t>足球场地，实际完成建设3</w:t>
      </w:r>
      <w:r>
        <w:rPr>
          <w:rFonts w:ascii="仿宋" w:hAnsi="仿宋" w:eastAsia="仿宋"/>
          <w:sz w:val="30"/>
          <w:szCs w:val="30"/>
        </w:rPr>
        <w:t>9</w:t>
      </w:r>
      <w:r>
        <w:rPr>
          <w:rFonts w:hint="eastAsia" w:ascii="仿宋" w:hAnsi="仿宋" w:eastAsia="仿宋"/>
          <w:sz w:val="30"/>
          <w:szCs w:val="30"/>
        </w:rPr>
        <w:t>块，但建设完成的及时性不足，按批复时限及时完工的仅有</w:t>
      </w:r>
      <w:r>
        <w:rPr>
          <w:rFonts w:ascii="仿宋" w:hAnsi="仿宋" w:eastAsia="仿宋"/>
          <w:sz w:val="30"/>
          <w:szCs w:val="30"/>
        </w:rPr>
        <w:t>3块</w:t>
      </w:r>
      <w:r>
        <w:rPr>
          <w:rFonts w:hint="eastAsia" w:ascii="仿宋" w:hAnsi="仿宋" w:eastAsia="仿宋"/>
          <w:sz w:val="30"/>
          <w:szCs w:val="30"/>
        </w:rPr>
        <w:t>。</w:t>
      </w:r>
    </w:p>
    <w:p w14:paraId="057B3EEF">
      <w:pPr>
        <w:spacing w:line="590" w:lineRule="exact"/>
        <w:ind w:firstLine="600" w:firstLineChars="200"/>
        <w:rPr>
          <w:rFonts w:ascii="仿宋" w:hAnsi="仿宋" w:eastAsia="仿宋"/>
          <w:sz w:val="30"/>
          <w:szCs w:val="30"/>
        </w:rPr>
      </w:pPr>
      <w:r>
        <w:rPr>
          <w:rFonts w:hint="eastAsia" w:ascii="仿宋" w:hAnsi="仿宋" w:eastAsia="仿宋"/>
          <w:sz w:val="30"/>
          <w:szCs w:val="30"/>
        </w:rPr>
        <w:t>师资力量方面。推进县域内义务教育学校校长、教师交流轮岗，重点引导优秀校长和骨干教师向乡村学校合理流动；切实加强教师资源的统筹管理，配足配齐音乐、美术、计算机等专业教师，确保开齐课程，开足课时。全面落实乡镇工作岗位补助政策和农村山区教师补贴政策，进一步确保了农村学校紧缺学科教师配备到位。但教师团队配备仍存在不足，评价发现全县</w:t>
      </w:r>
      <w:r>
        <w:rPr>
          <w:rFonts w:ascii="仿宋" w:hAnsi="仿宋" w:eastAsia="仿宋"/>
          <w:sz w:val="30"/>
          <w:szCs w:val="30"/>
        </w:rPr>
        <w:t>11所学校未达到</w:t>
      </w:r>
      <w:r>
        <w:rPr>
          <w:rFonts w:hint="eastAsia" w:ascii="仿宋" w:hAnsi="仿宋" w:eastAsia="仿宋"/>
          <w:sz w:val="30"/>
          <w:szCs w:val="30"/>
        </w:rPr>
        <w:t>《中央编办教育部财政部关于统一城乡中小学教职工编制标准的通知》（中央编办发〔</w:t>
      </w:r>
      <w:r>
        <w:rPr>
          <w:rFonts w:ascii="仿宋" w:hAnsi="仿宋" w:eastAsia="仿宋"/>
          <w:sz w:val="30"/>
          <w:szCs w:val="30"/>
        </w:rPr>
        <w:t>2014〕72号）</w:t>
      </w:r>
      <w:r>
        <w:rPr>
          <w:rFonts w:hint="eastAsia" w:ascii="仿宋" w:hAnsi="仿宋" w:eastAsia="仿宋"/>
          <w:sz w:val="30"/>
          <w:szCs w:val="30"/>
        </w:rPr>
        <w:t>中关于生师比的</w:t>
      </w:r>
      <w:r>
        <w:rPr>
          <w:rFonts w:ascii="仿宋" w:hAnsi="仿宋" w:eastAsia="仿宋"/>
          <w:sz w:val="30"/>
          <w:szCs w:val="30"/>
        </w:rPr>
        <w:t>要求。</w:t>
      </w:r>
    </w:p>
    <w:p w14:paraId="34170EA1">
      <w:pPr>
        <w:spacing w:line="590" w:lineRule="exact"/>
        <w:ind w:firstLine="600" w:firstLineChars="200"/>
        <w:rPr>
          <w:rFonts w:ascii="仿宋" w:hAnsi="仿宋" w:eastAsia="仿宋"/>
          <w:sz w:val="30"/>
          <w:szCs w:val="30"/>
        </w:rPr>
      </w:pPr>
      <w:r>
        <w:rPr>
          <w:rFonts w:ascii="仿宋" w:hAnsi="仿宋" w:eastAsia="仿宋"/>
          <w:sz w:val="30"/>
          <w:szCs w:val="30"/>
        </w:rPr>
        <w:t>4.效益情况方面</w:t>
      </w:r>
    </w:p>
    <w:p w14:paraId="196F2601">
      <w:pPr>
        <w:spacing w:line="579" w:lineRule="exact"/>
        <w:ind w:firstLine="600" w:firstLineChars="200"/>
        <w:rPr>
          <w:rFonts w:ascii="仿宋" w:hAnsi="仿宋" w:eastAsia="仿宋"/>
          <w:sz w:val="30"/>
          <w:szCs w:val="30"/>
        </w:rPr>
      </w:pPr>
      <w:r>
        <w:rPr>
          <w:rFonts w:hint="eastAsia" w:ascii="仿宋" w:hAnsi="仿宋" w:eastAsia="仿宋"/>
          <w:sz w:val="30"/>
          <w:szCs w:val="30"/>
        </w:rPr>
        <w:t>效益情况满分</w:t>
      </w:r>
      <w:r>
        <w:rPr>
          <w:rFonts w:ascii="仿宋" w:hAnsi="仿宋" w:eastAsia="仿宋"/>
          <w:sz w:val="30"/>
          <w:szCs w:val="30"/>
        </w:rPr>
        <w:t>30</w:t>
      </w:r>
      <w:r>
        <w:rPr>
          <w:rFonts w:hint="eastAsia" w:ascii="仿宋" w:hAnsi="仿宋" w:eastAsia="仿宋"/>
          <w:sz w:val="30"/>
          <w:szCs w:val="30"/>
        </w:rPr>
        <w:t>分，得分</w:t>
      </w:r>
      <w:r>
        <w:rPr>
          <w:rFonts w:ascii="仿宋" w:hAnsi="仿宋" w:eastAsia="仿宋"/>
          <w:sz w:val="30"/>
          <w:szCs w:val="30"/>
        </w:rPr>
        <w:t>18.95</w:t>
      </w:r>
      <w:r>
        <w:rPr>
          <w:rFonts w:hint="eastAsia" w:ascii="仿宋" w:hAnsi="仿宋" w:eastAsia="仿宋"/>
          <w:sz w:val="30"/>
          <w:szCs w:val="30"/>
        </w:rPr>
        <w:t>分，得分率</w:t>
      </w:r>
      <w:r>
        <w:rPr>
          <w:rFonts w:ascii="仿宋" w:hAnsi="仿宋" w:eastAsia="仿宋"/>
          <w:sz w:val="30"/>
          <w:szCs w:val="30"/>
        </w:rPr>
        <w:t>63.71</w:t>
      </w:r>
      <w:r>
        <w:rPr>
          <w:rFonts w:hint="eastAsia" w:ascii="仿宋" w:hAnsi="仿宋" w:eastAsia="仿宋"/>
          <w:sz w:val="30"/>
          <w:szCs w:val="30"/>
        </w:rPr>
        <w:t>%。其中社会效益得分率为</w:t>
      </w:r>
      <w:r>
        <w:rPr>
          <w:rFonts w:ascii="仿宋" w:hAnsi="仿宋" w:eastAsia="仿宋"/>
          <w:sz w:val="30"/>
          <w:szCs w:val="30"/>
        </w:rPr>
        <w:t>52.47</w:t>
      </w:r>
      <w:r>
        <w:rPr>
          <w:rFonts w:hint="eastAsia" w:ascii="仿宋" w:hAnsi="仿宋" w:eastAsia="仿宋"/>
          <w:sz w:val="30"/>
          <w:szCs w:val="30"/>
        </w:rPr>
        <w:t>%，可持续发展得分率为</w:t>
      </w:r>
      <w:r>
        <w:rPr>
          <w:rFonts w:ascii="仿宋" w:hAnsi="仿宋" w:eastAsia="仿宋"/>
          <w:sz w:val="30"/>
          <w:szCs w:val="30"/>
        </w:rPr>
        <w:t>100</w:t>
      </w:r>
      <w:r>
        <w:rPr>
          <w:rFonts w:hint="eastAsia" w:ascii="仿宋" w:hAnsi="仿宋" w:eastAsia="仿宋"/>
          <w:sz w:val="30"/>
          <w:szCs w:val="30"/>
        </w:rPr>
        <w:t>%，满意度得分率为</w:t>
      </w:r>
      <w:r>
        <w:rPr>
          <w:rFonts w:ascii="仿宋" w:hAnsi="仿宋" w:eastAsia="仿宋"/>
          <w:sz w:val="30"/>
          <w:szCs w:val="30"/>
        </w:rPr>
        <w:t>67.33</w:t>
      </w:r>
      <w:r>
        <w:rPr>
          <w:rFonts w:hint="eastAsia" w:ascii="仿宋" w:hAnsi="仿宋" w:eastAsia="仿宋"/>
          <w:sz w:val="30"/>
          <w:szCs w:val="30"/>
        </w:rPr>
        <w:t>%。</w:t>
      </w:r>
    </w:p>
    <w:p w14:paraId="0EAF1DA1">
      <w:pPr>
        <w:spacing w:line="590" w:lineRule="exact"/>
        <w:ind w:firstLine="600" w:firstLineChars="200"/>
        <w:rPr>
          <w:rFonts w:ascii="仿宋" w:hAnsi="仿宋" w:eastAsia="仿宋"/>
          <w:sz w:val="30"/>
          <w:szCs w:val="30"/>
        </w:rPr>
      </w:pPr>
      <w:r>
        <w:rPr>
          <w:rFonts w:hint="eastAsia" w:ascii="仿宋" w:hAnsi="仿宋" w:eastAsia="仿宋"/>
          <w:sz w:val="30"/>
          <w:szCs w:val="30"/>
        </w:rPr>
        <w:t>社会效益方面。全县居民平均受教育年限达</w:t>
      </w:r>
      <w:r>
        <w:rPr>
          <w:rFonts w:ascii="仿宋" w:hAnsi="仿宋" w:eastAsia="仿宋"/>
          <w:sz w:val="30"/>
          <w:szCs w:val="30"/>
        </w:rPr>
        <w:t>10.5年，青壮年非文盲率达99.51%。</w:t>
      </w:r>
      <w:r>
        <w:rPr>
          <w:rFonts w:hint="eastAsia" w:ascii="仿宋" w:hAnsi="仿宋" w:eastAsia="仿宋"/>
          <w:sz w:val="30"/>
          <w:szCs w:val="30"/>
        </w:rPr>
        <w:t>教育的公益性、普惠性得到了充分体现。普惠性幼儿园覆盖率达到1</w:t>
      </w:r>
      <w:r>
        <w:rPr>
          <w:rFonts w:ascii="仿宋" w:hAnsi="仿宋" w:eastAsia="仿宋"/>
          <w:sz w:val="30"/>
          <w:szCs w:val="30"/>
        </w:rPr>
        <w:t>00</w:t>
      </w:r>
      <w:r>
        <w:rPr>
          <w:rFonts w:hint="eastAsia" w:ascii="仿宋" w:hAnsi="仿宋" w:eastAsia="仿宋"/>
          <w:sz w:val="30"/>
          <w:szCs w:val="30"/>
        </w:rPr>
        <w:t>%。全县普通高中国家助学金</w:t>
      </w:r>
      <w:r>
        <w:rPr>
          <w:rFonts w:ascii="仿宋" w:hAnsi="仿宋" w:eastAsia="仿宋"/>
          <w:sz w:val="30"/>
          <w:szCs w:val="30"/>
        </w:rPr>
        <w:t>总资助学生285人</w:t>
      </w:r>
      <w:r>
        <w:rPr>
          <w:rFonts w:hint="eastAsia" w:ascii="仿宋" w:hAnsi="仿宋" w:eastAsia="仿宋"/>
          <w:sz w:val="30"/>
          <w:szCs w:val="30"/>
        </w:rPr>
        <w:t>，</w:t>
      </w:r>
      <w:r>
        <w:rPr>
          <w:rFonts w:ascii="仿宋" w:hAnsi="仿宋" w:eastAsia="仿宋"/>
          <w:sz w:val="30"/>
          <w:szCs w:val="30"/>
        </w:rPr>
        <w:t>资助金额33.925万元。普通高中建档立卡贫困学生免学费总资助学生260人</w:t>
      </w:r>
      <w:r>
        <w:rPr>
          <w:rFonts w:hint="eastAsia" w:ascii="仿宋" w:hAnsi="仿宋" w:eastAsia="仿宋"/>
          <w:sz w:val="30"/>
          <w:szCs w:val="30"/>
        </w:rPr>
        <w:t>，</w:t>
      </w:r>
      <w:r>
        <w:rPr>
          <w:rFonts w:ascii="仿宋" w:hAnsi="仿宋" w:eastAsia="仿宋"/>
          <w:sz w:val="30"/>
          <w:szCs w:val="30"/>
        </w:rPr>
        <w:t>资助金额11.37万元。普通高中建档立卡学生生活费补助总资助学生285人</w:t>
      </w:r>
      <w:r>
        <w:rPr>
          <w:rFonts w:hint="eastAsia" w:ascii="仿宋" w:hAnsi="仿宋" w:eastAsia="仿宋"/>
          <w:sz w:val="30"/>
          <w:szCs w:val="30"/>
        </w:rPr>
        <w:t>，</w:t>
      </w:r>
      <w:r>
        <w:rPr>
          <w:rFonts w:ascii="仿宋" w:hAnsi="仿宋" w:eastAsia="仿宋"/>
          <w:sz w:val="30"/>
          <w:szCs w:val="30"/>
        </w:rPr>
        <w:t>资助金额33.925万元。</w:t>
      </w:r>
      <w:r>
        <w:rPr>
          <w:rFonts w:hint="eastAsia" w:ascii="仿宋" w:hAnsi="仿宋" w:eastAsia="仿宋"/>
          <w:sz w:val="30"/>
          <w:szCs w:val="30"/>
        </w:rPr>
        <w:t>中等职业教育免学费</w:t>
      </w:r>
      <w:r>
        <w:rPr>
          <w:rFonts w:ascii="仿宋" w:hAnsi="仿宋" w:eastAsia="仿宋"/>
          <w:sz w:val="30"/>
          <w:szCs w:val="30"/>
        </w:rPr>
        <w:t>资助金额105.2万元</w:t>
      </w:r>
      <w:r>
        <w:rPr>
          <w:rFonts w:hint="eastAsia" w:ascii="仿宋" w:hAnsi="仿宋" w:eastAsia="仿宋"/>
          <w:sz w:val="30"/>
          <w:szCs w:val="30"/>
        </w:rPr>
        <w:t>，国家助学金</w:t>
      </w:r>
      <w:r>
        <w:rPr>
          <w:rFonts w:ascii="仿宋" w:hAnsi="仿宋" w:eastAsia="仿宋"/>
          <w:sz w:val="30"/>
          <w:szCs w:val="30"/>
        </w:rPr>
        <w:t>资助金额18.5万元。</w:t>
      </w:r>
      <w:r>
        <w:rPr>
          <w:rFonts w:hint="eastAsia" w:ascii="仿宋" w:hAnsi="仿宋" w:eastAsia="仿宋"/>
          <w:sz w:val="30"/>
          <w:szCs w:val="30"/>
        </w:rPr>
        <w:t>全县九年义务教育巩固率达</w:t>
      </w:r>
      <w:r>
        <w:rPr>
          <w:rFonts w:ascii="仿宋" w:hAnsi="仿宋" w:eastAsia="仿宋"/>
          <w:sz w:val="30"/>
          <w:szCs w:val="30"/>
        </w:rPr>
        <w:t>96.78%，小学在校生辍学率为0，初中阶段毛入学率达110.52%，适龄少年入学率达99.8%，初中户籍人口辍学率为0.021%</w:t>
      </w:r>
      <w:r>
        <w:rPr>
          <w:rFonts w:hint="eastAsia" w:ascii="仿宋" w:hAnsi="仿宋" w:eastAsia="仿宋"/>
          <w:sz w:val="30"/>
          <w:szCs w:val="30"/>
        </w:rPr>
        <w:t>。职业教育 “以服务为宗旨，以就业为导向”的办学方针，认真拓宽职中办学专业和招生渠道，落实校企合作办学模式，</w:t>
      </w:r>
      <w:r>
        <w:rPr>
          <w:rFonts w:ascii="仿宋" w:hAnsi="仿宋" w:eastAsia="仿宋"/>
          <w:sz w:val="30"/>
          <w:szCs w:val="30"/>
        </w:rPr>
        <w:t>2020年职业教育就业率</w:t>
      </w:r>
      <w:r>
        <w:rPr>
          <w:rFonts w:hint="eastAsia" w:ascii="仿宋" w:hAnsi="仿宋" w:eastAsia="仿宋"/>
          <w:sz w:val="30"/>
          <w:szCs w:val="30"/>
        </w:rPr>
        <w:t>达到</w:t>
      </w:r>
      <w:r>
        <w:rPr>
          <w:rFonts w:ascii="仿宋" w:hAnsi="仿宋" w:eastAsia="仿宋"/>
          <w:sz w:val="30"/>
          <w:szCs w:val="30"/>
        </w:rPr>
        <w:t>96%</w:t>
      </w:r>
      <w:r>
        <w:rPr>
          <w:rFonts w:hint="eastAsia" w:ascii="仿宋" w:hAnsi="仿宋" w:eastAsia="仿宋"/>
          <w:sz w:val="30"/>
          <w:szCs w:val="30"/>
        </w:rPr>
        <w:t>。</w:t>
      </w:r>
    </w:p>
    <w:p w14:paraId="4D98ABA5">
      <w:pPr>
        <w:spacing w:line="590" w:lineRule="exact"/>
        <w:ind w:firstLine="600" w:firstLineChars="200"/>
        <w:rPr>
          <w:rFonts w:ascii="仿宋" w:hAnsi="仿宋" w:eastAsia="仿宋"/>
          <w:sz w:val="30"/>
          <w:szCs w:val="30"/>
        </w:rPr>
      </w:pPr>
      <w:r>
        <w:rPr>
          <w:rFonts w:hint="eastAsia" w:ascii="仿宋" w:hAnsi="仿宋" w:eastAsia="仿宋"/>
          <w:sz w:val="30"/>
          <w:szCs w:val="30"/>
        </w:rPr>
        <w:t>可持续发展方面。县政府成立了通海县学校及周边社会治安综合治理领导小组，县教体局设有校园安全管理办公室，校园安全管理机构</w:t>
      </w:r>
      <w:r>
        <w:rPr>
          <w:rFonts w:hint="eastAsia" w:ascii="仿宋" w:hAnsi="仿宋" w:eastAsia="仿宋"/>
          <w:sz w:val="30"/>
          <w:szCs w:val="30"/>
          <w:lang w:eastAsia="zh-CN"/>
        </w:rPr>
        <w:t>进一步健全</w:t>
      </w:r>
      <w:r>
        <w:rPr>
          <w:rFonts w:hint="eastAsia" w:ascii="仿宋" w:hAnsi="仿宋" w:eastAsia="仿宋"/>
          <w:sz w:val="30"/>
          <w:szCs w:val="30"/>
        </w:rPr>
        <w:t>。校园安全的基础建设得到进一步的夯实，校安工程、美丽校园建设及各类危房加固拆除工作，全县各学校、幼儿园Ｄ级危房已全部消除。校园安全的督查、检查机制基本形成，整治校园周边环境的机制进一步建立健全。全县有国家级和谐校园</w:t>
      </w:r>
      <w:r>
        <w:rPr>
          <w:rFonts w:ascii="仿宋" w:hAnsi="仿宋" w:eastAsia="仿宋"/>
          <w:sz w:val="30"/>
          <w:szCs w:val="30"/>
        </w:rPr>
        <w:t>1所、省级平安校园5所，市级平安校园3所，县级平安校园27所；省级防震减灾工作示范学校1所，市级防震减灾工作示范学校6所。</w:t>
      </w:r>
    </w:p>
    <w:p w14:paraId="7076FA5A">
      <w:pPr>
        <w:spacing w:line="590" w:lineRule="exact"/>
        <w:ind w:firstLine="600" w:firstLineChars="200"/>
        <w:rPr>
          <w:rFonts w:ascii="仿宋" w:hAnsi="仿宋" w:eastAsia="仿宋"/>
          <w:sz w:val="30"/>
          <w:szCs w:val="30"/>
        </w:rPr>
      </w:pPr>
      <w:r>
        <w:rPr>
          <w:rFonts w:hint="eastAsia" w:ascii="仿宋" w:hAnsi="仿宋" w:eastAsia="仿宋"/>
          <w:sz w:val="30"/>
          <w:szCs w:val="30"/>
        </w:rPr>
        <w:t>满意度方面。教职工满意度偏低仅为4</w:t>
      </w:r>
      <w:r>
        <w:rPr>
          <w:rFonts w:ascii="仿宋" w:hAnsi="仿宋" w:eastAsia="仿宋"/>
          <w:sz w:val="30"/>
          <w:szCs w:val="30"/>
        </w:rPr>
        <w:t>6.48</w:t>
      </w:r>
      <w:r>
        <w:rPr>
          <w:rFonts w:hint="eastAsia" w:ascii="仿宋" w:hAnsi="仿宋" w:eastAsia="仿宋"/>
          <w:sz w:val="30"/>
          <w:szCs w:val="30"/>
        </w:rPr>
        <w:t>%，学生满意度为7</w:t>
      </w:r>
      <w:r>
        <w:rPr>
          <w:rFonts w:ascii="仿宋" w:hAnsi="仿宋" w:eastAsia="仿宋"/>
          <w:sz w:val="30"/>
          <w:szCs w:val="30"/>
        </w:rPr>
        <w:t>7</w:t>
      </w:r>
      <w:r>
        <w:rPr>
          <w:rFonts w:hint="eastAsia" w:ascii="仿宋" w:hAnsi="仿宋" w:eastAsia="仿宋"/>
          <w:sz w:val="30"/>
          <w:szCs w:val="30"/>
        </w:rPr>
        <w:t>%，家长满意度为7</w:t>
      </w:r>
      <w:r>
        <w:rPr>
          <w:rFonts w:ascii="仿宋" w:hAnsi="仿宋" w:eastAsia="仿宋"/>
          <w:sz w:val="30"/>
          <w:szCs w:val="30"/>
        </w:rPr>
        <w:t>8.41</w:t>
      </w:r>
      <w:r>
        <w:rPr>
          <w:rFonts w:hint="eastAsia" w:ascii="仿宋" w:hAnsi="仿宋" w:eastAsia="仿宋"/>
          <w:sz w:val="30"/>
          <w:szCs w:val="30"/>
        </w:rPr>
        <w:t>%。具体满意度详见下表：</w:t>
      </w:r>
    </w:p>
    <w:p w14:paraId="07238DC1">
      <w:pPr>
        <w:spacing w:line="590" w:lineRule="exact"/>
        <w:ind w:firstLine="480" w:firstLineChars="200"/>
        <w:jc w:val="center"/>
        <w:rPr>
          <w:rFonts w:ascii="黑体" w:hAnsi="黑体" w:eastAsia="黑体" w:cs="Times New Roman"/>
          <w:kern w:val="30"/>
          <w:sz w:val="24"/>
          <w:szCs w:val="24"/>
        </w:rPr>
      </w:pPr>
      <w:r>
        <w:rPr>
          <w:rFonts w:hint="eastAsia" w:ascii="黑体" w:hAnsi="黑体" w:eastAsia="黑体" w:cs="Times New Roman"/>
          <w:kern w:val="30"/>
          <w:sz w:val="24"/>
          <w:szCs w:val="24"/>
        </w:rPr>
        <w:t>表</w:t>
      </w:r>
      <w:r>
        <w:rPr>
          <w:rFonts w:ascii="黑体" w:hAnsi="黑体" w:eastAsia="黑体" w:cs="Times New Roman"/>
          <w:kern w:val="30"/>
          <w:sz w:val="24"/>
          <w:szCs w:val="24"/>
        </w:rPr>
        <w:t>2</w:t>
      </w:r>
      <w:r>
        <w:rPr>
          <w:rFonts w:hint="eastAsia" w:ascii="黑体" w:hAnsi="黑体" w:eastAsia="黑体" w:cs="Times New Roman"/>
          <w:kern w:val="30"/>
          <w:sz w:val="24"/>
          <w:szCs w:val="24"/>
        </w:rPr>
        <w:t>：调查问卷汇总表</w:t>
      </w:r>
    </w:p>
    <w:tbl>
      <w:tblPr>
        <w:tblStyle w:val="8"/>
        <w:tblW w:w="8834" w:type="dxa"/>
        <w:tblInd w:w="0" w:type="dxa"/>
        <w:tblLayout w:type="fixed"/>
        <w:tblCellMar>
          <w:top w:w="0" w:type="dxa"/>
          <w:left w:w="108" w:type="dxa"/>
          <w:bottom w:w="0" w:type="dxa"/>
          <w:right w:w="108" w:type="dxa"/>
        </w:tblCellMar>
      </w:tblPr>
      <w:tblGrid>
        <w:gridCol w:w="2241"/>
        <w:gridCol w:w="1795"/>
        <w:gridCol w:w="1795"/>
        <w:gridCol w:w="1795"/>
        <w:gridCol w:w="1208"/>
      </w:tblGrid>
      <w:tr w14:paraId="574FA13C">
        <w:tblPrEx>
          <w:tblCellMar>
            <w:top w:w="0" w:type="dxa"/>
            <w:left w:w="108" w:type="dxa"/>
            <w:bottom w:w="0" w:type="dxa"/>
            <w:right w:w="108" w:type="dxa"/>
          </w:tblCellMar>
        </w:tblPrEx>
        <w:trPr>
          <w:trHeight w:val="340"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6F74">
            <w:pPr>
              <w:widowControl/>
              <w:jc w:val="center"/>
              <w:rPr>
                <w:rFonts w:ascii="仿宋" w:hAnsi="仿宋" w:eastAsia="仿宋" w:cs="Arial"/>
                <w:b/>
                <w:bCs/>
                <w:color w:val="000000"/>
                <w:kern w:val="0"/>
                <w:sz w:val="20"/>
                <w:szCs w:val="20"/>
              </w:rPr>
            </w:pPr>
            <w:r>
              <w:rPr>
                <w:rFonts w:hint="eastAsia" w:ascii="仿宋" w:hAnsi="仿宋" w:eastAsia="仿宋" w:cs="Arial"/>
                <w:b/>
                <w:bCs/>
                <w:color w:val="000000"/>
                <w:kern w:val="0"/>
                <w:sz w:val="20"/>
                <w:szCs w:val="20"/>
              </w:rPr>
              <w:t>问卷类型</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D7E4">
            <w:pPr>
              <w:widowControl/>
              <w:jc w:val="center"/>
              <w:rPr>
                <w:rFonts w:ascii="仿宋" w:hAnsi="仿宋" w:eastAsia="仿宋" w:cs="Arial"/>
                <w:b/>
                <w:bCs/>
                <w:color w:val="000000"/>
                <w:kern w:val="0"/>
                <w:sz w:val="20"/>
                <w:szCs w:val="20"/>
              </w:rPr>
            </w:pPr>
            <w:r>
              <w:rPr>
                <w:rFonts w:hint="eastAsia" w:ascii="仿宋" w:hAnsi="仿宋" w:eastAsia="仿宋" w:cs="Arial"/>
                <w:b/>
                <w:bCs/>
                <w:color w:val="000000"/>
                <w:kern w:val="0"/>
                <w:sz w:val="20"/>
                <w:szCs w:val="20"/>
              </w:rPr>
              <w:t>问卷平均分</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B770">
            <w:pPr>
              <w:widowControl/>
              <w:jc w:val="center"/>
              <w:rPr>
                <w:rFonts w:ascii="仿宋" w:hAnsi="仿宋" w:eastAsia="仿宋" w:cs="Arial"/>
                <w:b/>
                <w:bCs/>
                <w:color w:val="000000"/>
                <w:kern w:val="0"/>
                <w:sz w:val="20"/>
                <w:szCs w:val="20"/>
              </w:rPr>
            </w:pPr>
            <w:r>
              <w:rPr>
                <w:rFonts w:hint="eastAsia" w:ascii="仿宋" w:hAnsi="仿宋" w:eastAsia="仿宋" w:cs="Arial"/>
                <w:b/>
                <w:bCs/>
                <w:color w:val="000000"/>
                <w:kern w:val="0"/>
                <w:sz w:val="20"/>
                <w:szCs w:val="20"/>
              </w:rPr>
              <w:t>有效问卷数</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C9F3">
            <w:pPr>
              <w:widowControl/>
              <w:jc w:val="center"/>
              <w:rPr>
                <w:rFonts w:ascii="仿宋" w:hAnsi="仿宋" w:eastAsia="仿宋" w:cs="Arial"/>
                <w:b/>
                <w:bCs/>
                <w:color w:val="000000"/>
                <w:kern w:val="0"/>
                <w:sz w:val="20"/>
                <w:szCs w:val="20"/>
              </w:rPr>
            </w:pPr>
            <w:r>
              <w:rPr>
                <w:rFonts w:hint="eastAsia" w:ascii="仿宋" w:hAnsi="仿宋" w:eastAsia="仿宋" w:cs="Arial"/>
                <w:b/>
                <w:bCs/>
                <w:color w:val="000000"/>
                <w:kern w:val="0"/>
                <w:sz w:val="20"/>
                <w:szCs w:val="20"/>
              </w:rPr>
              <w:t>满意问卷数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AC05">
            <w:pPr>
              <w:widowControl/>
              <w:jc w:val="center"/>
              <w:rPr>
                <w:rFonts w:ascii="仿宋" w:hAnsi="仿宋" w:eastAsia="仿宋" w:cs="Arial"/>
                <w:b/>
                <w:bCs/>
                <w:color w:val="000000"/>
                <w:kern w:val="0"/>
                <w:sz w:val="20"/>
                <w:szCs w:val="20"/>
              </w:rPr>
            </w:pPr>
            <w:r>
              <w:rPr>
                <w:rFonts w:hint="eastAsia" w:ascii="仿宋" w:hAnsi="仿宋" w:eastAsia="仿宋" w:cs="Arial"/>
                <w:b/>
                <w:bCs/>
                <w:color w:val="000000"/>
                <w:kern w:val="0"/>
                <w:sz w:val="20"/>
                <w:szCs w:val="20"/>
              </w:rPr>
              <w:t>满意度</w:t>
            </w:r>
          </w:p>
        </w:tc>
      </w:tr>
      <w:tr w14:paraId="0E575D16">
        <w:tblPrEx>
          <w:tblCellMar>
            <w:top w:w="0" w:type="dxa"/>
            <w:left w:w="108" w:type="dxa"/>
            <w:bottom w:w="0" w:type="dxa"/>
            <w:right w:w="108" w:type="dxa"/>
          </w:tblCellMar>
        </w:tblPrEx>
        <w:trPr>
          <w:trHeight w:val="340"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46C8">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教职工</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3B17">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xml:space="preserve">72.06 </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EA8C">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568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D7D1">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264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C832">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46.48%</w:t>
            </w:r>
          </w:p>
        </w:tc>
      </w:tr>
      <w:tr w14:paraId="1CC4A80C">
        <w:tblPrEx>
          <w:tblCellMar>
            <w:top w:w="0" w:type="dxa"/>
            <w:left w:w="108" w:type="dxa"/>
            <w:bottom w:w="0" w:type="dxa"/>
            <w:right w:w="108" w:type="dxa"/>
          </w:tblCellMar>
        </w:tblPrEx>
        <w:trPr>
          <w:trHeight w:val="340"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A95A">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学生</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1B31">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xml:space="preserve">87.72 </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F380">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100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C356">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77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F1D7">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77.00%</w:t>
            </w:r>
          </w:p>
        </w:tc>
      </w:tr>
      <w:tr w14:paraId="0C06301D">
        <w:tblPrEx>
          <w:tblCellMar>
            <w:top w:w="0" w:type="dxa"/>
            <w:left w:w="108" w:type="dxa"/>
            <w:bottom w:w="0" w:type="dxa"/>
            <w:right w:w="108" w:type="dxa"/>
          </w:tblCellMar>
        </w:tblPrEx>
        <w:trPr>
          <w:trHeight w:val="340"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17D1">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家长</w:t>
            </w:r>
          </w:p>
        </w:tc>
        <w:tc>
          <w:tcPr>
            <w:tcW w:w="1795" w:type="dxa"/>
            <w:tcBorders>
              <w:top w:val="nil"/>
              <w:left w:val="nil"/>
              <w:bottom w:val="single" w:color="000000" w:sz="4" w:space="0"/>
              <w:right w:val="single" w:color="000000" w:sz="4" w:space="0"/>
            </w:tcBorders>
            <w:shd w:val="clear" w:color="auto" w:fill="auto"/>
            <w:vAlign w:val="center"/>
          </w:tcPr>
          <w:p w14:paraId="72BA1F37">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xml:space="preserve">88.49 </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A86B">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301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B05B">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236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42ED">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78.41%</w:t>
            </w:r>
          </w:p>
        </w:tc>
      </w:tr>
      <w:tr w14:paraId="560C0C82">
        <w:tblPrEx>
          <w:tblCellMar>
            <w:top w:w="0" w:type="dxa"/>
            <w:left w:w="108" w:type="dxa"/>
            <w:bottom w:w="0" w:type="dxa"/>
            <w:right w:w="108" w:type="dxa"/>
          </w:tblCellMar>
        </w:tblPrEx>
        <w:trPr>
          <w:trHeight w:val="340"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D9C0">
            <w:pPr>
              <w:widowControl/>
              <w:jc w:val="center"/>
              <w:rPr>
                <w:rFonts w:ascii="仿宋" w:hAnsi="仿宋" w:eastAsia="仿宋" w:cs="Arial"/>
                <w:b/>
                <w:bCs/>
                <w:color w:val="000000"/>
                <w:kern w:val="0"/>
                <w:sz w:val="20"/>
                <w:szCs w:val="20"/>
              </w:rPr>
            </w:pPr>
            <w:r>
              <w:rPr>
                <w:rFonts w:hint="eastAsia" w:ascii="仿宋" w:hAnsi="仿宋" w:eastAsia="仿宋" w:cs="Arial"/>
                <w:b/>
                <w:bCs/>
                <w:color w:val="000000"/>
                <w:kern w:val="0"/>
                <w:sz w:val="20"/>
                <w:szCs w:val="20"/>
              </w:rPr>
              <w:t>平均分/合计数</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EFC8">
            <w:pPr>
              <w:widowControl/>
              <w:jc w:val="center"/>
              <w:rPr>
                <w:rFonts w:ascii="仿宋" w:hAnsi="仿宋" w:eastAsia="仿宋" w:cs="Arial"/>
                <w:b/>
                <w:bCs/>
                <w:color w:val="000000"/>
                <w:kern w:val="0"/>
                <w:sz w:val="20"/>
                <w:szCs w:val="20"/>
              </w:rPr>
            </w:pPr>
            <w:r>
              <w:rPr>
                <w:rFonts w:hint="eastAsia" w:ascii="仿宋" w:hAnsi="仿宋" w:eastAsia="仿宋" w:cs="Arial"/>
                <w:b/>
                <w:bCs/>
                <w:color w:val="000000"/>
                <w:kern w:val="0"/>
                <w:sz w:val="20"/>
                <w:szCs w:val="20"/>
              </w:rPr>
              <w:t xml:space="preserve">82.76 </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851A">
            <w:pPr>
              <w:widowControl/>
              <w:jc w:val="center"/>
              <w:rPr>
                <w:rFonts w:ascii="仿宋" w:hAnsi="仿宋" w:eastAsia="仿宋" w:cs="Arial"/>
                <w:b/>
                <w:bCs/>
                <w:color w:val="000000"/>
                <w:kern w:val="0"/>
                <w:sz w:val="20"/>
                <w:szCs w:val="20"/>
              </w:rPr>
            </w:pPr>
            <w:r>
              <w:rPr>
                <w:rFonts w:hint="eastAsia" w:ascii="仿宋" w:hAnsi="仿宋" w:eastAsia="仿宋" w:cs="Arial"/>
                <w:b/>
                <w:bCs/>
                <w:color w:val="000000"/>
                <w:kern w:val="0"/>
                <w:sz w:val="20"/>
                <w:szCs w:val="20"/>
              </w:rPr>
              <w:t>969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885E">
            <w:pPr>
              <w:widowControl/>
              <w:jc w:val="center"/>
              <w:rPr>
                <w:rFonts w:ascii="仿宋" w:hAnsi="仿宋" w:eastAsia="仿宋" w:cs="Arial"/>
                <w:b/>
                <w:bCs/>
                <w:color w:val="000000"/>
                <w:kern w:val="0"/>
                <w:sz w:val="20"/>
                <w:szCs w:val="20"/>
              </w:rPr>
            </w:pPr>
            <w:r>
              <w:rPr>
                <w:rFonts w:hint="eastAsia" w:ascii="仿宋" w:hAnsi="仿宋" w:eastAsia="仿宋" w:cs="Arial"/>
                <w:b/>
                <w:bCs/>
                <w:color w:val="000000"/>
                <w:kern w:val="0"/>
                <w:sz w:val="20"/>
                <w:szCs w:val="20"/>
              </w:rPr>
              <w:t>577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67B2">
            <w:pPr>
              <w:widowControl/>
              <w:jc w:val="center"/>
              <w:rPr>
                <w:rFonts w:ascii="仿宋" w:hAnsi="仿宋" w:eastAsia="仿宋" w:cs="Arial"/>
                <w:b/>
                <w:bCs/>
                <w:color w:val="000000"/>
                <w:kern w:val="0"/>
                <w:sz w:val="20"/>
                <w:szCs w:val="20"/>
              </w:rPr>
            </w:pPr>
            <w:r>
              <w:rPr>
                <w:rFonts w:hint="eastAsia" w:ascii="仿宋" w:hAnsi="仿宋" w:eastAsia="仿宋" w:cs="Arial"/>
                <w:b/>
                <w:bCs/>
                <w:color w:val="000000"/>
                <w:kern w:val="0"/>
                <w:sz w:val="20"/>
                <w:szCs w:val="20"/>
              </w:rPr>
              <w:t>67.29%</w:t>
            </w:r>
          </w:p>
        </w:tc>
      </w:tr>
    </w:tbl>
    <w:p w14:paraId="6D30EDE5">
      <w:pPr>
        <w:spacing w:line="579" w:lineRule="exact"/>
        <w:ind w:firstLine="600" w:firstLineChars="200"/>
        <w:outlineLvl w:val="1"/>
        <w:rPr>
          <w:rFonts w:ascii="楷体" w:hAnsi="楷体" w:eastAsia="楷体" w:cs="Times New Roman"/>
          <w:kern w:val="30"/>
          <w:sz w:val="30"/>
          <w:szCs w:val="30"/>
        </w:rPr>
      </w:pPr>
      <w:bookmarkStart w:id="38" w:name="_Toc51423756"/>
      <w:bookmarkStart w:id="39" w:name="_Toc10262"/>
      <w:r>
        <w:rPr>
          <w:rFonts w:hint="eastAsia" w:ascii="楷体" w:hAnsi="楷体" w:eastAsia="楷体" w:cs="Times New Roman"/>
          <w:kern w:val="30"/>
          <w:sz w:val="30"/>
          <w:szCs w:val="30"/>
        </w:rPr>
        <w:t>（二）绩效评价结论</w:t>
      </w:r>
      <w:bookmarkEnd w:id="38"/>
      <w:bookmarkEnd w:id="39"/>
    </w:p>
    <w:p w14:paraId="2E48AD7B">
      <w:pPr>
        <w:spacing w:line="579" w:lineRule="exact"/>
        <w:ind w:firstLine="600" w:firstLineChars="200"/>
        <w:rPr>
          <w:rFonts w:ascii="仿宋" w:hAnsi="仿宋" w:eastAsia="仿宋" w:cs="Times New Roman"/>
          <w:spacing w:val="6"/>
          <w:kern w:val="30"/>
          <w:sz w:val="30"/>
          <w:szCs w:val="30"/>
        </w:rPr>
      </w:pPr>
      <w:bookmarkStart w:id="40" w:name="_Hlk44314222"/>
      <w:r>
        <w:rPr>
          <w:rFonts w:ascii="仿宋" w:hAnsi="Times New Roman" w:eastAsia="仿宋" w:cs="Times New Roman"/>
          <w:kern w:val="30"/>
          <w:sz w:val="30"/>
          <w:szCs w:val="21"/>
        </w:rPr>
        <w:t>该项目本次绩效评价得分</w:t>
      </w:r>
      <w:r>
        <w:rPr>
          <w:rFonts w:ascii="仿宋" w:hAnsi="仿宋" w:eastAsia="仿宋" w:cs="Times New Roman"/>
          <w:spacing w:val="6"/>
          <w:kern w:val="30"/>
          <w:sz w:val="30"/>
          <w:szCs w:val="30"/>
        </w:rPr>
        <w:t>70.90</w:t>
      </w:r>
      <w:r>
        <w:rPr>
          <w:rFonts w:hint="eastAsia" w:ascii="仿宋" w:hAnsi="仿宋" w:eastAsia="仿宋" w:cs="Times New Roman"/>
          <w:spacing w:val="6"/>
          <w:kern w:val="30"/>
          <w:sz w:val="30"/>
          <w:szCs w:val="30"/>
        </w:rPr>
        <w:t>分，评价等级为“中”。</w:t>
      </w:r>
      <w:bookmarkEnd w:id="40"/>
      <w:r>
        <w:rPr>
          <w:rFonts w:hint="eastAsia" w:ascii="仿宋" w:hAnsi="仿宋" w:eastAsia="仿宋" w:cs="Times New Roman"/>
          <w:spacing w:val="6"/>
          <w:kern w:val="30"/>
          <w:sz w:val="30"/>
          <w:szCs w:val="30"/>
        </w:rPr>
        <w:t>一级指标具体得分情况详见下表：</w:t>
      </w:r>
    </w:p>
    <w:p w14:paraId="16634FEF">
      <w:pPr>
        <w:snapToGrid w:val="0"/>
        <w:spacing w:line="579" w:lineRule="exact"/>
        <w:jc w:val="center"/>
        <w:rPr>
          <w:rFonts w:ascii="黑体" w:hAnsi="黑体" w:eastAsia="黑体" w:cs="宋体"/>
          <w:bCs/>
          <w:spacing w:val="6"/>
          <w:kern w:val="30"/>
          <w:sz w:val="24"/>
          <w:szCs w:val="24"/>
        </w:rPr>
      </w:pPr>
      <w:r>
        <w:rPr>
          <w:rFonts w:hint="eastAsia" w:ascii="黑体" w:hAnsi="黑体" w:eastAsia="黑体" w:cs="宋体"/>
          <w:bCs/>
          <w:spacing w:val="6"/>
          <w:kern w:val="30"/>
          <w:sz w:val="24"/>
          <w:szCs w:val="24"/>
        </w:rPr>
        <w:t>表</w:t>
      </w:r>
      <w:r>
        <w:rPr>
          <w:rFonts w:ascii="黑体" w:hAnsi="黑体" w:eastAsia="黑体" w:cs="宋体"/>
          <w:bCs/>
          <w:spacing w:val="6"/>
          <w:kern w:val="30"/>
          <w:sz w:val="24"/>
          <w:szCs w:val="24"/>
        </w:rPr>
        <w:t>3</w:t>
      </w:r>
      <w:r>
        <w:rPr>
          <w:rFonts w:hint="eastAsia" w:ascii="黑体" w:hAnsi="黑体" w:eastAsia="黑体" w:cs="宋体"/>
          <w:bCs/>
          <w:spacing w:val="6"/>
          <w:kern w:val="30"/>
          <w:sz w:val="24"/>
          <w:szCs w:val="24"/>
        </w:rPr>
        <w:t>：绩效评价得分情况表</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07F4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tblHeader/>
          <w:jc w:val="center"/>
        </w:trPr>
        <w:tc>
          <w:tcPr>
            <w:tcW w:w="2212" w:type="dxa"/>
            <w:vAlign w:val="center"/>
          </w:tcPr>
          <w:p w14:paraId="164C5E67">
            <w:pPr>
              <w:snapToGrid w:val="0"/>
              <w:jc w:val="center"/>
              <w:rPr>
                <w:rFonts w:ascii="仿宋" w:hAnsi="仿宋" w:eastAsia="仿宋" w:cs="宋体"/>
                <w:b/>
                <w:bCs/>
                <w:spacing w:val="6"/>
                <w:kern w:val="30"/>
                <w:szCs w:val="21"/>
              </w:rPr>
            </w:pPr>
            <w:r>
              <w:rPr>
                <w:rFonts w:hint="eastAsia" w:ascii="仿宋" w:hAnsi="仿宋" w:eastAsia="仿宋" w:cs="宋体"/>
                <w:b/>
                <w:bCs/>
                <w:spacing w:val="6"/>
                <w:kern w:val="30"/>
                <w:szCs w:val="21"/>
              </w:rPr>
              <w:t>一级指标</w:t>
            </w:r>
          </w:p>
        </w:tc>
        <w:tc>
          <w:tcPr>
            <w:tcW w:w="2211" w:type="dxa"/>
            <w:vAlign w:val="center"/>
          </w:tcPr>
          <w:p w14:paraId="35600462">
            <w:pPr>
              <w:snapToGrid w:val="0"/>
              <w:jc w:val="center"/>
              <w:rPr>
                <w:rFonts w:ascii="仿宋" w:hAnsi="仿宋" w:eastAsia="仿宋" w:cs="宋体"/>
                <w:b/>
                <w:bCs/>
                <w:spacing w:val="6"/>
                <w:kern w:val="30"/>
                <w:szCs w:val="21"/>
              </w:rPr>
            </w:pPr>
            <w:r>
              <w:rPr>
                <w:rFonts w:hint="eastAsia" w:ascii="仿宋" w:hAnsi="仿宋" w:eastAsia="仿宋" w:cs="宋体"/>
                <w:b/>
                <w:bCs/>
                <w:spacing w:val="6"/>
                <w:kern w:val="30"/>
                <w:szCs w:val="21"/>
              </w:rPr>
              <w:t>指标分值（分）</w:t>
            </w:r>
          </w:p>
        </w:tc>
        <w:tc>
          <w:tcPr>
            <w:tcW w:w="2211" w:type="dxa"/>
            <w:vAlign w:val="center"/>
          </w:tcPr>
          <w:p w14:paraId="33B0815C">
            <w:pPr>
              <w:snapToGrid w:val="0"/>
              <w:jc w:val="center"/>
              <w:rPr>
                <w:rFonts w:ascii="仿宋" w:hAnsi="仿宋" w:eastAsia="仿宋" w:cs="宋体"/>
                <w:b/>
                <w:bCs/>
                <w:spacing w:val="6"/>
                <w:kern w:val="30"/>
                <w:szCs w:val="21"/>
              </w:rPr>
            </w:pPr>
            <w:r>
              <w:rPr>
                <w:rFonts w:hint="eastAsia" w:ascii="仿宋" w:hAnsi="仿宋" w:eastAsia="仿宋" w:cs="宋体"/>
                <w:b/>
                <w:bCs/>
                <w:spacing w:val="6"/>
                <w:kern w:val="30"/>
                <w:szCs w:val="21"/>
              </w:rPr>
              <w:t>评价得分（分）</w:t>
            </w:r>
          </w:p>
        </w:tc>
        <w:tc>
          <w:tcPr>
            <w:tcW w:w="2211" w:type="dxa"/>
            <w:vAlign w:val="center"/>
          </w:tcPr>
          <w:p w14:paraId="060127BF">
            <w:pPr>
              <w:snapToGrid w:val="0"/>
              <w:jc w:val="center"/>
              <w:rPr>
                <w:rFonts w:ascii="仿宋" w:hAnsi="仿宋" w:eastAsia="仿宋" w:cs="宋体"/>
                <w:b/>
                <w:bCs/>
                <w:spacing w:val="6"/>
                <w:kern w:val="30"/>
                <w:szCs w:val="21"/>
              </w:rPr>
            </w:pPr>
            <w:r>
              <w:rPr>
                <w:rFonts w:hint="eastAsia" w:ascii="仿宋" w:hAnsi="仿宋" w:eastAsia="仿宋" w:cs="宋体"/>
                <w:b/>
                <w:bCs/>
                <w:spacing w:val="6"/>
                <w:kern w:val="30"/>
                <w:szCs w:val="21"/>
              </w:rPr>
              <w:t>得分率</w:t>
            </w:r>
          </w:p>
        </w:tc>
      </w:tr>
      <w:tr w14:paraId="4218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2212" w:type="dxa"/>
            <w:vAlign w:val="center"/>
          </w:tcPr>
          <w:p w14:paraId="2CE92D67">
            <w:pPr>
              <w:snapToGrid w:val="0"/>
              <w:jc w:val="center"/>
              <w:rPr>
                <w:rFonts w:ascii="仿宋" w:hAnsi="仿宋" w:eastAsia="仿宋" w:cs="宋体"/>
                <w:bCs/>
                <w:spacing w:val="6"/>
                <w:kern w:val="30"/>
                <w:szCs w:val="21"/>
              </w:rPr>
            </w:pPr>
            <w:r>
              <w:rPr>
                <w:rFonts w:hint="eastAsia" w:ascii="仿宋" w:hAnsi="仿宋" w:eastAsia="仿宋" w:cs="宋体"/>
                <w:bCs/>
                <w:spacing w:val="6"/>
                <w:kern w:val="30"/>
                <w:szCs w:val="21"/>
              </w:rPr>
              <w:t>决策</w:t>
            </w:r>
          </w:p>
        </w:tc>
        <w:tc>
          <w:tcPr>
            <w:tcW w:w="2211" w:type="dxa"/>
            <w:vAlign w:val="center"/>
          </w:tcPr>
          <w:p w14:paraId="68B4B278">
            <w:pPr>
              <w:snapToGrid w:val="0"/>
              <w:jc w:val="center"/>
              <w:rPr>
                <w:rFonts w:ascii="仿宋" w:hAnsi="仿宋" w:eastAsia="仿宋" w:cs="宋体"/>
                <w:bCs/>
                <w:spacing w:val="6"/>
                <w:kern w:val="30"/>
                <w:szCs w:val="21"/>
              </w:rPr>
            </w:pPr>
            <w:r>
              <w:rPr>
                <w:rFonts w:ascii="仿宋" w:hAnsi="仿宋" w:eastAsia="仿宋" w:cs="宋体"/>
                <w:bCs/>
                <w:spacing w:val="6"/>
                <w:kern w:val="30"/>
                <w:szCs w:val="21"/>
              </w:rPr>
              <w:t>15.00</w:t>
            </w:r>
          </w:p>
        </w:tc>
        <w:tc>
          <w:tcPr>
            <w:tcW w:w="2211" w:type="dxa"/>
            <w:vAlign w:val="center"/>
          </w:tcPr>
          <w:p w14:paraId="63F6248F">
            <w:pPr>
              <w:snapToGrid w:val="0"/>
              <w:jc w:val="center"/>
              <w:rPr>
                <w:rFonts w:ascii="仿宋" w:hAnsi="仿宋" w:eastAsia="仿宋" w:cs="宋体"/>
                <w:bCs/>
                <w:spacing w:val="6"/>
                <w:kern w:val="30"/>
                <w:szCs w:val="21"/>
              </w:rPr>
            </w:pPr>
            <w:r>
              <w:rPr>
                <w:rFonts w:hint="eastAsia" w:ascii="仿宋" w:hAnsi="仿宋" w:eastAsia="仿宋" w:cs="宋体"/>
                <w:bCs/>
                <w:spacing w:val="6"/>
                <w:kern w:val="30"/>
                <w:szCs w:val="21"/>
              </w:rPr>
              <w:t>1</w:t>
            </w:r>
            <w:r>
              <w:rPr>
                <w:rFonts w:ascii="仿宋" w:hAnsi="仿宋" w:eastAsia="仿宋" w:cs="宋体"/>
                <w:bCs/>
                <w:spacing w:val="6"/>
                <w:kern w:val="30"/>
                <w:szCs w:val="21"/>
              </w:rPr>
              <w:t>3.60</w:t>
            </w:r>
          </w:p>
        </w:tc>
        <w:tc>
          <w:tcPr>
            <w:tcW w:w="2211" w:type="dxa"/>
            <w:vAlign w:val="center"/>
          </w:tcPr>
          <w:p w14:paraId="29C7E4F7">
            <w:pPr>
              <w:snapToGrid w:val="0"/>
              <w:jc w:val="center"/>
              <w:rPr>
                <w:rFonts w:ascii="仿宋" w:hAnsi="仿宋" w:eastAsia="仿宋" w:cs="宋体"/>
                <w:bCs/>
                <w:spacing w:val="6"/>
                <w:kern w:val="30"/>
                <w:szCs w:val="21"/>
              </w:rPr>
            </w:pPr>
            <w:r>
              <w:rPr>
                <w:rFonts w:ascii="仿宋" w:hAnsi="仿宋" w:eastAsia="仿宋" w:cs="宋体"/>
                <w:bCs/>
                <w:spacing w:val="6"/>
                <w:kern w:val="30"/>
                <w:szCs w:val="21"/>
              </w:rPr>
              <w:t>90.67%</w:t>
            </w:r>
          </w:p>
        </w:tc>
      </w:tr>
      <w:tr w14:paraId="3D17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2212" w:type="dxa"/>
            <w:vAlign w:val="center"/>
          </w:tcPr>
          <w:p w14:paraId="1DFEA99B">
            <w:pPr>
              <w:snapToGrid w:val="0"/>
              <w:jc w:val="center"/>
              <w:rPr>
                <w:rFonts w:ascii="仿宋" w:hAnsi="仿宋" w:eastAsia="仿宋" w:cs="宋体"/>
                <w:bCs/>
                <w:spacing w:val="6"/>
                <w:kern w:val="30"/>
                <w:szCs w:val="21"/>
              </w:rPr>
            </w:pPr>
            <w:r>
              <w:rPr>
                <w:rFonts w:ascii="仿宋" w:hAnsi="仿宋" w:eastAsia="仿宋" w:cs="宋体"/>
                <w:bCs/>
                <w:spacing w:val="6"/>
                <w:kern w:val="30"/>
                <w:szCs w:val="21"/>
              </w:rPr>
              <w:t>过程</w:t>
            </w:r>
          </w:p>
        </w:tc>
        <w:tc>
          <w:tcPr>
            <w:tcW w:w="2211" w:type="dxa"/>
            <w:vAlign w:val="center"/>
          </w:tcPr>
          <w:p w14:paraId="2F5C9B83">
            <w:pPr>
              <w:snapToGrid w:val="0"/>
              <w:jc w:val="center"/>
              <w:rPr>
                <w:rFonts w:ascii="仿宋" w:hAnsi="仿宋" w:eastAsia="仿宋" w:cs="宋体"/>
                <w:bCs/>
                <w:spacing w:val="6"/>
                <w:kern w:val="30"/>
                <w:szCs w:val="21"/>
              </w:rPr>
            </w:pPr>
            <w:r>
              <w:rPr>
                <w:rFonts w:ascii="仿宋" w:hAnsi="仿宋" w:eastAsia="仿宋" w:cs="宋体"/>
                <w:bCs/>
                <w:spacing w:val="6"/>
                <w:kern w:val="30"/>
                <w:szCs w:val="21"/>
              </w:rPr>
              <w:t>20.00</w:t>
            </w:r>
          </w:p>
        </w:tc>
        <w:tc>
          <w:tcPr>
            <w:tcW w:w="2211" w:type="dxa"/>
            <w:vAlign w:val="center"/>
          </w:tcPr>
          <w:p w14:paraId="64F02EC4">
            <w:pPr>
              <w:snapToGrid w:val="0"/>
              <w:jc w:val="center"/>
              <w:rPr>
                <w:rFonts w:ascii="仿宋" w:hAnsi="仿宋" w:eastAsia="仿宋" w:cs="宋体"/>
                <w:bCs/>
                <w:spacing w:val="6"/>
                <w:kern w:val="30"/>
                <w:szCs w:val="21"/>
              </w:rPr>
            </w:pPr>
            <w:r>
              <w:rPr>
                <w:rFonts w:hint="eastAsia" w:ascii="仿宋" w:hAnsi="仿宋" w:eastAsia="仿宋" w:cs="宋体"/>
                <w:bCs/>
                <w:spacing w:val="6"/>
                <w:kern w:val="30"/>
                <w:szCs w:val="21"/>
              </w:rPr>
              <w:t>1</w:t>
            </w:r>
            <w:r>
              <w:rPr>
                <w:rFonts w:ascii="仿宋" w:hAnsi="仿宋" w:eastAsia="仿宋" w:cs="宋体"/>
                <w:bCs/>
                <w:spacing w:val="6"/>
                <w:kern w:val="30"/>
                <w:szCs w:val="21"/>
              </w:rPr>
              <w:t>4.69</w:t>
            </w:r>
          </w:p>
        </w:tc>
        <w:tc>
          <w:tcPr>
            <w:tcW w:w="2211" w:type="dxa"/>
            <w:vAlign w:val="center"/>
          </w:tcPr>
          <w:p w14:paraId="1C99180E">
            <w:pPr>
              <w:snapToGrid w:val="0"/>
              <w:jc w:val="center"/>
              <w:rPr>
                <w:rFonts w:ascii="仿宋" w:hAnsi="仿宋" w:eastAsia="仿宋" w:cs="宋体"/>
                <w:bCs/>
                <w:spacing w:val="6"/>
                <w:kern w:val="30"/>
                <w:szCs w:val="21"/>
              </w:rPr>
            </w:pPr>
            <w:r>
              <w:rPr>
                <w:rFonts w:hint="eastAsia" w:ascii="仿宋" w:hAnsi="仿宋" w:eastAsia="仿宋" w:cs="宋体"/>
                <w:bCs/>
                <w:spacing w:val="6"/>
                <w:kern w:val="30"/>
                <w:szCs w:val="21"/>
              </w:rPr>
              <w:t>7</w:t>
            </w:r>
            <w:r>
              <w:rPr>
                <w:rFonts w:ascii="仿宋" w:hAnsi="仿宋" w:eastAsia="仿宋" w:cs="宋体"/>
                <w:bCs/>
                <w:spacing w:val="6"/>
                <w:kern w:val="30"/>
                <w:szCs w:val="21"/>
              </w:rPr>
              <w:t>3.45</w:t>
            </w:r>
            <w:r>
              <w:rPr>
                <w:rFonts w:hint="eastAsia" w:ascii="仿宋" w:hAnsi="仿宋" w:eastAsia="仿宋" w:cs="宋体"/>
                <w:bCs/>
                <w:spacing w:val="6"/>
                <w:kern w:val="30"/>
                <w:szCs w:val="21"/>
              </w:rPr>
              <w:t>%</w:t>
            </w:r>
          </w:p>
        </w:tc>
      </w:tr>
      <w:tr w14:paraId="1C81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2212" w:type="dxa"/>
            <w:vAlign w:val="center"/>
          </w:tcPr>
          <w:p w14:paraId="5CB7C936">
            <w:pPr>
              <w:snapToGrid w:val="0"/>
              <w:jc w:val="center"/>
              <w:rPr>
                <w:rFonts w:ascii="仿宋" w:hAnsi="仿宋" w:eastAsia="仿宋" w:cs="宋体"/>
                <w:bCs/>
                <w:spacing w:val="6"/>
                <w:kern w:val="30"/>
                <w:szCs w:val="21"/>
              </w:rPr>
            </w:pPr>
            <w:r>
              <w:rPr>
                <w:rFonts w:ascii="仿宋" w:hAnsi="仿宋" w:eastAsia="仿宋" w:cs="宋体"/>
                <w:bCs/>
                <w:spacing w:val="6"/>
                <w:kern w:val="30"/>
                <w:szCs w:val="21"/>
              </w:rPr>
              <w:t>产出</w:t>
            </w:r>
          </w:p>
        </w:tc>
        <w:tc>
          <w:tcPr>
            <w:tcW w:w="2211" w:type="dxa"/>
            <w:vAlign w:val="center"/>
          </w:tcPr>
          <w:p w14:paraId="525AD4AB">
            <w:pPr>
              <w:snapToGrid w:val="0"/>
              <w:jc w:val="center"/>
              <w:rPr>
                <w:rFonts w:ascii="仿宋" w:hAnsi="仿宋" w:eastAsia="仿宋" w:cs="宋体"/>
                <w:bCs/>
                <w:spacing w:val="6"/>
                <w:kern w:val="30"/>
                <w:szCs w:val="21"/>
              </w:rPr>
            </w:pPr>
            <w:r>
              <w:rPr>
                <w:rFonts w:ascii="仿宋" w:hAnsi="仿宋" w:eastAsia="仿宋" w:cs="宋体"/>
                <w:bCs/>
                <w:spacing w:val="6"/>
                <w:kern w:val="30"/>
                <w:szCs w:val="21"/>
              </w:rPr>
              <w:t>35.00</w:t>
            </w:r>
          </w:p>
        </w:tc>
        <w:tc>
          <w:tcPr>
            <w:tcW w:w="2211" w:type="dxa"/>
            <w:vAlign w:val="center"/>
          </w:tcPr>
          <w:p w14:paraId="2A62FA50">
            <w:pPr>
              <w:snapToGrid w:val="0"/>
              <w:jc w:val="center"/>
              <w:rPr>
                <w:rFonts w:ascii="仿宋" w:hAnsi="仿宋" w:eastAsia="仿宋" w:cs="宋体"/>
                <w:bCs/>
                <w:spacing w:val="6"/>
                <w:kern w:val="30"/>
                <w:szCs w:val="21"/>
              </w:rPr>
            </w:pPr>
            <w:r>
              <w:rPr>
                <w:rFonts w:hint="eastAsia" w:ascii="仿宋" w:hAnsi="仿宋" w:eastAsia="仿宋" w:cs="宋体"/>
                <w:bCs/>
                <w:spacing w:val="6"/>
                <w:kern w:val="30"/>
                <w:szCs w:val="21"/>
              </w:rPr>
              <w:t>2</w:t>
            </w:r>
            <w:r>
              <w:rPr>
                <w:rFonts w:ascii="仿宋" w:hAnsi="仿宋" w:eastAsia="仿宋" w:cs="宋体"/>
                <w:bCs/>
                <w:spacing w:val="6"/>
                <w:kern w:val="30"/>
                <w:szCs w:val="21"/>
              </w:rPr>
              <w:t>5.66</w:t>
            </w:r>
          </w:p>
        </w:tc>
        <w:tc>
          <w:tcPr>
            <w:tcW w:w="2211" w:type="dxa"/>
            <w:vAlign w:val="center"/>
          </w:tcPr>
          <w:p w14:paraId="2741F4E9">
            <w:pPr>
              <w:snapToGrid w:val="0"/>
              <w:jc w:val="center"/>
              <w:rPr>
                <w:rFonts w:ascii="仿宋" w:hAnsi="仿宋" w:eastAsia="仿宋" w:cs="宋体"/>
                <w:bCs/>
                <w:spacing w:val="6"/>
                <w:kern w:val="30"/>
                <w:szCs w:val="21"/>
              </w:rPr>
            </w:pPr>
            <w:r>
              <w:rPr>
                <w:rFonts w:ascii="仿宋" w:hAnsi="仿宋" w:eastAsia="仿宋" w:cs="宋体"/>
                <w:bCs/>
                <w:spacing w:val="6"/>
                <w:kern w:val="30"/>
                <w:szCs w:val="21"/>
              </w:rPr>
              <w:t>73.71</w:t>
            </w:r>
            <w:r>
              <w:rPr>
                <w:rFonts w:hint="eastAsia" w:ascii="仿宋" w:hAnsi="仿宋" w:eastAsia="仿宋" w:cs="宋体"/>
                <w:bCs/>
                <w:spacing w:val="6"/>
                <w:kern w:val="30"/>
                <w:szCs w:val="21"/>
              </w:rPr>
              <w:t>%</w:t>
            </w:r>
          </w:p>
        </w:tc>
      </w:tr>
      <w:tr w14:paraId="2EA5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2212" w:type="dxa"/>
            <w:vAlign w:val="center"/>
          </w:tcPr>
          <w:p w14:paraId="18666905">
            <w:pPr>
              <w:snapToGrid w:val="0"/>
              <w:jc w:val="center"/>
              <w:rPr>
                <w:rFonts w:ascii="仿宋" w:hAnsi="仿宋" w:eastAsia="仿宋" w:cs="宋体"/>
                <w:bCs/>
                <w:spacing w:val="6"/>
                <w:kern w:val="30"/>
                <w:szCs w:val="21"/>
              </w:rPr>
            </w:pPr>
            <w:r>
              <w:rPr>
                <w:rFonts w:hint="eastAsia" w:ascii="仿宋" w:hAnsi="仿宋" w:eastAsia="仿宋" w:cs="宋体"/>
                <w:bCs/>
                <w:spacing w:val="6"/>
                <w:kern w:val="30"/>
                <w:szCs w:val="21"/>
              </w:rPr>
              <w:t>效益</w:t>
            </w:r>
          </w:p>
        </w:tc>
        <w:tc>
          <w:tcPr>
            <w:tcW w:w="2211" w:type="dxa"/>
            <w:vAlign w:val="center"/>
          </w:tcPr>
          <w:p w14:paraId="13457421">
            <w:pPr>
              <w:snapToGrid w:val="0"/>
              <w:jc w:val="center"/>
              <w:rPr>
                <w:rFonts w:ascii="仿宋" w:hAnsi="仿宋" w:eastAsia="仿宋" w:cs="宋体"/>
                <w:bCs/>
                <w:spacing w:val="6"/>
                <w:kern w:val="30"/>
                <w:szCs w:val="21"/>
              </w:rPr>
            </w:pPr>
            <w:r>
              <w:rPr>
                <w:rFonts w:ascii="仿宋" w:hAnsi="仿宋" w:eastAsia="仿宋" w:cs="宋体"/>
                <w:bCs/>
                <w:spacing w:val="6"/>
                <w:kern w:val="30"/>
                <w:szCs w:val="21"/>
              </w:rPr>
              <w:t>20.00</w:t>
            </w:r>
          </w:p>
        </w:tc>
        <w:tc>
          <w:tcPr>
            <w:tcW w:w="2211" w:type="dxa"/>
            <w:vAlign w:val="center"/>
          </w:tcPr>
          <w:p w14:paraId="1CC0DDCB">
            <w:pPr>
              <w:snapToGrid w:val="0"/>
              <w:jc w:val="center"/>
              <w:rPr>
                <w:rFonts w:ascii="仿宋" w:hAnsi="仿宋" w:eastAsia="仿宋" w:cs="宋体"/>
                <w:bCs/>
                <w:spacing w:val="6"/>
                <w:kern w:val="30"/>
                <w:szCs w:val="21"/>
              </w:rPr>
            </w:pPr>
            <w:r>
              <w:rPr>
                <w:rFonts w:ascii="仿宋" w:hAnsi="仿宋" w:eastAsia="仿宋" w:cs="宋体"/>
                <w:bCs/>
                <w:spacing w:val="6"/>
                <w:kern w:val="30"/>
                <w:szCs w:val="21"/>
              </w:rPr>
              <w:t>18.95</w:t>
            </w:r>
          </w:p>
        </w:tc>
        <w:tc>
          <w:tcPr>
            <w:tcW w:w="2211" w:type="dxa"/>
            <w:vAlign w:val="center"/>
          </w:tcPr>
          <w:p w14:paraId="52733876">
            <w:pPr>
              <w:snapToGrid w:val="0"/>
              <w:jc w:val="center"/>
              <w:rPr>
                <w:rFonts w:ascii="仿宋" w:hAnsi="仿宋" w:eastAsia="仿宋" w:cs="宋体"/>
                <w:bCs/>
                <w:spacing w:val="6"/>
                <w:kern w:val="30"/>
                <w:szCs w:val="21"/>
              </w:rPr>
            </w:pPr>
            <w:r>
              <w:rPr>
                <w:rFonts w:ascii="仿宋" w:hAnsi="仿宋" w:eastAsia="仿宋" w:cs="宋体"/>
                <w:bCs/>
                <w:spacing w:val="6"/>
                <w:kern w:val="30"/>
                <w:szCs w:val="21"/>
              </w:rPr>
              <w:t>63.17</w:t>
            </w:r>
            <w:r>
              <w:rPr>
                <w:rFonts w:hint="eastAsia" w:ascii="仿宋" w:hAnsi="仿宋" w:eastAsia="仿宋" w:cs="宋体"/>
                <w:bCs/>
                <w:spacing w:val="6"/>
                <w:kern w:val="30"/>
                <w:szCs w:val="21"/>
              </w:rPr>
              <w:t>%</w:t>
            </w:r>
          </w:p>
        </w:tc>
      </w:tr>
      <w:tr w14:paraId="053F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2212" w:type="dxa"/>
            <w:vAlign w:val="center"/>
          </w:tcPr>
          <w:p w14:paraId="0148A5C3">
            <w:pPr>
              <w:snapToGrid w:val="0"/>
              <w:jc w:val="center"/>
              <w:rPr>
                <w:rFonts w:ascii="仿宋" w:hAnsi="仿宋" w:eastAsia="仿宋" w:cs="宋体"/>
                <w:b/>
                <w:bCs/>
                <w:spacing w:val="6"/>
                <w:kern w:val="30"/>
                <w:szCs w:val="21"/>
              </w:rPr>
            </w:pPr>
            <w:r>
              <w:rPr>
                <w:rFonts w:ascii="仿宋" w:hAnsi="仿宋" w:eastAsia="仿宋" w:cs="宋体"/>
                <w:b/>
                <w:bCs/>
                <w:spacing w:val="6"/>
                <w:kern w:val="30"/>
                <w:szCs w:val="21"/>
              </w:rPr>
              <w:t>合</w:t>
            </w:r>
            <w:r>
              <w:rPr>
                <w:rFonts w:hint="eastAsia" w:ascii="仿宋" w:hAnsi="仿宋" w:eastAsia="仿宋" w:cs="宋体"/>
                <w:b/>
                <w:bCs/>
                <w:spacing w:val="6"/>
                <w:kern w:val="30"/>
                <w:szCs w:val="21"/>
              </w:rPr>
              <w:t xml:space="preserve"> </w:t>
            </w:r>
            <w:r>
              <w:rPr>
                <w:rFonts w:ascii="仿宋" w:hAnsi="仿宋" w:eastAsia="仿宋" w:cs="宋体"/>
                <w:b/>
                <w:bCs/>
                <w:spacing w:val="6"/>
                <w:kern w:val="30"/>
                <w:szCs w:val="21"/>
              </w:rPr>
              <w:t>计</w:t>
            </w:r>
          </w:p>
        </w:tc>
        <w:tc>
          <w:tcPr>
            <w:tcW w:w="2211" w:type="dxa"/>
            <w:vAlign w:val="center"/>
          </w:tcPr>
          <w:p w14:paraId="733A03FA">
            <w:pPr>
              <w:snapToGrid w:val="0"/>
              <w:jc w:val="center"/>
              <w:rPr>
                <w:rFonts w:ascii="仿宋" w:hAnsi="仿宋" w:eastAsia="仿宋" w:cs="宋体"/>
                <w:b/>
                <w:bCs/>
                <w:spacing w:val="6"/>
                <w:kern w:val="30"/>
                <w:szCs w:val="21"/>
              </w:rPr>
            </w:pPr>
            <w:r>
              <w:rPr>
                <w:rFonts w:hint="eastAsia" w:ascii="仿宋" w:hAnsi="仿宋" w:eastAsia="仿宋" w:cs="宋体"/>
                <w:b/>
                <w:bCs/>
                <w:spacing w:val="6"/>
                <w:kern w:val="30"/>
                <w:szCs w:val="21"/>
              </w:rPr>
              <w:t>1</w:t>
            </w:r>
            <w:r>
              <w:rPr>
                <w:rFonts w:ascii="仿宋" w:hAnsi="仿宋" w:eastAsia="仿宋" w:cs="宋体"/>
                <w:b/>
                <w:bCs/>
                <w:spacing w:val="6"/>
                <w:kern w:val="30"/>
                <w:szCs w:val="21"/>
              </w:rPr>
              <w:t>00.00</w:t>
            </w:r>
          </w:p>
        </w:tc>
        <w:tc>
          <w:tcPr>
            <w:tcW w:w="2211" w:type="dxa"/>
            <w:vAlign w:val="center"/>
          </w:tcPr>
          <w:p w14:paraId="26B14E8B">
            <w:pPr>
              <w:snapToGrid w:val="0"/>
              <w:jc w:val="center"/>
              <w:rPr>
                <w:rFonts w:ascii="仿宋" w:hAnsi="仿宋" w:eastAsia="仿宋" w:cs="宋体"/>
                <w:b/>
                <w:bCs/>
                <w:spacing w:val="6"/>
                <w:kern w:val="30"/>
                <w:szCs w:val="21"/>
              </w:rPr>
            </w:pPr>
            <w:r>
              <w:rPr>
                <w:rFonts w:hint="eastAsia" w:ascii="仿宋" w:hAnsi="仿宋" w:eastAsia="仿宋" w:cs="宋体"/>
                <w:b/>
                <w:bCs/>
                <w:spacing w:val="6"/>
                <w:kern w:val="30"/>
                <w:szCs w:val="21"/>
              </w:rPr>
              <w:t>7</w:t>
            </w:r>
            <w:r>
              <w:rPr>
                <w:rFonts w:ascii="仿宋" w:hAnsi="仿宋" w:eastAsia="仿宋" w:cs="宋体"/>
                <w:b/>
                <w:bCs/>
                <w:spacing w:val="6"/>
                <w:kern w:val="30"/>
                <w:szCs w:val="21"/>
              </w:rPr>
              <w:t>2.90</w:t>
            </w:r>
          </w:p>
        </w:tc>
        <w:tc>
          <w:tcPr>
            <w:tcW w:w="2211" w:type="dxa"/>
            <w:vAlign w:val="center"/>
          </w:tcPr>
          <w:p w14:paraId="20961326">
            <w:pPr>
              <w:snapToGrid w:val="0"/>
              <w:jc w:val="center"/>
              <w:rPr>
                <w:rFonts w:ascii="仿宋" w:hAnsi="仿宋" w:eastAsia="仿宋" w:cs="宋体"/>
                <w:b/>
                <w:bCs/>
                <w:spacing w:val="6"/>
                <w:kern w:val="30"/>
                <w:szCs w:val="21"/>
              </w:rPr>
            </w:pPr>
            <w:r>
              <w:rPr>
                <w:rFonts w:hint="eastAsia" w:ascii="仿宋" w:hAnsi="仿宋" w:eastAsia="仿宋" w:cs="宋体"/>
                <w:b/>
                <w:bCs/>
                <w:spacing w:val="6"/>
                <w:kern w:val="30"/>
                <w:szCs w:val="21"/>
              </w:rPr>
              <w:t>7</w:t>
            </w:r>
            <w:r>
              <w:rPr>
                <w:rFonts w:ascii="仿宋" w:hAnsi="仿宋" w:eastAsia="仿宋" w:cs="宋体"/>
                <w:b/>
                <w:bCs/>
                <w:spacing w:val="6"/>
                <w:kern w:val="30"/>
                <w:szCs w:val="21"/>
              </w:rPr>
              <w:t>2.90</w:t>
            </w:r>
            <w:r>
              <w:rPr>
                <w:rFonts w:hint="eastAsia" w:ascii="仿宋" w:hAnsi="仿宋" w:eastAsia="仿宋" w:cs="宋体"/>
                <w:b/>
                <w:bCs/>
                <w:spacing w:val="6"/>
                <w:kern w:val="30"/>
                <w:szCs w:val="21"/>
              </w:rPr>
              <w:t>%</w:t>
            </w:r>
          </w:p>
        </w:tc>
      </w:tr>
    </w:tbl>
    <w:p w14:paraId="1EABBC56">
      <w:pPr>
        <w:spacing w:line="590" w:lineRule="exact"/>
        <w:ind w:firstLine="600" w:firstLineChars="200"/>
        <w:rPr>
          <w:rFonts w:ascii="仿宋" w:hAnsi="仿宋" w:eastAsia="仿宋"/>
          <w:sz w:val="30"/>
          <w:szCs w:val="30"/>
        </w:rPr>
      </w:pPr>
      <w:r>
        <w:rPr>
          <w:rFonts w:ascii="仿宋" w:hAnsi="仿宋" w:eastAsia="仿宋"/>
          <w:sz w:val="30"/>
          <w:szCs w:val="30"/>
        </w:rPr>
        <w:t>2020年</w:t>
      </w:r>
      <w:r>
        <w:rPr>
          <w:rFonts w:hint="eastAsia" w:ascii="仿宋" w:hAnsi="仿宋" w:eastAsia="仿宋"/>
          <w:sz w:val="30"/>
          <w:szCs w:val="30"/>
        </w:rPr>
        <w:t>通海县教育体育局</w:t>
      </w:r>
      <w:r>
        <w:rPr>
          <w:rFonts w:ascii="仿宋" w:hAnsi="仿宋" w:eastAsia="仿宋"/>
          <w:sz w:val="30"/>
          <w:szCs w:val="30"/>
        </w:rPr>
        <w:t>预算编制科学</w:t>
      </w:r>
      <w:r>
        <w:rPr>
          <w:rFonts w:hint="eastAsia" w:ascii="仿宋" w:hAnsi="仿宋" w:eastAsia="仿宋"/>
          <w:sz w:val="30"/>
          <w:szCs w:val="30"/>
        </w:rPr>
        <w:t>准确，非税收入管理规范，全年征缴非税收入</w:t>
      </w:r>
      <w:r>
        <w:rPr>
          <w:rFonts w:ascii="仿宋" w:hAnsi="仿宋" w:eastAsia="仿宋"/>
          <w:sz w:val="30"/>
          <w:szCs w:val="30"/>
        </w:rPr>
        <w:t>2087.42万元</w:t>
      </w:r>
      <w:r>
        <w:rPr>
          <w:rFonts w:hint="eastAsia" w:ascii="仿宋" w:hAnsi="仿宋" w:eastAsia="仿宋"/>
          <w:sz w:val="30"/>
          <w:szCs w:val="30"/>
        </w:rPr>
        <w:t>做到应交尽缴</w:t>
      </w:r>
      <w:r>
        <w:rPr>
          <w:rFonts w:ascii="仿宋" w:hAnsi="仿宋" w:eastAsia="仿宋"/>
          <w:sz w:val="30"/>
          <w:szCs w:val="30"/>
        </w:rPr>
        <w:t>。资产管理规范</w:t>
      </w:r>
      <w:r>
        <w:rPr>
          <w:rFonts w:hint="eastAsia" w:ascii="仿宋" w:hAnsi="仿宋" w:eastAsia="仿宋"/>
          <w:sz w:val="30"/>
          <w:szCs w:val="30"/>
        </w:rPr>
        <w:t>。“全面改薄”项目的实施进一步提升各类学校办学条件，优化了教育资源结构。部门紧抓各级各类教育，促进了教育水平的协调发展。不断推进学前教育，普惠性幼儿园覆盖率达到1</w:t>
      </w:r>
      <w:r>
        <w:rPr>
          <w:rFonts w:ascii="仿宋" w:hAnsi="仿宋" w:eastAsia="仿宋"/>
          <w:sz w:val="30"/>
          <w:szCs w:val="30"/>
        </w:rPr>
        <w:t>00</w:t>
      </w:r>
      <w:r>
        <w:rPr>
          <w:rFonts w:hint="eastAsia" w:ascii="仿宋" w:hAnsi="仿宋" w:eastAsia="仿宋"/>
          <w:sz w:val="30"/>
          <w:szCs w:val="30"/>
        </w:rPr>
        <w:t>%，</w:t>
      </w:r>
      <w:r>
        <w:rPr>
          <w:rFonts w:ascii="仿宋" w:hAnsi="仿宋" w:eastAsia="仿宋"/>
          <w:sz w:val="30"/>
          <w:szCs w:val="30"/>
        </w:rPr>
        <w:t>全县3-6岁幼儿入园入班率为99.86%，学前三年毛入园率达89.06%。</w:t>
      </w:r>
      <w:r>
        <w:rPr>
          <w:rFonts w:hint="eastAsia" w:ascii="仿宋" w:hAnsi="仿宋" w:eastAsia="仿宋"/>
          <w:sz w:val="30"/>
          <w:szCs w:val="30"/>
        </w:rPr>
        <w:t>全面加强义务教育，</w:t>
      </w:r>
      <w:r>
        <w:rPr>
          <w:rFonts w:ascii="仿宋" w:hAnsi="仿宋" w:eastAsia="仿宋"/>
          <w:sz w:val="30"/>
          <w:szCs w:val="30"/>
        </w:rPr>
        <w:t>适龄儿童入学率达99.98%，适龄少年入学率达99.8%，初中升学率94.97％</w:t>
      </w:r>
      <w:r>
        <w:rPr>
          <w:rFonts w:hint="eastAsia" w:ascii="仿宋" w:hAnsi="仿宋" w:eastAsia="仿宋"/>
          <w:sz w:val="30"/>
          <w:szCs w:val="30"/>
        </w:rPr>
        <w:t>。努力提升高中教育，</w:t>
      </w:r>
      <w:r>
        <w:rPr>
          <w:rFonts w:ascii="仿宋" w:hAnsi="仿宋" w:eastAsia="仿宋"/>
          <w:sz w:val="30"/>
          <w:szCs w:val="30"/>
        </w:rPr>
        <w:t>高中阶段毛入学率92.15%</w:t>
      </w:r>
      <w:r>
        <w:rPr>
          <w:rFonts w:hint="eastAsia" w:ascii="仿宋" w:hAnsi="仿宋" w:eastAsia="仿宋"/>
          <w:sz w:val="30"/>
          <w:szCs w:val="30"/>
        </w:rPr>
        <w:t>，职业教育就业率为</w:t>
      </w:r>
      <w:r>
        <w:rPr>
          <w:rFonts w:ascii="仿宋" w:hAnsi="仿宋" w:eastAsia="仿宋"/>
          <w:sz w:val="30"/>
          <w:szCs w:val="30"/>
        </w:rPr>
        <w:t>96%。</w:t>
      </w:r>
    </w:p>
    <w:p w14:paraId="5C7E380F">
      <w:pPr>
        <w:spacing w:line="590" w:lineRule="exact"/>
        <w:ind w:firstLine="600" w:firstLineChars="200"/>
        <w:rPr>
          <w:rFonts w:ascii="仿宋" w:hAnsi="仿宋" w:eastAsia="仿宋"/>
          <w:sz w:val="30"/>
          <w:szCs w:val="30"/>
        </w:rPr>
      </w:pPr>
      <w:r>
        <w:rPr>
          <w:rFonts w:hint="eastAsia" w:ascii="仿宋" w:hAnsi="仿宋" w:eastAsia="仿宋"/>
          <w:sz w:val="30"/>
          <w:szCs w:val="30"/>
        </w:rPr>
        <w:t>但项目实施过程中还存在不足之处，主要体现在：绩效目标和绩效指标的设立不够完善,整体支出满意度较低。部门还需加大对资金方面的监管力度，进一步增强学校的整体师资力量。加快项目建设进度，确保项目建设按批复时效完成。</w:t>
      </w:r>
    </w:p>
    <w:p w14:paraId="533AD047">
      <w:pPr>
        <w:spacing w:line="579" w:lineRule="exact"/>
        <w:ind w:firstLine="600" w:firstLineChars="200"/>
        <w:outlineLvl w:val="1"/>
        <w:rPr>
          <w:rFonts w:ascii="楷体" w:hAnsi="楷体" w:eastAsia="楷体" w:cs="Times New Roman"/>
          <w:kern w:val="30"/>
          <w:sz w:val="30"/>
          <w:szCs w:val="30"/>
        </w:rPr>
      </w:pPr>
      <w:bookmarkStart w:id="41" w:name="_Toc7432"/>
      <w:bookmarkStart w:id="42" w:name="_Toc51423757"/>
      <w:r>
        <w:rPr>
          <w:rFonts w:hint="eastAsia" w:ascii="楷体" w:hAnsi="楷体" w:eastAsia="楷体" w:cs="Times New Roman"/>
          <w:kern w:val="30"/>
          <w:sz w:val="30"/>
          <w:szCs w:val="30"/>
        </w:rPr>
        <w:t>（三）绩效目标的实现情况</w:t>
      </w:r>
      <w:bookmarkEnd w:id="41"/>
      <w:bookmarkEnd w:id="42"/>
    </w:p>
    <w:p w14:paraId="58415A8A">
      <w:pPr>
        <w:spacing w:line="579" w:lineRule="exact"/>
        <w:ind w:firstLine="624" w:firstLineChars="200"/>
        <w:rPr>
          <w:rFonts w:ascii="黑体" w:hAnsi="黑体" w:eastAsia="黑体" w:cs="宋体"/>
          <w:bCs/>
          <w:spacing w:val="6"/>
          <w:kern w:val="30"/>
          <w:sz w:val="24"/>
          <w:szCs w:val="24"/>
        </w:rPr>
      </w:pPr>
      <w:r>
        <w:rPr>
          <w:rFonts w:hint="eastAsia" w:ascii="仿宋" w:hAnsi="仿宋" w:eastAsia="仿宋" w:cs="Times New Roman"/>
          <w:spacing w:val="6"/>
          <w:kern w:val="30"/>
          <w:sz w:val="30"/>
          <w:szCs w:val="30"/>
        </w:rPr>
        <w:t>此次评价涉及1</w:t>
      </w:r>
      <w:r>
        <w:rPr>
          <w:rFonts w:ascii="仿宋" w:hAnsi="仿宋" w:eastAsia="仿宋" w:cs="Times New Roman"/>
          <w:spacing w:val="6"/>
          <w:kern w:val="30"/>
          <w:sz w:val="30"/>
          <w:szCs w:val="30"/>
        </w:rPr>
        <w:t>8</w:t>
      </w:r>
      <w:r>
        <w:rPr>
          <w:rFonts w:hint="eastAsia" w:ascii="仿宋" w:hAnsi="仿宋" w:eastAsia="仿宋" w:cs="Times New Roman"/>
          <w:spacing w:val="6"/>
          <w:kern w:val="30"/>
          <w:sz w:val="30"/>
          <w:szCs w:val="30"/>
        </w:rPr>
        <w:t>项绩效指标，其中有</w:t>
      </w:r>
      <w:r>
        <w:rPr>
          <w:rFonts w:ascii="仿宋" w:hAnsi="仿宋" w:eastAsia="仿宋" w:cs="Times New Roman"/>
          <w:spacing w:val="6"/>
          <w:kern w:val="30"/>
          <w:sz w:val="30"/>
          <w:szCs w:val="30"/>
        </w:rPr>
        <w:t>6</w:t>
      </w:r>
      <w:r>
        <w:rPr>
          <w:rFonts w:hint="eastAsia" w:ascii="仿宋" w:hAnsi="仿宋" w:eastAsia="仿宋" w:cs="Times New Roman"/>
          <w:spacing w:val="6"/>
          <w:kern w:val="30"/>
          <w:sz w:val="30"/>
          <w:szCs w:val="30"/>
        </w:rPr>
        <w:t>项指标完成预期目标，</w:t>
      </w:r>
      <w:r>
        <w:rPr>
          <w:rFonts w:ascii="仿宋" w:hAnsi="仿宋" w:eastAsia="仿宋" w:cs="Times New Roman"/>
          <w:spacing w:val="6"/>
          <w:kern w:val="30"/>
          <w:sz w:val="30"/>
          <w:szCs w:val="30"/>
        </w:rPr>
        <w:t>11</w:t>
      </w:r>
      <w:r>
        <w:rPr>
          <w:rFonts w:hint="eastAsia" w:ascii="仿宋" w:hAnsi="仿宋" w:eastAsia="仿宋" w:cs="Times New Roman"/>
          <w:spacing w:val="6"/>
          <w:kern w:val="30"/>
          <w:sz w:val="30"/>
          <w:szCs w:val="30"/>
        </w:rPr>
        <w:t>项指标未完成预期目标，1项指标部分完成，未完成和部分完成比例为</w:t>
      </w:r>
      <w:r>
        <w:rPr>
          <w:rFonts w:ascii="仿宋" w:hAnsi="仿宋" w:eastAsia="仿宋" w:cs="Times New Roman"/>
          <w:spacing w:val="6"/>
          <w:kern w:val="30"/>
          <w:sz w:val="30"/>
          <w:szCs w:val="30"/>
        </w:rPr>
        <w:t>66.67</w:t>
      </w:r>
      <w:r>
        <w:rPr>
          <w:rFonts w:hint="eastAsia" w:ascii="仿宋" w:hAnsi="仿宋" w:eastAsia="仿宋" w:cs="Times New Roman"/>
          <w:spacing w:val="6"/>
          <w:kern w:val="30"/>
          <w:sz w:val="30"/>
          <w:szCs w:val="30"/>
        </w:rPr>
        <w:t>%。各指标完成情况详见下表:</w:t>
      </w:r>
    </w:p>
    <w:p w14:paraId="7F2CDA1A">
      <w:pPr>
        <w:jc w:val="center"/>
        <w:rPr>
          <w:rFonts w:ascii="黑体" w:hAnsi="黑体" w:eastAsia="黑体" w:cs="宋体"/>
          <w:bCs/>
          <w:spacing w:val="6"/>
          <w:kern w:val="30"/>
          <w:sz w:val="24"/>
          <w:szCs w:val="24"/>
        </w:rPr>
      </w:pPr>
      <w:bookmarkStart w:id="43" w:name="_Hlk84534876"/>
      <w:r>
        <w:rPr>
          <w:rFonts w:hint="eastAsia" w:ascii="黑体" w:hAnsi="黑体" w:eastAsia="黑体" w:cs="宋体"/>
          <w:bCs/>
          <w:spacing w:val="6"/>
          <w:kern w:val="30"/>
          <w:sz w:val="24"/>
          <w:szCs w:val="24"/>
        </w:rPr>
        <w:t>表</w:t>
      </w:r>
      <w:r>
        <w:rPr>
          <w:rFonts w:ascii="黑体" w:hAnsi="黑体" w:eastAsia="黑体" w:cs="宋体"/>
          <w:bCs/>
          <w:spacing w:val="6"/>
          <w:kern w:val="30"/>
          <w:sz w:val="24"/>
          <w:szCs w:val="24"/>
        </w:rPr>
        <w:t>4</w:t>
      </w:r>
      <w:r>
        <w:rPr>
          <w:rFonts w:hint="eastAsia" w:ascii="黑体" w:hAnsi="黑体" w:eastAsia="黑体" w:cs="宋体"/>
          <w:bCs/>
          <w:spacing w:val="6"/>
          <w:kern w:val="30"/>
          <w:sz w:val="24"/>
          <w:szCs w:val="24"/>
        </w:rPr>
        <w:t>：绩效指标完成情况表</w:t>
      </w:r>
    </w:p>
    <w:bookmarkEnd w:id="43"/>
    <w:tbl>
      <w:tblPr>
        <w:tblStyle w:val="8"/>
        <w:tblW w:w="9920" w:type="dxa"/>
        <w:jc w:val="center"/>
        <w:tblLayout w:type="fixed"/>
        <w:tblCellMar>
          <w:top w:w="0" w:type="dxa"/>
          <w:left w:w="108" w:type="dxa"/>
          <w:bottom w:w="0" w:type="dxa"/>
          <w:right w:w="108" w:type="dxa"/>
        </w:tblCellMar>
      </w:tblPr>
      <w:tblGrid>
        <w:gridCol w:w="1040"/>
        <w:gridCol w:w="1040"/>
        <w:gridCol w:w="2210"/>
        <w:gridCol w:w="1040"/>
        <w:gridCol w:w="1040"/>
        <w:gridCol w:w="3550"/>
      </w:tblGrid>
      <w:tr w14:paraId="249A6DCB">
        <w:tblPrEx>
          <w:tblCellMar>
            <w:top w:w="0" w:type="dxa"/>
            <w:left w:w="108" w:type="dxa"/>
            <w:bottom w:w="0" w:type="dxa"/>
            <w:right w:w="108" w:type="dxa"/>
          </w:tblCellMar>
        </w:tblPrEx>
        <w:trPr>
          <w:trHeight w:val="397" w:hRule="atLeast"/>
          <w:jc w:val="center"/>
        </w:trPr>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C9E61">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绩效指标</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1E9BB">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指标值</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515D2">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指标实现情况</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8F4E2">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完成情况说明</w:t>
            </w:r>
          </w:p>
        </w:tc>
      </w:tr>
      <w:tr w14:paraId="37EEC363">
        <w:tblPrEx>
          <w:tblCellMar>
            <w:top w:w="0" w:type="dxa"/>
            <w:left w:w="108" w:type="dxa"/>
            <w:bottom w:w="0" w:type="dxa"/>
            <w:right w:w="108" w:type="dxa"/>
          </w:tblCellMar>
        </w:tblPrEx>
        <w:trPr>
          <w:trHeight w:val="397"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0C44">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082D">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FB1E">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2C6850C">
            <w:pPr>
              <w:widowControl/>
              <w:jc w:val="left"/>
              <w:rPr>
                <w:rFonts w:ascii="仿宋" w:hAnsi="仿宋" w:eastAsia="仿宋" w:cs="宋体"/>
                <w:b/>
                <w:bCs/>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6A8DE10">
            <w:pPr>
              <w:widowControl/>
              <w:jc w:val="left"/>
              <w:rPr>
                <w:rFonts w:ascii="仿宋" w:hAnsi="仿宋" w:eastAsia="仿宋" w:cs="宋体"/>
                <w:b/>
                <w:bCs/>
                <w:color w:val="000000"/>
                <w:kern w:val="0"/>
                <w:sz w:val="20"/>
                <w:szCs w:val="20"/>
              </w:rPr>
            </w:pPr>
          </w:p>
        </w:tc>
        <w:tc>
          <w:tcPr>
            <w:tcW w:w="3550" w:type="dxa"/>
            <w:vMerge w:val="continue"/>
            <w:tcBorders>
              <w:top w:val="single" w:color="000000" w:sz="4" w:space="0"/>
              <w:left w:val="single" w:color="000000" w:sz="4" w:space="0"/>
              <w:bottom w:val="single" w:color="000000" w:sz="4" w:space="0"/>
              <w:right w:val="single" w:color="000000" w:sz="4" w:space="0"/>
            </w:tcBorders>
            <w:vAlign w:val="center"/>
          </w:tcPr>
          <w:p w14:paraId="1D82B859">
            <w:pPr>
              <w:widowControl/>
              <w:jc w:val="left"/>
              <w:rPr>
                <w:rFonts w:ascii="仿宋" w:hAnsi="仿宋" w:eastAsia="仿宋" w:cs="宋体"/>
                <w:b/>
                <w:bCs/>
                <w:color w:val="000000"/>
                <w:kern w:val="0"/>
                <w:sz w:val="20"/>
                <w:szCs w:val="20"/>
              </w:rPr>
            </w:pPr>
          </w:p>
        </w:tc>
      </w:tr>
      <w:tr w14:paraId="38C959F9">
        <w:tblPrEx>
          <w:tblCellMar>
            <w:top w:w="0" w:type="dxa"/>
            <w:left w:w="108" w:type="dxa"/>
            <w:bottom w:w="0" w:type="dxa"/>
            <w:right w:w="108" w:type="dxa"/>
          </w:tblCellMar>
        </w:tblPrEx>
        <w:trPr>
          <w:trHeight w:val="397"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BB7D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产出指标</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3CA8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数量指标</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101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3-6岁幼儿入园（班）率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5DE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99.50%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546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已完成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C6C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县3-6岁幼儿入园入班率为99.86%</w:t>
            </w:r>
          </w:p>
        </w:tc>
      </w:tr>
      <w:tr w14:paraId="2B93127D">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50209EA">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45B2C8C">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5F9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学前三年幼儿入园率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5F9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6A4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未完成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534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学前三年毛入园率达89.06%</w:t>
            </w:r>
          </w:p>
        </w:tc>
      </w:tr>
      <w:tr w14:paraId="5B93099B">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202DD66">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62C0FDA">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7DA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适龄少年入学率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871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99%</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F5F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已完成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355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适龄儿童入学率达99.98%</w:t>
            </w:r>
          </w:p>
        </w:tc>
      </w:tr>
      <w:tr w14:paraId="0381D14A">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C71C10C">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2C7BEB7">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CA3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残疾儿童少年入学率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F49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99B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已完成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449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全县适龄残疾少儿入学率达97.08%</w:t>
            </w:r>
          </w:p>
        </w:tc>
      </w:tr>
      <w:tr w14:paraId="5828DD0C">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1A8F7C1">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54C97F6">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C25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“改薄提升”项目完成率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C53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475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未完成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801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“改薄提升”项目完成率=26/27×100%=96.30%</w:t>
            </w:r>
          </w:p>
        </w:tc>
      </w:tr>
      <w:tr w14:paraId="04B2A774">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F9BBC58">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E28312C">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7ED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多媒体教学设备完成率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560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F47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未完成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4AA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多媒体教学设备完成率为44.71%</w:t>
            </w:r>
          </w:p>
        </w:tc>
      </w:tr>
      <w:tr w14:paraId="3C00BA17">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6BB7A72">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884130C">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1B0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足球场地建设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480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43块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42B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部分完成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036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完成足球场建成39块</w:t>
            </w:r>
          </w:p>
        </w:tc>
      </w:tr>
      <w:tr w14:paraId="5264F51C">
        <w:tblPrEx>
          <w:tblCellMar>
            <w:top w:w="0" w:type="dxa"/>
            <w:left w:w="108" w:type="dxa"/>
            <w:bottom w:w="0" w:type="dxa"/>
            <w:right w:w="108" w:type="dxa"/>
          </w:tblCellMar>
        </w:tblPrEx>
        <w:trPr>
          <w:trHeight w:val="964"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9B85132">
            <w:pPr>
              <w:widowControl/>
              <w:jc w:val="left"/>
              <w:rPr>
                <w:rFonts w:ascii="仿宋" w:hAnsi="仿宋" w:eastAsia="仿宋" w:cs="宋体"/>
                <w:color w:val="000000"/>
                <w:kern w:val="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3CB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质量指标</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F5F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一等幼儿园建设情况</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DC9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FB0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未完成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04A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全县有幼儿园47所，现有省一级一等幼儿园1所，省一级二等幼儿园1所.一等幼儿园建设率为4.26%</w:t>
            </w:r>
          </w:p>
        </w:tc>
      </w:tr>
      <w:tr w14:paraId="216B6C0B">
        <w:tblPrEx>
          <w:tblCellMar>
            <w:top w:w="0" w:type="dxa"/>
            <w:left w:w="108" w:type="dxa"/>
            <w:bottom w:w="0" w:type="dxa"/>
            <w:right w:w="108" w:type="dxa"/>
          </w:tblCellMar>
        </w:tblPrEx>
        <w:trPr>
          <w:trHeight w:val="397"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8DC8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效益指标</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C155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社会效益指标</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6CF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普通高中助学金覆盖率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0E8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BEA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未完成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4D1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普通高中助学金覆盖率为5.07%。</w:t>
            </w:r>
          </w:p>
        </w:tc>
      </w:tr>
      <w:tr w14:paraId="70981233">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001A18F">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D776332">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C43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职业中学助学金覆盖率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016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9D6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未完成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075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职业高中助学金覆盖率为30.72%。</w:t>
            </w:r>
          </w:p>
        </w:tc>
      </w:tr>
      <w:tr w14:paraId="5D51D97C">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7DFB110">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2CACF7F">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FDA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全县国民受教育年限</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908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10.6年</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BA9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未完成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655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2020年全县居民平均受教育年限达10.5年</w:t>
            </w:r>
          </w:p>
        </w:tc>
      </w:tr>
      <w:tr w14:paraId="5AF8C82C">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5D33F3D">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F4966D2">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EA3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青壮年非文盲率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9E2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99.50%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5E4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已完成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AE3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青壮年非文盲率达99.51%</w:t>
            </w:r>
          </w:p>
        </w:tc>
      </w:tr>
      <w:tr w14:paraId="5E0D3802">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3A585F52">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7E67D06F">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CB0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普惠性幼儿园覆盖率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D16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E3F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已完成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054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普惠性幼儿园47所，普惠性幼儿园覆盖率达到100%。</w:t>
            </w:r>
          </w:p>
        </w:tc>
      </w:tr>
      <w:tr w14:paraId="3DEF2568">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E4344AB">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D82A50C">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710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学生辍学率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2F2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7DB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未完成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6C2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初中户籍人口辍学率为0.021%</w:t>
            </w:r>
          </w:p>
        </w:tc>
      </w:tr>
      <w:tr w14:paraId="3EB74DA5">
        <w:tblPrEx>
          <w:tblCellMar>
            <w:top w:w="0" w:type="dxa"/>
            <w:left w:w="108" w:type="dxa"/>
            <w:bottom w:w="0" w:type="dxa"/>
            <w:right w:w="108" w:type="dxa"/>
          </w:tblCellMar>
        </w:tblPrEx>
        <w:trPr>
          <w:trHeight w:val="454"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8741235">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6065CB32">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ABA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职业教育就业率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01F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E49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已完成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1D8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2020年职业教育就业率为96%</w:t>
            </w:r>
          </w:p>
        </w:tc>
      </w:tr>
      <w:tr w14:paraId="3B5B6CAB">
        <w:tblPrEx>
          <w:tblCellMar>
            <w:top w:w="0" w:type="dxa"/>
            <w:left w:w="108" w:type="dxa"/>
            <w:bottom w:w="0" w:type="dxa"/>
            <w:right w:w="108" w:type="dxa"/>
          </w:tblCellMar>
        </w:tblPrEx>
        <w:trPr>
          <w:trHeight w:val="397"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CE3F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满意度指标</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FA8D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服务对象满意度</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4C2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教职工满意度</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3F3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5A5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未完成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5F3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教职工满意度46.48%</w:t>
            </w:r>
          </w:p>
        </w:tc>
      </w:tr>
      <w:tr w14:paraId="4290BA61">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28D46FE5">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43F1CFC2">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756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学生满意度</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372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A6F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未完成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A51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学生满意度77%</w:t>
            </w:r>
          </w:p>
        </w:tc>
      </w:tr>
      <w:tr w14:paraId="5D4E0771">
        <w:tblPrEx>
          <w:tblCellMar>
            <w:top w:w="0" w:type="dxa"/>
            <w:left w:w="108" w:type="dxa"/>
            <w:bottom w:w="0" w:type="dxa"/>
            <w:right w:w="108" w:type="dxa"/>
          </w:tblCellMar>
        </w:tblPrEx>
        <w:trPr>
          <w:trHeight w:val="397"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022BE935">
            <w:pPr>
              <w:widowControl/>
              <w:jc w:val="left"/>
              <w:rPr>
                <w:rFonts w:ascii="仿宋" w:hAnsi="仿宋" w:eastAsia="仿宋" w:cs="宋体"/>
                <w:color w:val="000000"/>
                <w:kern w:val="0"/>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14:paraId="5EB614EE">
            <w:pPr>
              <w:widowControl/>
              <w:jc w:val="left"/>
              <w:rPr>
                <w:rFonts w:ascii="仿宋" w:hAnsi="仿宋" w:eastAsia="仿宋" w:cs="宋体"/>
                <w:color w:val="000000"/>
                <w:kern w:val="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E4A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家长满意度</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03E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DBE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未完成</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AFD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家长满意度78.41%</w:t>
            </w:r>
          </w:p>
        </w:tc>
      </w:tr>
    </w:tbl>
    <w:p w14:paraId="3A277E8B">
      <w:pPr>
        <w:spacing w:line="579" w:lineRule="exact"/>
        <w:ind w:firstLine="600" w:firstLineChars="200"/>
        <w:outlineLvl w:val="0"/>
        <w:rPr>
          <w:rFonts w:ascii="黑体" w:hAnsi="黑体" w:eastAsia="黑体" w:cs="宋体"/>
          <w:kern w:val="30"/>
          <w:sz w:val="30"/>
          <w:szCs w:val="30"/>
        </w:rPr>
      </w:pPr>
      <w:bookmarkStart w:id="44" w:name="_Toc11538"/>
      <w:bookmarkStart w:id="45" w:name="_Toc51423758"/>
      <w:r>
        <w:rPr>
          <w:rFonts w:hint="eastAsia" w:ascii="黑体" w:hAnsi="黑体" w:eastAsia="黑体" w:cs="宋体"/>
          <w:kern w:val="30"/>
          <w:sz w:val="30"/>
          <w:szCs w:val="30"/>
        </w:rPr>
        <w:t>四、存在问题及原因分析</w:t>
      </w:r>
      <w:bookmarkEnd w:id="44"/>
      <w:bookmarkEnd w:id="45"/>
    </w:p>
    <w:p w14:paraId="1C5DA751">
      <w:pPr>
        <w:spacing w:line="590" w:lineRule="exact"/>
        <w:ind w:firstLine="600" w:firstLineChars="200"/>
        <w:outlineLvl w:val="1"/>
        <w:rPr>
          <w:rFonts w:ascii="楷体" w:hAnsi="楷体" w:eastAsia="楷体" w:cs="Times New Roman"/>
          <w:kern w:val="30"/>
          <w:sz w:val="30"/>
          <w:szCs w:val="30"/>
        </w:rPr>
      </w:pPr>
      <w:bookmarkStart w:id="46" w:name="_Toc1667"/>
      <w:bookmarkStart w:id="47" w:name="_Toc84510505"/>
      <w:r>
        <w:rPr>
          <w:rFonts w:hint="eastAsia" w:ascii="楷体" w:hAnsi="楷体" w:eastAsia="楷体" w:cs="Times New Roman"/>
          <w:kern w:val="30"/>
          <w:sz w:val="30"/>
          <w:szCs w:val="30"/>
        </w:rPr>
        <w:t>（一）预算绩效理念未全面落实，绩效目标设置质量不高</w:t>
      </w:r>
      <w:bookmarkEnd w:id="46"/>
      <w:bookmarkEnd w:id="47"/>
    </w:p>
    <w:p w14:paraId="1EF5948C">
      <w:pPr>
        <w:spacing w:line="590" w:lineRule="exact"/>
        <w:ind w:firstLine="600" w:firstLineChars="200"/>
        <w:rPr>
          <w:rFonts w:ascii="仿宋" w:hAnsi="Times New Roman" w:eastAsia="仿宋" w:cs="Times New Roman"/>
          <w:kern w:val="30"/>
          <w:sz w:val="30"/>
          <w:szCs w:val="30"/>
        </w:rPr>
      </w:pPr>
      <w:r>
        <w:rPr>
          <w:rFonts w:hint="eastAsia" w:ascii="仿宋" w:hAnsi="Times New Roman" w:eastAsia="仿宋" w:cs="Times New Roman"/>
          <w:kern w:val="30"/>
          <w:sz w:val="30"/>
          <w:szCs w:val="30"/>
        </w:rPr>
        <w:t>全面预算绩效管理理念不强，预算绩效管理未确切落实。</w:t>
      </w:r>
      <w:r>
        <w:rPr>
          <w:rFonts w:hint="eastAsia" w:ascii="仿宋" w:hAnsi="仿宋" w:eastAsia="仿宋" w:cs="Times New Roman"/>
          <w:kern w:val="30"/>
          <w:sz w:val="30"/>
          <w:szCs w:val="30"/>
        </w:rPr>
        <w:t>绩效目标未细化分解为具体的绩效指标，</w:t>
      </w:r>
      <w:r>
        <w:rPr>
          <w:rFonts w:hint="eastAsia" w:ascii="仿宋" w:hAnsi="Times New Roman" w:eastAsia="仿宋" w:cs="Times New Roman"/>
          <w:kern w:val="30"/>
          <w:sz w:val="30"/>
          <w:szCs w:val="30"/>
        </w:rPr>
        <w:t>未能全面反映项目产出及效果。</w:t>
      </w:r>
      <w:r>
        <w:rPr>
          <w:rFonts w:hint="eastAsia" w:ascii="仿宋" w:hAnsi="仿宋" w:eastAsia="仿宋" w:cs="Times New Roman"/>
          <w:spacing w:val="6"/>
          <w:kern w:val="30"/>
          <w:sz w:val="30"/>
          <w:szCs w:val="30"/>
        </w:rPr>
        <w:t>绩效指标不具体细化，较为笼统和宽泛，项目的产出和效果</w:t>
      </w:r>
      <w:r>
        <w:rPr>
          <w:rFonts w:hint="eastAsia" w:ascii="仿宋" w:hAnsi="仿宋" w:eastAsia="仿宋" w:cs="Times New Roman"/>
          <w:kern w:val="30"/>
          <w:sz w:val="30"/>
          <w:szCs w:val="30"/>
        </w:rPr>
        <w:t>未在项目绩效指标中完整、清晰体现，绩效指标不可衡量，难以考核。</w:t>
      </w:r>
      <w:r>
        <w:rPr>
          <w:rFonts w:hint="eastAsia" w:ascii="仿宋" w:hAnsi="Times New Roman" w:eastAsia="仿宋" w:cs="Times New Roman"/>
          <w:kern w:val="30"/>
          <w:sz w:val="30"/>
          <w:szCs w:val="30"/>
        </w:rPr>
        <w:t>如部门整体支出绩效中</w:t>
      </w:r>
      <w:r>
        <w:rPr>
          <w:rFonts w:ascii="仿宋" w:hAnsi="Times New Roman" w:eastAsia="仿宋" w:cs="Times New Roman"/>
          <w:kern w:val="30"/>
          <w:sz w:val="30"/>
          <w:szCs w:val="30"/>
        </w:rPr>
        <w:t>“促进整个教育体育系统的健康稳定发展≥95%”、“对社会、教育体育事业可持续影响≥95%”</w:t>
      </w:r>
      <w:r>
        <w:rPr>
          <w:rFonts w:hint="eastAsia" w:ascii="仿宋" w:hAnsi="Times New Roman" w:eastAsia="仿宋" w:cs="Times New Roman"/>
          <w:kern w:val="30"/>
          <w:sz w:val="30"/>
          <w:szCs w:val="30"/>
        </w:rPr>
        <w:t>等指标</w:t>
      </w:r>
      <w:r>
        <w:rPr>
          <w:rFonts w:ascii="仿宋" w:hAnsi="Times New Roman" w:eastAsia="仿宋" w:cs="Times New Roman"/>
          <w:kern w:val="30"/>
          <w:sz w:val="30"/>
          <w:szCs w:val="30"/>
        </w:rPr>
        <w:t>无法考核。</w:t>
      </w:r>
      <w:r>
        <w:rPr>
          <w:rFonts w:hint="eastAsia" w:ascii="仿宋" w:hAnsi="Times New Roman" w:eastAsia="仿宋" w:cs="Times New Roman"/>
          <w:kern w:val="30"/>
          <w:sz w:val="30"/>
          <w:szCs w:val="30"/>
        </w:rPr>
        <w:t>部分项目支出绩效指标无法考核，如：“（非税安排）新校区教学教研用房工程专项资金”项目中“长期</w:t>
      </w:r>
      <w:r>
        <w:rPr>
          <w:rFonts w:ascii="仿宋" w:hAnsi="Times New Roman" w:eastAsia="仿宋" w:cs="Times New Roman"/>
          <w:kern w:val="30"/>
          <w:sz w:val="30"/>
          <w:szCs w:val="30"/>
        </w:rPr>
        <w:t>=100%”、“1528.05平方米=100%”等指标指向不明确，“优质教育教学=100%”、“全社会受益=100%”无法考核</w:t>
      </w:r>
      <w:r>
        <w:rPr>
          <w:rFonts w:hint="eastAsia" w:ascii="仿宋" w:hAnsi="Times New Roman" w:eastAsia="仿宋" w:cs="Times New Roman"/>
          <w:kern w:val="30"/>
          <w:sz w:val="30"/>
          <w:szCs w:val="30"/>
        </w:rPr>
        <w:t>。</w:t>
      </w:r>
    </w:p>
    <w:p w14:paraId="3AC25737">
      <w:pPr>
        <w:spacing w:line="579" w:lineRule="exact"/>
        <w:ind w:firstLine="600" w:firstLineChars="200"/>
        <w:outlineLvl w:val="1"/>
        <w:rPr>
          <w:rFonts w:ascii="楷体" w:hAnsi="楷体" w:eastAsia="楷体" w:cs="Times New Roman"/>
          <w:kern w:val="30"/>
          <w:sz w:val="30"/>
          <w:szCs w:val="30"/>
        </w:rPr>
      </w:pPr>
      <w:bookmarkStart w:id="48" w:name="_Toc13138641"/>
      <w:bookmarkStart w:id="49" w:name="_Toc13138577"/>
      <w:bookmarkStart w:id="50" w:name="_Toc6895"/>
      <w:bookmarkStart w:id="51" w:name="_Toc14271826"/>
      <w:r>
        <w:rPr>
          <w:rFonts w:hint="eastAsia" w:ascii="楷体" w:hAnsi="楷体" w:eastAsia="楷体" w:cs="Times New Roman"/>
          <w:kern w:val="30"/>
          <w:sz w:val="30"/>
          <w:szCs w:val="30"/>
        </w:rPr>
        <w:t>（二）整体师资力量</w:t>
      </w:r>
      <w:bookmarkEnd w:id="48"/>
      <w:bookmarkEnd w:id="49"/>
      <w:r>
        <w:rPr>
          <w:rFonts w:hint="eastAsia" w:ascii="楷体" w:hAnsi="楷体" w:eastAsia="楷体" w:cs="Times New Roman"/>
          <w:kern w:val="30"/>
          <w:sz w:val="30"/>
          <w:szCs w:val="30"/>
        </w:rPr>
        <w:t>不足</w:t>
      </w:r>
      <w:bookmarkEnd w:id="50"/>
      <w:bookmarkEnd w:id="51"/>
    </w:p>
    <w:p w14:paraId="06F42C72">
      <w:pPr>
        <w:spacing w:line="590" w:lineRule="exact"/>
        <w:ind w:firstLine="600" w:firstLineChars="200"/>
        <w:rPr>
          <w:rFonts w:ascii="仿宋" w:hAnsi="仿宋" w:eastAsia="仿宋" w:cs="Times New Roman"/>
          <w:kern w:val="30"/>
          <w:sz w:val="30"/>
          <w:szCs w:val="30"/>
        </w:rPr>
      </w:pPr>
      <w:r>
        <w:rPr>
          <w:rFonts w:hint="eastAsia" w:ascii="仿宋" w:hAnsi="仿宋" w:eastAsia="仿宋" w:cs="Times New Roman"/>
          <w:kern w:val="30"/>
          <w:sz w:val="30"/>
          <w:szCs w:val="30"/>
        </w:rPr>
        <w:t>通海县教育体育局经过多年对教师队伍的建设，师资力量得到了相应提升，引进培养了不少优秀教师，但整体师资力量与教育部的要求比较还存在一定的差距。</w:t>
      </w:r>
      <w:bookmarkStart w:id="52" w:name="_Hlk84532732"/>
      <w:r>
        <w:rPr>
          <w:rFonts w:hint="eastAsia" w:ascii="仿宋" w:hAnsi="仿宋" w:eastAsia="仿宋" w:cs="Times New Roman"/>
          <w:kern w:val="30"/>
          <w:sz w:val="30"/>
          <w:szCs w:val="30"/>
        </w:rPr>
        <w:t>《中央编办教育部财政部关于统一城乡中小学教职工编制标准的通知》（中央编办发〔</w:t>
      </w:r>
      <w:r>
        <w:rPr>
          <w:rFonts w:ascii="仿宋" w:hAnsi="仿宋" w:eastAsia="仿宋" w:cs="Times New Roman"/>
          <w:kern w:val="30"/>
          <w:sz w:val="30"/>
          <w:szCs w:val="30"/>
        </w:rPr>
        <w:t>2014〕72号）</w:t>
      </w:r>
      <w:bookmarkEnd w:id="52"/>
      <w:r>
        <w:rPr>
          <w:rFonts w:hint="eastAsia" w:ascii="仿宋" w:hAnsi="仿宋" w:eastAsia="仿宋" w:cs="Times New Roman"/>
          <w:kern w:val="30"/>
          <w:sz w:val="30"/>
          <w:szCs w:val="30"/>
        </w:rPr>
        <w:t>要求“高中教职工与学生比为</w:t>
      </w:r>
      <w:r>
        <w:rPr>
          <w:rFonts w:ascii="仿宋" w:hAnsi="仿宋" w:eastAsia="仿宋" w:cs="Times New Roman"/>
          <w:kern w:val="30"/>
          <w:sz w:val="30"/>
          <w:szCs w:val="30"/>
        </w:rPr>
        <w:t>1:12.5、初中为1:13.5、小学为1:19</w:t>
      </w:r>
      <w:r>
        <w:rPr>
          <w:rFonts w:hint="eastAsia" w:ascii="仿宋" w:hAnsi="仿宋" w:eastAsia="仿宋" w:cs="Times New Roman"/>
          <w:kern w:val="30"/>
          <w:sz w:val="30"/>
          <w:szCs w:val="30"/>
        </w:rPr>
        <w:t>”。评价发现有9所小学、3所高中全部未达到教育部要求的生师比要求。中央编办发〔</w:t>
      </w:r>
      <w:r>
        <w:rPr>
          <w:rFonts w:ascii="仿宋" w:hAnsi="仿宋" w:eastAsia="仿宋" w:cs="Times New Roman"/>
          <w:kern w:val="30"/>
          <w:sz w:val="30"/>
          <w:szCs w:val="30"/>
        </w:rPr>
        <w:t>2014〕72号</w:t>
      </w:r>
      <w:r>
        <w:rPr>
          <w:rFonts w:hint="eastAsia" w:ascii="仿宋" w:hAnsi="仿宋" w:eastAsia="仿宋" w:cs="Times New Roman"/>
          <w:kern w:val="30"/>
          <w:sz w:val="30"/>
          <w:szCs w:val="30"/>
        </w:rPr>
        <w:t>明确“各地要严禁挤占、挪用和截留中小学教职工编制，严禁在有合格教师来源的情况下‘有编不补’、长期聘用代课教师”。评价发现大部分小学实有教师人数超过教师编制数，而初中及高中学校仅通海县杨广中学教师达到编制数，其余学校均存在空缺，特别是通海县秀山中学、云南省通海县第一中学、通海县第三中学3所学校教师编制数空缺</w:t>
      </w:r>
      <w:r>
        <w:rPr>
          <w:rFonts w:ascii="仿宋" w:hAnsi="仿宋" w:eastAsia="仿宋" w:cs="Times New Roman"/>
          <w:kern w:val="30"/>
          <w:sz w:val="30"/>
          <w:szCs w:val="30"/>
        </w:rPr>
        <w:t>10人以上</w:t>
      </w:r>
      <w:r>
        <w:rPr>
          <w:rFonts w:hint="eastAsia" w:ascii="仿宋" w:hAnsi="仿宋" w:eastAsia="仿宋" w:cs="Times New Roman"/>
          <w:kern w:val="30"/>
          <w:sz w:val="30"/>
          <w:szCs w:val="30"/>
        </w:rPr>
        <w:t>。</w:t>
      </w:r>
    </w:p>
    <w:p w14:paraId="0DD3B3DA">
      <w:pPr>
        <w:spacing w:line="579" w:lineRule="exact"/>
        <w:ind w:firstLine="600" w:firstLineChars="200"/>
        <w:outlineLvl w:val="1"/>
        <w:rPr>
          <w:rFonts w:ascii="楷体" w:hAnsi="楷体" w:eastAsia="楷体" w:cs="Times New Roman"/>
          <w:kern w:val="30"/>
          <w:sz w:val="30"/>
          <w:szCs w:val="30"/>
        </w:rPr>
      </w:pPr>
      <w:bookmarkStart w:id="53" w:name="_Toc14271829"/>
      <w:bookmarkStart w:id="54" w:name="_Toc13138580"/>
      <w:bookmarkStart w:id="55" w:name="_Toc13138644"/>
      <w:bookmarkStart w:id="56" w:name="_Toc802"/>
      <w:r>
        <w:rPr>
          <w:rFonts w:hint="eastAsia" w:ascii="楷体" w:hAnsi="楷体" w:eastAsia="楷体" w:cs="Times New Roman"/>
          <w:kern w:val="30"/>
          <w:sz w:val="30"/>
          <w:szCs w:val="30"/>
        </w:rPr>
        <w:t>（三）整体支出绩效满意程度不高</w:t>
      </w:r>
      <w:bookmarkEnd w:id="53"/>
      <w:bookmarkEnd w:id="54"/>
      <w:bookmarkEnd w:id="55"/>
      <w:bookmarkEnd w:id="56"/>
    </w:p>
    <w:p w14:paraId="603E2B1E">
      <w:pPr>
        <w:spacing w:line="579" w:lineRule="exact"/>
        <w:ind w:firstLine="624" w:firstLineChars="200"/>
        <w:rPr>
          <w:rFonts w:ascii="仿宋" w:hAnsi="仿宋" w:eastAsia="仿宋" w:cs="Times New Roman"/>
          <w:kern w:val="30"/>
          <w:sz w:val="30"/>
          <w:szCs w:val="30"/>
        </w:rPr>
      </w:pPr>
      <w:r>
        <w:rPr>
          <w:rFonts w:ascii="仿宋" w:hAnsi="仿宋" w:eastAsia="仿宋" w:cs="宋体"/>
          <w:bCs/>
          <w:color w:val="000000"/>
          <w:spacing w:val="6"/>
          <w:kern w:val="30"/>
          <w:sz w:val="30"/>
          <w:szCs w:val="30"/>
        </w:rPr>
        <w:t>从</w:t>
      </w:r>
      <w:r>
        <w:rPr>
          <w:rFonts w:hint="eastAsia" w:ascii="仿宋" w:hAnsi="仿宋" w:eastAsia="仿宋" w:cs="宋体"/>
          <w:bCs/>
          <w:color w:val="000000"/>
          <w:spacing w:val="6"/>
          <w:kern w:val="30"/>
          <w:sz w:val="30"/>
          <w:szCs w:val="30"/>
        </w:rPr>
        <w:t>绩效</w:t>
      </w:r>
      <w:r>
        <w:rPr>
          <w:rFonts w:ascii="仿宋" w:hAnsi="仿宋" w:eastAsia="仿宋" w:cs="宋体"/>
          <w:bCs/>
          <w:color w:val="000000"/>
          <w:spacing w:val="6"/>
          <w:kern w:val="30"/>
          <w:sz w:val="30"/>
          <w:szCs w:val="30"/>
        </w:rPr>
        <w:t>评价回收的问卷来看，</w:t>
      </w:r>
      <w:r>
        <w:rPr>
          <w:rFonts w:hint="eastAsia" w:ascii="仿宋" w:hAnsi="仿宋" w:eastAsia="仿宋" w:cs="宋体"/>
          <w:bCs/>
          <w:color w:val="000000"/>
          <w:spacing w:val="6"/>
          <w:kern w:val="30"/>
          <w:sz w:val="30"/>
          <w:szCs w:val="30"/>
        </w:rPr>
        <w:t>各类人员</w:t>
      </w:r>
      <w:r>
        <w:rPr>
          <w:rFonts w:ascii="仿宋" w:hAnsi="仿宋" w:eastAsia="仿宋" w:cs="宋体"/>
          <w:bCs/>
          <w:color w:val="000000"/>
          <w:spacing w:val="6"/>
          <w:kern w:val="30"/>
          <w:sz w:val="30"/>
          <w:szCs w:val="30"/>
        </w:rPr>
        <w:t>对</w:t>
      </w:r>
      <w:r>
        <w:rPr>
          <w:rFonts w:hint="eastAsia" w:ascii="仿宋" w:hAnsi="仿宋" w:eastAsia="仿宋" w:cs="宋体"/>
          <w:bCs/>
          <w:color w:val="000000"/>
          <w:spacing w:val="6"/>
          <w:kern w:val="30"/>
          <w:sz w:val="30"/>
          <w:szCs w:val="30"/>
        </w:rPr>
        <w:t>通海县教育体育局的满意度不高</w:t>
      </w:r>
      <w:r>
        <w:rPr>
          <w:rFonts w:ascii="仿宋" w:hAnsi="仿宋" w:eastAsia="仿宋" w:cs="宋体"/>
          <w:bCs/>
          <w:color w:val="000000"/>
          <w:spacing w:val="6"/>
          <w:kern w:val="30"/>
          <w:sz w:val="30"/>
          <w:szCs w:val="30"/>
        </w:rPr>
        <w:t>。</w:t>
      </w:r>
      <w:r>
        <w:rPr>
          <w:rFonts w:hint="eastAsia" w:ascii="仿宋" w:hAnsi="仿宋" w:eastAsia="仿宋" w:cs="宋体"/>
          <w:bCs/>
          <w:color w:val="000000"/>
          <w:spacing w:val="6"/>
          <w:kern w:val="30"/>
          <w:sz w:val="30"/>
          <w:szCs w:val="30"/>
        </w:rPr>
        <w:t>其中</w:t>
      </w:r>
      <w:r>
        <w:rPr>
          <w:rFonts w:ascii="仿宋" w:hAnsi="仿宋" w:eastAsia="仿宋" w:cs="Times New Roman"/>
          <w:kern w:val="30"/>
          <w:sz w:val="30"/>
          <w:szCs w:val="30"/>
        </w:rPr>
        <w:t>教职工的满意度为46.48%</w:t>
      </w:r>
      <w:r>
        <w:rPr>
          <w:rFonts w:hint="eastAsia" w:ascii="仿宋" w:hAnsi="仿宋" w:eastAsia="仿宋" w:cs="Times New Roman"/>
          <w:kern w:val="30"/>
          <w:sz w:val="30"/>
          <w:szCs w:val="30"/>
        </w:rPr>
        <w:t>、学生的满意度为</w:t>
      </w:r>
      <w:r>
        <w:rPr>
          <w:rFonts w:ascii="仿宋" w:hAnsi="仿宋" w:eastAsia="仿宋" w:cs="Times New Roman"/>
          <w:kern w:val="30"/>
          <w:sz w:val="30"/>
          <w:szCs w:val="30"/>
        </w:rPr>
        <w:t>77%，</w:t>
      </w:r>
      <w:r>
        <w:rPr>
          <w:rFonts w:hint="eastAsia" w:ascii="仿宋" w:hAnsi="仿宋" w:eastAsia="仿宋" w:cs="Times New Roman"/>
          <w:kern w:val="30"/>
          <w:sz w:val="30"/>
          <w:szCs w:val="30"/>
        </w:rPr>
        <w:t>家长的满意度为7</w:t>
      </w:r>
      <w:r>
        <w:rPr>
          <w:rFonts w:ascii="仿宋" w:hAnsi="仿宋" w:eastAsia="仿宋" w:cs="Times New Roman"/>
          <w:kern w:val="30"/>
          <w:sz w:val="30"/>
          <w:szCs w:val="30"/>
        </w:rPr>
        <w:t>8.41</w:t>
      </w:r>
      <w:r>
        <w:rPr>
          <w:rFonts w:hint="eastAsia" w:ascii="仿宋" w:hAnsi="仿宋" w:eastAsia="仿宋" w:cs="Times New Roman"/>
          <w:kern w:val="30"/>
          <w:sz w:val="30"/>
          <w:szCs w:val="30"/>
        </w:rPr>
        <w:t>%</w:t>
      </w:r>
      <w:r>
        <w:rPr>
          <w:rFonts w:ascii="仿宋" w:hAnsi="仿宋" w:eastAsia="仿宋" w:cs="Times New Roman"/>
          <w:kern w:val="30"/>
          <w:sz w:val="30"/>
          <w:szCs w:val="30"/>
        </w:rPr>
        <w:t>。</w:t>
      </w:r>
      <w:r>
        <w:rPr>
          <w:rFonts w:hint="eastAsia" w:ascii="仿宋" w:hAnsi="仿宋" w:eastAsia="仿宋" w:cs="Times New Roman"/>
          <w:kern w:val="30"/>
          <w:sz w:val="30"/>
          <w:szCs w:val="30"/>
        </w:rPr>
        <w:t>从调查问卷的各题来看，按6</w:t>
      </w:r>
      <w:r>
        <w:rPr>
          <w:rFonts w:ascii="仿宋" w:hAnsi="仿宋" w:eastAsia="仿宋" w:cs="Times New Roman"/>
          <w:kern w:val="30"/>
          <w:sz w:val="30"/>
          <w:szCs w:val="30"/>
        </w:rPr>
        <w:t>0</w:t>
      </w:r>
      <w:r>
        <w:rPr>
          <w:rFonts w:hint="eastAsia" w:ascii="仿宋" w:hAnsi="仿宋" w:eastAsia="仿宋" w:cs="Times New Roman"/>
          <w:kern w:val="30"/>
          <w:sz w:val="30"/>
          <w:szCs w:val="30"/>
        </w:rPr>
        <w:t>%以下得分为低分来看，各类问卷低分情况详见下表：</w:t>
      </w:r>
    </w:p>
    <w:p w14:paraId="74B4E398">
      <w:pPr>
        <w:jc w:val="center"/>
        <w:rPr>
          <w:rFonts w:ascii="黑体" w:hAnsi="黑体" w:eastAsia="黑体" w:cs="宋体"/>
          <w:bCs/>
          <w:spacing w:val="6"/>
          <w:kern w:val="30"/>
          <w:sz w:val="24"/>
          <w:szCs w:val="24"/>
        </w:rPr>
      </w:pPr>
      <w:r>
        <w:rPr>
          <w:rFonts w:hint="eastAsia" w:ascii="黑体" w:hAnsi="黑体" w:eastAsia="黑体" w:cs="宋体"/>
          <w:bCs/>
          <w:spacing w:val="6"/>
          <w:kern w:val="30"/>
          <w:sz w:val="24"/>
          <w:szCs w:val="24"/>
        </w:rPr>
        <w:t>表</w:t>
      </w:r>
      <w:r>
        <w:rPr>
          <w:rFonts w:ascii="黑体" w:hAnsi="黑体" w:eastAsia="黑体" w:cs="宋体"/>
          <w:bCs/>
          <w:spacing w:val="6"/>
          <w:kern w:val="30"/>
          <w:sz w:val="24"/>
          <w:szCs w:val="24"/>
        </w:rPr>
        <w:t>5</w:t>
      </w:r>
      <w:r>
        <w:rPr>
          <w:rFonts w:hint="eastAsia" w:ascii="黑体" w:hAnsi="黑体" w:eastAsia="黑体" w:cs="宋体"/>
          <w:bCs/>
          <w:spacing w:val="6"/>
          <w:kern w:val="30"/>
          <w:sz w:val="24"/>
          <w:szCs w:val="24"/>
        </w:rPr>
        <w:t>：各类问卷低分情况表</w:t>
      </w:r>
    </w:p>
    <w:tbl>
      <w:tblPr>
        <w:tblStyle w:val="8"/>
        <w:tblW w:w="8870" w:type="dxa"/>
        <w:tblInd w:w="0" w:type="dxa"/>
        <w:tblLayout w:type="fixed"/>
        <w:tblCellMar>
          <w:top w:w="0" w:type="dxa"/>
          <w:left w:w="108" w:type="dxa"/>
          <w:bottom w:w="0" w:type="dxa"/>
          <w:right w:w="108" w:type="dxa"/>
        </w:tblCellMar>
      </w:tblPr>
      <w:tblGrid>
        <w:gridCol w:w="830"/>
        <w:gridCol w:w="1180"/>
        <w:gridCol w:w="1180"/>
        <w:gridCol w:w="1180"/>
        <w:gridCol w:w="1180"/>
        <w:gridCol w:w="1180"/>
        <w:gridCol w:w="1180"/>
        <w:gridCol w:w="960"/>
      </w:tblGrid>
      <w:tr w14:paraId="2E92B03F">
        <w:tblPrEx>
          <w:tblCellMar>
            <w:top w:w="0" w:type="dxa"/>
            <w:left w:w="108" w:type="dxa"/>
            <w:bottom w:w="0" w:type="dxa"/>
            <w:right w:w="108" w:type="dxa"/>
          </w:tblCellMar>
        </w:tblPrEx>
        <w:trPr>
          <w:trHeight w:val="283"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47156">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家长</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E9EC">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有效问卷</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5E45">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学校的教学环境</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6418">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教育水平</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A4F">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教师工作</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1BD9">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学校管理情况</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29B3">
            <w:pPr>
              <w:widowControl/>
              <w:jc w:val="center"/>
              <w:rPr>
                <w:rFonts w:ascii="仿宋" w:hAnsi="仿宋" w:eastAsia="仿宋" w:cs="宋体"/>
                <w:b/>
                <w:bCs/>
                <w:color w:val="000000"/>
                <w:kern w:val="0"/>
                <w:sz w:val="20"/>
                <w:szCs w:val="20"/>
              </w:rPr>
            </w:pPr>
            <w:bookmarkStart w:id="57" w:name="_Hlk84534970"/>
            <w:r>
              <w:rPr>
                <w:rFonts w:hint="eastAsia" w:ascii="仿宋" w:hAnsi="仿宋" w:eastAsia="仿宋" w:cs="宋体"/>
                <w:b/>
                <w:bCs/>
                <w:color w:val="000000"/>
                <w:kern w:val="0"/>
                <w:sz w:val="20"/>
                <w:szCs w:val="20"/>
              </w:rPr>
              <w:t>体育健身器材</w:t>
            </w:r>
            <w:bookmarkEnd w:id="57"/>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15FC">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总分</w:t>
            </w:r>
          </w:p>
        </w:tc>
      </w:tr>
      <w:tr w14:paraId="3E012DA9">
        <w:tblPrEx>
          <w:tblCellMar>
            <w:top w:w="0" w:type="dxa"/>
            <w:left w:w="108" w:type="dxa"/>
            <w:bottom w:w="0" w:type="dxa"/>
            <w:right w:w="108" w:type="dxa"/>
          </w:tblCellMar>
        </w:tblPrEx>
        <w:trPr>
          <w:trHeight w:val="283" w:hRule="atLeast"/>
        </w:trPr>
        <w:tc>
          <w:tcPr>
            <w:tcW w:w="830" w:type="dxa"/>
            <w:vMerge w:val="continue"/>
            <w:tcBorders>
              <w:top w:val="single" w:color="000000" w:sz="4" w:space="0"/>
              <w:left w:val="single" w:color="000000" w:sz="4" w:space="0"/>
              <w:bottom w:val="single" w:color="000000" w:sz="4" w:space="0"/>
              <w:right w:val="single" w:color="000000" w:sz="4" w:space="0"/>
            </w:tcBorders>
            <w:vAlign w:val="center"/>
          </w:tcPr>
          <w:p w14:paraId="3F1EB512">
            <w:pPr>
              <w:widowControl/>
              <w:jc w:val="left"/>
              <w:rPr>
                <w:rFonts w:ascii="仿宋" w:hAnsi="仿宋" w:eastAsia="仿宋" w:cs="宋体"/>
                <w:b/>
                <w:bCs/>
                <w:color w:val="000000"/>
                <w:kern w:val="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77B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143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041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55B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F08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057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A48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25</w:t>
            </w:r>
          </w:p>
        </w:tc>
      </w:tr>
      <w:tr w14:paraId="66CD8954">
        <w:tblPrEx>
          <w:tblCellMar>
            <w:top w:w="0" w:type="dxa"/>
            <w:left w:w="108" w:type="dxa"/>
            <w:bottom w:w="0" w:type="dxa"/>
            <w:right w:w="108" w:type="dxa"/>
          </w:tblCellMar>
        </w:tblPrEx>
        <w:trPr>
          <w:trHeight w:val="283" w:hRule="atLeast"/>
        </w:trPr>
        <w:tc>
          <w:tcPr>
            <w:tcW w:w="830" w:type="dxa"/>
            <w:vMerge w:val="continue"/>
            <w:tcBorders>
              <w:top w:val="single" w:color="000000" w:sz="4" w:space="0"/>
              <w:left w:val="single" w:color="000000" w:sz="4" w:space="0"/>
              <w:bottom w:val="single" w:color="000000" w:sz="4" w:space="0"/>
              <w:right w:val="single" w:color="000000" w:sz="4" w:space="0"/>
            </w:tcBorders>
            <w:vAlign w:val="center"/>
          </w:tcPr>
          <w:p w14:paraId="0D0C07E3">
            <w:pPr>
              <w:widowControl/>
              <w:jc w:val="left"/>
              <w:rPr>
                <w:rFonts w:ascii="仿宋" w:hAnsi="仿宋" w:eastAsia="仿宋" w:cs="宋体"/>
                <w:b/>
                <w:bCs/>
                <w:color w:val="000000"/>
                <w:kern w:val="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75D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占比</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54A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16.61%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E1D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11.30%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2F5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6.98%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AA8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10.96%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24E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3C9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8.31%</w:t>
            </w:r>
          </w:p>
        </w:tc>
      </w:tr>
      <w:tr w14:paraId="0E636A83">
        <w:tblPrEx>
          <w:tblCellMar>
            <w:top w:w="0" w:type="dxa"/>
            <w:left w:w="108" w:type="dxa"/>
            <w:bottom w:w="0" w:type="dxa"/>
            <w:right w:w="108" w:type="dxa"/>
          </w:tblCellMar>
        </w:tblPrEx>
        <w:trPr>
          <w:trHeight w:val="283"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87C69">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学生</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9126">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有效问卷</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8B9A">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教学设施设备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D006">
            <w:pPr>
              <w:widowControl/>
              <w:jc w:val="center"/>
              <w:rPr>
                <w:rFonts w:ascii="仿宋" w:hAnsi="仿宋" w:eastAsia="仿宋" w:cs="宋体"/>
                <w:b/>
                <w:bCs/>
                <w:color w:val="000000"/>
                <w:kern w:val="0"/>
                <w:sz w:val="20"/>
                <w:szCs w:val="20"/>
              </w:rPr>
            </w:pPr>
            <w:bookmarkStart w:id="58" w:name="_Hlk84534999"/>
            <w:r>
              <w:rPr>
                <w:rFonts w:hint="eastAsia" w:ascii="仿宋" w:hAnsi="仿宋" w:eastAsia="仿宋" w:cs="宋体"/>
                <w:b/>
                <w:bCs/>
                <w:color w:val="000000"/>
                <w:kern w:val="0"/>
                <w:sz w:val="20"/>
                <w:szCs w:val="20"/>
              </w:rPr>
              <w:t>体育设施设备</w:t>
            </w:r>
            <w:bookmarkEnd w:id="58"/>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AB58">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奖助学金的评选和发放</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10CC">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教师的教学方式</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751E">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学校教育教学管理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ADE2">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总分</w:t>
            </w:r>
          </w:p>
        </w:tc>
      </w:tr>
      <w:tr w14:paraId="3969F6A0">
        <w:tblPrEx>
          <w:tblCellMar>
            <w:top w:w="0" w:type="dxa"/>
            <w:left w:w="108" w:type="dxa"/>
            <w:bottom w:w="0" w:type="dxa"/>
            <w:right w:w="108" w:type="dxa"/>
          </w:tblCellMar>
        </w:tblPrEx>
        <w:trPr>
          <w:trHeight w:val="283" w:hRule="atLeast"/>
        </w:trPr>
        <w:tc>
          <w:tcPr>
            <w:tcW w:w="830" w:type="dxa"/>
            <w:vMerge w:val="continue"/>
            <w:tcBorders>
              <w:top w:val="single" w:color="000000" w:sz="4" w:space="0"/>
              <w:left w:val="single" w:color="000000" w:sz="4" w:space="0"/>
              <w:bottom w:val="single" w:color="000000" w:sz="4" w:space="0"/>
              <w:right w:val="single" w:color="000000" w:sz="4" w:space="0"/>
            </w:tcBorders>
            <w:vAlign w:val="center"/>
          </w:tcPr>
          <w:p w14:paraId="20E28F86">
            <w:pPr>
              <w:widowControl/>
              <w:jc w:val="left"/>
              <w:rPr>
                <w:rFonts w:ascii="仿宋" w:hAnsi="仿宋" w:eastAsia="仿宋" w:cs="宋体"/>
                <w:b/>
                <w:bCs/>
                <w:color w:val="000000"/>
                <w:kern w:val="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CE6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7D3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328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9AF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1DB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313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870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r>
      <w:tr w14:paraId="0CD23C45">
        <w:tblPrEx>
          <w:tblCellMar>
            <w:top w:w="0" w:type="dxa"/>
            <w:left w:w="108" w:type="dxa"/>
            <w:bottom w:w="0" w:type="dxa"/>
            <w:right w:w="108" w:type="dxa"/>
          </w:tblCellMar>
        </w:tblPrEx>
        <w:trPr>
          <w:trHeight w:val="283" w:hRule="atLeast"/>
        </w:trPr>
        <w:tc>
          <w:tcPr>
            <w:tcW w:w="830" w:type="dxa"/>
            <w:vMerge w:val="continue"/>
            <w:tcBorders>
              <w:top w:val="single" w:color="000000" w:sz="4" w:space="0"/>
              <w:left w:val="single" w:color="000000" w:sz="4" w:space="0"/>
              <w:bottom w:val="single" w:color="000000" w:sz="4" w:space="0"/>
              <w:right w:val="single" w:color="000000" w:sz="4" w:space="0"/>
            </w:tcBorders>
            <w:vAlign w:val="center"/>
          </w:tcPr>
          <w:p w14:paraId="7B596694">
            <w:pPr>
              <w:widowControl/>
              <w:jc w:val="left"/>
              <w:rPr>
                <w:rFonts w:ascii="仿宋" w:hAnsi="仿宋" w:eastAsia="仿宋" w:cs="宋体"/>
                <w:b/>
                <w:bCs/>
                <w:color w:val="000000"/>
                <w:kern w:val="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38B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占比</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B1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2B4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944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A08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261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C21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5.00%</w:t>
            </w:r>
          </w:p>
        </w:tc>
      </w:tr>
      <w:tr w14:paraId="33388DC6">
        <w:tblPrEx>
          <w:tblCellMar>
            <w:top w:w="0" w:type="dxa"/>
            <w:left w:w="108" w:type="dxa"/>
            <w:bottom w:w="0" w:type="dxa"/>
            <w:right w:w="108" w:type="dxa"/>
          </w:tblCellMar>
        </w:tblPrEx>
        <w:trPr>
          <w:trHeight w:val="283"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0BF1E">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教职工</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A265">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有效问卷</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CFF1">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教学设施设备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C13F">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深化教育改革，推进教育现代化进程</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41AE">
            <w:pPr>
              <w:widowControl/>
              <w:jc w:val="center"/>
              <w:rPr>
                <w:rFonts w:ascii="仿宋" w:hAnsi="仿宋" w:eastAsia="仿宋" w:cs="宋体"/>
                <w:b/>
                <w:bCs/>
                <w:color w:val="000000"/>
                <w:kern w:val="0"/>
                <w:sz w:val="20"/>
                <w:szCs w:val="20"/>
              </w:rPr>
            </w:pPr>
            <w:bookmarkStart w:id="59" w:name="_Hlk84535087"/>
            <w:r>
              <w:rPr>
                <w:rFonts w:hint="eastAsia" w:ascii="仿宋" w:hAnsi="仿宋" w:eastAsia="仿宋" w:cs="宋体"/>
                <w:b/>
                <w:bCs/>
                <w:color w:val="000000"/>
                <w:kern w:val="0"/>
                <w:sz w:val="20"/>
                <w:szCs w:val="20"/>
              </w:rPr>
              <w:t>教体局在“服务师生”</w:t>
            </w:r>
            <w:bookmarkEnd w:id="59"/>
            <w:r>
              <w:rPr>
                <w:rFonts w:hint="eastAsia" w:ascii="仿宋" w:hAnsi="仿宋" w:eastAsia="仿宋" w:cs="宋体"/>
                <w:b/>
                <w:bCs/>
                <w:color w:val="000000"/>
                <w:kern w:val="0"/>
                <w:sz w:val="20"/>
                <w:szCs w:val="20"/>
              </w:rPr>
              <w:t>方面</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05E">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教体局政务公开透方面</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0A9A">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学校经费的分配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6D36">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总分</w:t>
            </w:r>
          </w:p>
        </w:tc>
      </w:tr>
      <w:tr w14:paraId="66A66A6C">
        <w:tblPrEx>
          <w:tblCellMar>
            <w:top w:w="0" w:type="dxa"/>
            <w:left w:w="108" w:type="dxa"/>
            <w:bottom w:w="0" w:type="dxa"/>
            <w:right w:w="108" w:type="dxa"/>
          </w:tblCellMar>
        </w:tblPrEx>
        <w:trPr>
          <w:trHeight w:val="283" w:hRule="atLeast"/>
        </w:trPr>
        <w:tc>
          <w:tcPr>
            <w:tcW w:w="830" w:type="dxa"/>
            <w:vMerge w:val="continue"/>
            <w:tcBorders>
              <w:top w:val="single" w:color="000000" w:sz="4" w:space="0"/>
              <w:left w:val="single" w:color="000000" w:sz="4" w:space="0"/>
              <w:bottom w:val="single" w:color="000000" w:sz="4" w:space="0"/>
              <w:right w:val="single" w:color="000000" w:sz="4" w:space="0"/>
            </w:tcBorders>
            <w:vAlign w:val="center"/>
          </w:tcPr>
          <w:p w14:paraId="4F3EF94F">
            <w:pPr>
              <w:widowControl/>
              <w:jc w:val="left"/>
              <w:rPr>
                <w:rFonts w:ascii="仿宋" w:hAnsi="仿宋" w:eastAsia="仿宋" w:cs="宋体"/>
                <w:color w:val="000000"/>
                <w:kern w:val="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9CD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568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358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199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970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F6D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402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C97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ACB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195</w:t>
            </w:r>
          </w:p>
        </w:tc>
      </w:tr>
      <w:tr w14:paraId="4D7E0DD8">
        <w:tblPrEx>
          <w:tblCellMar>
            <w:top w:w="0" w:type="dxa"/>
            <w:left w:w="108" w:type="dxa"/>
            <w:bottom w:w="0" w:type="dxa"/>
            <w:right w:w="108" w:type="dxa"/>
          </w:tblCellMar>
        </w:tblPrEx>
        <w:trPr>
          <w:trHeight w:val="283" w:hRule="atLeast"/>
        </w:trPr>
        <w:tc>
          <w:tcPr>
            <w:tcW w:w="830" w:type="dxa"/>
            <w:vMerge w:val="continue"/>
            <w:tcBorders>
              <w:top w:val="single" w:color="000000" w:sz="4" w:space="0"/>
              <w:left w:val="single" w:color="000000" w:sz="4" w:space="0"/>
              <w:bottom w:val="single" w:color="000000" w:sz="4" w:space="0"/>
              <w:right w:val="single" w:color="000000" w:sz="4" w:space="0"/>
            </w:tcBorders>
            <w:vAlign w:val="center"/>
          </w:tcPr>
          <w:p w14:paraId="4C010E9F">
            <w:pPr>
              <w:widowControl/>
              <w:jc w:val="left"/>
              <w:rPr>
                <w:rFonts w:ascii="仿宋" w:hAnsi="仿宋" w:eastAsia="仿宋" w:cs="宋体"/>
                <w:color w:val="000000"/>
                <w:kern w:val="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879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占比</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B27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35.04%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1C7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29.58%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909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42.61%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A9F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38.38%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766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41.55%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F0F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34.33%</w:t>
            </w:r>
          </w:p>
        </w:tc>
      </w:tr>
    </w:tbl>
    <w:p w14:paraId="37857A5A">
      <w:pPr>
        <w:spacing w:line="579" w:lineRule="exact"/>
        <w:ind w:firstLine="600" w:firstLineChars="200"/>
        <w:rPr>
          <w:rFonts w:ascii="仿宋" w:hAnsi="仿宋" w:eastAsia="仿宋" w:cs="Times New Roman"/>
          <w:kern w:val="30"/>
          <w:sz w:val="30"/>
          <w:szCs w:val="30"/>
        </w:rPr>
      </w:pPr>
      <w:r>
        <w:rPr>
          <w:rFonts w:hint="eastAsia" w:ascii="仿宋" w:hAnsi="仿宋" w:eastAsia="仿宋" w:cs="Times New Roman"/>
          <w:kern w:val="30"/>
          <w:sz w:val="30"/>
          <w:szCs w:val="30"/>
        </w:rPr>
        <w:t>从表</w:t>
      </w:r>
      <w:r>
        <w:rPr>
          <w:rFonts w:ascii="仿宋" w:hAnsi="仿宋" w:eastAsia="仿宋" w:cs="Times New Roman"/>
          <w:kern w:val="30"/>
          <w:sz w:val="30"/>
          <w:szCs w:val="30"/>
        </w:rPr>
        <w:t>5</w:t>
      </w:r>
      <w:r>
        <w:rPr>
          <w:rFonts w:hint="eastAsia" w:ascii="仿宋" w:hAnsi="仿宋" w:eastAsia="仿宋" w:cs="Times New Roman"/>
          <w:kern w:val="30"/>
          <w:sz w:val="30"/>
          <w:szCs w:val="30"/>
        </w:rPr>
        <w:t>问卷分析中可见家长满意度低主要表现在学校的教学环境和体育健身器材两方面；学生满意度低主要表现在体育设施设备不够完善；教职工在各方面的低分问卷占比均超过</w:t>
      </w:r>
      <w:r>
        <w:rPr>
          <w:rFonts w:ascii="仿宋" w:hAnsi="仿宋" w:eastAsia="仿宋" w:cs="Times New Roman"/>
          <w:kern w:val="30"/>
          <w:sz w:val="30"/>
          <w:szCs w:val="30"/>
        </w:rPr>
        <w:t>29</w:t>
      </w:r>
      <w:r>
        <w:rPr>
          <w:rFonts w:hint="eastAsia" w:ascii="仿宋" w:hAnsi="仿宋" w:eastAsia="仿宋" w:cs="Times New Roman"/>
          <w:kern w:val="30"/>
          <w:sz w:val="30"/>
          <w:szCs w:val="30"/>
        </w:rPr>
        <w:t>%，尤其是教体局在“服务师生”及学校经费的分配两方面低分问卷占比超过4</w:t>
      </w:r>
      <w:r>
        <w:rPr>
          <w:rFonts w:ascii="仿宋" w:hAnsi="仿宋" w:eastAsia="仿宋" w:cs="Times New Roman"/>
          <w:kern w:val="30"/>
          <w:sz w:val="30"/>
          <w:szCs w:val="30"/>
        </w:rPr>
        <w:t>0</w:t>
      </w:r>
      <w:r>
        <w:rPr>
          <w:rFonts w:hint="eastAsia" w:ascii="仿宋" w:hAnsi="仿宋" w:eastAsia="仿宋" w:cs="Times New Roman"/>
          <w:kern w:val="30"/>
          <w:sz w:val="30"/>
          <w:szCs w:val="30"/>
        </w:rPr>
        <w:t>%。</w:t>
      </w:r>
    </w:p>
    <w:p w14:paraId="15FD0E4E">
      <w:pPr>
        <w:spacing w:line="590" w:lineRule="exact"/>
        <w:ind w:firstLine="600" w:firstLineChars="200"/>
        <w:outlineLvl w:val="1"/>
        <w:rPr>
          <w:rFonts w:ascii="楷体" w:hAnsi="楷体" w:eastAsia="楷体" w:cs="Times New Roman"/>
          <w:kern w:val="30"/>
          <w:sz w:val="30"/>
          <w:szCs w:val="30"/>
        </w:rPr>
      </w:pPr>
      <w:bookmarkStart w:id="60" w:name="_Toc84510509"/>
      <w:bookmarkStart w:id="61" w:name="_Toc793"/>
      <w:bookmarkStart w:id="62" w:name="_Hlk84552624"/>
      <w:r>
        <w:rPr>
          <w:rFonts w:hint="eastAsia" w:ascii="楷体" w:hAnsi="楷体" w:eastAsia="楷体" w:cs="Times New Roman"/>
          <w:kern w:val="30"/>
          <w:sz w:val="30"/>
          <w:szCs w:val="30"/>
        </w:rPr>
        <w:t>（四）产出偏低，未达到规划要求</w:t>
      </w:r>
      <w:bookmarkEnd w:id="60"/>
      <w:bookmarkEnd w:id="61"/>
    </w:p>
    <w:p w14:paraId="7ABE401E">
      <w:pPr>
        <w:spacing w:line="590" w:lineRule="exact"/>
        <w:ind w:firstLine="600" w:firstLineChars="200"/>
        <w:rPr>
          <w:rFonts w:ascii="仿宋" w:hAnsi="仿宋" w:eastAsia="仿宋" w:cs="Times New Roman"/>
          <w:spacing w:val="6"/>
          <w:kern w:val="30"/>
          <w:sz w:val="30"/>
          <w:szCs w:val="30"/>
        </w:rPr>
      </w:pPr>
      <w:r>
        <w:rPr>
          <w:rFonts w:hint="eastAsia" w:ascii="仿宋" w:hAnsi="Times New Roman" w:eastAsia="仿宋" w:cs="Times New Roman"/>
          <w:kern w:val="30"/>
          <w:sz w:val="30"/>
          <w:szCs w:val="21"/>
        </w:rPr>
        <w:t>部分产出完成情况不理想，学前三年毛入园率、乡镇（街道）中心幼儿园中为省一级幼儿园占比、普通高中及中等职业学校在校学生规模，全县初中成绩排名、特殊学校的建设、全县国民受教育年限等绩效指标均未达到《通海县“十三五”教育事业发展规划》的目标，</w:t>
      </w:r>
      <w:r>
        <w:rPr>
          <w:rFonts w:hint="eastAsia" w:ascii="仿宋" w:hAnsi="仿宋" w:eastAsia="仿宋" w:cs="Times New Roman"/>
          <w:spacing w:val="6"/>
          <w:kern w:val="30"/>
          <w:sz w:val="30"/>
          <w:szCs w:val="30"/>
        </w:rPr>
        <w:t>足球场地的建设情况也未达到</w:t>
      </w:r>
      <w:r>
        <w:rPr>
          <w:rFonts w:hint="eastAsia" w:ascii="仿宋" w:hAnsi="仿宋" w:eastAsia="仿宋"/>
          <w:sz w:val="30"/>
          <w:szCs w:val="30"/>
        </w:rPr>
        <w:t>《云南省足球场地设施建设规划（</w:t>
      </w:r>
      <w:r>
        <w:rPr>
          <w:rFonts w:ascii="仿宋" w:hAnsi="仿宋" w:eastAsia="仿宋"/>
          <w:sz w:val="30"/>
          <w:szCs w:val="30"/>
        </w:rPr>
        <w:t>2016-2020年）》《云南省足球场地设施建设工作方案（2019-2020年）》</w:t>
      </w:r>
      <w:r>
        <w:rPr>
          <w:rFonts w:hint="eastAsia" w:ascii="仿宋" w:hAnsi="仿宋" w:eastAsia="仿宋"/>
          <w:sz w:val="30"/>
          <w:szCs w:val="30"/>
        </w:rPr>
        <w:t>的建设完工及时效要求。</w:t>
      </w:r>
      <w:bookmarkEnd w:id="62"/>
    </w:p>
    <w:p w14:paraId="19CFFC4A">
      <w:pPr>
        <w:spacing w:line="579" w:lineRule="exact"/>
        <w:ind w:firstLine="600" w:firstLineChars="200"/>
        <w:outlineLvl w:val="0"/>
        <w:rPr>
          <w:rFonts w:ascii="黑体" w:hAnsi="黑体" w:eastAsia="黑体" w:cs="宋体"/>
          <w:kern w:val="30"/>
          <w:sz w:val="30"/>
          <w:szCs w:val="30"/>
        </w:rPr>
      </w:pPr>
      <w:bookmarkStart w:id="63" w:name="_Toc7861"/>
      <w:bookmarkStart w:id="64" w:name="_Toc51423762"/>
      <w:r>
        <w:rPr>
          <w:rFonts w:hint="eastAsia" w:ascii="黑体" w:hAnsi="黑体" w:eastAsia="黑体" w:cs="宋体"/>
          <w:kern w:val="30"/>
          <w:sz w:val="30"/>
          <w:szCs w:val="30"/>
        </w:rPr>
        <w:t>五、建议</w:t>
      </w:r>
      <w:bookmarkEnd w:id="63"/>
      <w:bookmarkEnd w:id="64"/>
    </w:p>
    <w:p w14:paraId="1E626E67">
      <w:pPr>
        <w:snapToGrid w:val="0"/>
        <w:spacing w:line="590" w:lineRule="exact"/>
        <w:ind w:firstLine="624" w:firstLineChars="200"/>
        <w:outlineLvl w:val="1"/>
        <w:rPr>
          <w:rFonts w:ascii="楷体" w:hAnsi="楷体" w:eastAsia="楷体" w:cs="Times New Roman"/>
          <w:spacing w:val="6"/>
          <w:kern w:val="30"/>
          <w:sz w:val="30"/>
          <w:szCs w:val="30"/>
        </w:rPr>
      </w:pPr>
      <w:bookmarkStart w:id="65" w:name="_Toc49698815"/>
      <w:bookmarkStart w:id="66" w:name="_Toc27083"/>
      <w:bookmarkStart w:id="67" w:name="_Toc84510512"/>
      <w:bookmarkStart w:id="68" w:name="_Hlk84552330"/>
      <w:r>
        <w:rPr>
          <w:rFonts w:hint="eastAsia" w:ascii="楷体" w:hAnsi="楷体" w:eastAsia="楷体" w:cs="Times New Roman"/>
          <w:spacing w:val="6"/>
          <w:kern w:val="30"/>
          <w:sz w:val="30"/>
          <w:szCs w:val="30"/>
        </w:rPr>
        <w:t>（一）</w:t>
      </w:r>
      <w:bookmarkEnd w:id="65"/>
      <w:r>
        <w:rPr>
          <w:rFonts w:hint="eastAsia" w:ascii="楷体" w:hAnsi="楷体" w:eastAsia="楷体" w:cs="Times New Roman"/>
          <w:spacing w:val="6"/>
          <w:kern w:val="30"/>
          <w:sz w:val="30"/>
          <w:szCs w:val="30"/>
        </w:rPr>
        <w:t>强化预算绩效管理理念，重视绩效目标指标设置</w:t>
      </w:r>
      <w:bookmarkEnd w:id="66"/>
      <w:bookmarkEnd w:id="67"/>
    </w:p>
    <w:p w14:paraId="7DD5E2F7">
      <w:pPr>
        <w:spacing w:line="590" w:lineRule="exact"/>
        <w:ind w:firstLine="624" w:firstLineChars="200"/>
        <w:rPr>
          <w:rFonts w:ascii="仿宋" w:hAnsi="仿宋" w:eastAsia="仿宋" w:cs="仿宋"/>
          <w:spacing w:val="6"/>
          <w:kern w:val="30"/>
          <w:sz w:val="30"/>
          <w:szCs w:val="30"/>
        </w:rPr>
      </w:pPr>
      <w:bookmarkStart w:id="69" w:name="_Hlk28109593"/>
      <w:bookmarkStart w:id="70" w:name="_Toc528048335"/>
      <w:bookmarkStart w:id="71" w:name="_Toc527665631"/>
      <w:r>
        <w:rPr>
          <w:rFonts w:hint="eastAsia" w:ascii="仿宋" w:hAnsi="仿宋" w:eastAsia="仿宋" w:cs="仿宋"/>
          <w:spacing w:val="6"/>
          <w:kern w:val="30"/>
          <w:sz w:val="30"/>
          <w:szCs w:val="30"/>
        </w:rPr>
        <w:t>强化预算绩效管理理念，全面实施预算绩效管理。在年初预算申报按要求填报绩效目标和绩效指标，合理设立绩效目标，充分反映项目预期产出及效果</w:t>
      </w:r>
      <w:bookmarkEnd w:id="69"/>
      <w:r>
        <w:rPr>
          <w:rFonts w:hint="eastAsia" w:ascii="仿宋" w:hAnsi="仿宋" w:eastAsia="仿宋" w:cs="仿宋"/>
          <w:spacing w:val="6"/>
          <w:kern w:val="30"/>
          <w:sz w:val="30"/>
          <w:szCs w:val="30"/>
        </w:rPr>
        <w:t>。绩效目标应当清晰反映项目的预期产出和效果，与项目计划相对应，与预算资金量相匹配，从数量、质量、时效、成本，以及经济效益、社会效益、生态效益、可持续影响、满意度等方面进行细化。绩效目标设立应充分、明确、合理性，符合客观实际，与部门履职相一致，绩效指标设置应清晰、细化、可衡量。</w:t>
      </w:r>
      <w:bookmarkEnd w:id="70"/>
      <w:bookmarkEnd w:id="71"/>
      <w:r>
        <w:rPr>
          <w:rFonts w:hint="eastAsia" w:ascii="仿宋" w:hAnsi="仿宋" w:eastAsia="仿宋" w:cs="仿宋"/>
          <w:spacing w:val="6"/>
          <w:kern w:val="30"/>
          <w:sz w:val="30"/>
          <w:szCs w:val="30"/>
        </w:rPr>
        <w:t>预算年度强化绩效管理，认真落实预算绩效管理相关工作。</w:t>
      </w:r>
    </w:p>
    <w:bookmarkEnd w:id="68"/>
    <w:p w14:paraId="0307807D">
      <w:pPr>
        <w:spacing w:line="579" w:lineRule="exact"/>
        <w:ind w:firstLine="600" w:firstLineChars="200"/>
        <w:outlineLvl w:val="1"/>
        <w:rPr>
          <w:rFonts w:ascii="楷体" w:hAnsi="楷体" w:eastAsia="楷体" w:cs="Times New Roman"/>
          <w:kern w:val="30"/>
          <w:sz w:val="30"/>
          <w:szCs w:val="30"/>
        </w:rPr>
      </w:pPr>
      <w:bookmarkStart w:id="72" w:name="_Toc13138583"/>
      <w:bookmarkStart w:id="73" w:name="_Toc14271832"/>
      <w:bookmarkStart w:id="74" w:name="_Toc13138647"/>
      <w:bookmarkStart w:id="75" w:name="_Toc7543"/>
      <w:r>
        <w:rPr>
          <w:rFonts w:hint="eastAsia" w:ascii="楷体" w:hAnsi="楷体" w:eastAsia="楷体" w:cs="Times New Roman"/>
          <w:kern w:val="30"/>
          <w:sz w:val="30"/>
          <w:szCs w:val="30"/>
        </w:rPr>
        <w:t>（二）多方“引”，全面“育”，增强师资力量</w:t>
      </w:r>
      <w:bookmarkEnd w:id="72"/>
      <w:bookmarkEnd w:id="73"/>
      <w:bookmarkEnd w:id="74"/>
      <w:bookmarkEnd w:id="75"/>
    </w:p>
    <w:p w14:paraId="6048B475">
      <w:pPr>
        <w:spacing w:line="579" w:lineRule="exact"/>
        <w:ind w:firstLine="600" w:firstLineChars="200"/>
        <w:rPr>
          <w:rFonts w:ascii="仿宋" w:hAnsi="仿宋" w:eastAsia="仿宋" w:cs="Times New Roman"/>
          <w:kern w:val="30"/>
          <w:sz w:val="30"/>
          <w:szCs w:val="30"/>
        </w:rPr>
      </w:pPr>
      <w:r>
        <w:rPr>
          <w:rFonts w:ascii="仿宋" w:hAnsi="仿宋" w:eastAsia="仿宋" w:cs="Times New Roman"/>
          <w:kern w:val="30"/>
          <w:sz w:val="30"/>
          <w:szCs w:val="30"/>
        </w:rPr>
        <w:t>教师是人才培</w:t>
      </w:r>
      <w:r>
        <w:rPr>
          <w:rFonts w:hint="eastAsia" w:ascii="仿宋" w:hAnsi="仿宋" w:eastAsia="仿宋" w:cs="Times New Roman"/>
          <w:kern w:val="30"/>
          <w:sz w:val="30"/>
          <w:szCs w:val="30"/>
        </w:rPr>
        <w:t>养</w:t>
      </w:r>
      <w:r>
        <w:rPr>
          <w:rFonts w:ascii="仿宋" w:hAnsi="仿宋" w:eastAsia="仿宋" w:cs="Times New Roman"/>
          <w:kern w:val="30"/>
          <w:sz w:val="30"/>
          <w:szCs w:val="30"/>
        </w:rPr>
        <w:t>的关键因素</w:t>
      </w:r>
      <w:r>
        <w:rPr>
          <w:rFonts w:hint="eastAsia" w:ascii="仿宋" w:hAnsi="仿宋" w:eastAsia="仿宋" w:cs="Times New Roman"/>
          <w:kern w:val="30"/>
          <w:sz w:val="30"/>
          <w:szCs w:val="30"/>
        </w:rPr>
        <w:t>，</w:t>
      </w:r>
      <w:r>
        <w:rPr>
          <w:rFonts w:ascii="仿宋" w:hAnsi="仿宋" w:eastAsia="仿宋" w:cs="Times New Roman"/>
          <w:kern w:val="30"/>
          <w:sz w:val="30"/>
          <w:szCs w:val="30"/>
        </w:rPr>
        <w:t>提高教师的综合能力，是学生人才培养的核心。建议定期调研教师的需求，听取教师意见，采纳合理的意见和建议，做好教师的服务工作，</w:t>
      </w:r>
      <w:r>
        <w:rPr>
          <w:rFonts w:hint="eastAsia" w:ascii="仿宋" w:hAnsi="仿宋" w:eastAsia="仿宋" w:cs="Times New Roman"/>
          <w:kern w:val="30"/>
          <w:sz w:val="30"/>
          <w:szCs w:val="30"/>
        </w:rPr>
        <w:t>对教师政治上关怀、工作上支持、生活上关心，为教师能力不断提升创造条件</w:t>
      </w:r>
      <w:r>
        <w:rPr>
          <w:rFonts w:ascii="仿宋" w:hAnsi="仿宋" w:eastAsia="仿宋" w:cs="Times New Roman"/>
          <w:kern w:val="30"/>
          <w:sz w:val="30"/>
          <w:szCs w:val="30"/>
        </w:rPr>
        <w:t>。同时，积极拓宽引进人才的渠道，全面提升现有教师的综合水平</w:t>
      </w:r>
      <w:r>
        <w:rPr>
          <w:rFonts w:hint="eastAsia" w:ascii="仿宋" w:hAnsi="仿宋" w:eastAsia="仿宋" w:cs="Times New Roman"/>
          <w:kern w:val="30"/>
          <w:sz w:val="30"/>
          <w:szCs w:val="30"/>
        </w:rPr>
        <w:t>。</w:t>
      </w:r>
      <w:r>
        <w:rPr>
          <w:rFonts w:ascii="仿宋" w:hAnsi="仿宋" w:eastAsia="仿宋" w:cs="Times New Roman"/>
          <w:kern w:val="30"/>
          <w:sz w:val="30"/>
          <w:szCs w:val="30"/>
        </w:rPr>
        <w:t>在培养</w:t>
      </w:r>
      <w:r>
        <w:rPr>
          <w:rFonts w:hint="eastAsia" w:ascii="仿宋" w:hAnsi="仿宋" w:eastAsia="仿宋" w:cs="Times New Roman"/>
          <w:kern w:val="30"/>
          <w:sz w:val="30"/>
          <w:szCs w:val="30"/>
        </w:rPr>
        <w:t>教</w:t>
      </w:r>
      <w:r>
        <w:rPr>
          <w:rFonts w:ascii="仿宋" w:hAnsi="仿宋" w:eastAsia="仿宋" w:cs="Times New Roman"/>
          <w:kern w:val="30"/>
          <w:sz w:val="30"/>
          <w:szCs w:val="30"/>
        </w:rPr>
        <w:t>师的同时引进人才</w:t>
      </w:r>
      <w:r>
        <w:rPr>
          <w:rFonts w:hint="eastAsia" w:ascii="仿宋" w:hAnsi="仿宋" w:eastAsia="仿宋" w:cs="Times New Roman"/>
          <w:kern w:val="30"/>
          <w:sz w:val="30"/>
          <w:szCs w:val="30"/>
        </w:rPr>
        <w:t>，落实好《中央编办教育部财政部关于统一城乡中小学教职工编制标准的通知》（中央编办发〔</w:t>
      </w:r>
      <w:r>
        <w:rPr>
          <w:rFonts w:ascii="仿宋" w:hAnsi="仿宋" w:eastAsia="仿宋" w:cs="Times New Roman"/>
          <w:kern w:val="30"/>
          <w:sz w:val="30"/>
          <w:szCs w:val="30"/>
        </w:rPr>
        <w:t>2014〕72号）</w:t>
      </w:r>
      <w:r>
        <w:rPr>
          <w:rFonts w:hint="eastAsia" w:ascii="仿宋" w:hAnsi="仿宋" w:eastAsia="仿宋" w:cs="Times New Roman"/>
          <w:kern w:val="30"/>
          <w:sz w:val="30"/>
          <w:szCs w:val="30"/>
        </w:rPr>
        <w:t>有关教师的相关规定，壮大学校师资力量。</w:t>
      </w:r>
    </w:p>
    <w:p w14:paraId="6B72D8AD">
      <w:pPr>
        <w:spacing w:line="579" w:lineRule="exact"/>
        <w:ind w:firstLine="600" w:firstLineChars="200"/>
        <w:outlineLvl w:val="1"/>
        <w:rPr>
          <w:rFonts w:ascii="楷体" w:hAnsi="楷体" w:eastAsia="楷体" w:cs="Times New Roman"/>
          <w:spacing w:val="6"/>
          <w:kern w:val="0"/>
          <w:sz w:val="30"/>
          <w:szCs w:val="30"/>
        </w:rPr>
      </w:pPr>
      <w:bookmarkStart w:id="76" w:name="_Toc13138650"/>
      <w:bookmarkStart w:id="77" w:name="_Toc13138586"/>
      <w:bookmarkStart w:id="78" w:name="_Toc14238"/>
      <w:bookmarkStart w:id="79" w:name="_Toc14271835"/>
      <w:r>
        <w:rPr>
          <w:rFonts w:hint="eastAsia" w:ascii="楷体" w:hAnsi="楷体" w:eastAsia="楷体" w:cs="Times New Roman"/>
          <w:kern w:val="30"/>
          <w:sz w:val="30"/>
          <w:szCs w:val="30"/>
        </w:rPr>
        <w:t>（三）</w:t>
      </w:r>
      <w:r>
        <w:rPr>
          <w:rFonts w:hint="eastAsia" w:ascii="楷体" w:hAnsi="楷体" w:eastAsia="楷体" w:cs="Times New Roman"/>
          <w:spacing w:val="6"/>
          <w:kern w:val="0"/>
          <w:sz w:val="30"/>
          <w:szCs w:val="30"/>
        </w:rPr>
        <w:t>提高服务意识，完善服务设施，提高师生员工满意度</w:t>
      </w:r>
      <w:bookmarkEnd w:id="76"/>
      <w:bookmarkEnd w:id="77"/>
      <w:bookmarkEnd w:id="78"/>
      <w:bookmarkEnd w:id="79"/>
    </w:p>
    <w:p w14:paraId="45721797">
      <w:pPr>
        <w:spacing w:line="579" w:lineRule="exact"/>
        <w:ind w:firstLine="600" w:firstLineChars="200"/>
        <w:rPr>
          <w:rFonts w:ascii="仿宋" w:hAnsi="仿宋" w:eastAsia="仿宋" w:cs="宋体"/>
          <w:bCs/>
          <w:color w:val="000000"/>
          <w:spacing w:val="6"/>
          <w:kern w:val="30"/>
          <w:sz w:val="30"/>
          <w:szCs w:val="30"/>
        </w:rPr>
      </w:pPr>
      <w:r>
        <w:rPr>
          <w:rFonts w:hint="eastAsia" w:ascii="仿宋" w:hAnsi="仿宋" w:eastAsia="仿宋" w:cs="Times New Roman"/>
          <w:kern w:val="30"/>
          <w:sz w:val="30"/>
          <w:szCs w:val="30"/>
        </w:rPr>
        <w:t>学校以学生为本，教职工是学校办学的主体，</w:t>
      </w:r>
      <w:r>
        <w:rPr>
          <w:rFonts w:hint="eastAsia" w:ascii="仿宋" w:hAnsi="仿宋" w:eastAsia="仿宋" w:cs="宋体"/>
          <w:bCs/>
          <w:color w:val="000000"/>
          <w:spacing w:val="6"/>
          <w:kern w:val="30"/>
          <w:sz w:val="30"/>
          <w:szCs w:val="30"/>
        </w:rPr>
        <w:t>教育体育局对学生和教职工既有管理的责任，也有服务的义务，本次绩效评价工作调查主要针对满意度，能反映的信息有限，建议通海县教育体育局结合本次调查问卷反映出来的问题，进一步调研学校在师生员工服务管理方面实际存在的问题及形成原因，提出相应的措施，</w:t>
      </w:r>
      <w:r>
        <w:rPr>
          <w:rFonts w:hint="eastAsia" w:ascii="仿宋" w:hAnsi="仿宋" w:eastAsia="仿宋" w:cs="Times New Roman"/>
          <w:kern w:val="30"/>
          <w:sz w:val="30"/>
          <w:szCs w:val="30"/>
        </w:rPr>
        <w:t>不断提高服务学生、教职工的意识和能力，</w:t>
      </w:r>
      <w:r>
        <w:rPr>
          <w:rFonts w:hint="eastAsia" w:ascii="仿宋" w:hAnsi="仿宋" w:eastAsia="仿宋" w:cs="宋体"/>
          <w:bCs/>
          <w:color w:val="000000"/>
          <w:spacing w:val="6"/>
          <w:kern w:val="30"/>
          <w:sz w:val="30"/>
          <w:szCs w:val="30"/>
        </w:rPr>
        <w:t>创造良好的教学环境和生活学习环境等，逐步提高学生和教职工的满意度。</w:t>
      </w:r>
    </w:p>
    <w:p w14:paraId="7136F06B">
      <w:pPr>
        <w:snapToGrid w:val="0"/>
        <w:spacing w:line="590" w:lineRule="exact"/>
        <w:ind w:firstLine="624" w:firstLineChars="200"/>
        <w:outlineLvl w:val="1"/>
        <w:rPr>
          <w:rFonts w:ascii="楷体" w:hAnsi="楷体" w:eastAsia="楷体" w:cs="Times New Roman"/>
          <w:spacing w:val="6"/>
          <w:kern w:val="30"/>
          <w:sz w:val="30"/>
          <w:szCs w:val="30"/>
        </w:rPr>
      </w:pPr>
      <w:bookmarkStart w:id="80" w:name="_Toc11733"/>
      <w:bookmarkStart w:id="81" w:name="_Toc84510516"/>
      <w:bookmarkStart w:id="82" w:name="_Hlk84552545"/>
      <w:r>
        <w:rPr>
          <w:rFonts w:ascii="楷体" w:hAnsi="楷体" w:eastAsia="楷体" w:cs="Times New Roman"/>
          <w:spacing w:val="6"/>
          <w:kern w:val="30"/>
          <w:sz w:val="30"/>
          <w:szCs w:val="30"/>
        </w:rPr>
        <w:t>（</w:t>
      </w:r>
      <w:r>
        <w:rPr>
          <w:rFonts w:hint="eastAsia" w:ascii="楷体" w:hAnsi="楷体" w:eastAsia="楷体" w:cs="Times New Roman"/>
          <w:spacing w:val="6"/>
          <w:kern w:val="30"/>
          <w:sz w:val="30"/>
          <w:szCs w:val="30"/>
        </w:rPr>
        <w:t>四</w:t>
      </w:r>
      <w:r>
        <w:rPr>
          <w:rFonts w:ascii="楷体" w:hAnsi="楷体" w:eastAsia="楷体" w:cs="Times New Roman"/>
          <w:spacing w:val="6"/>
          <w:kern w:val="30"/>
          <w:sz w:val="30"/>
          <w:szCs w:val="30"/>
        </w:rPr>
        <w:t>）合理设定产出数量目标值</w:t>
      </w:r>
      <w:bookmarkEnd w:id="80"/>
      <w:bookmarkEnd w:id="81"/>
    </w:p>
    <w:p w14:paraId="38DD709D">
      <w:pPr>
        <w:spacing w:line="590" w:lineRule="exact"/>
        <w:ind w:firstLine="600" w:firstLineChars="200"/>
        <w:rPr>
          <w:rFonts w:ascii="仿宋" w:hAnsi="Times New Roman" w:eastAsia="仿宋" w:cs="Times New Roman"/>
          <w:kern w:val="30"/>
          <w:sz w:val="30"/>
          <w:szCs w:val="21"/>
        </w:rPr>
      </w:pPr>
      <w:r>
        <w:rPr>
          <w:rFonts w:ascii="仿宋" w:hAnsi="Times New Roman" w:eastAsia="仿宋" w:cs="Times New Roman"/>
          <w:kern w:val="30"/>
          <w:sz w:val="30"/>
          <w:szCs w:val="21"/>
        </w:rPr>
        <w:t>中共中央</w:t>
      </w:r>
      <w:r>
        <w:rPr>
          <w:rFonts w:hint="eastAsia" w:ascii="仿宋" w:hAnsi="Times New Roman" w:eastAsia="仿宋" w:cs="Times New Roman"/>
          <w:kern w:val="30"/>
          <w:sz w:val="30"/>
          <w:szCs w:val="21"/>
        </w:rPr>
        <w:t xml:space="preserve"> </w:t>
      </w:r>
      <w:r>
        <w:rPr>
          <w:rFonts w:ascii="仿宋" w:hAnsi="Times New Roman" w:eastAsia="仿宋" w:cs="Times New Roman"/>
          <w:kern w:val="30"/>
          <w:sz w:val="30"/>
          <w:szCs w:val="21"/>
        </w:rPr>
        <w:t>国务院《关于全面实施预算绩效管理的意见》（中发</w:t>
      </w:r>
      <w:r>
        <w:rPr>
          <w:rFonts w:hint="eastAsia" w:ascii="仿宋" w:hAnsi="Times New Roman" w:eastAsia="仿宋" w:cs="Times New Roman"/>
          <w:kern w:val="30"/>
          <w:sz w:val="30"/>
          <w:szCs w:val="21"/>
        </w:rPr>
        <w:t>〔</w:t>
      </w:r>
      <w:r>
        <w:rPr>
          <w:rFonts w:ascii="仿宋" w:hAnsi="Times New Roman" w:eastAsia="仿宋" w:cs="Times New Roman"/>
          <w:kern w:val="30"/>
          <w:sz w:val="30"/>
          <w:szCs w:val="21"/>
        </w:rPr>
        <w:t>2018〕34号）</w:t>
      </w:r>
      <w:r>
        <w:rPr>
          <w:rFonts w:hint="eastAsia" w:ascii="仿宋" w:hAnsi="Times New Roman" w:eastAsia="仿宋" w:cs="Times New Roman"/>
          <w:kern w:val="30"/>
          <w:sz w:val="30"/>
          <w:szCs w:val="21"/>
        </w:rPr>
        <w:t>已</w:t>
      </w:r>
      <w:r>
        <w:rPr>
          <w:rFonts w:ascii="仿宋" w:hAnsi="Times New Roman" w:eastAsia="仿宋" w:cs="Times New Roman"/>
          <w:kern w:val="30"/>
          <w:sz w:val="30"/>
          <w:szCs w:val="21"/>
        </w:rPr>
        <w:t>明确</w:t>
      </w:r>
      <w:r>
        <w:rPr>
          <w:rFonts w:hint="eastAsia" w:ascii="仿宋" w:hAnsi="Times New Roman" w:eastAsia="仿宋" w:cs="Times New Roman"/>
          <w:kern w:val="30"/>
          <w:sz w:val="30"/>
          <w:szCs w:val="21"/>
        </w:rPr>
        <w:t>“</w:t>
      </w:r>
      <w:r>
        <w:rPr>
          <w:rFonts w:ascii="仿宋" w:hAnsi="Times New Roman" w:eastAsia="仿宋" w:cs="Times New Roman"/>
          <w:kern w:val="30"/>
          <w:sz w:val="30"/>
          <w:szCs w:val="21"/>
        </w:rPr>
        <w:t>各地区各部门编制预算时要贯彻落实党中央、国务院各项决策部署，分解细化各项工作要求，结合本地区本部门实际情况，全面设置部门和单位整体绩效目标、政策及项目绩效目标预算安排的前置条件，加强绩效目标审核，将绩效目标与预算同步批复下</w:t>
      </w:r>
      <w:r>
        <w:rPr>
          <w:rFonts w:ascii="仿宋" w:hAnsi="仿宋" w:eastAsia="仿宋" w:cs="Times New Roman"/>
          <w:kern w:val="30"/>
          <w:sz w:val="30"/>
          <w:szCs w:val="21"/>
        </w:rPr>
        <w:t>达”。</w:t>
      </w:r>
      <w:r>
        <w:rPr>
          <w:rFonts w:ascii="仿宋" w:hAnsi="Times New Roman" w:eastAsia="仿宋" w:cs="Times New Roman"/>
          <w:kern w:val="30"/>
          <w:sz w:val="30"/>
          <w:szCs w:val="21"/>
        </w:rPr>
        <w:t>建议单位</w:t>
      </w:r>
      <w:r>
        <w:rPr>
          <w:rFonts w:hint="eastAsia" w:ascii="仿宋" w:hAnsi="Times New Roman" w:eastAsia="仿宋" w:cs="Times New Roman"/>
          <w:kern w:val="30"/>
          <w:sz w:val="30"/>
          <w:szCs w:val="21"/>
        </w:rPr>
        <w:t>在</w:t>
      </w:r>
      <w:r>
        <w:rPr>
          <w:rFonts w:ascii="仿宋" w:hAnsi="Times New Roman" w:eastAsia="仿宋" w:cs="Times New Roman"/>
          <w:kern w:val="30"/>
          <w:sz w:val="30"/>
          <w:szCs w:val="21"/>
        </w:rPr>
        <w:t>编制预算绩效目标</w:t>
      </w:r>
      <w:r>
        <w:rPr>
          <w:rFonts w:hint="eastAsia" w:ascii="仿宋" w:hAnsi="Times New Roman" w:eastAsia="仿宋" w:cs="Times New Roman"/>
          <w:kern w:val="30"/>
          <w:sz w:val="30"/>
          <w:szCs w:val="21"/>
        </w:rPr>
        <w:t>时</w:t>
      </w:r>
      <w:r>
        <w:rPr>
          <w:rFonts w:ascii="仿宋" w:hAnsi="Times New Roman" w:eastAsia="仿宋" w:cs="Times New Roman"/>
          <w:kern w:val="30"/>
          <w:sz w:val="30"/>
          <w:szCs w:val="21"/>
        </w:rPr>
        <w:t>，准确、合理地对往年项目的实施情况进行分析，合理设定产出数量目标值</w:t>
      </w:r>
      <w:r>
        <w:rPr>
          <w:rFonts w:hint="eastAsia" w:ascii="仿宋" w:hAnsi="Times New Roman" w:eastAsia="仿宋" w:cs="Times New Roman"/>
          <w:kern w:val="30"/>
          <w:sz w:val="30"/>
          <w:szCs w:val="21"/>
        </w:rPr>
        <w:t>。细化分解部门中期规划要完成的目标，确保通过规划期内各年度的工作后达到中期规划目标。</w:t>
      </w:r>
      <w:bookmarkEnd w:id="82"/>
    </w:p>
    <w:p w14:paraId="36812836">
      <w:pPr>
        <w:spacing w:line="590" w:lineRule="exact"/>
        <w:ind w:firstLine="600" w:firstLineChars="200"/>
        <w:outlineLvl w:val="0"/>
        <w:rPr>
          <w:rFonts w:ascii="黑体" w:hAnsi="黑体" w:eastAsia="黑体" w:cs="宋体"/>
          <w:kern w:val="30"/>
          <w:sz w:val="30"/>
          <w:szCs w:val="30"/>
        </w:rPr>
      </w:pPr>
      <w:bookmarkStart w:id="83" w:name="_Toc84510518"/>
      <w:bookmarkStart w:id="84" w:name="_Toc4246"/>
      <w:r>
        <w:rPr>
          <w:rFonts w:hint="eastAsia" w:ascii="黑体" w:hAnsi="黑体" w:eastAsia="黑体" w:cs="宋体"/>
          <w:kern w:val="30"/>
          <w:sz w:val="30"/>
          <w:szCs w:val="30"/>
        </w:rPr>
        <w:t>六、其他需说明的情况</w:t>
      </w:r>
      <w:bookmarkEnd w:id="83"/>
      <w:bookmarkEnd w:id="84"/>
    </w:p>
    <w:p w14:paraId="1449FACE">
      <w:pPr>
        <w:spacing w:line="590" w:lineRule="exact"/>
        <w:ind w:firstLine="600" w:firstLineChars="200"/>
        <w:outlineLvl w:val="1"/>
        <w:rPr>
          <w:rFonts w:ascii="楷体" w:hAnsi="楷体" w:eastAsia="楷体" w:cs="Times New Roman"/>
          <w:kern w:val="30"/>
          <w:sz w:val="30"/>
          <w:szCs w:val="30"/>
        </w:rPr>
      </w:pPr>
      <w:bookmarkStart w:id="85" w:name="_Toc7634"/>
      <w:bookmarkStart w:id="86" w:name="_Toc84510519"/>
      <w:r>
        <w:rPr>
          <w:rFonts w:ascii="楷体" w:hAnsi="楷体" w:eastAsia="楷体" w:cs="Times New Roman"/>
          <w:kern w:val="30"/>
          <w:sz w:val="30"/>
          <w:szCs w:val="30"/>
        </w:rPr>
        <w:t>（一）评价工作的基本前提</w:t>
      </w:r>
      <w:bookmarkEnd w:id="85"/>
      <w:bookmarkEnd w:id="86"/>
    </w:p>
    <w:p w14:paraId="2C8636C0">
      <w:pPr>
        <w:spacing w:line="590" w:lineRule="exact"/>
        <w:ind w:firstLine="600" w:firstLineChars="200"/>
        <w:rPr>
          <w:rFonts w:ascii="仿宋" w:hAnsi="仿宋" w:eastAsia="仿宋" w:cs="Times New Roman"/>
          <w:kern w:val="30"/>
          <w:sz w:val="30"/>
          <w:szCs w:val="30"/>
        </w:rPr>
      </w:pPr>
      <w:r>
        <w:rPr>
          <w:rFonts w:hint="eastAsia" w:ascii="仿宋" w:hAnsi="仿宋" w:eastAsia="仿宋" w:cs="Times New Roman"/>
          <w:kern w:val="30"/>
          <w:sz w:val="30"/>
          <w:szCs w:val="30"/>
        </w:rPr>
        <w:t>相关基础工作材料的真实性、合法性、完整性及评价人员对项目的正确理解和认识是做好评价工作的基本前提。</w:t>
      </w:r>
    </w:p>
    <w:p w14:paraId="5B72F32A">
      <w:pPr>
        <w:spacing w:line="590" w:lineRule="exact"/>
        <w:ind w:firstLine="600" w:firstLineChars="200"/>
        <w:outlineLvl w:val="1"/>
        <w:rPr>
          <w:rFonts w:ascii="楷体" w:hAnsi="楷体" w:eastAsia="楷体" w:cs="Times New Roman"/>
          <w:kern w:val="30"/>
          <w:sz w:val="30"/>
          <w:szCs w:val="30"/>
        </w:rPr>
      </w:pPr>
      <w:bookmarkStart w:id="87" w:name="_Toc1169"/>
      <w:bookmarkStart w:id="88" w:name="_Toc84510520"/>
      <w:r>
        <w:rPr>
          <w:rFonts w:hint="eastAsia" w:ascii="楷体" w:hAnsi="楷体" w:eastAsia="楷体" w:cs="Times New Roman"/>
          <w:kern w:val="30"/>
          <w:sz w:val="30"/>
          <w:szCs w:val="30"/>
        </w:rPr>
        <w:t>（二）报告适用范围</w:t>
      </w:r>
      <w:bookmarkEnd w:id="87"/>
      <w:bookmarkEnd w:id="88"/>
    </w:p>
    <w:p w14:paraId="7360B6AC">
      <w:pPr>
        <w:spacing w:line="590" w:lineRule="exact"/>
        <w:ind w:firstLine="600" w:firstLineChars="200"/>
        <w:rPr>
          <w:rFonts w:ascii="仿宋" w:hAnsi="仿宋" w:eastAsia="仿宋" w:cs="Times New Roman"/>
          <w:kern w:val="30"/>
          <w:sz w:val="30"/>
          <w:szCs w:val="30"/>
        </w:rPr>
      </w:pPr>
      <w:r>
        <w:rPr>
          <w:rFonts w:hint="eastAsia" w:ascii="仿宋" w:hAnsi="仿宋" w:eastAsia="仿宋" w:cs="Times New Roman"/>
          <w:kern w:val="30"/>
          <w:sz w:val="30"/>
          <w:szCs w:val="30"/>
        </w:rPr>
        <w:t>本评价报告仅供委托方实施所涉及项目使用，适用范围包括：委托方内部管理，委托方实施项目所履行的预算申报、政府采购控制，呈送政府及其主管部门的其他申报、审查、备案。本报告不得用于委托方投融资、抵押、担保等商业经济活动。超出上述使用范围须经本评价机构书面同意。</w:t>
      </w:r>
    </w:p>
    <w:p w14:paraId="2C3FA5B9">
      <w:pPr>
        <w:spacing w:line="590" w:lineRule="exact"/>
        <w:ind w:firstLine="600" w:firstLineChars="200"/>
        <w:rPr>
          <w:rFonts w:ascii="仿宋" w:hAnsi="仿宋" w:eastAsia="仿宋" w:cs="Times New Roman"/>
          <w:kern w:val="30"/>
          <w:sz w:val="30"/>
          <w:szCs w:val="30"/>
        </w:rPr>
      </w:pPr>
      <w:r>
        <w:rPr>
          <w:rFonts w:hint="eastAsia" w:ascii="仿宋" w:hAnsi="仿宋" w:eastAsia="仿宋" w:cs="Times New Roman"/>
          <w:kern w:val="30"/>
          <w:sz w:val="30"/>
          <w:szCs w:val="30"/>
        </w:rPr>
        <w:t>本评价报告未经评价机构盖章不具法律效力。</w:t>
      </w:r>
    </w:p>
    <w:p w14:paraId="20E1EB64">
      <w:pPr>
        <w:spacing w:line="590" w:lineRule="exact"/>
        <w:ind w:firstLine="600" w:firstLineChars="200"/>
        <w:outlineLvl w:val="1"/>
        <w:rPr>
          <w:rFonts w:ascii="楷体" w:hAnsi="楷体" w:eastAsia="楷体" w:cs="Times New Roman"/>
          <w:kern w:val="30"/>
          <w:sz w:val="30"/>
          <w:szCs w:val="30"/>
        </w:rPr>
      </w:pPr>
      <w:bookmarkStart w:id="89" w:name="_Toc22571"/>
      <w:bookmarkStart w:id="90" w:name="_Toc84510521"/>
      <w:r>
        <w:rPr>
          <w:rFonts w:hint="eastAsia" w:ascii="楷体" w:hAnsi="楷体" w:eastAsia="楷体" w:cs="Times New Roman"/>
          <w:kern w:val="30"/>
          <w:sz w:val="30"/>
          <w:szCs w:val="30"/>
        </w:rPr>
        <w:t>（三）关于评价责任相关说明</w:t>
      </w:r>
      <w:bookmarkEnd w:id="89"/>
      <w:bookmarkEnd w:id="90"/>
    </w:p>
    <w:p w14:paraId="0CFFA57A">
      <w:pPr>
        <w:spacing w:line="590" w:lineRule="exact"/>
        <w:ind w:firstLine="600" w:firstLineChars="200"/>
        <w:rPr>
          <w:rFonts w:ascii="仿宋" w:hAnsi="仿宋" w:eastAsia="仿宋" w:cs="Times New Roman"/>
          <w:kern w:val="30"/>
          <w:sz w:val="30"/>
          <w:szCs w:val="30"/>
        </w:rPr>
      </w:pPr>
      <w:r>
        <w:rPr>
          <w:rFonts w:hint="eastAsia" w:ascii="仿宋" w:hAnsi="仿宋" w:eastAsia="仿宋" w:cs="Times New Roman"/>
          <w:kern w:val="30"/>
          <w:sz w:val="30"/>
          <w:szCs w:val="30"/>
        </w:rPr>
        <w:t>项目单位的责任是提供与形成本项目报告相关的基础工作材料，并对其真实性、合法性、完整性负责。绩效评价是依据财政部门关于绩效评价相关要求进行的，选择的评价程序取决于评价人员的职业判断，项目评价的可靠性基于相关部门和单位提供资料的全面性和准确性，评价工作组尽可能地收集更为全面、有效、准确的文件和数据，但由于受客观因素的限制，只能在相关部门和单位提供的现有资料的前提下，结合应有的职业判断做出尽可能可靠的评价结论。</w:t>
      </w:r>
    </w:p>
    <w:p w14:paraId="1E176572">
      <w:pPr>
        <w:spacing w:line="590" w:lineRule="exact"/>
        <w:ind w:firstLine="600" w:firstLineChars="200"/>
        <w:outlineLvl w:val="1"/>
        <w:rPr>
          <w:rFonts w:ascii="楷体" w:hAnsi="楷体" w:eastAsia="楷体" w:cs="Times New Roman"/>
          <w:kern w:val="30"/>
          <w:sz w:val="30"/>
          <w:szCs w:val="30"/>
        </w:rPr>
      </w:pPr>
      <w:bookmarkStart w:id="91" w:name="_Toc27721"/>
      <w:bookmarkStart w:id="92" w:name="_Toc84510522"/>
      <w:r>
        <w:rPr>
          <w:rFonts w:hint="eastAsia" w:ascii="楷体" w:hAnsi="楷体" w:eastAsia="楷体" w:cs="Times New Roman"/>
          <w:kern w:val="30"/>
          <w:sz w:val="30"/>
          <w:szCs w:val="30"/>
        </w:rPr>
        <w:t>（四）</w:t>
      </w:r>
      <w:r>
        <w:rPr>
          <w:rFonts w:ascii="楷体" w:hAnsi="楷体" w:eastAsia="楷体" w:cs="Times New Roman"/>
          <w:kern w:val="30"/>
          <w:sz w:val="30"/>
          <w:szCs w:val="30"/>
        </w:rPr>
        <w:t>关于影响本项目评价局限性的说明</w:t>
      </w:r>
      <w:bookmarkEnd w:id="91"/>
      <w:bookmarkEnd w:id="92"/>
    </w:p>
    <w:p w14:paraId="20677C2F">
      <w:pPr>
        <w:spacing w:line="590" w:lineRule="exact"/>
        <w:ind w:firstLine="624" w:firstLineChars="200"/>
        <w:rPr>
          <w:rFonts w:ascii="仿宋" w:hAnsi="仿宋" w:eastAsia="仿宋" w:cs="Times New Roman"/>
          <w:spacing w:val="6"/>
          <w:kern w:val="30"/>
          <w:sz w:val="30"/>
          <w:szCs w:val="30"/>
        </w:rPr>
      </w:pPr>
      <w:r>
        <w:rPr>
          <w:rFonts w:hint="eastAsia" w:ascii="仿宋" w:hAnsi="仿宋" w:eastAsia="仿宋" w:cs="Times New Roman"/>
          <w:spacing w:val="6"/>
          <w:kern w:val="30"/>
          <w:sz w:val="30"/>
          <w:szCs w:val="30"/>
        </w:rPr>
        <w:t>评价人员本着严谨客观的态度完成此次评价工作，从前期调研、方案设计和修改、数据采集到报告撰写，尽量做到科学和全面。但在绩效评价过程中仍然存在或发生各种可能影响报告质量的客观因素，造成评价结果的或有局限性。评价人员降低此类因素影响的努力贯穿评价工作的始终。</w:t>
      </w:r>
    </w:p>
    <w:p w14:paraId="0C2219BE">
      <w:pPr>
        <w:spacing w:line="590" w:lineRule="exact"/>
        <w:ind w:firstLine="624" w:firstLineChars="200"/>
        <w:rPr>
          <w:rFonts w:ascii="仿宋" w:hAnsi="仿宋" w:eastAsia="仿宋" w:cs="Times New Roman"/>
          <w:spacing w:val="6"/>
          <w:kern w:val="30"/>
          <w:sz w:val="30"/>
          <w:szCs w:val="30"/>
        </w:rPr>
      </w:pPr>
    </w:p>
    <w:p w14:paraId="542AA8B1">
      <w:pPr>
        <w:spacing w:line="590" w:lineRule="exact"/>
        <w:ind w:firstLine="624" w:firstLineChars="200"/>
        <w:rPr>
          <w:rFonts w:ascii="仿宋" w:hAnsi="仿宋" w:eastAsia="仿宋" w:cs="Times New Roman"/>
          <w:spacing w:val="6"/>
          <w:kern w:val="30"/>
          <w:sz w:val="30"/>
          <w:szCs w:val="30"/>
        </w:rPr>
      </w:pPr>
      <w:bookmarkStart w:id="93" w:name="_Toc20446"/>
      <w:r>
        <w:rPr>
          <w:rFonts w:hint="eastAsia" w:ascii="仿宋" w:hAnsi="仿宋" w:eastAsia="仿宋" w:cs="Times New Roman"/>
          <w:spacing w:val="6"/>
          <w:kern w:val="30"/>
          <w:sz w:val="30"/>
          <w:szCs w:val="30"/>
        </w:rPr>
        <w:t>附件：1.绩效目标表</w:t>
      </w:r>
      <w:bookmarkEnd w:id="93"/>
    </w:p>
    <w:p w14:paraId="7E72324F">
      <w:pPr>
        <w:spacing w:line="590" w:lineRule="exact"/>
        <w:ind w:left="1050" w:leftChars="500" w:firstLine="468" w:firstLineChars="150"/>
        <w:rPr>
          <w:rFonts w:ascii="仿宋" w:hAnsi="仿宋" w:eastAsia="仿宋" w:cs="Times New Roman"/>
          <w:spacing w:val="6"/>
          <w:kern w:val="30"/>
          <w:sz w:val="30"/>
          <w:szCs w:val="30"/>
        </w:rPr>
      </w:pPr>
      <w:bookmarkStart w:id="94" w:name="_Toc8004"/>
      <w:r>
        <w:rPr>
          <w:rFonts w:hint="eastAsia" w:ascii="仿宋" w:hAnsi="仿宋" w:eastAsia="仿宋" w:cs="Times New Roman"/>
          <w:spacing w:val="6"/>
          <w:kern w:val="30"/>
          <w:sz w:val="30"/>
          <w:szCs w:val="30"/>
        </w:rPr>
        <w:t>2</w:t>
      </w:r>
      <w:r>
        <w:rPr>
          <w:rFonts w:ascii="仿宋" w:hAnsi="仿宋" w:eastAsia="仿宋" w:cs="Times New Roman"/>
          <w:spacing w:val="6"/>
          <w:kern w:val="30"/>
          <w:sz w:val="30"/>
          <w:szCs w:val="30"/>
        </w:rPr>
        <w:t>.</w:t>
      </w:r>
      <w:bookmarkEnd w:id="94"/>
      <w:r>
        <w:rPr>
          <w:rFonts w:hint="eastAsia"/>
        </w:rPr>
        <w:t xml:space="preserve"> </w:t>
      </w:r>
      <w:r>
        <w:rPr>
          <w:rFonts w:hint="eastAsia" w:ascii="仿宋" w:hAnsi="仿宋" w:eastAsia="仿宋" w:cs="Times New Roman"/>
          <w:spacing w:val="6"/>
          <w:kern w:val="30"/>
          <w:sz w:val="30"/>
          <w:szCs w:val="30"/>
        </w:rPr>
        <w:t>部门整体支出绩效评价指标体系及评分表</w:t>
      </w:r>
    </w:p>
    <w:p w14:paraId="28173162">
      <w:pPr>
        <w:spacing w:line="590" w:lineRule="exact"/>
        <w:ind w:left="1155" w:leftChars="550" w:firstLine="312" w:firstLineChars="100"/>
        <w:rPr>
          <w:rFonts w:ascii="仿宋" w:hAnsi="仿宋" w:eastAsia="仿宋" w:cs="Times New Roman"/>
          <w:spacing w:val="6"/>
          <w:kern w:val="30"/>
          <w:sz w:val="30"/>
          <w:szCs w:val="30"/>
        </w:rPr>
      </w:pPr>
      <w:bookmarkStart w:id="95" w:name="_Toc29904"/>
      <w:r>
        <w:rPr>
          <w:rFonts w:ascii="仿宋" w:hAnsi="仿宋" w:eastAsia="仿宋" w:cs="Times New Roman"/>
          <w:spacing w:val="6"/>
          <w:kern w:val="30"/>
          <w:sz w:val="30"/>
          <w:szCs w:val="30"/>
        </w:rPr>
        <w:t>3.</w:t>
      </w:r>
      <w:bookmarkStart w:id="96" w:name="_Hlk527019595"/>
      <w:r>
        <w:rPr>
          <w:rFonts w:hint="eastAsia" w:ascii="仿宋" w:hAnsi="仿宋" w:eastAsia="仿宋" w:cs="Times New Roman"/>
          <w:spacing w:val="6"/>
          <w:kern w:val="30"/>
          <w:sz w:val="30"/>
          <w:szCs w:val="30"/>
        </w:rPr>
        <w:t>抽样点发现问题汇总表</w:t>
      </w:r>
      <w:bookmarkEnd w:id="95"/>
      <w:bookmarkEnd w:id="96"/>
    </w:p>
    <w:p w14:paraId="24D28598">
      <w:pPr>
        <w:spacing w:line="590" w:lineRule="exact"/>
        <w:ind w:left="1155" w:leftChars="550" w:firstLine="312" w:firstLineChars="100"/>
        <w:rPr>
          <w:rFonts w:ascii="仿宋" w:hAnsi="仿宋" w:eastAsia="仿宋" w:cs="Times New Roman"/>
          <w:spacing w:val="6"/>
          <w:kern w:val="30"/>
          <w:sz w:val="30"/>
          <w:szCs w:val="30"/>
        </w:rPr>
      </w:pPr>
      <w:bookmarkStart w:id="97" w:name="_Toc21096"/>
      <w:r>
        <w:rPr>
          <w:rFonts w:ascii="仿宋" w:hAnsi="仿宋" w:eastAsia="仿宋" w:cs="Times New Roman"/>
          <w:spacing w:val="6"/>
          <w:kern w:val="30"/>
          <w:sz w:val="30"/>
          <w:szCs w:val="30"/>
        </w:rPr>
        <w:t>4.</w:t>
      </w:r>
      <w:bookmarkStart w:id="98" w:name="_Hlk527019673"/>
      <w:r>
        <w:rPr>
          <w:rFonts w:hint="eastAsia" w:ascii="仿宋" w:hAnsi="仿宋" w:eastAsia="仿宋" w:cs="Times New Roman"/>
          <w:spacing w:val="6"/>
          <w:kern w:val="30"/>
          <w:sz w:val="30"/>
          <w:szCs w:val="30"/>
        </w:rPr>
        <w:t>调查问卷结果汇总表</w:t>
      </w:r>
      <w:bookmarkEnd w:id="97"/>
      <w:bookmarkEnd w:id="98"/>
    </w:p>
    <w:p w14:paraId="047E886C">
      <w:pPr>
        <w:spacing w:line="590" w:lineRule="exact"/>
        <w:ind w:left="1155" w:leftChars="550" w:firstLine="312" w:firstLineChars="100"/>
        <w:rPr>
          <w:rFonts w:ascii="仿宋" w:hAnsi="仿宋" w:eastAsia="仿宋" w:cs="Times New Roman"/>
          <w:spacing w:val="6"/>
          <w:kern w:val="30"/>
          <w:sz w:val="30"/>
          <w:szCs w:val="30"/>
        </w:rPr>
      </w:pPr>
      <w:bookmarkStart w:id="99" w:name="_Toc25239"/>
      <w:r>
        <w:rPr>
          <w:rFonts w:hint="eastAsia" w:ascii="仿宋" w:hAnsi="仿宋" w:eastAsia="仿宋" w:cs="Times New Roman"/>
          <w:spacing w:val="6"/>
          <w:kern w:val="30"/>
          <w:sz w:val="30"/>
          <w:szCs w:val="30"/>
        </w:rPr>
        <w:t>5</w:t>
      </w:r>
      <w:r>
        <w:rPr>
          <w:rFonts w:ascii="仿宋" w:hAnsi="仿宋" w:eastAsia="仿宋" w:cs="Times New Roman"/>
          <w:spacing w:val="6"/>
          <w:kern w:val="30"/>
          <w:sz w:val="30"/>
          <w:szCs w:val="30"/>
        </w:rPr>
        <w:t>.</w:t>
      </w:r>
      <w:r>
        <w:rPr>
          <w:rFonts w:hint="eastAsia" w:ascii="仿宋" w:hAnsi="仿宋" w:eastAsia="仿宋" w:cs="Times New Roman"/>
          <w:spacing w:val="6"/>
          <w:kern w:val="30"/>
          <w:sz w:val="30"/>
          <w:szCs w:val="30"/>
        </w:rPr>
        <w:t>评价相关数据信息表</w:t>
      </w:r>
      <w:bookmarkEnd w:id="99"/>
    </w:p>
    <w:p w14:paraId="0466A92A">
      <w:pPr>
        <w:spacing w:line="590" w:lineRule="exact"/>
        <w:ind w:left="1155" w:leftChars="550" w:firstLine="312" w:firstLineChars="100"/>
        <w:rPr>
          <w:rFonts w:ascii="仿宋" w:hAnsi="仿宋" w:eastAsia="仿宋" w:cs="Times New Roman"/>
          <w:spacing w:val="6"/>
          <w:kern w:val="30"/>
          <w:sz w:val="30"/>
          <w:szCs w:val="30"/>
        </w:rPr>
      </w:pPr>
      <w:bookmarkStart w:id="100" w:name="_Toc11281"/>
      <w:r>
        <w:rPr>
          <w:rFonts w:ascii="仿宋" w:hAnsi="仿宋" w:eastAsia="仿宋" w:cs="Times New Roman"/>
          <w:spacing w:val="6"/>
          <w:kern w:val="30"/>
          <w:sz w:val="30"/>
          <w:szCs w:val="30"/>
        </w:rPr>
        <w:t>6.</w:t>
      </w:r>
      <w:r>
        <w:rPr>
          <w:rFonts w:hint="eastAsia" w:ascii="仿宋" w:hAnsi="仿宋" w:eastAsia="仿宋" w:cs="Times New Roman"/>
          <w:spacing w:val="6"/>
          <w:kern w:val="30"/>
          <w:sz w:val="30"/>
          <w:szCs w:val="30"/>
        </w:rPr>
        <w:t>绩效评价报告意见反馈表（部门）</w:t>
      </w:r>
      <w:bookmarkEnd w:id="100"/>
    </w:p>
    <w:p w14:paraId="744CFF8A">
      <w:pPr>
        <w:spacing w:line="590" w:lineRule="exact"/>
        <w:ind w:left="1155" w:leftChars="550" w:firstLine="312" w:firstLineChars="100"/>
        <w:rPr>
          <w:rFonts w:ascii="仿宋" w:hAnsi="仿宋" w:eastAsia="仿宋" w:cs="Times New Roman"/>
          <w:spacing w:val="6"/>
          <w:kern w:val="30"/>
          <w:sz w:val="30"/>
          <w:szCs w:val="30"/>
        </w:rPr>
      </w:pPr>
      <w:bookmarkStart w:id="101" w:name="_Toc17088"/>
      <w:r>
        <w:rPr>
          <w:rFonts w:ascii="仿宋" w:hAnsi="仿宋" w:eastAsia="仿宋" w:cs="Times New Roman"/>
          <w:spacing w:val="6"/>
          <w:kern w:val="30"/>
          <w:sz w:val="30"/>
          <w:szCs w:val="30"/>
        </w:rPr>
        <w:t>7.</w:t>
      </w:r>
      <w:r>
        <w:rPr>
          <w:rFonts w:hint="eastAsia" w:ascii="仿宋" w:hAnsi="仿宋" w:eastAsia="仿宋" w:cs="Times New Roman"/>
          <w:spacing w:val="6"/>
          <w:kern w:val="30"/>
          <w:sz w:val="30"/>
          <w:szCs w:val="30"/>
        </w:rPr>
        <w:t>绩效评价报告意见反馈采纳情况表（部门）</w:t>
      </w:r>
      <w:bookmarkEnd w:id="101"/>
    </w:p>
    <w:p w14:paraId="40381932">
      <w:pPr>
        <w:spacing w:line="590" w:lineRule="exact"/>
        <w:ind w:firstLine="600" w:firstLineChars="200"/>
        <w:rPr>
          <w:rFonts w:ascii="仿宋" w:hAnsi="仿宋" w:eastAsia="仿宋"/>
          <w:sz w:val="30"/>
          <w:szCs w:val="30"/>
        </w:rPr>
      </w:pPr>
    </w:p>
    <w:bookmarkEnd w:id="3"/>
    <w:p w14:paraId="4BD7FD3E">
      <w:pPr>
        <w:spacing w:line="590" w:lineRule="exact"/>
        <w:ind w:firstLine="600" w:firstLineChars="200"/>
        <w:rPr>
          <w:rFonts w:ascii="仿宋" w:hAnsi="仿宋" w:eastAsia="仿宋"/>
          <w:sz w:val="30"/>
          <w:szCs w:val="30"/>
        </w:rPr>
      </w:pPr>
    </w:p>
    <w:sectPr>
      <w:footerReference r:id="rId4" w:type="default"/>
      <w:pgSz w:w="11906" w:h="16838"/>
      <w:pgMar w:top="2098" w:right="1474" w:bottom="1985" w:left="1588"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5A7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6E182">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10160</wp:posOffset>
              </wp:positionV>
              <wp:extent cx="1051560" cy="3943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1560" cy="394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5EC63">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8pt;height:31.05pt;width:82.8pt;mso-position-horizontal:outside;mso-position-horizontal-relative:margin;z-index:251659264;mso-width-relative:page;mso-height-relative:page;" filled="f" stroked="f" coordsize="21600,21600" o:gfxdata="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ZZ4T7TAAAABQEAAA8AAAAAAAAAAQAgAAAAIgAAAGRycy9kb3ducmV2LnhtbFBLAQIU&#10;ABQAAAAIAIdO4kBDtzhZMQIAAFYEAAAOAAAAAAAAAAEAIAAAACIBAABkcnMvZTJvRG9jLnhtbFBL&#10;BQYAAAAABgAGAFkBAADFBQAAAAA=&#10;">
              <v:fill on="f" focussize="0,0"/>
              <v:stroke on="f" weight="0.5pt"/>
              <v:imagedata o:title=""/>
              <o:lock v:ext="edit" aspectratio="f"/>
              <v:textbox inset="0mm,0mm,0mm,0mm">
                <w:txbxContent>
                  <w:p w14:paraId="2395EC63">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lM2Y0NGZjMDgxMzMyYmJjMDRhNmY3MDRkOGEyMmYifQ=="/>
  </w:docVars>
  <w:rsids>
    <w:rsidRoot w:val="00A07F51"/>
    <w:rsid w:val="00082C2A"/>
    <w:rsid w:val="00145EA6"/>
    <w:rsid w:val="00166086"/>
    <w:rsid w:val="001B094D"/>
    <w:rsid w:val="001D6EA6"/>
    <w:rsid w:val="00257F27"/>
    <w:rsid w:val="00261D8B"/>
    <w:rsid w:val="002F3E50"/>
    <w:rsid w:val="00310BC2"/>
    <w:rsid w:val="003B6B09"/>
    <w:rsid w:val="00405EEF"/>
    <w:rsid w:val="00406AF6"/>
    <w:rsid w:val="004133BD"/>
    <w:rsid w:val="00443DBC"/>
    <w:rsid w:val="0045356B"/>
    <w:rsid w:val="004C10E5"/>
    <w:rsid w:val="004C6121"/>
    <w:rsid w:val="004F6A44"/>
    <w:rsid w:val="00503B1B"/>
    <w:rsid w:val="00510DE1"/>
    <w:rsid w:val="00513673"/>
    <w:rsid w:val="00555A74"/>
    <w:rsid w:val="00581E64"/>
    <w:rsid w:val="005C7C48"/>
    <w:rsid w:val="005F0A4B"/>
    <w:rsid w:val="006102D9"/>
    <w:rsid w:val="00667782"/>
    <w:rsid w:val="00754D46"/>
    <w:rsid w:val="00791ABD"/>
    <w:rsid w:val="007950FD"/>
    <w:rsid w:val="00813EC0"/>
    <w:rsid w:val="008227D9"/>
    <w:rsid w:val="00826016"/>
    <w:rsid w:val="00860FD3"/>
    <w:rsid w:val="008667F5"/>
    <w:rsid w:val="00883E5A"/>
    <w:rsid w:val="008B1779"/>
    <w:rsid w:val="008D1D3A"/>
    <w:rsid w:val="008F38DC"/>
    <w:rsid w:val="00910122"/>
    <w:rsid w:val="00920102"/>
    <w:rsid w:val="00924621"/>
    <w:rsid w:val="00934A8A"/>
    <w:rsid w:val="00936B73"/>
    <w:rsid w:val="0093723D"/>
    <w:rsid w:val="00943366"/>
    <w:rsid w:val="00962BA9"/>
    <w:rsid w:val="009F1B0F"/>
    <w:rsid w:val="00A07F51"/>
    <w:rsid w:val="00A14E74"/>
    <w:rsid w:val="00A336A1"/>
    <w:rsid w:val="00A84543"/>
    <w:rsid w:val="00AF3906"/>
    <w:rsid w:val="00B0665C"/>
    <w:rsid w:val="00B301C5"/>
    <w:rsid w:val="00B464AC"/>
    <w:rsid w:val="00B73A73"/>
    <w:rsid w:val="00BA06CE"/>
    <w:rsid w:val="00BB04F9"/>
    <w:rsid w:val="00BD172B"/>
    <w:rsid w:val="00BE1474"/>
    <w:rsid w:val="00BE2845"/>
    <w:rsid w:val="00BE2BF3"/>
    <w:rsid w:val="00C605D9"/>
    <w:rsid w:val="00CE4D92"/>
    <w:rsid w:val="00D66D87"/>
    <w:rsid w:val="00D852C6"/>
    <w:rsid w:val="00DB1EA7"/>
    <w:rsid w:val="00DD0BC1"/>
    <w:rsid w:val="00DE12A4"/>
    <w:rsid w:val="00E429AF"/>
    <w:rsid w:val="00E5587C"/>
    <w:rsid w:val="00EE23D3"/>
    <w:rsid w:val="00FA55C1"/>
    <w:rsid w:val="00FD70BF"/>
    <w:rsid w:val="21800CB7"/>
    <w:rsid w:val="3A4661CB"/>
    <w:rsid w:val="58D62621"/>
    <w:rsid w:val="5B790AAA"/>
    <w:rsid w:val="7C5B0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uiPriority w:val="39"/>
    <w:pPr>
      <w:widowControl/>
      <w:spacing w:after="100" w:line="259" w:lineRule="auto"/>
      <w:ind w:left="440"/>
      <w:jc w:val="left"/>
    </w:pPr>
    <w:rPr>
      <w:rFonts w:cs="Times New Roman"/>
      <w:kern w:val="0"/>
      <w:sz w:val="22"/>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pPr>
      <w:tabs>
        <w:tab w:val="right" w:leader="dot" w:pos="8296"/>
      </w:tabs>
      <w:spacing w:line="440" w:lineRule="exact"/>
      <w:jc w:val="center"/>
    </w:pPr>
    <w:rPr>
      <w:rFonts w:ascii="宋体" w:hAnsi="宋体" w:eastAsia="宋体" w:cs="Times New Roman"/>
      <w:b/>
      <w:bCs/>
      <w:spacing w:val="6"/>
      <w:kern w:val="36"/>
      <w:sz w:val="36"/>
      <w:szCs w:val="36"/>
    </w:rPr>
  </w:style>
  <w:style w:type="paragraph" w:styleId="7">
    <w:name w:val="toc 2"/>
    <w:basedOn w:val="1"/>
    <w:next w:val="1"/>
    <w:unhideWhenUsed/>
    <w:qFormat/>
    <w:uiPriority w:val="39"/>
    <w:pPr>
      <w:ind w:left="420" w:leftChars="200"/>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未处理的提及1"/>
    <w:basedOn w:val="9"/>
    <w:semiHidden/>
    <w:unhideWhenUsed/>
    <w:qFormat/>
    <w:uiPriority w:val="99"/>
    <w:rPr>
      <w:color w:val="605E5C"/>
      <w:shd w:val="clear" w:color="auto" w:fill="E1DFDD"/>
    </w:rPr>
  </w:style>
  <w:style w:type="character" w:customStyle="1" w:styleId="12">
    <w:name w:val="标题 1 字符"/>
    <w:basedOn w:val="9"/>
    <w:link w:val="2"/>
    <w:qFormat/>
    <w:uiPriority w:val="9"/>
    <w:rPr>
      <w:b/>
      <w:bCs/>
      <w:kern w:val="44"/>
      <w:sz w:val="44"/>
      <w:szCs w:val="44"/>
    </w:r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paragraph" w:customStyle="1" w:styleId="15">
    <w:name w:val="WPSOffice手动目录 2"/>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44BBA-DD3B-4350-A67D-B66850EA1961}">
  <ds:schemaRefs/>
</ds:datastoreItem>
</file>

<file path=docProps/app.xml><?xml version="1.0" encoding="utf-8"?>
<Properties xmlns="http://schemas.openxmlformats.org/officeDocument/2006/extended-properties" xmlns:vt="http://schemas.openxmlformats.org/officeDocument/2006/docPropsVTypes">
  <Template>Normal</Template>
  <Pages>32</Pages>
  <Words>14884</Words>
  <Characters>16362</Characters>
  <Lines>127</Lines>
  <Paragraphs>35</Paragraphs>
  <TotalTime>94</TotalTime>
  <ScaleCrop>false</ScaleCrop>
  <LinksUpToDate>false</LinksUpToDate>
  <CharactersWithSpaces>16429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2021-10-04T09:52:00Z</dcterms:created>
  <dc:creator>吴 云茜</dc:creator>
  <cp:lastModifiedBy>杨瑜</cp:lastModifiedBy>
  <cp:lastPrinted>2021-11-22T13:57:00Z</cp:lastPrinted>
  <dcterms:modified xsi:type="dcterms:W3CDTF">2025-01-13T01:17:17Z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7267A854EFB749D892B06E0707502CE2</vt:lpwstr>
  </property>
</Properties>
</file>