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监督索引号53042300345100000</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云南省通海县公安局交通警察大队2025年预算公开目录</w:t>
      </w: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第一部分 云南省通海县公安局交通警察大队202</w:t>
      </w:r>
      <w:r>
        <w:rPr>
          <w:rFonts w:hint="eastAsia" w:ascii="黑体" w:hAnsi="黑体" w:eastAsia="黑体" w:cs="Times New Roman"/>
          <w:sz w:val="32"/>
          <w:szCs w:val="32"/>
          <w:lang w:val="en-US" w:eastAsia="zh-CN"/>
        </w:rPr>
        <w:t>5</w:t>
      </w:r>
      <w:r>
        <w:rPr>
          <w:rFonts w:hint="eastAsia" w:ascii="黑体" w:hAnsi="黑体" w:eastAsia="黑体" w:cs="Times New Roman"/>
          <w:sz w:val="32"/>
          <w:szCs w:val="32"/>
        </w:rPr>
        <w:t>年部门预算编制说明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一、基本职能及主要工作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二、预算单位基本情况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三、预算单位收入情况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四、预算单位支出情况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五、对下专项转移支付情况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六、政府采购预算情况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七、部门“三公”经费增减变化情况及原因说明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八、重点项目预算绩效目标情况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九、其他公开信息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第二部分 云南省通海县公安局交通警察大队202</w:t>
      </w:r>
      <w:r>
        <w:rPr>
          <w:rFonts w:hint="eastAsia" w:ascii="黑体" w:hAnsi="黑体" w:eastAsia="黑体" w:cs="Times New Roman"/>
          <w:sz w:val="32"/>
          <w:szCs w:val="32"/>
          <w:lang w:val="en-US" w:eastAsia="zh-CN"/>
        </w:rPr>
        <w:t>5</w:t>
      </w:r>
      <w:r>
        <w:rPr>
          <w:rFonts w:hint="eastAsia" w:ascii="黑体" w:hAnsi="黑体" w:eastAsia="黑体" w:cs="Times New Roman"/>
          <w:sz w:val="32"/>
          <w:szCs w:val="32"/>
        </w:rPr>
        <w:t>年部门预算表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一、财务收支预算总表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二、部门收入预算表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三、部门支出预算表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四、财政拨款收支预算总表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六、一般公共预算“三公”经费支出预算表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七、部门基本支出预算表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八、部门项目支出预算表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九、项目支出绩效目标表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十、政府性基金预算支出预算表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十一、部门政府采购预算表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十二、政府购买服务预算表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十三、对下转移支付预算表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十四、对下转移支付绩效目标表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十五、新增资产配置表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十六、上级补助项目支出预算表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十七、部门项目中期规划预算表</w:t>
      </w:r>
    </w:p>
    <w:p>
      <w:pPr>
        <w:rPr>
          <w:rFonts w:hint="eastAsia"/>
        </w:rPr>
      </w:pPr>
    </w:p>
    <w:p>
      <w:pPr>
        <w:keepNext w:val="0"/>
        <w:keepLines w:val="0"/>
        <w:pageBreakBefore w:val="0"/>
        <w:widowControl/>
        <w:kinsoku/>
        <w:wordWrap/>
        <w:overflowPunct/>
        <w:topLinePunct w:val="0"/>
        <w:autoSpaceDE/>
        <w:autoSpaceDN/>
        <w:bidi w:val="0"/>
        <w:ind w:left="0" w:leftChars="0"/>
        <w:jc w:val="center"/>
        <w:textAlignment w:val="auto"/>
        <w:rPr>
          <w:rFonts w:hint="eastAsia" w:ascii="方正小标宋简体" w:hAnsi="Times New Roman" w:eastAsia="方正小标宋简体" w:cs="Times New Roman"/>
          <w:kern w:val="0"/>
          <w:sz w:val="44"/>
          <w:szCs w:val="44"/>
          <w:lang w:val="en-US" w:eastAsia="zh-CN"/>
        </w:rPr>
      </w:pPr>
      <w:r>
        <w:rPr>
          <w:rFonts w:hint="eastAsia" w:ascii="方正小标宋简体" w:hAnsi="Times New Roman" w:eastAsia="方正小标宋简体" w:cs="Times New Roman"/>
          <w:kern w:val="0"/>
          <w:sz w:val="44"/>
          <w:szCs w:val="44"/>
          <w:lang w:val="en-US" w:eastAsia="zh-CN"/>
        </w:rPr>
        <w:t>云南省通海县公安局交通警察大队2025年部门预算编制说明</w:t>
      </w:r>
    </w:p>
    <w:p>
      <w:pPr>
        <w:rPr>
          <w:rFonts w:hint="eastAsia"/>
        </w:rPr>
      </w:pP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rPr>
        <w:t>一、基本职能及主要工作</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指导和研究部署全县交通管理工作，负责维护道路交通安全、交通秩序和交通警卫，依法组织实施对车辆和驾驶人的管理，组织、指挥、协调处理特大道路交通事故、涉外道路交通事故和道路交通事故逃逸案件。组织实施对前来我县的党和国家领导人、重要外（贵）宾的警卫及重要会议、大型活动的安全保卫。</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rPr>
      </w:pPr>
      <w:r>
        <w:rPr>
          <w:rFonts w:hint="eastAsia" w:ascii="Times New Roman" w:hAnsi="Times New Roman" w:eastAsia="仿宋_GB2312" w:cs="Times New Roman"/>
          <w:kern w:val="0"/>
          <w:sz w:val="32"/>
          <w:szCs w:val="32"/>
          <w:lang w:val="en-US" w:eastAsia="zh-CN" w:bidi="ar-SA"/>
        </w:rPr>
        <w:t>负责全县的交通指挥、交通秩序和交通事故（案件）的调查处理和调解工作，承担道路治安巡逻任务；负责车辆和驾驶员管理工作；负责公路巡逻、预防和制止公路上发生的违法犯罪活动；打击车匪路霸；负责开展交通法规和交通安全知识宣传；做好大型活动的交通秩序维护、警卫任务和沿途交通秩序的维护；负责维护学校周边的交通秩序。</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（二）机构设置情况</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我部门共设置6个内设机构，包括：办公室，一中队、二中队、事故处理中队、四中队、车管所（含违法办、指挥中心）。</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所属单位0个。</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（三）重点工作概述</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202</w:t>
      </w:r>
      <w:r>
        <w:rPr>
          <w:rFonts w:hint="eastAsia" w:ascii="Times New Roman" w:hAnsi="Times New Roman" w:eastAsia="仿宋_GB2312" w:cs="Times New Roman"/>
          <w:kern w:val="0"/>
          <w:sz w:val="32"/>
          <w:szCs w:val="32"/>
          <w:lang w:val="en-US" w:eastAsia="zh-CN" w:bidi="ar-SA"/>
        </w:rPr>
        <w:t>5</w:t>
      </w:r>
      <w:r>
        <w:rPr>
          <w:rFonts w:hint="default" w:ascii="Times New Roman" w:hAnsi="Times New Roman" w:eastAsia="仿宋_GB2312" w:cs="Times New Roman"/>
          <w:kern w:val="0"/>
          <w:sz w:val="32"/>
          <w:szCs w:val="32"/>
          <w:lang w:val="en-US" w:eastAsia="zh-CN" w:bidi="ar-SA"/>
        </w:rPr>
        <w:t>年，在县委</w:t>
      </w:r>
      <w:r>
        <w:rPr>
          <w:rFonts w:hint="eastAsia" w:ascii="Times New Roman" w:hAnsi="Times New Roman" w:eastAsia="仿宋_GB2312" w:cs="Times New Roman"/>
          <w:kern w:val="0"/>
          <w:sz w:val="32"/>
          <w:szCs w:val="32"/>
          <w:lang w:val="en-US" w:eastAsia="zh-CN" w:bidi="ar-SA"/>
        </w:rPr>
        <w:t>县</w:t>
      </w:r>
      <w:bookmarkStart w:id="0" w:name="_GoBack"/>
      <w:bookmarkEnd w:id="0"/>
      <w:r>
        <w:rPr>
          <w:rFonts w:hint="default" w:ascii="Times New Roman" w:hAnsi="Times New Roman" w:eastAsia="仿宋_GB2312" w:cs="Times New Roman"/>
          <w:kern w:val="0"/>
          <w:sz w:val="32"/>
          <w:szCs w:val="32"/>
          <w:lang w:val="en-US" w:eastAsia="zh-CN" w:bidi="ar-SA"/>
        </w:rPr>
        <w:t>政府的坚强领导下，在上级公安机关的关心帮助下，交警大队坚持以习近平新时代中国特色社会主义思想为指导，深入贯彻落实习近平总书记关于安全生产工作的重要论述和重要指示批示精神，践行“人民至上、生命至上”理念，以深化道路交通事故预防“减量控大”为重点，以推动交通安全治理模式向事前预防转型为引领，以锻造高素质过硬公安交警铁军为保证，全力以赴做好除隐患、防风险、保安全、保畅通各项工作，道路交通安全形势总体保持稳中向好态势。</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rPr>
        <w:t>二、预算单位基本情况</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我部门编制2025年部门预算单位共1个。其中：财政全额供给单位1个；差额供给单位0个；定额补助单位0个；自收自支单位0个。财政全额供给单位中行政单位1个；参公单位0个；事业单位0个。截至2024年12月统计，部门基本情况如下：</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在职人员编制26人，其中：行政编制26人，工勤人员编制0人，事业编制0人。在职实有26人，其中： 财政全额保障26人，财政差额补助0人，财政专户资金、单位资金保障0人。</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离退休人员6人，其中：离休0人，退休6人。</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车辆编制11辆，实有车辆10辆，超编0辆。</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rPr>
        <w:t>三、预算单位收入情况</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（一）部门财务收入情况</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2025年部门财务总收入1,148.74万元，其中：一般公共预算1,128.74万元，政府性基金0.00万元，国有资本经营收益0.00万元，财政专户管理资金收入0.00万元，事业收入0.00万元，事业单位经营收入0.00万元，上级补助收入0.00万元，附属单位上缴收入0.00万元，其他收入20.00万元。</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与上年对比部门财务总收入减少29.55万元，下降2.51%，主要原因分析是本年在职民警与上年相比减少1人，基本支出减少，人员工资福利和基本运行费相应减少。</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（二）财政拨款收入情况</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2025年部门财政拨款收入 1,128.74万元，其中:本年收入1,128.74万元，上年结转收入0.00万元。本年收入中，一般公共预算财政拨款1,128.74万元，政府性基金预算财政拨款0.00万元，国有资本经营收益财政拨款0.00万元。</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rPr>
      </w:pPr>
      <w:r>
        <w:rPr>
          <w:rFonts w:hint="eastAsia" w:ascii="Times New Roman" w:hAnsi="Times New Roman" w:eastAsia="仿宋_GB2312" w:cs="Times New Roman"/>
          <w:kern w:val="0"/>
          <w:sz w:val="32"/>
          <w:szCs w:val="32"/>
          <w:lang w:val="en-US" w:eastAsia="zh-CN" w:bidi="ar-SA"/>
        </w:rPr>
        <w:t>与上年对比部门财政拨款收入减少29.55万元，下降2.55%，主要原因分析是本年在职民警与上年相比减少1人，基本支出减少，人员工资福利和基本运行费相应减少。</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rPr>
        <w:t>四、预算单位支出情况</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2025年部门预算总支出1,148.74万元。财政拨款安排支出 1,128.74万元，其中：基本支出924.74万元，与上年对比减少7.76万元，下降0.83%，主要原因分析是本年在职民警与上年相比减少1人，基本支出减少，人员工资福利和基本运行费相应减少；项目支出204.00万元，与上年对比减少21.79万元，下降9.65%，主要原因分析是项目收入减少相应的项目支出减少。</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财政拨款安排支出按功能科目分类情况，分别是：</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1.“204”公共安全支出972.85万元，包括：</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“2040201”行政运行支出750.85万元，主要用于县交警大队2025年度全大队在职在编民警职工工资福利支出，日常公用经费用于保障全大队正常运转的各项开支。</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“2040202”一般行政管理事务支出95.00万元，主要用于2024年度交警大队车管物资工本费用支出。</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“2040220”执法办案支出127.00万元，主要用于完成特定的公安事务、公安执法办案及公安发展目标所发生的各种专项支出。</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2.“208”社会保障和就业支出61.46万元，包括：</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“2080501”行政单位离退休支出8.64万元，主要用于发放2025年度6个退休行政人员的生活补助开支。</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“2080505”机关事业单位基本养老保险缴费支出52.82万元，主要用于单位缴纳2025年度的基本养老保险费支出。</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3.“210”卫生健康支出45.84万元，包括：</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“2101101”行政单位医疗支出27.40万元，主要用于2025年度缴纳单位承担的公务员基本医疗保险费支出。</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“2101103”公务员医疗补助支出15.43万元，主要用于2025年度缴纳单位承担的公务员和事业人员的医疗补助支出。</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“2101199”其他行政事业单位医疗支出3.01万元，主要用于2025年度缴纳单位应承担的公务员大病医疗补助支出。</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4.“221”住房保障支出48.59万元，包括：</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“2210201”住房公积金支出48.59万元，主要用于2025年度在职人员按规定比例缴纳的住房公积金支出。</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财政拨款安排支出按经济科目分类情况，主要用于以下支出，分别是：</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基本支出924.74万元，按部门预算经济科目分组，包含：（1）工资福利支出573.36万元，其中：基本工资120.38万元、津贴补贴250.42万元、奖金55.30万元、机关事业单位基本养老保险缴费52.82万元、职工基本医疗保险缴费27.40万元、公务员医疗补助缴费15.44万元、其他社会保障缴费3.01万元、住房公积金48.59万元；（2）其他工资福利支出（人员经费预留）15.60万元；（3）商品和服务支出49.94万元，其中：办公费1.32万元、水费2.50万元、电费4.30元、邮电费1.30万元、差旅费1.20万元、公务用车运行维护费5.00万元、福利费3.38万元、工会经费1.56万元、维修（护）费0.50万元、培训费0.50万元、其他商品和服务支出4.44万元、其他交通费23.94万元；（4）对个人和家庭的补助8.64万元，其中：生活补助8.64万元；（5）其他人员支出259.20万元，其中：其他工资福利支出（临聘人员工资）259.20万元；（6）公务用车购置18.00万元。</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项目支出224.00万元，按部门预算经济科目分组，包含：（1）商品和服务支出224.00万元，其中：办公费108.00万元、邮电费3.00万元、委托业务费66.00万元、公务用车运行维护费20.00万元、专用材料费4.00万元、手续费4.00万元、物业管理费4.00万元、租赁费15.00万元。</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rPr>
        <w:t>五、对下转移支付情况</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（一）与中央配套事项</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rPr>
      </w:pPr>
      <w:r>
        <w:rPr>
          <w:rFonts w:hint="eastAsia" w:ascii="楷体_GB2312" w:hAnsi="Times New Roman" w:eastAsia="楷体_GB2312" w:cs="Times New Roman"/>
          <w:kern w:val="0"/>
          <w:sz w:val="32"/>
          <w:szCs w:val="32"/>
        </w:rPr>
        <w:t>（二）按既定政策标准测算补助事项</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rPr>
      </w:pPr>
      <w:r>
        <w:rPr>
          <w:rFonts w:hint="eastAsia" w:ascii="Times New Roman" w:hAnsi="Times New Roman" w:eastAsia="仿宋_GB2312" w:cs="Times New Roman"/>
          <w:kern w:val="0"/>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（三）经济社会事业发展事项</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无。</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rPr>
        <w:t>六、政府采购预算情况</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根据《中华人民共和国政府采购法》的有关规定，编制了政府采购预算，共涉及采购项目3个，政府采购预算总额26.00万元，其中：政府采购货物预算4.00万元、政府采购服务预算22.00万元、政府采购工程预算0.00万元。</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rPr>
        <w:t>七、部门“三公”经费增减变化情况及原因说明</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rPr>
      </w:pPr>
      <w:r>
        <w:rPr>
          <w:rFonts w:hint="eastAsia" w:ascii="Times New Roman" w:hAnsi="Times New Roman" w:eastAsia="仿宋_GB2312" w:cs="Times New Roman"/>
          <w:kern w:val="0"/>
          <w:sz w:val="32"/>
          <w:szCs w:val="32"/>
          <w:lang w:val="en-US" w:eastAsia="zh-CN" w:bidi="ar-SA"/>
        </w:rPr>
        <w:t>云南省通海县公安局交通警察大队2025年一般公共预算财政拨款“三公”经费预算合计43.00万元，较上年增加18.00万元，增长72.00%，具体变动情况如下：</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（一）因公出国（境）费</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云南省通海县公安局交通警察大队2025年因公出国（境）费预算为0.00万元，较上年增加0.00万元，增长0.00%，共计安排因公出国（境）团组0个，因公出国（境）0人次。</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与上年对比无变化。</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（二）公务接待费</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云南省通海县公安局交通警察大队2025年公务接待费预算为0.00万元，较上年增加0.00万元，增长0.00%，国内公务接待批次为0次，共计接待0人次。</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与上年对比无变化。</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（三）公务用车购置及运行维护费</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云南省通海县公安局交通警察大队2025年公务用车购置及运行维护费为43.00万元，较上年增加18.00万元，增长72.00%。其中：公务用车购置费18.00万元，较上年增加18.00万元，增长100%；公务用车运行维护费25.00万元，较上年增加0.00万元，增长0.00%。共计购置公务用车1辆，年末公务用车保有量为11辆。</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公务用车购置费增加的原因：2025年预计执法执勤车辆购置更换一辆，故此项费用增加；公务用车运行维护费与上年对比无变化。</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rPr>
        <w:t>八、重点项目预算绩效目标情况</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1.执法办案—交通事故检验鉴定经费</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执法办案—交通事故检验鉴定经费20.00万元，通海县人民政府常务会议纪要第52期，同意将全县道路交通事故检验鉴定经费纳入以后财政年度预算。根据《公安机关办理行政案件程序规定》第八十四条规定：“鉴定费用由公安机关承担，但当事人自行鉴定的除外”，据此，车辆发生交通事故后，车辆技术鉴定费用应当由公安机关承担，与事故车辆的车主无关。该项目的实施目的在于使2025年保障全年大队交通管理案件事故办理、秩序工作运转的顺利进行,全力做好道路交通管理各项工作，有效预防和减少各类交通事故的发生，保障辖区道路交通安全、有序、畅通,根据2024年度我单位在云南云通司法鉴定中心、玉溪明镜司法鉴定中心、云南交通科学研究院司法鉴定中心三家委托临床鉴定、车检、时间、伤情鉴定等费用实际情况，申请2025年度执法办案—交通事故检验鉴定经费20.00万元。该项目的实施内容包括车辆鉴定费、临床鉴定费、尸体检定费、伤情鉴定费、血液乙醇检测。</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2.一般行政管理事务—车管所机动车证件工本费</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一般行政管理事务—车管所机动车证件工本费95.00万元。2020年10月22日，公安部召开新闻发布会，通报“异地办”“便捷办”“网上办”等三个方面12项公安交管优化营商环境新措施，不断提高服务质量，打通群众购车落户的最后一公里，打造车管工作“一站式”便民服务平台，为群众提供更加便民、利民的服务。该项目的实施目的在于确保2025年车驾管业务的顺利开展。实现车管所车驾管业务及业务办理群众购车落户的最后一公里，打造车管工作“一站式”便民服务平台，为群众提供更加便民、利民的服务。</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3.执法办案-交警大队业务办案补助经费</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执法办案-交警大队业务办案补助经费84.00万元，该项目的实施目的在于保障2025年全年大队交通管理案件事故办理、秩序工作运转的顺利进行,全力做好道路交通管理各项工作，有效预防和减少各类交通事故的发生，保障辖区道路交通安全、有序、畅通,保障全年大队交通管理案件事故办理、秩序工作运转的顺利进行。</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rPr>
        <w:t>九、其他公开信息</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（一）专业名词解释</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1、委托业务费：交通事故案件侦办中委托鉴定机构进行交通事故鉴定费用开支、交通设备仪器检验鉴定费用开支、委托拖车施救费用开支等反映。</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4、三公经费：因公出国(境)经费、公务车购置及运行费、公务招待费产生的费用。</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（二）机关运行经费安排变化情况及原因说明</w:t>
      </w:r>
    </w:p>
    <w:p>
      <w:pPr>
        <w:keepNext w:val="0"/>
        <w:keepLines w:val="0"/>
        <w:pageBreakBefore w:val="0"/>
        <w:kinsoku/>
        <w:wordWrap/>
        <w:overflowPunct/>
        <w:topLinePunct w:val="0"/>
        <w:autoSpaceDE/>
        <w:autoSpaceDN/>
        <w:bidi w:val="0"/>
        <w:adjustRightInd/>
        <w:snapToGrid/>
        <w:spacing w:line="590" w:lineRule="atLeast"/>
        <w:ind w:firstLine="640" w:firstLineChars="200"/>
        <w:textAlignment w:val="auto"/>
        <w:rPr>
          <w:rFonts w:hint="eastAsia"/>
        </w:rPr>
      </w:pPr>
      <w:r>
        <w:rPr>
          <w:rFonts w:hint="eastAsia" w:ascii="Times New Roman" w:hAnsi="Times New Roman" w:eastAsia="仿宋_GB2312" w:cs="Times New Roman"/>
          <w:kern w:val="0"/>
          <w:sz w:val="32"/>
          <w:szCs w:val="32"/>
          <w:lang w:val="en-US" w:eastAsia="zh-CN" w:bidi="ar-SA"/>
        </w:rPr>
        <w:t>云南省通海县公安局交通警察大队2025年机关运行经费安排26.00万元，其中办公费1.32万元、水费2.50万元、电费4.30万元、邮电费1.30万元、维修（护）费0.50万元、差旅费1.20万元、培训费0.50万元、工会经费1.56万元、福利费3.38万元、公务用车运行维护费5.00万元、其他商品和服务支出4.44万元。与上年对比减少1.00万元，下降3.70%，主要原因分析是本年在职民警与上年相比减少1人，基本运行费相应减少。</w:t>
      </w:r>
    </w:p>
    <w:p>
      <w:pPr>
        <w:keepNext w:val="0"/>
        <w:keepLines w:val="0"/>
        <w:pageBreakBefore w:val="0"/>
        <w:widowControl/>
        <w:kinsoku/>
        <w:wordWrap/>
        <w:overflowPunct/>
        <w:topLinePunct w:val="0"/>
        <w:autoSpaceDE/>
        <w:autoSpaceDN/>
        <w:bidi w:val="0"/>
        <w:adjustRightInd/>
        <w:snapToGrid/>
        <w:spacing w:line="590" w:lineRule="atLeast"/>
        <w:ind w:left="0" w:leftChars="0" w:firstLine="640" w:firstLineChars="200"/>
        <w:jc w:val="both"/>
        <w:textAlignment w:val="auto"/>
        <w:rPr>
          <w:rFonts w:hint="eastAsia"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（三）国有资产占有使用情况</w:t>
      </w:r>
    </w:p>
    <w:p>
      <w:pPr>
        <w:keepNext w:val="0"/>
        <w:keepLines w:val="0"/>
        <w:pageBreakBefore w:val="0"/>
        <w:kinsoku/>
        <w:wordWrap/>
        <w:overflowPunct/>
        <w:topLinePunct w:val="0"/>
        <w:autoSpaceDE/>
        <w:autoSpaceDN/>
        <w:bidi w:val="0"/>
        <w:adjustRightInd/>
        <w:snapToGrid/>
        <w:spacing w:line="590" w:lineRule="atLeast"/>
        <w:ind w:firstLine="640" w:firstLineChars="200"/>
        <w:textAlignment w:val="auto"/>
        <w:rPr>
          <w:rFonts w:hint="eastAsia"/>
        </w:rPr>
      </w:pPr>
      <w:r>
        <w:rPr>
          <w:rFonts w:hint="eastAsia" w:ascii="Times New Roman" w:hAnsi="Times New Roman" w:eastAsia="仿宋_GB2312" w:cs="Times New Roman"/>
          <w:kern w:val="0"/>
          <w:sz w:val="32"/>
          <w:szCs w:val="32"/>
          <w:lang w:val="en-US" w:eastAsia="zh-CN" w:bidi="ar-SA"/>
        </w:rPr>
        <w:t>截至2024年12月31日，云南省通海县公安局交通警察大队资产总额1,593.43万元，其中，流动资产34.59万元，固定资产1,556.93万元，对外投资及有价证券0.00万元，在建工程0.00万元，无形资产2.45万元，其他资产0.00万元。与上年相比，本年资产总额减少191.12万元，其中固定资产减少0.46万元，无形资产减少199.58万元。处置房屋建筑物0.00平方米，账面原值0.00万元；处置车辆1辆，账面原值7.42万元；报废报损资产0项，账面原值0.00万元，实现资产处置收入0.65万元；资产使用收入0.00万元，其中出租资产0.00平方米，资产出租收入0.00万元。鉴于截至2024年12月31日的国有资产占有使用精准数据，需在完成2024年决算编制后才能汇总，此处公开为2024年12月资产月报数。</w:t>
      </w:r>
    </w:p>
    <w:p>
      <w:pPr>
        <w:keepNext w:val="0"/>
        <w:keepLines w:val="0"/>
        <w:pageBreakBefore w:val="0"/>
        <w:kinsoku/>
        <w:wordWrap/>
        <w:overflowPunct/>
        <w:topLinePunct w:val="0"/>
        <w:autoSpaceDE/>
        <w:autoSpaceDN/>
        <w:bidi w:val="0"/>
        <w:adjustRightInd/>
        <w:snapToGrid/>
        <w:spacing w:line="590" w:lineRule="atLeast"/>
        <w:ind w:left="0" w:leftChars="0" w:firstLine="720" w:firstLineChars="200"/>
        <w:textAlignment w:val="auto"/>
        <w:rPr>
          <w:rFonts w:ascii="Arial" w:hAnsi="Arial" w:eastAsia="Arial" w:cs="Arial"/>
          <w:b/>
          <w:sz w:val="36"/>
        </w:rPr>
      </w:pPr>
    </w:p>
    <w:p>
      <w:pPr>
        <w:rPr>
          <w:rFonts w:ascii="Arial" w:hAnsi="Arial" w:eastAsia="Arial" w:cs="Arial"/>
          <w:b/>
          <w:sz w:val="36"/>
        </w:rPr>
      </w:pPr>
      <w:r>
        <w:rPr>
          <w:rFonts w:ascii="Arial" w:hAnsi="Arial" w:eastAsia="Arial" w:cs="Arial"/>
          <w:b/>
          <w:sz w:val="36"/>
        </w:rPr>
        <w:t>监督索引号53042300345100111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kOTNkOTgzNTZhMzAzMTFiYWFhMzY5MGU0Yzk3NDEifQ=="/>
  </w:docVars>
  <w:rsids>
    <w:rsidRoot w:val="00000000"/>
    <w:rsid w:val="00225C7F"/>
    <w:rsid w:val="197D63FA"/>
    <w:rsid w:val="22C44DF4"/>
    <w:rsid w:val="242330D3"/>
    <w:rsid w:val="2AC20255"/>
    <w:rsid w:val="4B1A341C"/>
    <w:rsid w:val="65592A54"/>
    <w:rsid w:val="665C5593"/>
    <w:rsid w:val="68392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2024-02-07T09:31:00Z</dcterms:created>
  <dc:creator>Administrator</dc:creator>
  <cp:lastModifiedBy>Administrator</cp:lastModifiedBy>
  <dcterms:modified xsi:type="dcterms:W3CDTF">2025-01-22T08:43:12Z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20DA5E7C66A749AEB9521664A657A9D0_12</vt:lpwstr>
  </property>
  <property fmtid="{D5CDD505-2E9C-101B-9397-08002B2CF9AE}" pid="3" name="KSOProductBuildVer">
    <vt:lpwstr>2052-11.8.6.11825</vt:lpwstr>
  </property>
</Properties>
</file>