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A3808">
      <w:pPr>
        <w:rPr>
          <w:rFonts w:ascii="Arial" w:hAnsi="Arial" w:eastAsia="Arial" w:cs="Arial"/>
          <w:b/>
          <w:sz w:val="36"/>
        </w:rPr>
      </w:pPr>
      <w:r>
        <w:rPr>
          <w:rFonts w:ascii="Arial" w:hAnsi="Arial" w:eastAsia="Arial" w:cs="Arial"/>
          <w:b/>
          <w:sz w:val="36"/>
        </w:rPr>
        <w:t>监督索引号53042300143400200000</w:t>
      </w:r>
    </w:p>
    <w:p w14:paraId="701F07E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通海县政务服务管理局（本级）</w:t>
      </w:r>
    </w:p>
    <w:p w14:paraId="589633F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年预算公开目录</w:t>
      </w:r>
    </w:p>
    <w:p w14:paraId="74622D3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654AC4A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第一部分 </w:t>
      </w:r>
      <w:r>
        <w:rPr>
          <w:rFonts w:hint="default" w:ascii="Times New Roman" w:hAnsi="Times New Roman" w:eastAsia="黑体" w:cs="Times New Roman"/>
          <w:sz w:val="32"/>
          <w:szCs w:val="32"/>
          <w:lang w:eastAsia="zh-CN"/>
        </w:rPr>
        <w:t>通海县政务服务管理局（本级）</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年部门预算编制说明</w:t>
      </w:r>
    </w:p>
    <w:p w14:paraId="105B900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一、基本职能及主要工作</w:t>
      </w:r>
    </w:p>
    <w:p w14:paraId="69304C2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二、预算单位基本情况</w:t>
      </w:r>
    </w:p>
    <w:p w14:paraId="53AD2F2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三、预算单位收入情况</w:t>
      </w:r>
    </w:p>
    <w:p w14:paraId="1FA7556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四、预算单位支出情况</w:t>
      </w:r>
    </w:p>
    <w:p w14:paraId="2EDF2AB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五、对下专项转移支付情况</w:t>
      </w:r>
    </w:p>
    <w:p w14:paraId="0C06088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六、政府采购预算情况</w:t>
      </w:r>
    </w:p>
    <w:p w14:paraId="41D113F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七、部门“三公”经费增减变化情况及原因说明</w:t>
      </w:r>
    </w:p>
    <w:p w14:paraId="59C0DE3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八、重点项目预算绩效目标情况</w:t>
      </w:r>
    </w:p>
    <w:p w14:paraId="5C28769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九、其他公开信息</w:t>
      </w:r>
    </w:p>
    <w:p w14:paraId="4B09684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第二部分 </w:t>
      </w:r>
      <w:r>
        <w:rPr>
          <w:rFonts w:hint="default" w:ascii="Times New Roman" w:hAnsi="Times New Roman" w:eastAsia="黑体" w:cs="Times New Roman"/>
          <w:sz w:val="32"/>
          <w:szCs w:val="32"/>
          <w:lang w:eastAsia="zh-CN"/>
        </w:rPr>
        <w:t>通海县政务服务管理局（本级）</w:t>
      </w:r>
      <w:r>
        <w:rPr>
          <w:rFonts w:hint="default" w:ascii="Times New Roman" w:hAnsi="Times New Roman" w:eastAsia="黑体" w:cs="Times New Roman"/>
          <w:sz w:val="32"/>
          <w:szCs w:val="32"/>
          <w:lang w:val="en-US" w:eastAsia="zh-CN"/>
        </w:rPr>
        <w:t>202</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年部门预算表</w:t>
      </w:r>
    </w:p>
    <w:p w14:paraId="29A7AF6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一、部门财务收支预算总表</w:t>
      </w:r>
    </w:p>
    <w:p w14:paraId="3139B79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二、部门收入预算表</w:t>
      </w:r>
    </w:p>
    <w:p w14:paraId="05754D8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三、部门支出预算表</w:t>
      </w:r>
    </w:p>
    <w:p w14:paraId="347C56F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四、财政拨款收支预算总表</w:t>
      </w:r>
    </w:p>
    <w:p w14:paraId="145C03C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五、一般公共预算支出预算表（按功能科目分类）</w:t>
      </w:r>
    </w:p>
    <w:p w14:paraId="46F21EE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六、一般公共预算“三公”经费支出预算表</w:t>
      </w:r>
    </w:p>
    <w:p w14:paraId="409FEE9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七、部门基本支出预算表</w:t>
      </w:r>
    </w:p>
    <w:p w14:paraId="4356065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八、部门项目支出预算表</w:t>
      </w:r>
    </w:p>
    <w:p w14:paraId="14FE1D0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九、部门项目绩效目标表</w:t>
      </w:r>
    </w:p>
    <w:p w14:paraId="2ADE04D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十、政府性基金预算支出预算表</w:t>
      </w:r>
    </w:p>
    <w:p w14:paraId="0F13DFD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十一、部门政府采购预算表</w:t>
      </w:r>
    </w:p>
    <w:p w14:paraId="0145234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十二、政府购买服务预算表</w:t>
      </w:r>
    </w:p>
    <w:p w14:paraId="70FAB0F8">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十三、对下转移支付预算表</w:t>
      </w:r>
    </w:p>
    <w:p w14:paraId="235F23F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十四、对下转移支付绩效目标表</w:t>
      </w:r>
    </w:p>
    <w:p w14:paraId="7F6D90D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十五、新增资产配置表</w:t>
      </w:r>
    </w:p>
    <w:p w14:paraId="668C94B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十六、上级补助项目支出预算表</w:t>
      </w:r>
    </w:p>
    <w:p w14:paraId="0898A0D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十七、部门项目中期规划预算表</w:t>
      </w:r>
    </w:p>
    <w:p w14:paraId="58C8763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GB"/>
        </w:rPr>
      </w:pPr>
    </w:p>
    <w:p w14:paraId="2AC3310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GB"/>
        </w:rPr>
      </w:pPr>
    </w:p>
    <w:p w14:paraId="39620AF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51C7599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3B943ED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5B41672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7A60DF2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2BC4E113">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662C8C0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1479A7E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2E18E9C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通海县政务服务管理局（本级）</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年部门预算编制说明</w:t>
      </w:r>
    </w:p>
    <w:p w14:paraId="060AA69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42E42E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14:paraId="10E050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（一）部门主要职责</w:t>
      </w:r>
    </w:p>
    <w:p w14:paraId="56F32B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负责政务服务中心的日常工作，管理公共资源交易中心，负责督促指导政务服务中心、县公共资源交易中心、县投资项目审批服务中心建设和业务工作；对乡镇级为民服务中心、村级为民服务站进行业务指导。</w:t>
      </w:r>
    </w:p>
    <w:p w14:paraId="161691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（二）机构设置情况</w:t>
      </w:r>
    </w:p>
    <w:p w14:paraId="136EB3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我部门共设置</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个内设机构，包括：办公室、政务与公共资源交易管理股、行政审批制度改革股</w:t>
      </w:r>
      <w:r>
        <w:rPr>
          <w:rFonts w:hint="eastAsia" w:ascii="Times New Roman" w:hAnsi="Times New Roman" w:eastAsia="方正仿宋_GBK" w:cs="Times New Roman"/>
          <w:sz w:val="32"/>
          <w:szCs w:val="32"/>
          <w:lang w:val="en-US" w:eastAsia="zh-CN"/>
        </w:rPr>
        <w:t>、投资审批服务中心。</w:t>
      </w:r>
    </w:p>
    <w:p w14:paraId="25EBA9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所属单位</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个</w:t>
      </w:r>
      <w:r>
        <w:rPr>
          <w:rFonts w:hint="eastAsia" w:ascii="Times New Roman" w:hAnsi="Times New Roman" w:eastAsia="方正仿宋_GBK" w:cs="Times New Roman"/>
          <w:sz w:val="32"/>
          <w:szCs w:val="32"/>
          <w:lang w:val="en-US" w:eastAsia="zh-CN"/>
        </w:rPr>
        <w:t>。</w:t>
      </w:r>
    </w:p>
    <w:p w14:paraId="310673D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（三）重点工作概述</w:t>
      </w:r>
    </w:p>
    <w:p w14:paraId="4F60B2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负责推进全县政务服务标准化建设，负责规范全县政务服务行为，建立和完善相应工作机制；负责对行政审批、政务服务事项及行政权力进行流程再造、环节优化、压缩时限，并对办理情况进行跟踪督办，协调解决进入政务服务大厅事项办理中出现的相关问题；负责派驻政务大厅的垂直管理部门、双重管理部门设置窗口行政审批工作的规范、管理和监督。</w:t>
      </w:r>
    </w:p>
    <w:p w14:paraId="2D3DF1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县级行政审批综合服务平台的建设和管理。负责落实政务服务体系建设工作；负责政务服务大厅的日常管理工作；负责组织、指导、协调和监督政务服务大厅进驻部门向公民、法人或者组织提供政务服务；负责向服务窗口和服务对象提供相关业务咨询、指导和服务；负责窗口工作人员的培训、考核和管理；负责对公民、法人及其他经济社会组织的请求、投诉及信访进行受理、交办、催办和督查；负责全县政务服务的业务统计、分析上报工作；负责对服务质量和办件效能的监督，提高办件效能。</w:t>
      </w:r>
    </w:p>
    <w:p w14:paraId="7A56FBE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负责拟定公共资源交易管理服务的政策、制度、办法和标准并监督实施，推进公共资源交易体系建设和标准化建设工作，受理违反公共资源交易管理规定的行政投诉并会同、协调相关部门按规定进行处理。组织开展“互联网+政务服务”相关电子政务管理，负责政务服务、公共资源交易信息化项目。</w:t>
      </w:r>
    </w:p>
    <w:p w14:paraId="360473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方正楷体_GBK" w:hAnsi="方正楷体_GBK" w:eastAsia="方正仿宋_GBK" w:cs="方正楷体_GBK"/>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eastAsia="zh-CN"/>
        </w:rPr>
        <w:t>通海县政务服务管理局持续提升政务服务事项全程网办率。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年截至目前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已承接并完善发布</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事项1</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28</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8</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项</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；乡镇级已承接并完善发布事项93项；村级已承接并发布事项42项，截至目前省政务服务平台“一门”进驻率100</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%，“网上可办率”</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100.00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%，“最多跑一次”率</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100.00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%，全程网办率99</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2024年截至12月底</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云南省政务服务平台受理</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4,574</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件，办结</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4,574</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件</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方正楷体_GBK" w:hAnsi="方正楷体_GBK" w:eastAsia="方正楷体_GBK" w:cs="方正楷体_GBK"/>
          <w:b w:val="0"/>
          <w:bCs/>
          <w:color w:val="000000" w:themeColor="text1"/>
          <w:sz w:val="32"/>
          <w:szCs w:val="32"/>
          <w:lang w:val="en-US" w:eastAsia="zh-CN"/>
          <w14:textFill>
            <w14:solidFill>
              <w14:schemeClr w14:val="tx1"/>
            </w14:solidFill>
          </w14:textFill>
        </w:rPr>
        <w:t>集</w:t>
      </w:r>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成</w:t>
      </w:r>
      <w:r>
        <w:rPr>
          <w:rFonts w:hint="default" w:ascii="方正楷体_GBK" w:hAnsi="方正楷体_GBK" w:eastAsia="方正楷体_GBK" w:cs="方正楷体_GBK"/>
          <w:b w:val="0"/>
          <w:bCs/>
          <w:color w:val="000000" w:themeColor="text1"/>
          <w:sz w:val="32"/>
          <w:szCs w:val="32"/>
          <w:lang w:val="en-US" w:eastAsia="zh-CN"/>
          <w14:textFill>
            <w14:solidFill>
              <w14:schemeClr w14:val="tx1"/>
            </w14:solidFill>
          </w14:textFill>
        </w:rPr>
        <w:t>办</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，完善省级26件</w:t>
      </w:r>
      <w:bookmarkStart w:id="0" w:name="OLE_LINK9"/>
      <w:r>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t>“ 高效办成一件事” 重点事项清单管理机制和常态化推进机制，截</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至</w:t>
      </w:r>
      <w:r>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t>目前</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我</w:t>
      </w:r>
      <w:bookmarkStart w:id="1" w:name="OLE_LINK12"/>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县</w:t>
      </w:r>
      <w:r>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t>已办理1</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9</w:t>
      </w:r>
      <w:r>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t>个</w:t>
      </w:r>
      <w:bookmarkStart w:id="3" w:name="_GoBack"/>
      <w:bookmarkEnd w:id="3"/>
      <w:r>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t>事项</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，截至12月27日</w:t>
      </w:r>
      <w:r>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t>累计办理</w:t>
      </w:r>
      <w:r>
        <w:rPr>
          <w:rFonts w:hint="eastAsia" w:ascii="Times New Roman" w:hAnsi="Times New Roman" w:eastAsia="方正仿宋_GBK" w:cs="方正仿宋_GBK"/>
          <w:b w:val="0"/>
          <w:bCs/>
          <w:color w:val="000000" w:themeColor="text1"/>
          <w:sz w:val="32"/>
          <w:szCs w:val="32"/>
          <w:lang w:val="en-US" w:eastAsia="zh-CN"/>
          <w14:textFill>
            <w14:solidFill>
              <w14:schemeClr w14:val="tx1"/>
            </w14:solidFill>
          </w14:textFill>
        </w:rPr>
        <w:t>5,048</w:t>
      </w:r>
      <w:r>
        <w:rPr>
          <w:rFonts w:hint="default" w:ascii="Times New Roman" w:hAnsi="Times New Roman" w:eastAsia="方正仿宋_GBK" w:cs="方正仿宋_GBK"/>
          <w:b w:val="0"/>
          <w:bCs/>
          <w:color w:val="000000" w:themeColor="text1"/>
          <w:sz w:val="32"/>
          <w:szCs w:val="32"/>
          <w:lang w:val="en-US" w:eastAsia="zh-CN"/>
          <w14:textFill>
            <w14:solidFill>
              <w14:schemeClr w14:val="tx1"/>
            </w14:solidFill>
          </w14:textFill>
        </w:rPr>
        <w:t>件。</w:t>
      </w:r>
      <w:bookmarkEnd w:id="0"/>
      <w:bookmarkEnd w:id="1"/>
      <w:r>
        <w:rPr>
          <w:rFonts w:hint="eastAsia" w:ascii="方正楷体_GBK" w:hAnsi="方正楷体_GBK" w:eastAsia="方正楷体_GBK" w:cs="方正楷体_GBK"/>
          <w:b w:val="0"/>
          <w:bCs/>
          <w:color w:val="000000" w:themeColor="text1"/>
          <w:sz w:val="32"/>
          <w:szCs w:val="32"/>
          <w:lang w:val="en-US" w:eastAsia="zh-CN"/>
          <w14:textFill>
            <w14:solidFill>
              <w14:schemeClr w14:val="tx1"/>
            </w14:solidFill>
          </w14:textFill>
        </w:rPr>
        <w:t>异地代收代办，</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对照</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国家、</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省、市已实现的“跨省通办”政务服务事项清单，</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梳理</w:t>
      </w:r>
      <w:bookmarkStart w:id="2" w:name="OLE_LINK16"/>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完善我县“跨</w:t>
      </w:r>
      <w:bookmarkEnd w:id="2"/>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省通办”政务服务事项1</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84</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项</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截至10月底</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我县“跨省通办”累计</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办件</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10,957件。</w:t>
      </w:r>
    </w:p>
    <w:p w14:paraId="16F0BC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二、预算单位基本情况</w:t>
      </w:r>
    </w:p>
    <w:p w14:paraId="41CCE5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我部门编制202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年部门预算单位共</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个。其中：财政全额供给单位</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个；差额供给单位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个；定额补助单位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个；自收自支单位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个。财政全额供给单位中行政单位</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个；参公单位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个；事业单位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个。截</w:t>
      </w:r>
      <w:r>
        <w:rPr>
          <w:rFonts w:hint="default" w:ascii="Times New Roman" w:hAnsi="Times New Roman" w:eastAsia="方正仿宋_GBK" w:cs="Times New Roman"/>
          <w:sz w:val="32"/>
          <w:szCs w:val="32"/>
          <w:lang w:val="en-US" w:eastAsia="zh-CN"/>
        </w:rPr>
        <w:t>至</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年12月统计，部门基本情况如下：在职人员编制</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人，其中：行政编制</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机关工勤人员编制</w:t>
      </w:r>
      <w:r>
        <w:rPr>
          <w:rFonts w:hint="eastAsia" w:ascii="Times New Roman" w:hAnsi="Times New Roman" w:eastAsia="方正仿宋_GBK" w:cs="Times New Roman"/>
          <w:sz w:val="32"/>
          <w:szCs w:val="32"/>
          <w:lang w:val="en-US" w:eastAsia="zh-CN"/>
        </w:rPr>
        <w:t>1人，</w:t>
      </w:r>
      <w:r>
        <w:rPr>
          <w:rFonts w:hint="default" w:ascii="Times New Roman" w:hAnsi="Times New Roman" w:eastAsia="方正仿宋_GBK" w:cs="Times New Roman"/>
          <w:sz w:val="32"/>
          <w:szCs w:val="32"/>
        </w:rPr>
        <w:t>事业编制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人。在职实有</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人，其中：财政全额保障</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人，财政差额补助</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人，财政专户资金、单位资金保障</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w:t>
      </w:r>
    </w:p>
    <w:p w14:paraId="68DEA3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离退休人员</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离休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人，退休</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w:t>
      </w:r>
    </w:p>
    <w:p w14:paraId="162B19A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车辆编制</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辆，实有车辆</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超编0辆。</w:t>
      </w:r>
    </w:p>
    <w:p w14:paraId="0C6276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三、预算单位收入情况</w:t>
      </w:r>
    </w:p>
    <w:p w14:paraId="7D801F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（一）部门财务收入情况</w:t>
      </w:r>
    </w:p>
    <w:p w14:paraId="6A10D6C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年部门财务总收入</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万元，其中：一般公共预算</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万元，政府性基金</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万元，国有资本经营收益</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万元，财政专户管理资金收入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万元，事业单位经营收入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万元，上级补助收入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万元，附属单位上缴收入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14:paraId="74300D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与上年部门财务总收入</w:t>
      </w:r>
      <w:r>
        <w:rPr>
          <w:rFonts w:hint="eastAsia" w:ascii="Times New Roman" w:hAnsi="Times New Roman" w:eastAsia="方正仿宋_GBK" w:cs="Times New Roman"/>
          <w:sz w:val="32"/>
          <w:szCs w:val="32"/>
          <w:lang w:val="en-US" w:eastAsia="zh-CN"/>
        </w:rPr>
        <w:t>169.78</w:t>
      </w:r>
      <w:r>
        <w:rPr>
          <w:rFonts w:hint="default" w:ascii="Times New Roman" w:hAnsi="Times New Roman" w:eastAsia="方正仿宋_GBK" w:cs="Times New Roman"/>
          <w:sz w:val="32"/>
          <w:szCs w:val="32"/>
        </w:rPr>
        <w:t>万元对比</w:t>
      </w:r>
      <w:r>
        <w:rPr>
          <w:rFonts w:hint="eastAsia" w:ascii="Times New Roman" w:hAnsi="Times New Roman" w:eastAsia="方正仿宋_GBK" w:cs="Times New Roman"/>
          <w:sz w:val="32"/>
          <w:szCs w:val="32"/>
          <w:lang w:val="en-US" w:eastAsia="zh-CN"/>
        </w:rPr>
        <w:t>增加30.98</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18.25</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本年度</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人员工资</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和相应的办公经费</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w:t>
      </w:r>
    </w:p>
    <w:p w14:paraId="166686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（二）财政拨款收入情况</w:t>
      </w:r>
    </w:p>
    <w:p w14:paraId="4110DCB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年部门财政拨款收入</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万元，其中:本年收入</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万元，上年结转收入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万元。本年收入中，一般公共预算财政拨款</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万元（本级财力</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万元，专项收入</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万元，执法办案补助</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万元，收费成本补偿</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万元，国有资源（资产）有偿使用成本补偿</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万元），政府性基金预算财政拨款</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万元，国有资本经营收益财政拨款</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14:paraId="258D28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与上年对比</w:t>
      </w:r>
      <w:r>
        <w:rPr>
          <w:rFonts w:hint="eastAsia" w:ascii="Times New Roman" w:hAnsi="Times New Roman" w:eastAsia="方正仿宋_GBK" w:cs="Times New Roman"/>
          <w:sz w:val="32"/>
          <w:szCs w:val="32"/>
          <w:lang w:val="en-US" w:eastAsia="zh-CN"/>
        </w:rPr>
        <w:t>增加30.98</w:t>
      </w:r>
      <w:r>
        <w:rPr>
          <w:rFonts w:hint="default" w:ascii="Times New Roman" w:hAnsi="Times New Roman" w:eastAsia="方正仿宋_GBK" w:cs="Times New Roman"/>
          <w:sz w:val="32"/>
          <w:szCs w:val="32"/>
          <w:lang w:val="en-US" w:eastAsia="zh-CN"/>
        </w:rPr>
        <w:t>万元，</w:t>
      </w:r>
      <w:r>
        <w:rPr>
          <w:rFonts w:hint="eastAsia" w:ascii="Times New Roman" w:hAnsi="Times New Roman" w:eastAsia="方正仿宋_GBK" w:cs="Times New Roman"/>
          <w:sz w:val="32"/>
          <w:szCs w:val="32"/>
          <w:lang w:val="en-US" w:eastAsia="zh-CN"/>
        </w:rPr>
        <w:t>增长18.25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本年度</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人员工资</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和相应的办公经费</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w:t>
      </w:r>
    </w:p>
    <w:p w14:paraId="1E6749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预算单位支出情况</w:t>
      </w:r>
    </w:p>
    <w:p w14:paraId="7A07FA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年部门预算总支出</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万元。财政拨款安排支出</w:t>
      </w:r>
      <w:r>
        <w:rPr>
          <w:rFonts w:hint="eastAsia" w:ascii="Times New Roman" w:hAnsi="Times New Roman" w:eastAsia="方正仿宋_GBK" w:cs="Times New Roman"/>
          <w:sz w:val="32"/>
          <w:szCs w:val="32"/>
          <w:lang w:val="en-US" w:eastAsia="zh-CN"/>
        </w:rPr>
        <w:t>200.76</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192.76</w:t>
      </w:r>
      <w:r>
        <w:rPr>
          <w:rFonts w:hint="default" w:ascii="Times New Roman" w:hAnsi="Times New Roman" w:eastAsia="方正仿宋_GBK" w:cs="Times New Roman"/>
          <w:sz w:val="32"/>
          <w:szCs w:val="32"/>
        </w:rPr>
        <w:t>万元，与上年对比</w:t>
      </w:r>
      <w:r>
        <w:rPr>
          <w:rFonts w:hint="eastAsia" w:ascii="Times New Roman" w:hAnsi="Times New Roman" w:eastAsia="方正仿宋_GBK" w:cs="Times New Roman"/>
          <w:sz w:val="32"/>
          <w:szCs w:val="32"/>
          <w:lang w:val="en-US" w:eastAsia="zh-CN"/>
        </w:rPr>
        <w:t>增加34.94</w:t>
      </w:r>
      <w:r>
        <w:rPr>
          <w:rFonts w:hint="default" w:ascii="Times New Roman" w:hAnsi="Times New Roman" w:eastAsia="方正仿宋_GBK" w:cs="Times New Roman"/>
          <w:sz w:val="32"/>
          <w:szCs w:val="32"/>
          <w:lang w:val="en-US" w:eastAsia="zh-CN"/>
        </w:rPr>
        <w:t>万元，</w:t>
      </w:r>
      <w:r>
        <w:rPr>
          <w:rFonts w:hint="eastAsia" w:ascii="Times New Roman" w:hAnsi="Times New Roman" w:eastAsia="方正仿宋_GBK" w:cs="Times New Roman"/>
          <w:sz w:val="32"/>
          <w:szCs w:val="32"/>
          <w:lang w:val="en-US" w:eastAsia="zh-CN"/>
        </w:rPr>
        <w:t>增长21.60%。</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本年度</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人员工资</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和相应的办公经费</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rPr>
        <w:t>；项目支出</w:t>
      </w:r>
      <w:r>
        <w:rPr>
          <w:rFonts w:hint="default" w:ascii="Times New Roman" w:hAnsi="Times New Roman" w:eastAsia="方正仿宋_GBK" w:cs="Times New Roman"/>
          <w:sz w:val="32"/>
          <w:szCs w:val="32"/>
          <w:lang w:val="en-US" w:eastAsia="zh-CN"/>
        </w:rPr>
        <w:t>8.00</w:t>
      </w:r>
      <w:r>
        <w:rPr>
          <w:rFonts w:hint="default" w:ascii="Times New Roman" w:hAnsi="Times New Roman" w:eastAsia="方正仿宋_GBK" w:cs="Times New Roman"/>
          <w:sz w:val="32"/>
          <w:szCs w:val="32"/>
        </w:rPr>
        <w:t>万元，与上年</w:t>
      </w:r>
      <w:r>
        <w:rPr>
          <w:rFonts w:hint="default"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.00万，</w:t>
      </w:r>
      <w:r>
        <w:rPr>
          <w:rFonts w:hint="eastAsia" w:ascii="Times New Roman" w:hAnsi="Times New Roman" w:eastAsia="方正仿宋_GBK" w:cs="Times New Roman"/>
          <w:sz w:val="32"/>
          <w:szCs w:val="32"/>
          <w:lang w:val="en-US" w:eastAsia="zh-CN"/>
        </w:rPr>
        <w:t>下降0.00</w:t>
      </w:r>
      <w:r>
        <w:rPr>
          <w:rFonts w:hint="default" w:ascii="Times New Roman" w:hAnsi="Times New Roman" w:eastAsia="方正仿宋_GBK" w:cs="Times New Roman"/>
          <w:sz w:val="32"/>
          <w:szCs w:val="32"/>
          <w:lang w:val="en-US" w:eastAsia="zh-CN"/>
        </w:rPr>
        <w:t>%。主要原因是202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年无特定行政任务和事业发展目标。</w:t>
      </w:r>
    </w:p>
    <w:p w14:paraId="44D3AA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财政拨款安排支出按功能科目分类情况</w:t>
      </w:r>
      <w:r>
        <w:rPr>
          <w:rFonts w:hint="default" w:ascii="Times New Roman" w:hAnsi="Times New Roman" w:eastAsia="方正仿宋_GBK" w:cs="Times New Roman"/>
          <w:sz w:val="32"/>
          <w:szCs w:val="32"/>
          <w:lang w:eastAsia="zh-CN"/>
        </w:rPr>
        <w:t>：</w:t>
      </w:r>
    </w:p>
    <w:p w14:paraId="1EB778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“201”一般公共服务支出</w:t>
      </w:r>
      <w:r>
        <w:rPr>
          <w:rFonts w:hint="eastAsia" w:ascii="Times New Roman" w:hAnsi="Times New Roman" w:eastAsia="方正仿宋_GBK" w:cs="Times New Roman"/>
          <w:sz w:val="32"/>
          <w:szCs w:val="32"/>
          <w:lang w:val="en-US" w:eastAsia="zh-CN"/>
        </w:rPr>
        <w:t>159.89</w:t>
      </w:r>
      <w:r>
        <w:rPr>
          <w:rFonts w:hint="default" w:ascii="Times New Roman" w:hAnsi="Times New Roman" w:eastAsia="方正仿宋_GBK" w:cs="Times New Roman"/>
          <w:sz w:val="32"/>
          <w:szCs w:val="32"/>
          <w:lang w:val="en-US" w:eastAsia="zh-CN"/>
        </w:rPr>
        <w:t>万元，其中：</w:t>
      </w:r>
    </w:p>
    <w:p w14:paraId="7C0C97F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“2010301”行政运行</w:t>
      </w:r>
      <w:r>
        <w:rPr>
          <w:rFonts w:hint="eastAsia" w:ascii="Times New Roman" w:hAnsi="Times New Roman" w:eastAsia="方正仿宋_GBK" w:cs="Times New Roman"/>
          <w:sz w:val="32"/>
          <w:szCs w:val="32"/>
          <w:lang w:val="en-US" w:eastAsia="zh-CN"/>
        </w:rPr>
        <w:t>111.59</w:t>
      </w:r>
      <w:r>
        <w:rPr>
          <w:rFonts w:hint="default" w:ascii="Times New Roman" w:hAnsi="Times New Roman" w:eastAsia="方正仿宋_GBK" w:cs="Times New Roman"/>
          <w:sz w:val="32"/>
          <w:szCs w:val="32"/>
          <w:lang w:val="en-US" w:eastAsia="zh-CN"/>
        </w:rPr>
        <w:t>万元，主要用于人员经费、日常公用经费支出，人员经费用于202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年人员工资福利支出，日常公用经费用于保障我局正常工作运转。</w:t>
      </w:r>
    </w:p>
    <w:p w14:paraId="5852DF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“2019999”其他一般公共服务支出48.</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万元，其中：基本支出的其他工资福利支出40.</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万元，主要用于发放劳务派遣人员工资；项目支出8.00万元主要是用于政务服务大厅的办公费、水费、电费、物业费和维护费保障政务大厅的正常运转。</w:t>
      </w:r>
    </w:p>
    <w:p w14:paraId="6B5FAF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“208”社会保障和就业支出</w:t>
      </w:r>
      <w:r>
        <w:rPr>
          <w:rFonts w:hint="eastAsia" w:ascii="Times New Roman" w:hAnsi="Times New Roman" w:eastAsia="方正仿宋_GBK" w:cs="Times New Roman"/>
          <w:sz w:val="32"/>
          <w:szCs w:val="32"/>
          <w:lang w:val="en-US" w:eastAsia="zh-CN"/>
        </w:rPr>
        <w:t>17.61</w:t>
      </w:r>
      <w:r>
        <w:rPr>
          <w:rFonts w:hint="default" w:ascii="Times New Roman" w:hAnsi="Times New Roman" w:eastAsia="方正仿宋_GBK" w:cs="Times New Roman"/>
          <w:sz w:val="32"/>
          <w:szCs w:val="32"/>
          <w:lang w:val="en-US" w:eastAsia="zh-CN"/>
        </w:rPr>
        <w:t>万元，其中：</w:t>
      </w:r>
    </w:p>
    <w:p w14:paraId="411EF8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“2080501”行政单位离退休人员支出4.32万元，主要用于发放3名退休人员的生活补助。</w:t>
      </w:r>
    </w:p>
    <w:p w14:paraId="03142C1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“2080505”机关事业单位基本养老保险缴费支出</w:t>
      </w:r>
      <w:r>
        <w:rPr>
          <w:rFonts w:hint="eastAsia" w:ascii="Times New Roman" w:hAnsi="Times New Roman" w:eastAsia="方正仿宋_GBK" w:cs="Times New Roman"/>
          <w:sz w:val="32"/>
          <w:szCs w:val="32"/>
          <w:lang w:val="en-US" w:eastAsia="zh-CN"/>
        </w:rPr>
        <w:t>13.29</w:t>
      </w:r>
      <w:r>
        <w:rPr>
          <w:rFonts w:hint="default" w:ascii="Times New Roman" w:hAnsi="Times New Roman" w:eastAsia="方正仿宋_GBK" w:cs="Times New Roman"/>
          <w:sz w:val="32"/>
          <w:szCs w:val="32"/>
          <w:lang w:val="en-US" w:eastAsia="zh-CN"/>
        </w:rPr>
        <w:t>万元，主要用于单位缴纳的基本养老保险费支出。</w:t>
      </w:r>
    </w:p>
    <w:p w14:paraId="35F8EC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“210”卫生健康支出</w:t>
      </w:r>
      <w:r>
        <w:rPr>
          <w:rFonts w:hint="eastAsia" w:ascii="Times New Roman" w:hAnsi="Times New Roman" w:eastAsia="方正仿宋_GBK" w:cs="Times New Roman"/>
          <w:sz w:val="32"/>
          <w:szCs w:val="32"/>
          <w:lang w:val="en-US" w:eastAsia="zh-CN"/>
        </w:rPr>
        <w:t>11.97</w:t>
      </w:r>
      <w:r>
        <w:rPr>
          <w:rFonts w:hint="default" w:ascii="Times New Roman" w:hAnsi="Times New Roman" w:eastAsia="方正仿宋_GBK" w:cs="Times New Roman"/>
          <w:sz w:val="32"/>
          <w:szCs w:val="32"/>
          <w:lang w:val="en-US" w:eastAsia="zh-CN"/>
        </w:rPr>
        <w:t>万元，其中：</w:t>
      </w:r>
    </w:p>
    <w:p w14:paraId="43C6EF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“2101101”行政事业单位医疗支出5.1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万元，主要用于缴纳单位承担的职工医疗保险费用。</w:t>
      </w:r>
    </w:p>
    <w:p w14:paraId="65414A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“210110</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”事业单位医疗支出</w:t>
      </w:r>
      <w:r>
        <w:rPr>
          <w:rFonts w:hint="eastAsia" w:ascii="Times New Roman" w:hAnsi="Times New Roman" w:eastAsia="方正仿宋_GBK" w:cs="Times New Roman"/>
          <w:sz w:val="32"/>
          <w:szCs w:val="32"/>
          <w:lang w:val="en-US" w:eastAsia="zh-CN"/>
        </w:rPr>
        <w:t>1.75</w:t>
      </w:r>
      <w:r>
        <w:rPr>
          <w:rFonts w:hint="default" w:ascii="Times New Roman" w:hAnsi="Times New Roman" w:eastAsia="方正仿宋_GBK" w:cs="Times New Roman"/>
          <w:sz w:val="32"/>
          <w:szCs w:val="32"/>
          <w:lang w:val="en-US" w:eastAsia="zh-CN"/>
        </w:rPr>
        <w:t>万元，主要用于缴纳单位承担的职工医疗保险费用。</w:t>
      </w:r>
    </w:p>
    <w:p w14:paraId="14304A1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“2101103”公务员医疗补助支出4.3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万元，主要用于缴纳单位承担的职工公务员医疗保险费用。</w:t>
      </w:r>
    </w:p>
    <w:p w14:paraId="1FF198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“2101199”其他行政事业单位医疗支出0.</w:t>
      </w:r>
      <w:r>
        <w:rPr>
          <w:rFonts w:hint="eastAsia"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val="en-US" w:eastAsia="zh-CN"/>
        </w:rPr>
        <w:t>万元，主要用于缴纳单位承担的职工大病医疗补助。</w:t>
      </w:r>
    </w:p>
    <w:p w14:paraId="5C250F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“221”住房保障支出</w:t>
      </w:r>
      <w:r>
        <w:rPr>
          <w:rFonts w:hint="eastAsia" w:ascii="Times New Roman" w:hAnsi="Times New Roman" w:eastAsia="方正仿宋_GBK" w:cs="Times New Roman"/>
          <w:sz w:val="32"/>
          <w:szCs w:val="32"/>
          <w:lang w:val="en-US" w:eastAsia="zh-CN"/>
        </w:rPr>
        <w:t>11.30</w:t>
      </w:r>
      <w:r>
        <w:rPr>
          <w:rFonts w:hint="default" w:ascii="Times New Roman" w:hAnsi="Times New Roman" w:eastAsia="方正仿宋_GBK" w:cs="Times New Roman"/>
          <w:sz w:val="32"/>
          <w:szCs w:val="32"/>
          <w:lang w:val="en-US" w:eastAsia="zh-CN"/>
        </w:rPr>
        <w:t>万元，其中：</w:t>
      </w:r>
    </w:p>
    <w:p w14:paraId="0ABE88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“2210201”住房公积金支出</w:t>
      </w:r>
      <w:r>
        <w:rPr>
          <w:rFonts w:hint="eastAsia" w:ascii="Times New Roman" w:hAnsi="Times New Roman" w:eastAsia="方正仿宋_GBK" w:cs="Times New Roman"/>
          <w:sz w:val="32"/>
          <w:szCs w:val="32"/>
          <w:lang w:val="en-US" w:eastAsia="zh-CN"/>
        </w:rPr>
        <w:t>11.30</w:t>
      </w:r>
      <w:r>
        <w:rPr>
          <w:rFonts w:hint="default" w:ascii="Times New Roman" w:hAnsi="Times New Roman" w:eastAsia="方正仿宋_GBK" w:cs="Times New Roman"/>
          <w:sz w:val="32"/>
          <w:szCs w:val="32"/>
          <w:lang w:val="en-US" w:eastAsia="zh-CN"/>
        </w:rPr>
        <w:t>万元，主要用于为职工缴纳的住房公积金。</w:t>
      </w:r>
    </w:p>
    <w:p w14:paraId="59A55C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财政拨款安排支出按经济科目分类情况</w:t>
      </w:r>
      <w:r>
        <w:rPr>
          <w:rFonts w:hint="default" w:ascii="Times New Roman" w:hAnsi="Times New Roman" w:eastAsia="方正仿宋_GBK" w:cs="Times New Roman"/>
          <w:sz w:val="32"/>
          <w:szCs w:val="32"/>
          <w:lang w:eastAsia="zh-CN"/>
        </w:rPr>
        <w:t>：</w:t>
      </w:r>
    </w:p>
    <w:p w14:paraId="341A2E1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经济科目分组（其中：基本支出</w:t>
      </w:r>
      <w:r>
        <w:rPr>
          <w:rFonts w:hint="eastAsia" w:ascii="Times New Roman" w:hAnsi="Times New Roman" w:eastAsia="方正仿宋_GBK" w:cs="Times New Roman"/>
          <w:sz w:val="32"/>
          <w:szCs w:val="32"/>
          <w:lang w:val="en-US" w:eastAsia="zh-CN"/>
        </w:rPr>
        <w:t>192.76</w:t>
      </w:r>
      <w:r>
        <w:rPr>
          <w:rFonts w:hint="default" w:ascii="Times New Roman" w:hAnsi="Times New Roman" w:eastAsia="方正仿宋_GBK" w:cs="Times New Roman"/>
          <w:sz w:val="32"/>
          <w:szCs w:val="32"/>
        </w:rPr>
        <w:t>万元，项目支出</w:t>
      </w:r>
      <w:r>
        <w:rPr>
          <w:rFonts w:hint="default" w:ascii="Times New Roman" w:hAnsi="Times New Roman" w:eastAsia="方正仿宋_GBK" w:cs="Times New Roman"/>
          <w:sz w:val="32"/>
          <w:szCs w:val="32"/>
          <w:lang w:val="en-US" w:eastAsia="zh-CN"/>
        </w:rPr>
        <w:t>8.00</w:t>
      </w:r>
      <w:r>
        <w:rPr>
          <w:rFonts w:hint="default" w:ascii="Times New Roman" w:hAnsi="Times New Roman" w:eastAsia="方正仿宋_GBK" w:cs="Times New Roman"/>
          <w:sz w:val="32"/>
          <w:szCs w:val="32"/>
        </w:rPr>
        <w:t>万元）。</w:t>
      </w:r>
    </w:p>
    <w:p w14:paraId="343F528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按部门预算支出经济分类科目分，包含：（1）工资福利支出</w:t>
      </w:r>
      <w:r>
        <w:rPr>
          <w:rFonts w:hint="eastAsia" w:ascii="Times New Roman" w:hAnsi="Times New Roman" w:eastAsia="方正仿宋_GBK" w:cs="Times New Roman"/>
          <w:sz w:val="32"/>
          <w:szCs w:val="32"/>
          <w:lang w:val="en-US" w:eastAsia="zh-CN"/>
        </w:rPr>
        <w:t>123.79</w:t>
      </w:r>
      <w:r>
        <w:rPr>
          <w:rFonts w:hint="default" w:ascii="Times New Roman" w:hAnsi="Times New Roman" w:eastAsia="方正仿宋_GBK" w:cs="Times New Roman"/>
          <w:sz w:val="32"/>
          <w:szCs w:val="32"/>
        </w:rPr>
        <w:t>万元，其中：基本工资</w:t>
      </w:r>
      <w:r>
        <w:rPr>
          <w:rFonts w:hint="eastAsia" w:ascii="Times New Roman" w:hAnsi="Times New Roman" w:eastAsia="方正仿宋_GBK" w:cs="Times New Roman"/>
          <w:sz w:val="32"/>
          <w:szCs w:val="32"/>
          <w:lang w:val="en-US" w:eastAsia="zh-CN"/>
        </w:rPr>
        <w:t>32.69</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绩效工资12.77万元、</w:t>
      </w:r>
      <w:r>
        <w:rPr>
          <w:rFonts w:hint="default" w:ascii="Times New Roman" w:hAnsi="Times New Roman" w:eastAsia="方正仿宋_GBK" w:cs="Times New Roman"/>
          <w:sz w:val="32"/>
          <w:szCs w:val="32"/>
        </w:rPr>
        <w:t>津贴补贴</w:t>
      </w:r>
      <w:r>
        <w:rPr>
          <w:rFonts w:hint="default" w:ascii="Times New Roman" w:hAnsi="Times New Roman" w:eastAsia="方正仿宋_GBK" w:cs="Times New Roman"/>
          <w:sz w:val="32"/>
          <w:szCs w:val="32"/>
          <w:lang w:val="en-US" w:eastAsia="zh-CN"/>
        </w:rPr>
        <w:t>35.</w:t>
      </w:r>
      <w:r>
        <w:rPr>
          <w:rFonts w:hint="eastAsia" w:ascii="Times New Roman" w:hAnsi="Times New Roman" w:eastAsia="方正仿宋_GBK" w:cs="Times New Roman"/>
          <w:sz w:val="32"/>
          <w:szCs w:val="32"/>
          <w:lang w:val="en-US" w:eastAsia="zh-CN"/>
        </w:rPr>
        <w:t>64</w:t>
      </w:r>
      <w:r>
        <w:rPr>
          <w:rFonts w:hint="default" w:ascii="Times New Roman" w:hAnsi="Times New Roman" w:eastAsia="方正仿宋_GBK" w:cs="Times New Roman"/>
          <w:sz w:val="32"/>
          <w:szCs w:val="32"/>
        </w:rPr>
        <w:t>万元、机关事业单位基本养老保险缴费</w:t>
      </w:r>
      <w:r>
        <w:rPr>
          <w:rFonts w:hint="eastAsia" w:ascii="Times New Roman" w:hAnsi="Times New Roman" w:eastAsia="方正仿宋_GBK" w:cs="Times New Roman"/>
          <w:sz w:val="32"/>
          <w:szCs w:val="32"/>
          <w:lang w:val="en-US" w:eastAsia="zh-CN"/>
        </w:rPr>
        <w:t>13.29</w:t>
      </w:r>
      <w:r>
        <w:rPr>
          <w:rFonts w:hint="default" w:ascii="Times New Roman" w:hAnsi="Times New Roman" w:eastAsia="方正仿宋_GBK" w:cs="Times New Roman"/>
          <w:sz w:val="32"/>
          <w:szCs w:val="32"/>
        </w:rPr>
        <w:t>万元、职工基本医疗保险缴费</w:t>
      </w:r>
      <w:r>
        <w:rPr>
          <w:rFonts w:hint="eastAsia" w:ascii="Times New Roman" w:hAnsi="Times New Roman" w:eastAsia="方正仿宋_GBK" w:cs="Times New Roman"/>
          <w:sz w:val="32"/>
          <w:szCs w:val="32"/>
          <w:lang w:val="en-US" w:eastAsia="zh-CN"/>
        </w:rPr>
        <w:t>6.89</w:t>
      </w:r>
      <w:r>
        <w:rPr>
          <w:rFonts w:hint="default" w:ascii="Times New Roman" w:hAnsi="Times New Roman" w:eastAsia="方正仿宋_GBK" w:cs="Times New Roman"/>
          <w:sz w:val="32"/>
          <w:szCs w:val="32"/>
        </w:rPr>
        <w:t>万元、公务员医疗补助缴费</w:t>
      </w:r>
      <w:r>
        <w:rPr>
          <w:rFonts w:hint="default" w:ascii="Times New Roman" w:hAnsi="Times New Roman" w:eastAsia="方正仿宋_GBK" w:cs="Times New Roman"/>
          <w:sz w:val="32"/>
          <w:szCs w:val="32"/>
          <w:lang w:val="en-US" w:eastAsia="zh-CN"/>
        </w:rPr>
        <w:t>4.3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万元、其他社会保障缴费</w:t>
      </w:r>
      <w:r>
        <w:rPr>
          <w:rFonts w:hint="eastAsia"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万元、住房公积金</w:t>
      </w:r>
      <w:r>
        <w:rPr>
          <w:rFonts w:hint="eastAsia" w:ascii="Times New Roman" w:hAnsi="Times New Roman" w:eastAsia="方正仿宋_GBK" w:cs="Times New Roman"/>
          <w:sz w:val="32"/>
          <w:szCs w:val="32"/>
          <w:lang w:val="en-US" w:eastAsia="zh-CN"/>
        </w:rPr>
        <w:t>11.30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、其他工资福利支出</w:t>
      </w:r>
      <w:r>
        <w:rPr>
          <w:rFonts w:hint="eastAsia" w:ascii="Times New Roman" w:hAnsi="Times New Roman" w:eastAsia="方正仿宋_GBK" w:cs="Times New Roman"/>
          <w:sz w:val="32"/>
          <w:szCs w:val="32"/>
          <w:lang w:val="en-US" w:eastAsia="zh-CN"/>
        </w:rPr>
        <w:t>5.84</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；（2）商品和服务支出</w:t>
      </w:r>
      <w:r>
        <w:rPr>
          <w:rFonts w:hint="eastAsia" w:ascii="Times New Roman" w:hAnsi="Times New Roman" w:eastAsia="方正仿宋_GBK" w:cs="Times New Roman"/>
          <w:sz w:val="32"/>
          <w:szCs w:val="32"/>
          <w:lang w:val="en-US" w:eastAsia="zh-CN"/>
        </w:rPr>
        <w:t>24.60</w:t>
      </w:r>
      <w:r>
        <w:rPr>
          <w:rFonts w:hint="default" w:ascii="Times New Roman" w:hAnsi="Times New Roman" w:eastAsia="方正仿宋_GBK" w:cs="Times New Roman"/>
          <w:sz w:val="32"/>
          <w:szCs w:val="32"/>
        </w:rPr>
        <w:t>万元，其中：邮电费</w:t>
      </w:r>
      <w:r>
        <w:rPr>
          <w:rFonts w:hint="default" w:ascii="Times New Roman" w:hAnsi="Times New Roman" w:eastAsia="方正仿宋_GBK" w:cs="Times New Roman"/>
          <w:sz w:val="32"/>
          <w:szCs w:val="32"/>
          <w:lang w:val="en-US" w:eastAsia="zh-CN"/>
        </w:rPr>
        <w:t>0.20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办公费</w:t>
      </w:r>
      <w:r>
        <w:rPr>
          <w:rFonts w:hint="eastAsia" w:ascii="Times New Roman" w:hAnsi="Times New Roman" w:eastAsia="方正仿宋_GBK" w:cs="Times New Roman"/>
          <w:sz w:val="32"/>
          <w:szCs w:val="32"/>
          <w:lang w:val="en-US" w:eastAsia="zh-CN"/>
        </w:rPr>
        <w:t>4.24</w:t>
      </w:r>
      <w:r>
        <w:rPr>
          <w:rFonts w:hint="default" w:ascii="Times New Roman" w:hAnsi="Times New Roman" w:eastAsia="方正仿宋_GBK" w:cs="Times New Roman"/>
          <w:sz w:val="32"/>
          <w:szCs w:val="32"/>
        </w:rPr>
        <w:t>万元、差旅费</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其他商品和服务支出0.90万元、公务接待费0.30万元、</w:t>
      </w:r>
      <w:r>
        <w:rPr>
          <w:rFonts w:hint="default" w:ascii="Times New Roman" w:hAnsi="Times New Roman" w:eastAsia="方正仿宋_GBK" w:cs="Times New Roman"/>
          <w:sz w:val="32"/>
          <w:szCs w:val="32"/>
        </w:rPr>
        <w:t>工会经费</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奖金12.20万元、</w:t>
      </w:r>
      <w:r>
        <w:rPr>
          <w:rFonts w:hint="default" w:ascii="Times New Roman" w:hAnsi="Times New Roman" w:eastAsia="方正仿宋_GBK" w:cs="Times New Roman"/>
          <w:sz w:val="32"/>
          <w:szCs w:val="32"/>
        </w:rPr>
        <w:t>其他交通费用</w:t>
      </w:r>
      <w:r>
        <w:rPr>
          <w:rFonts w:hint="default" w:ascii="Times New Roman" w:hAnsi="Times New Roman" w:eastAsia="方正仿宋_GBK" w:cs="Times New Roman"/>
          <w:sz w:val="32"/>
          <w:szCs w:val="32"/>
          <w:lang w:val="en-US" w:eastAsia="zh-CN"/>
        </w:rPr>
        <w:t>5.28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（3）对个人和家庭的补助</w:t>
      </w:r>
      <w:r>
        <w:rPr>
          <w:rFonts w:hint="default" w:ascii="Times New Roman" w:hAnsi="Times New Roman" w:eastAsia="方正仿宋_GBK" w:cs="Times New Roman"/>
          <w:sz w:val="32"/>
          <w:szCs w:val="32"/>
          <w:lang w:val="en-US" w:eastAsia="zh-CN"/>
        </w:rPr>
        <w:t>4.32</w:t>
      </w:r>
      <w:r>
        <w:rPr>
          <w:rFonts w:hint="default" w:ascii="Times New Roman" w:hAnsi="Times New Roman" w:eastAsia="方正仿宋_GBK" w:cs="Times New Roman"/>
          <w:sz w:val="32"/>
          <w:szCs w:val="32"/>
        </w:rPr>
        <w:t>万元，其中：生活补助</w:t>
      </w:r>
      <w:r>
        <w:rPr>
          <w:rFonts w:hint="default" w:ascii="Times New Roman" w:hAnsi="Times New Roman" w:eastAsia="方正仿宋_GBK" w:cs="Times New Roman"/>
          <w:sz w:val="32"/>
          <w:szCs w:val="32"/>
          <w:lang w:val="en-US" w:eastAsia="zh-CN"/>
        </w:rPr>
        <w:t>4.32</w:t>
      </w:r>
      <w:r>
        <w:rPr>
          <w:rFonts w:hint="default" w:ascii="Times New Roman" w:hAnsi="Times New Roman" w:eastAsia="方正仿宋_GBK" w:cs="Times New Roman"/>
          <w:sz w:val="32"/>
          <w:szCs w:val="32"/>
        </w:rPr>
        <w:t>万元；（4）</w:t>
      </w:r>
      <w:r>
        <w:rPr>
          <w:rFonts w:hint="default" w:ascii="Times New Roman" w:hAnsi="Times New Roman" w:eastAsia="方正仿宋_GBK" w:cs="Times New Roman"/>
          <w:sz w:val="32"/>
          <w:szCs w:val="32"/>
          <w:lang w:eastAsia="zh-CN"/>
        </w:rPr>
        <w:t>其他人员支出</w:t>
      </w:r>
      <w:r>
        <w:rPr>
          <w:rFonts w:hint="default"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万元，其中：</w:t>
      </w:r>
      <w:r>
        <w:rPr>
          <w:rFonts w:hint="default" w:ascii="Times New Roman" w:hAnsi="Times New Roman" w:eastAsia="方正仿宋_GBK" w:cs="Times New Roman"/>
          <w:sz w:val="32"/>
          <w:szCs w:val="32"/>
          <w:lang w:eastAsia="zh-CN"/>
        </w:rPr>
        <w:t>其他工资福利支出</w:t>
      </w:r>
      <w:r>
        <w:rPr>
          <w:rFonts w:hint="default"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t>万元。</w:t>
      </w:r>
    </w:p>
    <w:p w14:paraId="4DE212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对下专项转移支付情况</w:t>
      </w:r>
    </w:p>
    <w:p w14:paraId="1AB849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（一）与中央配套事项</w:t>
      </w:r>
    </w:p>
    <w:p w14:paraId="582A1B03">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14:paraId="648B16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（二）按既定政策标准测算补助事项</w:t>
      </w:r>
    </w:p>
    <w:p w14:paraId="0BDF370C">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14:paraId="365153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（三）经济社会事业发展事项</w:t>
      </w:r>
    </w:p>
    <w:p w14:paraId="6B846C03">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无</w:t>
      </w:r>
    </w:p>
    <w:p w14:paraId="0F87673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六、政府采购预算情况</w:t>
      </w:r>
    </w:p>
    <w:p w14:paraId="4E6261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根据《中华人民共和国政府采购法》的有关规定，编制了政府采购预算，共涉及采购项目</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个，政府采购预算总额</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万元，其中：政府采购货物预算</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万元、政府采购服务预算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万元、政府采购工程预算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14:paraId="4C90B1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七、部门“三公”经费增减变化情况及原因说明</w:t>
      </w:r>
    </w:p>
    <w:p w14:paraId="249F184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通海县政务服务管理局</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年一般公共预算财政拨款“三公”经费预算合计</w:t>
      </w:r>
      <w:r>
        <w:rPr>
          <w:rFonts w:hint="default" w:ascii="Times New Roman" w:hAnsi="Times New Roman" w:eastAsia="方正仿宋_GBK" w:cs="Times New Roman"/>
          <w:sz w:val="32"/>
          <w:szCs w:val="32"/>
          <w:lang w:val="en-US" w:eastAsia="zh-CN"/>
        </w:rPr>
        <w:t>0.30</w:t>
      </w:r>
      <w:r>
        <w:rPr>
          <w:rFonts w:hint="default" w:ascii="Times New Roman" w:hAnsi="Times New Roman" w:eastAsia="方正仿宋_GBK" w:cs="Times New Roman"/>
          <w:sz w:val="32"/>
          <w:szCs w:val="32"/>
        </w:rPr>
        <w:t>万元，较上年</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%，具体变动情况如下：</w:t>
      </w:r>
    </w:p>
    <w:p w14:paraId="697C5E7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（一）因公出国（境）费</w:t>
      </w:r>
    </w:p>
    <w:p w14:paraId="1AEF77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通海县政务服务管理局</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年因公出国（境）费预算为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下降</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%，共计安排因公出国（境）团组</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个，因公出国（境）</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人次。</w:t>
      </w:r>
    </w:p>
    <w:p w14:paraId="057EE6E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与上年对比无变化</w:t>
      </w:r>
      <w:r>
        <w:rPr>
          <w:rFonts w:hint="default" w:ascii="Times New Roman" w:hAnsi="Times New Roman" w:eastAsia="方正仿宋_GBK" w:cs="Times New Roman"/>
          <w:sz w:val="32"/>
          <w:szCs w:val="32"/>
        </w:rPr>
        <w:t>。</w:t>
      </w:r>
    </w:p>
    <w:p w14:paraId="7565C8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（二）公务接待费</w:t>
      </w:r>
    </w:p>
    <w:p w14:paraId="447BE43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通海县政务服务管理局</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年公务接待费预算为</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万元，较上年</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增长</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%，国内公务接待批次为</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次，共计接待</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人次</w:t>
      </w:r>
      <w:r>
        <w:rPr>
          <w:rFonts w:hint="default" w:ascii="Times New Roman" w:hAnsi="Times New Roman" w:eastAsia="方正仿宋_GBK" w:cs="Times New Roman"/>
          <w:sz w:val="32"/>
          <w:szCs w:val="32"/>
          <w:lang w:eastAsia="zh-CN"/>
        </w:rPr>
        <w:t>。</w:t>
      </w:r>
    </w:p>
    <w:p w14:paraId="4B5045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原因主要</w:t>
      </w:r>
      <w:r>
        <w:rPr>
          <w:rFonts w:hint="default" w:ascii="Times New Roman" w:hAnsi="Times New Roman" w:eastAsia="方正仿宋_GBK" w:cs="Times New Roman"/>
          <w:sz w:val="32"/>
          <w:szCs w:val="32"/>
          <w:lang w:eastAsia="zh-CN"/>
        </w:rPr>
        <w:t>是市政务服务管理局加大对县政务服务管理局的督查，每个季度至少一次实地督查</w:t>
      </w:r>
      <w:r>
        <w:rPr>
          <w:rFonts w:hint="default" w:ascii="Times New Roman" w:hAnsi="Times New Roman" w:eastAsia="方正仿宋_GBK" w:cs="Times New Roman"/>
          <w:sz w:val="32"/>
          <w:szCs w:val="32"/>
        </w:rPr>
        <w:t>。</w:t>
      </w:r>
    </w:p>
    <w:p w14:paraId="0899A5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（三）公务用车购置及运行维护费</w:t>
      </w:r>
    </w:p>
    <w:p w14:paraId="40B1961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通海县政务服务管理局</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年公务用车购置及运行维护费为</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%。其中：公务用车购置费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%；公务用车运行维护费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万元，较上年增加</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%。共计购置公务用车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辆，年末公务用车保有量为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14:paraId="05A6BA8C">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与上年对比无变化。</w:t>
      </w:r>
    </w:p>
    <w:p w14:paraId="7E0DB9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八、重点项目预算绩效目标情况</w:t>
      </w:r>
    </w:p>
    <w:p w14:paraId="0B027F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通海县政务服务管理局</w:t>
      </w:r>
      <w:r>
        <w:rPr>
          <w:rFonts w:hint="default" w:ascii="Times New Roman" w:hAnsi="Times New Roman" w:eastAsia="方正仿宋_GBK" w:cs="Times New Roman"/>
          <w:sz w:val="32"/>
          <w:szCs w:val="32"/>
        </w:rPr>
        <w:t>部门重点项目预算的绩效目标</w:t>
      </w:r>
      <w:r>
        <w:rPr>
          <w:rFonts w:hint="default" w:ascii="Times New Roman" w:hAnsi="Times New Roman" w:eastAsia="方正仿宋_GBK" w:cs="Times New Roman"/>
          <w:sz w:val="32"/>
          <w:szCs w:val="32"/>
          <w:lang w:eastAsia="zh-CN"/>
        </w:rPr>
        <w:t>共一个，</w:t>
      </w:r>
      <w:r>
        <w:rPr>
          <w:rFonts w:hint="default" w:ascii="Times New Roman" w:hAnsi="Times New Roman" w:eastAsia="方正仿宋_GBK" w:cs="Times New Roman"/>
          <w:sz w:val="32"/>
          <w:szCs w:val="32"/>
        </w:rPr>
        <w:t>预算的专项经费</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8.00万元。</w:t>
      </w:r>
    </w:p>
    <w:p w14:paraId="050ADD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重点项目</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rPr>
        <w:t>一站式惠民平台运行经费项目</w:t>
      </w:r>
    </w:p>
    <w:p w14:paraId="33CEDC1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一站式惠民平台运行经费项目</w:t>
      </w:r>
      <w:r>
        <w:rPr>
          <w:rFonts w:hint="default"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lang w:val="en-US" w:eastAsia="zh-CN"/>
        </w:rPr>
        <w:t>8.00万元，本项目主要是政务服务大厅的正常运行费用，包括：办公费0.72万元、水费1.</w:t>
      </w:r>
      <w:r>
        <w:rPr>
          <w:rFonts w:hint="eastAsia"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lang w:val="en-US" w:eastAsia="zh-CN"/>
        </w:rPr>
        <w:t>万元、电费</w:t>
      </w:r>
      <w:r>
        <w:rPr>
          <w:rFonts w:hint="eastAsia" w:ascii="Times New Roman" w:hAnsi="Times New Roman" w:eastAsia="方正仿宋_GBK" w:cs="Times New Roman"/>
          <w:sz w:val="32"/>
          <w:szCs w:val="32"/>
          <w:lang w:val="en-US" w:eastAsia="zh-CN"/>
        </w:rPr>
        <w:t>3.70</w:t>
      </w:r>
      <w:r>
        <w:rPr>
          <w:rFonts w:hint="default" w:ascii="Times New Roman" w:hAnsi="Times New Roman" w:eastAsia="方正仿宋_GBK" w:cs="Times New Roman"/>
          <w:sz w:val="32"/>
          <w:szCs w:val="32"/>
          <w:lang w:val="en-US" w:eastAsia="zh-CN"/>
        </w:rPr>
        <w:t>万元、物业管理费</w:t>
      </w:r>
      <w:r>
        <w:rPr>
          <w:rFonts w:hint="eastAsia" w:ascii="Times New Roman" w:hAnsi="Times New Roman" w:eastAsia="方正仿宋_GBK" w:cs="Times New Roman"/>
          <w:sz w:val="32"/>
          <w:szCs w:val="32"/>
          <w:lang w:val="en-US" w:eastAsia="zh-CN"/>
        </w:rPr>
        <w:t>0.81</w:t>
      </w:r>
      <w:r>
        <w:rPr>
          <w:rFonts w:hint="default" w:ascii="Times New Roman" w:hAnsi="Times New Roman" w:eastAsia="方正仿宋_GBK" w:cs="Times New Roman"/>
          <w:sz w:val="32"/>
          <w:szCs w:val="32"/>
          <w:lang w:val="en-US" w:eastAsia="zh-CN"/>
        </w:rPr>
        <w:t>万元、维修费</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.30万元。</w:t>
      </w:r>
      <w:r>
        <w:rPr>
          <w:rFonts w:hint="default" w:ascii="Times New Roman" w:hAnsi="Times New Roman" w:eastAsia="方正仿宋_GBK" w:cs="Times New Roman"/>
          <w:sz w:val="32"/>
          <w:szCs w:val="32"/>
          <w:lang w:eastAsia="zh-CN"/>
        </w:rPr>
        <w:t>项目预算绩效</w:t>
      </w:r>
      <w:r>
        <w:rPr>
          <w:rFonts w:hint="default" w:ascii="Times New Roman" w:hAnsi="Times New Roman" w:eastAsia="方正仿宋_GBK" w:cs="Times New Roman"/>
          <w:sz w:val="32"/>
          <w:szCs w:val="32"/>
        </w:rPr>
        <w:t>目标明确：1、建立安全、可靠、高效、快捷的通海县“一站式惠民”服务平台，实现日常办公、信息数据交换及共享等交易服务需求，提高管理效率；2、建立健全“一站式惠民”服务平台，为方便群众办事、优化营商环境、规范行政审批，3、加快行政审批流程提供保障；4、根据窗口人员情况及相关设备使用情况，定期进行维护保养，保证单位业务正常运转，更好地为“一站式惠民”服务平台提供更好的保障。通过“一站式惠民”服务平台更好地为通海县群众服务，提升通海的营商环境。</w:t>
      </w:r>
    </w:p>
    <w:p w14:paraId="0575255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九、其他公开信息</w:t>
      </w:r>
    </w:p>
    <w:p w14:paraId="65186C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（一）专业名词解释</w:t>
      </w:r>
    </w:p>
    <w:p w14:paraId="761B56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财政预算收入：国务院税收主管部门和其他部门组织的各项税收入及纳入国家预算专项收入和各项行政事业收入、各部门罚没收入、其他收入等收入的总和。</w:t>
      </w:r>
    </w:p>
    <w:p w14:paraId="55BAB9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一般公共预算收入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4FA7230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一般公共预算支出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62EBF9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机关运行经费：行政单位和参照公务员法管理的事业单位使用一般公共预算财政拨款安排的除人员经费以外的基本支出。</w:t>
      </w:r>
    </w:p>
    <w:p w14:paraId="7AA852C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三公经费：公款接待费、公务用车运行维护费、因公出国（境）费。</w:t>
      </w:r>
    </w:p>
    <w:p w14:paraId="13BCC99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（二）机关运行经费安排变化情况及原因说明</w:t>
      </w:r>
    </w:p>
    <w:p w14:paraId="77D149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通海县政务服务管理局202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年机关运行经费安排</w:t>
      </w:r>
      <w:r>
        <w:rPr>
          <w:rFonts w:hint="eastAsia" w:ascii="Times New Roman" w:hAnsi="Times New Roman" w:eastAsia="方正仿宋_GBK" w:cs="Times New Roman"/>
          <w:sz w:val="32"/>
          <w:szCs w:val="32"/>
          <w:lang w:val="en-US" w:eastAsia="zh-CN"/>
        </w:rPr>
        <w:t>17.04</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其中：邮电费</w:t>
      </w:r>
      <w:r>
        <w:rPr>
          <w:rFonts w:hint="default" w:ascii="Times New Roman" w:hAnsi="Times New Roman" w:eastAsia="方正仿宋_GBK" w:cs="Times New Roman"/>
          <w:sz w:val="32"/>
          <w:szCs w:val="32"/>
          <w:lang w:val="en-US" w:eastAsia="zh-CN"/>
        </w:rPr>
        <w:t>0.20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办公费</w:t>
      </w:r>
      <w:r>
        <w:rPr>
          <w:rFonts w:hint="eastAsia" w:ascii="Times New Roman" w:hAnsi="Times New Roman" w:eastAsia="方正仿宋_GBK" w:cs="Times New Roman"/>
          <w:sz w:val="32"/>
          <w:szCs w:val="32"/>
          <w:lang w:val="en-US" w:eastAsia="zh-CN"/>
        </w:rPr>
        <w:t>4.24</w:t>
      </w:r>
      <w:r>
        <w:rPr>
          <w:rFonts w:hint="default" w:ascii="Times New Roman" w:hAnsi="Times New Roman" w:eastAsia="方正仿宋_GBK" w:cs="Times New Roman"/>
          <w:sz w:val="32"/>
          <w:szCs w:val="32"/>
        </w:rPr>
        <w:t>万元、差旅费</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工会经费</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万元、福利费</w:t>
      </w:r>
      <w:r>
        <w:rPr>
          <w:rFonts w:hint="eastAsia" w:ascii="Times New Roman" w:hAnsi="Times New Roman" w:eastAsia="方正仿宋_GBK" w:cs="Times New Roman"/>
          <w:sz w:val="32"/>
          <w:szCs w:val="32"/>
          <w:lang w:val="en-US" w:eastAsia="zh-CN"/>
        </w:rPr>
        <w:t>5.84</w:t>
      </w:r>
      <w:r>
        <w:rPr>
          <w:rFonts w:hint="default" w:ascii="Times New Roman" w:hAnsi="Times New Roman" w:eastAsia="方正仿宋_GBK" w:cs="Times New Roman"/>
          <w:sz w:val="32"/>
          <w:szCs w:val="32"/>
        </w:rPr>
        <w:t>万元、其他交通费用</w:t>
      </w:r>
      <w:r>
        <w:rPr>
          <w:rFonts w:hint="default" w:ascii="Times New Roman" w:hAnsi="Times New Roman" w:eastAsia="方正仿宋_GBK" w:cs="Times New Roman"/>
          <w:sz w:val="32"/>
          <w:szCs w:val="32"/>
          <w:lang w:val="en-US" w:eastAsia="zh-CN"/>
        </w:rPr>
        <w:t>5.28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与上年对比</w:t>
      </w:r>
      <w:r>
        <w:rPr>
          <w:rFonts w:hint="eastAsia" w:ascii="Times New Roman" w:hAnsi="Times New Roman" w:eastAsia="方正仿宋_GBK" w:cs="Times New Roman"/>
          <w:sz w:val="32"/>
          <w:szCs w:val="32"/>
          <w:lang w:val="en-US" w:eastAsia="zh-CN"/>
        </w:rPr>
        <w:t>增加6.00</w:t>
      </w:r>
      <w:r>
        <w:rPr>
          <w:rFonts w:hint="default" w:ascii="Times New Roman" w:hAnsi="Times New Roman" w:eastAsia="方正仿宋_GBK" w:cs="Times New Roman"/>
          <w:sz w:val="32"/>
          <w:szCs w:val="32"/>
          <w:lang w:val="en-US" w:eastAsia="zh-CN"/>
        </w:rPr>
        <w:t>万元，</w:t>
      </w:r>
      <w:r>
        <w:rPr>
          <w:rFonts w:hint="eastAsia" w:ascii="Times New Roman" w:hAnsi="Times New Roman" w:eastAsia="方正仿宋_GBK" w:cs="Times New Roman"/>
          <w:sz w:val="32"/>
          <w:szCs w:val="32"/>
          <w:lang w:val="en-US" w:eastAsia="zh-CN"/>
        </w:rPr>
        <w:t>增长54.34%。</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eastAsia="zh-CN"/>
        </w:rPr>
        <w:t>本年度</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eastAsia="zh-CN"/>
        </w:rPr>
        <w:t>人员</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lang w:val="en-US" w:eastAsia="zh-CN"/>
        </w:rPr>
        <w:t>人员工资</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和相应的办公经费</w:t>
      </w:r>
      <w:r>
        <w:rPr>
          <w:rFonts w:hint="eastAsia" w:ascii="Times New Roman" w:hAnsi="Times New Roman" w:eastAsia="方正仿宋_GBK" w:cs="Times New Roman"/>
          <w:sz w:val="32"/>
          <w:szCs w:val="32"/>
          <w:lang w:val="en-US" w:eastAsia="zh-CN"/>
        </w:rPr>
        <w:t>增加。</w:t>
      </w:r>
    </w:p>
    <w:p w14:paraId="4833595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（三）国有资产占有使用情况</w:t>
      </w:r>
    </w:p>
    <w:p w14:paraId="5C18BF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截至202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年12月31日，通海县政务服务管理局资产总额</w:t>
      </w:r>
      <w:r>
        <w:rPr>
          <w:rFonts w:hint="eastAsia" w:ascii="Times New Roman" w:hAnsi="Times New Roman" w:eastAsia="方正仿宋_GBK" w:cs="Times New Roman"/>
          <w:sz w:val="32"/>
          <w:szCs w:val="32"/>
          <w:lang w:val="en-US" w:eastAsia="zh-CN"/>
        </w:rPr>
        <w:t>13.39</w:t>
      </w:r>
      <w:r>
        <w:rPr>
          <w:rFonts w:hint="default" w:ascii="Times New Roman" w:hAnsi="Times New Roman" w:eastAsia="方正仿宋_GBK" w:cs="Times New Roman"/>
          <w:sz w:val="32"/>
          <w:szCs w:val="32"/>
          <w:lang w:val="en-US" w:eastAsia="zh-CN"/>
        </w:rPr>
        <w:t>万元，其中，流动资产</w:t>
      </w:r>
      <w:r>
        <w:rPr>
          <w:rFonts w:hint="eastAsia" w:ascii="Times New Roman" w:hAnsi="Times New Roman" w:eastAsia="方正仿宋_GBK" w:cs="Times New Roman"/>
          <w:sz w:val="32"/>
          <w:szCs w:val="32"/>
          <w:lang w:val="en-US" w:eastAsia="zh-CN"/>
        </w:rPr>
        <w:t>0.74</w:t>
      </w:r>
      <w:r>
        <w:rPr>
          <w:rFonts w:hint="default" w:ascii="Times New Roman" w:hAnsi="Times New Roman" w:eastAsia="方正仿宋_GBK" w:cs="Times New Roman"/>
          <w:sz w:val="32"/>
          <w:szCs w:val="32"/>
          <w:lang w:val="en-US" w:eastAsia="zh-CN"/>
        </w:rPr>
        <w:t>万元，固定资产</w:t>
      </w:r>
      <w:r>
        <w:rPr>
          <w:rFonts w:hint="eastAsia" w:ascii="Times New Roman" w:hAnsi="Times New Roman" w:eastAsia="方正仿宋_GBK" w:cs="Times New Roman"/>
          <w:sz w:val="32"/>
          <w:szCs w:val="32"/>
          <w:lang w:val="en-US" w:eastAsia="zh-CN"/>
        </w:rPr>
        <w:t>12.65</w:t>
      </w:r>
      <w:r>
        <w:rPr>
          <w:rFonts w:hint="default" w:ascii="Times New Roman" w:hAnsi="Times New Roman" w:eastAsia="方正仿宋_GBK" w:cs="Times New Roman"/>
          <w:sz w:val="32"/>
          <w:szCs w:val="32"/>
          <w:lang w:val="en-US" w:eastAsia="zh-CN"/>
        </w:rPr>
        <w:t>万元，对外投资及有价证券0.00万元，在建工程0.00万元，无形资产0.00万元，其他资产0.00万元。与上年相比，本年资产总额减少</w:t>
      </w:r>
      <w:r>
        <w:rPr>
          <w:rFonts w:hint="eastAsia" w:ascii="Times New Roman" w:hAnsi="Times New Roman" w:eastAsia="方正仿宋_GBK" w:cs="Times New Roman"/>
          <w:sz w:val="32"/>
          <w:szCs w:val="32"/>
          <w:lang w:val="en-US" w:eastAsia="zh-CN"/>
        </w:rPr>
        <w:t>3.09</w:t>
      </w:r>
      <w:r>
        <w:rPr>
          <w:rFonts w:hint="default" w:ascii="Times New Roman" w:hAnsi="Times New Roman" w:eastAsia="方正仿宋_GBK" w:cs="Times New Roman"/>
          <w:sz w:val="32"/>
          <w:szCs w:val="32"/>
          <w:lang w:val="en-US" w:eastAsia="zh-CN"/>
        </w:rPr>
        <w:t>万元，其中固定资产减少</w:t>
      </w:r>
      <w:r>
        <w:rPr>
          <w:rFonts w:hint="eastAsia" w:ascii="Times New Roman" w:hAnsi="Times New Roman" w:eastAsia="方正仿宋_GBK" w:cs="Times New Roman"/>
          <w:sz w:val="32"/>
          <w:szCs w:val="32"/>
          <w:lang w:val="en-US" w:eastAsia="zh-CN"/>
        </w:rPr>
        <w:t>2.72</w:t>
      </w:r>
      <w:r>
        <w:rPr>
          <w:rFonts w:hint="default" w:ascii="Times New Roman" w:hAnsi="Times New Roman" w:eastAsia="方正仿宋_GBK" w:cs="Times New Roman"/>
          <w:sz w:val="32"/>
          <w:szCs w:val="32"/>
          <w:lang w:val="en-US" w:eastAsia="zh-CN"/>
        </w:rPr>
        <w:t>万元。处置房屋建筑物0.00平方米，账面原值0.00万元；处置车辆0辆，账面原值0.00万元；报废报损资产0项，账面原值0.00万元，实现资产处置收入0.00万元；资产使用收入0.00万元，其中出租资产0.00平方米，资产出租收入0.00万元。鉴于截至2023年12月31日的国有资产占有使用精准数据，需在完成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年决算编制后才能汇总，此处公开为202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月资产月报数据。</w:t>
      </w:r>
    </w:p>
    <w:p w14:paraId="6C7E43E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031ECA14">
      <w:pPr>
        <w:rPr>
          <w:rFonts w:ascii="Arial" w:hAnsi="Arial" w:eastAsia="Arial" w:cs="Arial"/>
          <w:b/>
          <w:sz w:val="36"/>
        </w:rPr>
      </w:pPr>
    </w:p>
    <w:p w14:paraId="4679115A">
      <w:pPr>
        <w:rPr>
          <w:rFonts w:ascii="Arial" w:hAnsi="Arial" w:eastAsia="Arial" w:cs="Arial"/>
          <w:b/>
          <w:sz w:val="36"/>
        </w:rPr>
      </w:pPr>
      <w:r>
        <w:rPr>
          <w:rFonts w:ascii="Arial" w:hAnsi="Arial" w:eastAsia="Arial" w:cs="Arial"/>
          <w:b/>
          <w:sz w:val="36"/>
        </w:rPr>
        <w:t>监督索引号53042300143400200111</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BB2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884A5">
                          <w:pPr>
                            <w:pStyle w:val="4"/>
                            <w:rPr>
                              <w:rFonts w:hint="eastAsia" w:ascii="宋体" w:hAnsi="宋体"/>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rPr>
                            <w:t>2</w:t>
                          </w:r>
                          <w:r>
                            <w:rPr>
                              <w:rFonts w:hint="eastAsia" w:ascii="宋体" w:hAnsi="宋体"/>
                              <w:sz w:val="28"/>
                            </w:rPr>
                            <w:fldChar w:fldCharType="end"/>
                          </w:r>
                          <w:r>
                            <w:rPr>
                              <w:rFonts w:hint="eastAsia" w:ascii="宋体" w:hAnsi="宋体"/>
                              <w:sz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EA884A5">
                    <w:pPr>
                      <w:pStyle w:val="4"/>
                      <w:rPr>
                        <w:rFonts w:hint="eastAsia" w:ascii="宋体" w:hAnsi="宋体"/>
                        <w:sz w:val="28"/>
                      </w:rPr>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rPr>
                      <w:t>2</w:t>
                    </w:r>
                    <w:r>
                      <w:rPr>
                        <w:rFonts w:hint="eastAsia" w:ascii="宋体" w:hAnsi="宋体"/>
                        <w:sz w:val="28"/>
                      </w:rPr>
                      <w:fldChar w:fldCharType="end"/>
                    </w:r>
                    <w:r>
                      <w:rPr>
                        <w:rFonts w:hint="eastAsia"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xM2U2MDhiNWMxMGFmN2E1YTFkZTdkYmQ5MjU4YzAifQ=="/>
    <w:docVar w:name="KSO_WPS_MARK_KEY" w:val="f5467326-60ca-43cd-956c-52dc77e600d3"/>
  </w:docVars>
  <w:rsids>
    <w:rsidRoot w:val="1C71009F"/>
    <w:rsid w:val="01995600"/>
    <w:rsid w:val="11A2456B"/>
    <w:rsid w:val="1621268B"/>
    <w:rsid w:val="16284755"/>
    <w:rsid w:val="172B715D"/>
    <w:rsid w:val="17E26BD6"/>
    <w:rsid w:val="18FA4755"/>
    <w:rsid w:val="1B5C6764"/>
    <w:rsid w:val="1C71009F"/>
    <w:rsid w:val="20553F9B"/>
    <w:rsid w:val="210668C5"/>
    <w:rsid w:val="215C2177"/>
    <w:rsid w:val="225F18B9"/>
    <w:rsid w:val="25441DB3"/>
    <w:rsid w:val="263F09D0"/>
    <w:rsid w:val="27993D39"/>
    <w:rsid w:val="28545C4B"/>
    <w:rsid w:val="2B9378AA"/>
    <w:rsid w:val="2F1C4D13"/>
    <w:rsid w:val="2FB52988"/>
    <w:rsid w:val="3037758C"/>
    <w:rsid w:val="33F92BBB"/>
    <w:rsid w:val="35583CDE"/>
    <w:rsid w:val="3DB121B9"/>
    <w:rsid w:val="3E6252B7"/>
    <w:rsid w:val="40E154B1"/>
    <w:rsid w:val="40F53B4E"/>
    <w:rsid w:val="413B0378"/>
    <w:rsid w:val="41596145"/>
    <w:rsid w:val="422460AF"/>
    <w:rsid w:val="42BB4917"/>
    <w:rsid w:val="43591D00"/>
    <w:rsid w:val="444E1BE6"/>
    <w:rsid w:val="46937985"/>
    <w:rsid w:val="4CC50B32"/>
    <w:rsid w:val="4FC026F6"/>
    <w:rsid w:val="4FDE1F15"/>
    <w:rsid w:val="50785712"/>
    <w:rsid w:val="53581B74"/>
    <w:rsid w:val="54352DC7"/>
    <w:rsid w:val="5817756A"/>
    <w:rsid w:val="591A3834"/>
    <w:rsid w:val="5A407C0B"/>
    <w:rsid w:val="640C3B31"/>
    <w:rsid w:val="6691124C"/>
    <w:rsid w:val="69A46EBD"/>
    <w:rsid w:val="6D943E4C"/>
    <w:rsid w:val="6F255735"/>
    <w:rsid w:val="6F7D1EC3"/>
    <w:rsid w:val="73146F25"/>
    <w:rsid w:val="74275AAB"/>
    <w:rsid w:val="7753068F"/>
    <w:rsid w:val="77B05DB7"/>
    <w:rsid w:val="77DF15EF"/>
    <w:rsid w:val="7BBC1470"/>
    <w:rsid w:val="7CAE09E5"/>
    <w:rsid w:val="7DB805BF"/>
    <w:rsid w:val="7F810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宋体"/>
      <w:sz w:val="28"/>
      <w:szCs w:val="28"/>
    </w:rPr>
  </w:style>
  <w:style w:type="paragraph" w:styleId="3">
    <w:name w:val="Body Text"/>
    <w:basedOn w:val="1"/>
    <w:unhideWhenUsed/>
    <w:qFormat/>
    <w:uiPriority w:val="0"/>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13</Pages>
  <Words>4834</Words>
  <Characters>5545</Characters>
  <Lines>0</Lines>
  <Paragraphs>0</Paragraphs>
  <TotalTime>35</TotalTime>
  <ScaleCrop>false</ScaleCrop>
  <LinksUpToDate>false</LinksUpToDate>
  <CharactersWithSpaces>5549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2024-01-23T10:05:00Z</dcterms:created>
  <dc:creator>清风明月</dc:creator>
  <cp:lastModifiedBy>邹跃鹏</cp:lastModifiedBy>
  <cp:lastPrinted>2024-01-29T06:35:00Z</cp:lastPrinted>
  <dcterms:modified xsi:type="dcterms:W3CDTF">2025-01-23T07:56:28Z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EBF9DAE8020747939D7CFAF27F933B60_11</vt:lpwstr>
  </property>
  <property fmtid="{D5CDD505-2E9C-101B-9397-08002B2CF9AE}" pid="3" name="KSOProductBuildVer">
    <vt:lpwstr>2052-12.1.0.17827</vt:lpwstr>
  </property>
  <property fmtid="{D5CDD505-2E9C-101B-9397-08002B2CF9AE}" pid="4" name="KSOTemplateDocerSaveRecord">
    <vt:lpwstr>eyJoZGlkIjoiYTA2MWVmNDBmODVjZDI0ODBkMzE0NWViMmZhMjQ5OTMiLCJ1c2VySWQiOiI0NDU4Nzg2NjYifQ==</vt:lpwstr>
  </property>
</Properties>
</file>