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D6D4">
      <w:pPr>
        <w:snapToGrid w:val="0"/>
        <w:spacing w:line="570" w:lineRule="exact"/>
        <w:jc w:val="both"/>
        <w:rPr>
          <w:rFonts w:hint="eastAsia" w:ascii="方正小标宋简体" w:hAnsi="华文中宋" w:eastAsia="方正小标宋简体"/>
          <w:color w:val="auto"/>
          <w:spacing w:val="14"/>
          <w:sz w:val="44"/>
          <w:szCs w:val="44"/>
          <w:highlight w:val="none"/>
          <w:lang w:val="en-US" w:eastAsia="zh-CN"/>
        </w:rPr>
      </w:pPr>
    </w:p>
    <w:p w14:paraId="59878663">
      <w:pPr>
        <w:snapToGrid w:val="0"/>
        <w:spacing w:line="570" w:lineRule="exact"/>
        <w:jc w:val="center"/>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通海县交通运输局</w:t>
      </w:r>
      <w:r>
        <w:rPr>
          <w:rFonts w:hint="eastAsia" w:ascii="方正小标宋简体" w:eastAsia="方正小标宋简体"/>
          <w:sz w:val="44"/>
          <w:szCs w:val="44"/>
          <w:lang w:val="en-US" w:eastAsia="zh-CN"/>
        </w:rPr>
        <w:t>2025</w:t>
      </w:r>
      <w:r>
        <w:rPr>
          <w:rFonts w:hint="eastAsia" w:ascii="方正小标宋简体" w:eastAsia="方正小标宋简体"/>
          <w:sz w:val="44"/>
          <w:szCs w:val="44"/>
          <w:lang w:eastAsia="zh-CN"/>
        </w:rPr>
        <w:t>年部门</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5E84C9AB">
      <w:pPr>
        <w:snapToGrid w:val="0"/>
        <w:spacing w:line="570" w:lineRule="exact"/>
        <w:jc w:val="center"/>
        <w:rPr>
          <w:rFonts w:hint="eastAsia" w:ascii="方正小标宋简体" w:hAnsi="华文中宋" w:eastAsia="方正小标宋简体"/>
          <w:color w:val="auto"/>
          <w:spacing w:val="14"/>
          <w:sz w:val="44"/>
          <w:szCs w:val="44"/>
          <w:highlight w:val="none"/>
          <w:lang w:eastAsia="zh-CN"/>
        </w:rPr>
      </w:pPr>
    </w:p>
    <w:p w14:paraId="396EE14C">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eastAsia="仿宋_GB2312"/>
          <w:color w:val="auto"/>
          <w:kern w:val="0"/>
          <w:sz w:val="32"/>
          <w:szCs w:val="32"/>
          <w:highlight w:val="none"/>
          <w:lang w:val="en-US" w:eastAsia="zh-CN"/>
        </w:rPr>
      </w:pPr>
      <w:r>
        <w:rPr>
          <w:rFonts w:hint="eastAsia" w:ascii="黑体" w:hAnsi="黑体" w:eastAsia="黑体"/>
          <w:color w:val="auto"/>
          <w:kern w:val="0"/>
          <w:sz w:val="32"/>
          <w:szCs w:val="32"/>
          <w:highlight w:val="none"/>
          <w:lang w:eastAsia="zh-CN"/>
        </w:rPr>
        <w:t>项目名称</w:t>
      </w:r>
    </w:p>
    <w:p w14:paraId="3A97F62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弥玉高速公路通海县境内服务区风貌提升项目补助资金。</w:t>
      </w:r>
    </w:p>
    <w:p w14:paraId="6E03F73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立项依据</w:t>
      </w:r>
    </w:p>
    <w:p w14:paraId="665169B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依据</w:t>
      </w:r>
      <w:r>
        <w:rPr>
          <w:rFonts w:hint="default" w:eastAsia="仿宋_GB2312" w:cs="Times New Roman"/>
          <w:sz w:val="32"/>
          <w:szCs w:val="32"/>
          <w:lang w:val="en-US" w:eastAsia="zh-CN"/>
        </w:rPr>
        <w:t>通海县十七届人民政府第</w:t>
      </w:r>
      <w:r>
        <w:rPr>
          <w:rFonts w:hint="eastAsia" w:eastAsia="仿宋_GB2312" w:cs="Times New Roman"/>
          <w:sz w:val="32"/>
          <w:szCs w:val="32"/>
          <w:lang w:val="en-US" w:eastAsia="zh-CN"/>
        </w:rPr>
        <w:t>21</w:t>
      </w:r>
      <w:r>
        <w:rPr>
          <w:rFonts w:hint="default" w:eastAsia="仿宋_GB2312" w:cs="Times New Roman"/>
          <w:sz w:val="32"/>
          <w:szCs w:val="32"/>
          <w:lang w:val="en-US" w:eastAsia="zh-CN"/>
        </w:rPr>
        <w:t>次常务会议纪要</w:t>
      </w:r>
      <w:r>
        <w:rPr>
          <w:rFonts w:hint="eastAsia" w:eastAsia="仿宋_GB2312" w:cs="Times New Roman"/>
          <w:sz w:val="32"/>
          <w:szCs w:val="32"/>
          <w:lang w:val="en-US" w:eastAsia="zh-CN"/>
        </w:rPr>
        <w:t>精神，</w:t>
      </w:r>
      <w:r>
        <w:rPr>
          <w:rFonts w:hint="eastAsia" w:ascii="Times New Roman" w:hAnsi="Times New Roman" w:eastAsia="方正仿宋_GBK" w:cs="方正仿宋_GBK"/>
          <w:color w:val="auto"/>
          <w:sz w:val="32"/>
          <w:szCs w:val="40"/>
          <w:lang w:eastAsia="zh-CN"/>
        </w:rPr>
        <w:t>按照《弥玉高速公路通海县境内服务区风貌提升建设工程补助协议》相关约定，补助弥玉公司700万元，用于弥玉高速公路通海县境内服务区风貌提升建设工程改造。</w:t>
      </w:r>
    </w:p>
    <w:p w14:paraId="19BCB2E6">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方正仿宋_GBK" w:cs="方正仿宋_GBK"/>
          <w:b w:val="0"/>
          <w:color w:val="auto"/>
          <w:kern w:val="2"/>
          <w:sz w:val="32"/>
          <w:szCs w:val="40"/>
          <w:lang w:val="en-US" w:eastAsia="zh-CN" w:bidi="ar-SA"/>
        </w:rPr>
      </w:pPr>
      <w:r>
        <w:rPr>
          <w:rFonts w:hint="eastAsia" w:ascii="黑体" w:hAnsi="黑体" w:eastAsia="黑体" w:cs="黑体"/>
          <w:color w:val="auto"/>
          <w:kern w:val="0"/>
          <w:sz w:val="32"/>
          <w:szCs w:val="32"/>
          <w:highlight w:val="none"/>
          <w:lang w:eastAsia="zh-CN"/>
        </w:rPr>
        <w:t>项目实施单位</w:t>
      </w:r>
    </w:p>
    <w:p w14:paraId="1936368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通海县人民政府。</w:t>
      </w:r>
    </w:p>
    <w:p w14:paraId="1D0111E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14:paraId="33505DB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国高网G8012弥勒至玉溪高速公路PPP项目玉溪市境内涉及里程74.6km，总投资161.50亿元，其中沿线服务设施包括：收费站3个，服务区1处，停车区1处，养护工区1处。</w:t>
      </w:r>
    </w:p>
    <w:p w14:paraId="10F229D1">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14:paraId="08243D1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国高网G8012弥勒至玉溪高速公路 PPP 项目（以下简称"弥玉高速项目"）玉溪市境内涉及里程74.6Km，总投资161.50亿元，其中沿线服务设施包括：收费站3个，服务区1处、停车区1处，养护工区1处。乙方作为弥玉高速项目法人，负责弥玉高速项目的投融资、建设管理、运营维护及项目移交。为积极响应云南省交通厅高等级公路服务设施整治提升的号召，秉持高标准建设的原则做好通海县境内服务区风貌提升工程，设计单位对弥玉高速公路沿线服务设施设计方案进行了相应的提升设计，其中：涉及新增加面积219.132亩，经测算通海县境内服务设施建设费用增加至14216.88万元。</w:t>
      </w:r>
    </w:p>
    <w:p w14:paraId="01495930">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color w:val="auto"/>
          <w:kern w:val="0"/>
          <w:sz w:val="32"/>
          <w:szCs w:val="32"/>
          <w:highlight w:val="none"/>
          <w:lang w:eastAsia="zh-CN"/>
        </w:rPr>
        <w:t>资金安排情况</w:t>
      </w:r>
    </w:p>
    <w:p w14:paraId="61A9B5D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依据</w:t>
      </w:r>
      <w:r>
        <w:rPr>
          <w:rFonts w:hint="default" w:eastAsia="仿宋_GB2312" w:cs="Times New Roman"/>
          <w:sz w:val="32"/>
          <w:szCs w:val="32"/>
          <w:lang w:val="en-US" w:eastAsia="zh-CN"/>
        </w:rPr>
        <w:t>通海县十七届人民政府第</w:t>
      </w:r>
      <w:r>
        <w:rPr>
          <w:rFonts w:hint="eastAsia" w:eastAsia="仿宋_GB2312" w:cs="Times New Roman"/>
          <w:sz w:val="32"/>
          <w:szCs w:val="32"/>
          <w:lang w:val="en-US" w:eastAsia="zh-CN"/>
        </w:rPr>
        <w:t>21</w:t>
      </w:r>
      <w:r>
        <w:rPr>
          <w:rFonts w:hint="default" w:eastAsia="仿宋_GB2312" w:cs="Times New Roman"/>
          <w:sz w:val="32"/>
          <w:szCs w:val="32"/>
          <w:lang w:val="en-US" w:eastAsia="zh-CN"/>
        </w:rPr>
        <w:t>次常务会议纪要</w:t>
      </w:r>
      <w:r>
        <w:rPr>
          <w:rFonts w:hint="eastAsia" w:eastAsia="仿宋_GB2312" w:cs="Times New Roman"/>
          <w:sz w:val="32"/>
          <w:szCs w:val="32"/>
          <w:lang w:val="en-US" w:eastAsia="zh-CN"/>
        </w:rPr>
        <w:t>精神，按照《弥玉高速公路通海县境内服务区风貌提升建设工程补助协议》相关约定，补助弥玉公司700万元，用于弥玉高速公路通海县境内服务区风貌提升建设工程改造。</w:t>
      </w:r>
    </w:p>
    <w:p w14:paraId="668001CE">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项目实施计划</w:t>
      </w:r>
    </w:p>
    <w:p w14:paraId="50556627">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（一</w:t>
      </w:r>
      <w:bookmarkStart w:id="0" w:name="_GoBack"/>
      <w:bookmarkEnd w:id="0"/>
      <w:r>
        <w:rPr>
          <w:rFonts w:hint="eastAsia" w:eastAsia="仿宋_GB2312" w:cs="Times New Roman"/>
          <w:sz w:val="32"/>
          <w:szCs w:val="32"/>
          <w:lang w:val="en-US" w:eastAsia="zh-CN"/>
        </w:rPr>
        <w:t>）</w:t>
      </w:r>
      <w:r>
        <w:rPr>
          <w:rFonts w:hint="default" w:eastAsia="仿宋_GB2312" w:cs="Times New Roman"/>
          <w:sz w:val="32"/>
          <w:szCs w:val="32"/>
          <w:lang w:val="en-US" w:eastAsia="zh-CN"/>
        </w:rPr>
        <w:t>筹备阶段</w:t>
      </w:r>
    </w:p>
    <w:p w14:paraId="02C55A32">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组建团队：召集工程、设计、管理等多领域专业人员，明确职责分工，确保项目推进顺畅。</w:t>
      </w:r>
    </w:p>
    <w:p w14:paraId="7C2F49D0">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勘察规划：全面勘察高速公路沿线状况，收集地形、植被、建筑等资料，结合地域文化与交通需求，制定改造蓝图，明确各路段改造重点。</w:t>
      </w:r>
    </w:p>
    <w:p w14:paraId="29578F6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物资筹备：依据设计方案，完成施工材料、设备的采购与调配，保障物资充足供应。</w:t>
      </w:r>
    </w:p>
    <w:p w14:paraId="7E68E29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（二）施工阶段</w:t>
      </w:r>
    </w:p>
    <w:p w14:paraId="06497593">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收费站：翻新建筑外观，采用当地特色建筑元素，如传统纹饰、色彩搭配，重塑整体风格。</w:t>
      </w:r>
    </w:p>
    <w:p w14:paraId="4BEC9D5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服务区：升级内外装修，完善功能分区，提升服务品质。</w:t>
      </w:r>
    </w:p>
    <w:p w14:paraId="53000D75">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交通设施更新：更换新型、醒目交通标志，重新施划清晰、耐磨标线，保障行车安全。增设智能监控设备，实现交通实时监测与管控。</w:t>
      </w:r>
    </w:p>
    <w:p w14:paraId="34A3E698">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（三）验收阶段</w:t>
      </w:r>
    </w:p>
    <w:p w14:paraId="01655C5D">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施工单位自查：施工结束后，施工方全面检查工程质量，整理施工资料，确保符合设计与规范要求。</w:t>
      </w:r>
    </w:p>
    <w:p w14:paraId="6BEEADE1">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联合验收：由建设、设计、监理等单位组成验收小组，依据标准，对工程实体与资料进行验收，对不合格处提出整改意见。</w:t>
      </w:r>
    </w:p>
    <w:p w14:paraId="4DDAC25E">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整改完善：施工单位按整改意见迅速整改，整改完成后再次申请验收，直至项目合格交付。</w:t>
      </w:r>
    </w:p>
    <w:p w14:paraId="422029AF">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项目实施成效</w:t>
      </w:r>
    </w:p>
    <w:p w14:paraId="24E707A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1.景观效果显著提升。高速公路沿线四季有景，植被覆盖率大幅提高，中央分隔带色彩斑斓，边坡绿意盎然，互通区景观独特，为司乘人员带来视觉享受，缓解驾驶疲劳。建筑风貌焕然一新，与周边自然、人文环境融合，成为展示地域文化的窗口。</w:t>
      </w:r>
    </w:p>
    <w:p w14:paraId="08BE7D39">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2.交通安全性增强。新型交通标志、标线清晰醒目，智能监控设备有效监测交通状况，减少事故发生率，保障道路安全畅通。设施完善的服务区，为司乘人员提供舒适休息、补给场所，提升出行体验。</w:t>
      </w:r>
    </w:p>
    <w:p w14:paraId="27C2E8CF">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eastAsia="仿宋_GB2312" w:cs="Times New Roman"/>
          <w:sz w:val="32"/>
          <w:szCs w:val="32"/>
          <w:lang w:val="en-US" w:eastAsia="zh-CN"/>
        </w:rPr>
      </w:pPr>
      <w:r>
        <w:rPr>
          <w:rFonts w:hint="eastAsia" w:eastAsia="仿宋_GB2312" w:cs="Times New Roman"/>
          <w:sz w:val="32"/>
          <w:szCs w:val="32"/>
          <w:lang w:val="en-US" w:eastAsia="zh-CN"/>
        </w:rPr>
        <w:t>3.社会经济效益提升。改善区域形象，吸引投资与旅游，促进经济发展。项目实施带动相关产业，创造就业岗位，推动地方经济繁荣。</w:t>
      </w:r>
    </w:p>
    <w:p w14:paraId="6B4EF964">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center"/>
        <w:textAlignment w:val="auto"/>
        <w:outlineLvl w:val="9"/>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 xml:space="preserve">                        </w:t>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615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72F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1ABF"/>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C23053"/>
    <w:rsid w:val="03F0214E"/>
    <w:rsid w:val="04314F30"/>
    <w:rsid w:val="046F214C"/>
    <w:rsid w:val="05226F57"/>
    <w:rsid w:val="06325B44"/>
    <w:rsid w:val="0A5A5DC4"/>
    <w:rsid w:val="0AB77A2F"/>
    <w:rsid w:val="0BFD28E4"/>
    <w:rsid w:val="0C666106"/>
    <w:rsid w:val="0D0E0F2A"/>
    <w:rsid w:val="0EC04817"/>
    <w:rsid w:val="0F635DF8"/>
    <w:rsid w:val="10881DF6"/>
    <w:rsid w:val="111D3473"/>
    <w:rsid w:val="113910C5"/>
    <w:rsid w:val="13B61995"/>
    <w:rsid w:val="141E7899"/>
    <w:rsid w:val="153C0007"/>
    <w:rsid w:val="16120B81"/>
    <w:rsid w:val="165D6CAE"/>
    <w:rsid w:val="172F4044"/>
    <w:rsid w:val="17E531F7"/>
    <w:rsid w:val="183B2F1F"/>
    <w:rsid w:val="18E12A71"/>
    <w:rsid w:val="19F55BCD"/>
    <w:rsid w:val="1A0B3DDD"/>
    <w:rsid w:val="1A1B6230"/>
    <w:rsid w:val="1A751B4A"/>
    <w:rsid w:val="1B380099"/>
    <w:rsid w:val="1B7457C9"/>
    <w:rsid w:val="1BD73E6F"/>
    <w:rsid w:val="1F755359"/>
    <w:rsid w:val="1F8F6F61"/>
    <w:rsid w:val="203F2354"/>
    <w:rsid w:val="217C52A6"/>
    <w:rsid w:val="229A02FE"/>
    <w:rsid w:val="24192B24"/>
    <w:rsid w:val="249262B8"/>
    <w:rsid w:val="24984D02"/>
    <w:rsid w:val="25364EC7"/>
    <w:rsid w:val="266D163E"/>
    <w:rsid w:val="27BF0A71"/>
    <w:rsid w:val="27C44B4F"/>
    <w:rsid w:val="288F4295"/>
    <w:rsid w:val="29684A53"/>
    <w:rsid w:val="29C7077F"/>
    <w:rsid w:val="2A2D00A9"/>
    <w:rsid w:val="2A8D70C8"/>
    <w:rsid w:val="2C18011E"/>
    <w:rsid w:val="2D7258C6"/>
    <w:rsid w:val="2E343CBB"/>
    <w:rsid w:val="2E574E83"/>
    <w:rsid w:val="2E7A1926"/>
    <w:rsid w:val="2F961E54"/>
    <w:rsid w:val="3227360A"/>
    <w:rsid w:val="326331F0"/>
    <w:rsid w:val="327C664E"/>
    <w:rsid w:val="334852CB"/>
    <w:rsid w:val="34190466"/>
    <w:rsid w:val="357910E0"/>
    <w:rsid w:val="38226957"/>
    <w:rsid w:val="38B94E67"/>
    <w:rsid w:val="39466C4F"/>
    <w:rsid w:val="396A13EA"/>
    <w:rsid w:val="39DD2E67"/>
    <w:rsid w:val="3A7D1F41"/>
    <w:rsid w:val="3A8A588E"/>
    <w:rsid w:val="3B026B0F"/>
    <w:rsid w:val="3C1464F1"/>
    <w:rsid w:val="3DCC2998"/>
    <w:rsid w:val="3E053A49"/>
    <w:rsid w:val="3F5538EE"/>
    <w:rsid w:val="40556135"/>
    <w:rsid w:val="41134E62"/>
    <w:rsid w:val="457C0A87"/>
    <w:rsid w:val="45F568DE"/>
    <w:rsid w:val="473919AF"/>
    <w:rsid w:val="481B65EF"/>
    <w:rsid w:val="488A54A4"/>
    <w:rsid w:val="4A8A424F"/>
    <w:rsid w:val="4C3240E4"/>
    <w:rsid w:val="4C32647B"/>
    <w:rsid w:val="4E834487"/>
    <w:rsid w:val="508B3BDB"/>
    <w:rsid w:val="51486F2A"/>
    <w:rsid w:val="51985878"/>
    <w:rsid w:val="51BD69FD"/>
    <w:rsid w:val="51CD73E9"/>
    <w:rsid w:val="52F4603B"/>
    <w:rsid w:val="55905ED5"/>
    <w:rsid w:val="56F77E4E"/>
    <w:rsid w:val="573C2A31"/>
    <w:rsid w:val="5956582A"/>
    <w:rsid w:val="5A1F07B9"/>
    <w:rsid w:val="5A5F2402"/>
    <w:rsid w:val="5B4D6CE3"/>
    <w:rsid w:val="5B6F544B"/>
    <w:rsid w:val="5E8D610B"/>
    <w:rsid w:val="608B6356"/>
    <w:rsid w:val="611236F1"/>
    <w:rsid w:val="62B27F82"/>
    <w:rsid w:val="646605FE"/>
    <w:rsid w:val="6563067D"/>
    <w:rsid w:val="66D22114"/>
    <w:rsid w:val="67137888"/>
    <w:rsid w:val="6753552C"/>
    <w:rsid w:val="676E094C"/>
    <w:rsid w:val="67A644C4"/>
    <w:rsid w:val="69614B69"/>
    <w:rsid w:val="69B304BD"/>
    <w:rsid w:val="6A070C95"/>
    <w:rsid w:val="6A54185E"/>
    <w:rsid w:val="6C6C13AE"/>
    <w:rsid w:val="6CE00556"/>
    <w:rsid w:val="6CE34371"/>
    <w:rsid w:val="7005690A"/>
    <w:rsid w:val="706044C2"/>
    <w:rsid w:val="707217B7"/>
    <w:rsid w:val="70F826C0"/>
    <w:rsid w:val="72063E6D"/>
    <w:rsid w:val="72293730"/>
    <w:rsid w:val="724A4A01"/>
    <w:rsid w:val="72EF1E59"/>
    <w:rsid w:val="73116912"/>
    <w:rsid w:val="73954482"/>
    <w:rsid w:val="744F7446"/>
    <w:rsid w:val="77AF3AD0"/>
    <w:rsid w:val="785B03CB"/>
    <w:rsid w:val="78ED6E5A"/>
    <w:rsid w:val="79857471"/>
    <w:rsid w:val="7AB66363"/>
    <w:rsid w:val="7D4F20E1"/>
    <w:rsid w:val="7D99752A"/>
    <w:rsid w:val="7F024C4D"/>
    <w:rsid w:val="7F717A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BodyText1I2"/>
    <w:basedOn w:val="1"/>
    <w:qFormat/>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semiHidden/>
    <w:qFormat/>
    <w:uiPriority w:val="0"/>
    <w:rPr>
      <w:b/>
      <w:bCs/>
    </w:rPr>
  </w:style>
  <w:style w:type="character" w:styleId="11">
    <w:name w:val="annotation reference"/>
    <w:semiHidden/>
    <w:qFormat/>
    <w:uiPriority w:val="0"/>
    <w:rPr>
      <w:sz w:val="21"/>
      <w:szCs w:val="21"/>
    </w:rPr>
  </w:style>
  <w:style w:type="paragraph" w:customStyle="1" w:styleId="12">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4</Pages>
  <Words>1287</Words>
  <Characters>1344</Characters>
  <Lines>8</Lines>
  <Paragraphs>2</Paragraphs>
  <TotalTime>0</TotalTime>
  <ScaleCrop>false</ScaleCrop>
  <LinksUpToDate>false</LinksUpToDate>
  <CharactersWithSpaces>1370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阿莲</cp:lastModifiedBy>
  <cp:lastPrinted>2020-02-03T08:13:00Z</cp:lastPrinted>
  <dcterms:modified xsi:type="dcterms:W3CDTF">2025-01-24T02:12:50Z</dcterms:modified>
  <dc:title>年部门预算编制说明</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eyJoZGlkIjoiMDI0ZGU5YTIyZDM2NWYyMjdhMGY3ZWIxZTZjOThkNGUiLCJ1c2VySWQiOiI2MDQ0MzYxNTAifQ==</vt:lpwstr>
  </property>
  <property fmtid="{D5CDD505-2E9C-101B-9397-08002B2CF9AE}" pid="4" name="ICV">
    <vt:lpwstr>E760903FA9C74561A94B98FF5570993C_12</vt:lpwstr>
  </property>
</Properties>
</file>