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A05DA">
      <w:pPr>
        <w:tabs>
          <w:tab w:val="left" w:pos="6510"/>
        </w:tabs>
        <w:rPr>
          <w:rFonts w:eastAsia="仿宋_GB2312"/>
          <w:color w:val="auto"/>
          <w:sz w:val="36"/>
          <w:szCs w:val="36"/>
        </w:rPr>
      </w:pPr>
    </w:p>
    <w:p w14:paraId="16BF5A15">
      <w:pPr>
        <w:rPr>
          <w:rFonts w:eastAsia="仿宋_GB2312"/>
          <w:color w:val="auto"/>
          <w:sz w:val="36"/>
          <w:szCs w:val="36"/>
        </w:rPr>
      </w:pPr>
    </w:p>
    <w:p w14:paraId="45EFA1F5">
      <w:pPr>
        <w:rPr>
          <w:rFonts w:eastAsia="仿宋_GB2312"/>
          <w:color w:val="auto"/>
          <w:sz w:val="36"/>
          <w:szCs w:val="36"/>
        </w:rPr>
      </w:pPr>
    </w:p>
    <w:p w14:paraId="1525150A">
      <w:pPr>
        <w:rPr>
          <w:rFonts w:eastAsia="仿宋_GB2312"/>
          <w:color w:val="auto"/>
          <w:sz w:val="36"/>
          <w:szCs w:val="36"/>
        </w:rPr>
      </w:pPr>
    </w:p>
    <w:p w14:paraId="4AA4DCBA">
      <w:pPr>
        <w:rPr>
          <w:rFonts w:eastAsia="仿宋_GB2312"/>
          <w:color w:val="auto"/>
          <w:sz w:val="36"/>
          <w:szCs w:val="36"/>
        </w:rPr>
      </w:pPr>
    </w:p>
    <w:p w14:paraId="31B498F9">
      <w:pPr>
        <w:adjustRightInd w:val="0"/>
        <w:snapToGrid w:val="0"/>
        <w:jc w:val="center"/>
        <w:outlineLvl w:val="0"/>
        <w:rPr>
          <w:b/>
          <w:color w:val="auto"/>
          <w:sz w:val="72"/>
          <w:szCs w:val="72"/>
        </w:rPr>
      </w:pPr>
      <w:bookmarkStart w:id="0" w:name="_Toc27849"/>
      <w:r>
        <w:rPr>
          <w:b/>
          <w:color w:val="auto"/>
          <w:sz w:val="72"/>
          <w:szCs w:val="72"/>
        </w:rPr>
        <w:t>建设项目环境影响报告表</w:t>
      </w:r>
      <w:bookmarkEnd w:id="0"/>
    </w:p>
    <w:p w14:paraId="785D5448">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14:paraId="2F774777">
      <w:pPr>
        <w:adjustRightInd w:val="0"/>
        <w:snapToGrid w:val="0"/>
        <w:spacing w:line="288" w:lineRule="auto"/>
        <w:jc w:val="center"/>
        <w:rPr>
          <w:rFonts w:eastAsia="华文仿宋"/>
          <w:color w:val="auto"/>
          <w:kern w:val="44"/>
          <w:sz w:val="44"/>
          <w:szCs w:val="44"/>
        </w:rPr>
      </w:pPr>
    </w:p>
    <w:p w14:paraId="0DFD7D12">
      <w:pPr>
        <w:jc w:val="center"/>
        <w:rPr>
          <w:rFonts w:eastAsia="仿宋"/>
          <w:color w:val="auto"/>
          <w:sz w:val="52"/>
          <w:szCs w:val="52"/>
        </w:rPr>
      </w:pPr>
    </w:p>
    <w:p w14:paraId="50B3D10A">
      <w:pPr>
        <w:ind w:firstLine="1040"/>
        <w:rPr>
          <w:rFonts w:eastAsia="仿宋"/>
          <w:color w:val="auto"/>
          <w:sz w:val="44"/>
          <w:szCs w:val="44"/>
        </w:rPr>
      </w:pPr>
    </w:p>
    <w:p w14:paraId="1D673AA3">
      <w:pPr>
        <w:ind w:firstLine="1040"/>
        <w:rPr>
          <w:rFonts w:eastAsia="仿宋"/>
          <w:color w:val="auto"/>
          <w:sz w:val="44"/>
          <w:szCs w:val="44"/>
        </w:rPr>
      </w:pPr>
    </w:p>
    <w:p w14:paraId="1C413611">
      <w:pPr>
        <w:ind w:firstLine="1040"/>
        <w:rPr>
          <w:rFonts w:eastAsia="仿宋"/>
          <w:color w:val="auto"/>
          <w:sz w:val="44"/>
          <w:szCs w:val="44"/>
        </w:rPr>
      </w:pPr>
    </w:p>
    <w:p w14:paraId="0CC3DC28">
      <w:pPr>
        <w:ind w:firstLine="1040"/>
        <w:rPr>
          <w:rFonts w:eastAsia="仿宋"/>
          <w:color w:val="auto"/>
          <w:sz w:val="44"/>
          <w:szCs w:val="44"/>
        </w:rPr>
      </w:pPr>
    </w:p>
    <w:p w14:paraId="50E1A3ED">
      <w:pPr>
        <w:adjustRightInd w:val="0"/>
        <w:snapToGrid w:val="0"/>
        <w:spacing w:line="288" w:lineRule="auto"/>
        <w:ind w:firstLine="1080" w:firstLineChars="300"/>
        <w:rPr>
          <w:rFonts w:eastAsia="仿宋_GB2312"/>
          <w:color w:val="auto"/>
          <w:sz w:val="36"/>
          <w:szCs w:val="36"/>
          <w:u w:val="single"/>
        </w:rPr>
      </w:pPr>
      <w:r>
        <w:rPr>
          <w:rFonts w:eastAsia="仿宋_GB2312"/>
          <w:color w:val="auto"/>
          <w:sz w:val="36"/>
          <w:szCs w:val="36"/>
        </w:rPr>
        <w:t>项目名称：</w:t>
      </w:r>
      <w:r>
        <w:rPr>
          <w:rFonts w:hint="eastAsia" w:eastAsia="仿宋_GB2312"/>
          <w:color w:val="auto"/>
          <w:sz w:val="36"/>
          <w:szCs w:val="36"/>
          <w:u w:val="single"/>
        </w:rPr>
        <w:t>通海县紧密型医共体乡镇医疗卫生</w:t>
      </w:r>
    </w:p>
    <w:p w14:paraId="7B5A9A2E">
      <w:pPr>
        <w:adjustRightInd w:val="0"/>
        <w:snapToGrid w:val="0"/>
        <w:spacing w:line="288" w:lineRule="auto"/>
        <w:ind w:firstLine="1080" w:firstLineChars="300"/>
        <w:jc w:val="center"/>
        <w:rPr>
          <w:rFonts w:eastAsia="仿宋_GB2312"/>
          <w:color w:val="auto"/>
          <w:sz w:val="36"/>
          <w:szCs w:val="36"/>
          <w:u w:val="single"/>
        </w:rPr>
      </w:pPr>
      <w:r>
        <w:rPr>
          <w:rFonts w:hint="eastAsia" w:eastAsia="仿宋_GB2312"/>
          <w:color w:val="auto"/>
          <w:sz w:val="36"/>
          <w:szCs w:val="36"/>
          <w:u w:val="single"/>
        </w:rPr>
        <w:t>服务能力提升项目</w:t>
      </w:r>
    </w:p>
    <w:p w14:paraId="5DD9C3CE">
      <w:pPr>
        <w:adjustRightInd w:val="0"/>
        <w:snapToGrid w:val="0"/>
        <w:spacing w:line="288" w:lineRule="auto"/>
        <w:ind w:firstLine="1040"/>
        <w:rPr>
          <w:rFonts w:hint="eastAsia" w:eastAsia="仿宋_GB2312"/>
          <w:color w:val="auto"/>
          <w:sz w:val="36"/>
          <w:szCs w:val="36"/>
          <w:u w:val="single"/>
          <w:lang w:eastAsia="zh-CN"/>
        </w:rPr>
      </w:pPr>
      <w:r>
        <w:rPr>
          <w:rFonts w:eastAsia="仿宋_GB2312"/>
          <w:color w:val="auto"/>
          <w:sz w:val="36"/>
          <w:szCs w:val="36"/>
        </w:rPr>
        <w:t>建设单位（盖章）：</w:t>
      </w:r>
      <w:bookmarkStart w:id="1" w:name="_Hlk192497904"/>
      <w:r>
        <w:rPr>
          <w:rFonts w:hint="eastAsia" w:eastAsia="仿宋_GB2312"/>
          <w:color w:val="auto"/>
          <w:sz w:val="36"/>
          <w:szCs w:val="36"/>
          <w:u w:val="single"/>
          <w:lang w:eastAsia="zh-CN"/>
        </w:rPr>
        <w:t>通海县紧密型医共体总医院</w:t>
      </w:r>
    </w:p>
    <w:bookmarkEnd w:id="1"/>
    <w:p w14:paraId="0639A1A9">
      <w:pPr>
        <w:adjustRightInd w:val="0"/>
        <w:snapToGrid w:val="0"/>
        <w:spacing w:line="288" w:lineRule="auto"/>
        <w:ind w:firstLine="1040"/>
        <w:rPr>
          <w:rFonts w:eastAsia="仿宋"/>
          <w:color w:val="auto"/>
          <w:sz w:val="36"/>
          <w:szCs w:val="36"/>
          <w:u w:val="single"/>
        </w:rPr>
      </w:pPr>
      <w:r>
        <w:rPr>
          <w:rFonts w:eastAsia="仿宋_GB2312"/>
          <w:color w:val="auto"/>
          <w:sz w:val="36"/>
          <w:szCs w:val="36"/>
        </w:rPr>
        <w:t>编制日</w:t>
      </w:r>
      <w:r>
        <w:rPr>
          <w:rFonts w:eastAsia="仿宋"/>
          <w:color w:val="auto"/>
          <w:sz w:val="36"/>
          <w:szCs w:val="36"/>
        </w:rPr>
        <w:t>期：</w:t>
      </w:r>
      <w:r>
        <w:rPr>
          <w:rFonts w:eastAsia="仿宋"/>
          <w:color w:val="auto"/>
          <w:sz w:val="36"/>
          <w:szCs w:val="36"/>
          <w:u w:val="single"/>
        </w:rPr>
        <w:t>二〇二</w:t>
      </w:r>
      <w:r>
        <w:rPr>
          <w:rFonts w:hint="eastAsia" w:eastAsia="仿宋"/>
          <w:color w:val="auto"/>
          <w:sz w:val="36"/>
          <w:szCs w:val="36"/>
          <w:u w:val="single"/>
        </w:rPr>
        <w:t>五</w:t>
      </w:r>
      <w:r>
        <w:rPr>
          <w:rFonts w:eastAsia="仿宋"/>
          <w:color w:val="auto"/>
          <w:sz w:val="36"/>
          <w:szCs w:val="36"/>
          <w:u w:val="single"/>
        </w:rPr>
        <w:t>年</w:t>
      </w:r>
      <w:r>
        <w:rPr>
          <w:rFonts w:hint="eastAsia" w:eastAsia="仿宋"/>
          <w:color w:val="auto"/>
          <w:sz w:val="36"/>
          <w:szCs w:val="36"/>
          <w:u w:val="single"/>
        </w:rPr>
        <w:t>四</w:t>
      </w:r>
      <w:r>
        <w:rPr>
          <w:rFonts w:eastAsia="仿宋"/>
          <w:color w:val="auto"/>
          <w:sz w:val="36"/>
          <w:szCs w:val="36"/>
          <w:u w:val="single"/>
        </w:rPr>
        <w:t>月</w:t>
      </w:r>
    </w:p>
    <w:p w14:paraId="6BFB927B">
      <w:pPr>
        <w:adjustRightInd w:val="0"/>
        <w:snapToGrid w:val="0"/>
        <w:spacing w:line="288" w:lineRule="auto"/>
        <w:ind w:firstLine="1040"/>
        <w:rPr>
          <w:rFonts w:eastAsia="仿宋_GB2312"/>
          <w:color w:val="auto"/>
          <w:sz w:val="36"/>
          <w:szCs w:val="36"/>
          <w:u w:val="single"/>
        </w:rPr>
      </w:pPr>
      <w:bookmarkStart w:id="2" w:name="_Hlk57884087"/>
    </w:p>
    <w:p w14:paraId="2D2F5A77">
      <w:pPr>
        <w:adjustRightInd w:val="0"/>
        <w:snapToGrid w:val="0"/>
        <w:spacing w:line="288" w:lineRule="auto"/>
        <w:ind w:firstLine="1040"/>
        <w:rPr>
          <w:rFonts w:eastAsia="仿宋_GB2312"/>
          <w:color w:val="auto"/>
          <w:sz w:val="36"/>
          <w:szCs w:val="36"/>
        </w:rPr>
      </w:pPr>
    </w:p>
    <w:p w14:paraId="0CAE62B9">
      <w:pPr>
        <w:adjustRightInd w:val="0"/>
        <w:snapToGrid w:val="0"/>
        <w:spacing w:line="288" w:lineRule="auto"/>
        <w:ind w:firstLine="1040"/>
        <w:rPr>
          <w:rFonts w:eastAsia="仿宋_GB2312"/>
          <w:color w:val="auto"/>
          <w:sz w:val="36"/>
          <w:szCs w:val="36"/>
        </w:rPr>
      </w:pPr>
    </w:p>
    <w:p w14:paraId="190DFE5E">
      <w:pPr>
        <w:adjustRightInd w:val="0"/>
        <w:snapToGrid w:val="0"/>
        <w:spacing w:line="288" w:lineRule="auto"/>
        <w:ind w:firstLine="1040"/>
        <w:rPr>
          <w:rFonts w:eastAsia="仿宋_GB2312"/>
          <w:color w:val="auto"/>
          <w:sz w:val="36"/>
          <w:szCs w:val="36"/>
        </w:rPr>
      </w:pPr>
    </w:p>
    <w:p w14:paraId="48E4279A">
      <w:pPr>
        <w:adjustRightInd w:val="0"/>
        <w:snapToGrid w:val="0"/>
        <w:spacing w:line="288" w:lineRule="auto"/>
        <w:ind w:firstLine="1040"/>
        <w:rPr>
          <w:rFonts w:eastAsia="仿宋_GB2312"/>
          <w:color w:val="auto"/>
          <w:sz w:val="36"/>
          <w:szCs w:val="36"/>
        </w:rPr>
      </w:pPr>
    </w:p>
    <w:p w14:paraId="73D01569">
      <w:pPr>
        <w:adjustRightInd w:val="0"/>
        <w:snapToGrid w:val="0"/>
        <w:spacing w:line="288" w:lineRule="auto"/>
        <w:ind w:firstLine="1040"/>
        <w:rPr>
          <w:rFonts w:eastAsia="仿宋_GB2312"/>
          <w:color w:val="auto"/>
          <w:sz w:val="36"/>
          <w:szCs w:val="36"/>
        </w:rPr>
      </w:pPr>
    </w:p>
    <w:bookmarkEnd w:id="2"/>
    <w:p w14:paraId="10D24E84">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0FDCD416">
      <w:pPr>
        <w:adjustRightInd w:val="0"/>
        <w:snapToGrid w:val="0"/>
        <w:spacing w:line="288" w:lineRule="auto"/>
        <w:ind w:firstLine="1040"/>
        <w:rPr>
          <w:rFonts w:eastAsia="仿宋_GB2312"/>
          <w:color w:val="auto"/>
          <w:sz w:val="36"/>
          <w:szCs w:val="36"/>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p>
    <w:p w14:paraId="71DE8645">
      <w:pPr>
        <w:jc w:val="center"/>
        <w:rPr>
          <w:b/>
          <w:bCs/>
          <w:color w:val="auto"/>
          <w:sz w:val="28"/>
          <w:szCs w:val="28"/>
        </w:rPr>
      </w:pPr>
      <w:r>
        <w:rPr>
          <w:rFonts w:ascii="宋体" w:hAnsi="宋体"/>
          <w:b/>
          <w:bCs/>
          <w:color w:val="auto"/>
          <w:sz w:val="28"/>
          <w:szCs w:val="28"/>
        </w:rPr>
        <w:t>目录</w:t>
      </w:r>
    </w:p>
    <w:p w14:paraId="00D1F816">
      <w:pPr>
        <w:pStyle w:val="122"/>
        <w:tabs>
          <w:tab w:val="right" w:leader="dot" w:pos="8844"/>
        </w:tabs>
        <w:spacing w:line="480" w:lineRule="auto"/>
        <w:rPr>
          <w:rFonts w:hint="eastAsia" w:ascii="宋体" w:hAnsi="宋体" w:cs="宋体"/>
          <w:color w:val="auto"/>
          <w:sz w:val="24"/>
          <w:szCs w:val="24"/>
        </w:rPr>
      </w:pPr>
      <w:r>
        <w:rPr>
          <w:rFonts w:hint="eastAsia" w:ascii="宋体" w:hAnsi="宋体" w:cs="宋体"/>
          <w:snapToGrid w:val="0"/>
          <w:color w:val="auto"/>
          <w:sz w:val="24"/>
          <w:szCs w:val="24"/>
        </w:rPr>
        <w:fldChar w:fldCharType="begin"/>
      </w:r>
      <w:r>
        <w:rPr>
          <w:rFonts w:hint="eastAsia" w:ascii="宋体" w:hAnsi="宋体" w:cs="宋体"/>
          <w:snapToGrid w:val="0"/>
          <w:color w:val="auto"/>
          <w:sz w:val="24"/>
          <w:szCs w:val="24"/>
        </w:rPr>
        <w:instrText xml:space="preserve">TOC \o "1-1" \h \u </w:instrText>
      </w:r>
      <w:r>
        <w:rPr>
          <w:rFonts w:hint="eastAsia" w:ascii="宋体" w:hAnsi="宋体" w:cs="宋体"/>
          <w:snapToGrid w:val="0"/>
          <w:color w:val="auto"/>
          <w:sz w:val="24"/>
          <w:szCs w:val="24"/>
        </w:rPr>
        <w:fldChar w:fldCharType="separate"/>
      </w:r>
      <w:r>
        <w:rPr>
          <w:color w:val="auto"/>
        </w:rPr>
        <w:fldChar w:fldCharType="begin"/>
      </w:r>
      <w:r>
        <w:rPr>
          <w:color w:val="auto"/>
        </w:rPr>
        <w:instrText xml:space="preserve"> HYPERLINK \l "_Toc32585" </w:instrText>
      </w:r>
      <w:r>
        <w:rPr>
          <w:color w:val="auto"/>
        </w:rPr>
        <w:fldChar w:fldCharType="separate"/>
      </w:r>
      <w:r>
        <w:rPr>
          <w:rFonts w:hint="eastAsia" w:ascii="宋体" w:hAnsi="宋体" w:cs="宋体"/>
          <w:snapToGrid w:val="0"/>
          <w:color w:val="auto"/>
          <w:sz w:val="24"/>
          <w:szCs w:val="24"/>
        </w:rPr>
        <w:t>一、建设项目基本情况</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_Toc32585 \h </w:instrText>
      </w:r>
      <w:r>
        <w:rPr>
          <w:rFonts w:hint="eastAsia" w:ascii="宋体" w:hAnsi="宋体" w:cs="宋体"/>
          <w:color w:val="auto"/>
          <w:sz w:val="24"/>
          <w:szCs w:val="24"/>
        </w:rPr>
        <w:fldChar w:fldCharType="separate"/>
      </w:r>
      <w:r>
        <w:rPr>
          <w:rFonts w:hint="eastAsia" w:ascii="宋体" w:hAnsi="宋体" w:cs="宋体"/>
          <w:color w:val="auto"/>
          <w:sz w:val="24"/>
          <w:szCs w:val="24"/>
        </w:rPr>
        <w:t>2</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12271094">
      <w:pPr>
        <w:pStyle w:val="122"/>
        <w:tabs>
          <w:tab w:val="right" w:leader="dot" w:pos="8844"/>
        </w:tabs>
        <w:spacing w:line="480" w:lineRule="auto"/>
        <w:rPr>
          <w:rFonts w:hint="eastAsia" w:ascii="宋体" w:hAnsi="宋体" w:cs="宋体"/>
          <w:color w:val="auto"/>
          <w:sz w:val="24"/>
          <w:szCs w:val="24"/>
        </w:rPr>
      </w:pPr>
      <w:r>
        <w:rPr>
          <w:color w:val="auto"/>
        </w:rPr>
        <w:fldChar w:fldCharType="begin"/>
      </w:r>
      <w:r>
        <w:rPr>
          <w:color w:val="auto"/>
        </w:rPr>
        <w:instrText xml:space="preserve"> HYPERLINK \l "_Toc17172" </w:instrText>
      </w:r>
      <w:r>
        <w:rPr>
          <w:color w:val="auto"/>
        </w:rPr>
        <w:fldChar w:fldCharType="separate"/>
      </w:r>
      <w:r>
        <w:rPr>
          <w:rFonts w:hint="eastAsia" w:ascii="宋体" w:hAnsi="宋体" w:cs="宋体"/>
          <w:snapToGrid w:val="0"/>
          <w:color w:val="auto"/>
          <w:sz w:val="24"/>
          <w:szCs w:val="24"/>
        </w:rPr>
        <w:t>二、建设项目工程分析</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_Toc17172 \h </w:instrText>
      </w:r>
      <w:r>
        <w:rPr>
          <w:rFonts w:hint="eastAsia" w:ascii="宋体" w:hAnsi="宋体" w:cs="宋体"/>
          <w:color w:val="auto"/>
          <w:sz w:val="24"/>
          <w:szCs w:val="24"/>
        </w:rPr>
        <w:fldChar w:fldCharType="separate"/>
      </w:r>
      <w:r>
        <w:rPr>
          <w:rFonts w:hint="eastAsia" w:ascii="宋体" w:hAnsi="宋体" w:cs="宋体"/>
          <w:color w:val="auto"/>
          <w:sz w:val="24"/>
          <w:szCs w:val="24"/>
        </w:rPr>
        <w:t>25</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7FB3B429">
      <w:pPr>
        <w:pStyle w:val="122"/>
        <w:tabs>
          <w:tab w:val="right" w:leader="dot" w:pos="8844"/>
        </w:tabs>
        <w:spacing w:line="480" w:lineRule="auto"/>
        <w:rPr>
          <w:rFonts w:hint="eastAsia" w:ascii="宋体" w:hAnsi="宋体" w:cs="宋体"/>
          <w:color w:val="auto"/>
          <w:sz w:val="24"/>
          <w:szCs w:val="24"/>
        </w:rPr>
      </w:pPr>
      <w:r>
        <w:rPr>
          <w:color w:val="auto"/>
        </w:rPr>
        <w:fldChar w:fldCharType="begin"/>
      </w:r>
      <w:r>
        <w:rPr>
          <w:color w:val="auto"/>
        </w:rPr>
        <w:instrText xml:space="preserve"> HYPERLINK \l "_Toc5690" </w:instrText>
      </w:r>
      <w:r>
        <w:rPr>
          <w:color w:val="auto"/>
        </w:rPr>
        <w:fldChar w:fldCharType="separate"/>
      </w:r>
      <w:r>
        <w:rPr>
          <w:rFonts w:hint="eastAsia" w:ascii="宋体" w:hAnsi="宋体" w:cs="宋体"/>
          <w:snapToGrid w:val="0"/>
          <w:color w:val="auto"/>
          <w:sz w:val="24"/>
          <w:szCs w:val="24"/>
        </w:rPr>
        <w:t>三、区域环境质量现状、环境保护目标及评价标准</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_Toc5690 \h </w:instrText>
      </w:r>
      <w:r>
        <w:rPr>
          <w:rFonts w:hint="eastAsia" w:ascii="宋体" w:hAnsi="宋体" w:cs="宋体"/>
          <w:color w:val="auto"/>
          <w:sz w:val="24"/>
          <w:szCs w:val="24"/>
        </w:rPr>
        <w:fldChar w:fldCharType="separate"/>
      </w:r>
      <w:r>
        <w:rPr>
          <w:rFonts w:hint="eastAsia" w:ascii="宋体" w:hAnsi="宋体" w:cs="宋体"/>
          <w:color w:val="auto"/>
          <w:sz w:val="24"/>
          <w:szCs w:val="24"/>
        </w:rPr>
        <w:t>79</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2C138FA8">
      <w:pPr>
        <w:pStyle w:val="122"/>
        <w:tabs>
          <w:tab w:val="right" w:leader="dot" w:pos="8844"/>
        </w:tabs>
        <w:spacing w:line="480" w:lineRule="auto"/>
        <w:rPr>
          <w:rFonts w:hint="eastAsia" w:ascii="宋体" w:hAnsi="宋体" w:cs="宋体"/>
          <w:color w:val="auto"/>
          <w:sz w:val="24"/>
          <w:szCs w:val="24"/>
        </w:rPr>
      </w:pPr>
      <w:r>
        <w:rPr>
          <w:color w:val="auto"/>
        </w:rPr>
        <w:fldChar w:fldCharType="begin"/>
      </w:r>
      <w:r>
        <w:rPr>
          <w:color w:val="auto"/>
        </w:rPr>
        <w:instrText xml:space="preserve"> HYPERLINK \l "_Toc10422" </w:instrText>
      </w:r>
      <w:r>
        <w:rPr>
          <w:color w:val="auto"/>
        </w:rPr>
        <w:fldChar w:fldCharType="separate"/>
      </w:r>
      <w:r>
        <w:rPr>
          <w:rFonts w:hint="eastAsia" w:ascii="宋体" w:hAnsi="宋体" w:cs="宋体"/>
          <w:snapToGrid w:val="0"/>
          <w:color w:val="auto"/>
          <w:sz w:val="24"/>
          <w:szCs w:val="24"/>
        </w:rPr>
        <w:t>四、主要环境影响和保护措施</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_Toc10422 \h </w:instrText>
      </w:r>
      <w:r>
        <w:rPr>
          <w:rFonts w:hint="eastAsia" w:ascii="宋体" w:hAnsi="宋体" w:cs="宋体"/>
          <w:color w:val="auto"/>
          <w:sz w:val="24"/>
          <w:szCs w:val="24"/>
        </w:rPr>
        <w:fldChar w:fldCharType="separate"/>
      </w:r>
      <w:r>
        <w:rPr>
          <w:rFonts w:hint="eastAsia" w:ascii="宋体" w:hAnsi="宋体" w:cs="宋体"/>
          <w:color w:val="auto"/>
          <w:sz w:val="24"/>
          <w:szCs w:val="24"/>
        </w:rPr>
        <w:t>92</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057ADA8E">
      <w:pPr>
        <w:pStyle w:val="122"/>
        <w:tabs>
          <w:tab w:val="right" w:leader="dot" w:pos="8844"/>
        </w:tabs>
        <w:spacing w:line="480" w:lineRule="auto"/>
        <w:rPr>
          <w:rFonts w:hint="eastAsia" w:ascii="宋体" w:hAnsi="宋体" w:cs="宋体"/>
          <w:color w:val="auto"/>
          <w:sz w:val="24"/>
          <w:szCs w:val="24"/>
        </w:rPr>
      </w:pPr>
      <w:r>
        <w:rPr>
          <w:color w:val="auto"/>
        </w:rPr>
        <w:fldChar w:fldCharType="begin"/>
      </w:r>
      <w:r>
        <w:rPr>
          <w:color w:val="auto"/>
        </w:rPr>
        <w:instrText xml:space="preserve"> HYPERLINK \l "_Toc5864" </w:instrText>
      </w:r>
      <w:r>
        <w:rPr>
          <w:color w:val="auto"/>
        </w:rPr>
        <w:fldChar w:fldCharType="separate"/>
      </w:r>
      <w:r>
        <w:rPr>
          <w:rFonts w:hint="eastAsia" w:ascii="宋体" w:hAnsi="宋体" w:cs="宋体"/>
          <w:snapToGrid w:val="0"/>
          <w:color w:val="auto"/>
          <w:sz w:val="24"/>
          <w:szCs w:val="24"/>
        </w:rPr>
        <w:t>五、环境保护措施监督检查清单</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_Toc5864 \h </w:instrText>
      </w:r>
      <w:r>
        <w:rPr>
          <w:rFonts w:hint="eastAsia" w:ascii="宋体" w:hAnsi="宋体" w:cs="宋体"/>
          <w:color w:val="auto"/>
          <w:sz w:val="24"/>
          <w:szCs w:val="24"/>
        </w:rPr>
        <w:fldChar w:fldCharType="separate"/>
      </w:r>
      <w:r>
        <w:rPr>
          <w:rFonts w:hint="eastAsia" w:ascii="宋体" w:hAnsi="宋体" w:cs="宋体"/>
          <w:color w:val="auto"/>
          <w:sz w:val="24"/>
          <w:szCs w:val="24"/>
        </w:rPr>
        <w:t>145</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551F27BE">
      <w:pPr>
        <w:pStyle w:val="122"/>
        <w:tabs>
          <w:tab w:val="right" w:leader="dot" w:pos="8844"/>
        </w:tabs>
        <w:spacing w:line="480" w:lineRule="auto"/>
        <w:rPr>
          <w:rFonts w:hint="eastAsia" w:ascii="宋体" w:hAnsi="宋体" w:cs="宋体"/>
          <w:color w:val="auto"/>
          <w:sz w:val="24"/>
          <w:szCs w:val="24"/>
        </w:rPr>
      </w:pPr>
      <w:r>
        <w:rPr>
          <w:color w:val="auto"/>
        </w:rPr>
        <w:fldChar w:fldCharType="begin"/>
      </w:r>
      <w:r>
        <w:rPr>
          <w:color w:val="auto"/>
        </w:rPr>
        <w:instrText xml:space="preserve"> HYPERLINK \l "_Toc13516" </w:instrText>
      </w:r>
      <w:r>
        <w:rPr>
          <w:color w:val="auto"/>
        </w:rPr>
        <w:fldChar w:fldCharType="separate"/>
      </w:r>
      <w:r>
        <w:rPr>
          <w:rFonts w:hint="eastAsia" w:ascii="宋体" w:hAnsi="宋体" w:cs="宋体"/>
          <w:snapToGrid w:val="0"/>
          <w:color w:val="auto"/>
          <w:sz w:val="24"/>
          <w:szCs w:val="24"/>
        </w:rPr>
        <w:t>六、结论</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_Toc13516 \h </w:instrText>
      </w:r>
      <w:r>
        <w:rPr>
          <w:rFonts w:hint="eastAsia" w:ascii="宋体" w:hAnsi="宋体" w:cs="宋体"/>
          <w:color w:val="auto"/>
          <w:sz w:val="24"/>
          <w:szCs w:val="24"/>
        </w:rPr>
        <w:fldChar w:fldCharType="separate"/>
      </w:r>
      <w:r>
        <w:rPr>
          <w:rFonts w:hint="eastAsia" w:ascii="宋体" w:hAnsi="宋体" w:cs="宋体"/>
          <w:color w:val="auto"/>
          <w:sz w:val="24"/>
          <w:szCs w:val="24"/>
        </w:rPr>
        <w:t>155</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274479AB">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fldChar w:fldCharType="end"/>
      </w:r>
    </w:p>
    <w:p w14:paraId="08FC6034">
      <w:pPr>
        <w:pStyle w:val="29"/>
        <w:adjustRightInd w:val="0"/>
        <w:snapToGrid w:val="0"/>
        <w:spacing w:before="0" w:beforeAutospacing="0" w:after="0" w:afterAutospacing="0" w:line="360" w:lineRule="auto"/>
        <w:rPr>
          <w:rFonts w:hint="eastAsia" w:cs="宋体"/>
          <w:b/>
          <w:bCs/>
          <w:snapToGrid w:val="0"/>
          <w:color w:val="auto"/>
          <w:szCs w:val="24"/>
        </w:rPr>
      </w:pPr>
      <w:r>
        <w:rPr>
          <w:rFonts w:hint="eastAsia" w:cs="宋体"/>
          <w:b/>
          <w:bCs/>
          <w:snapToGrid w:val="0"/>
          <w:color w:val="auto"/>
          <w:szCs w:val="24"/>
        </w:rPr>
        <w:t>附件</w:t>
      </w:r>
    </w:p>
    <w:p w14:paraId="55035E84">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附件1委托书</w:t>
      </w:r>
    </w:p>
    <w:p w14:paraId="7D4DCD8F">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附件2可行性研究报告的批复</w:t>
      </w:r>
    </w:p>
    <w:p w14:paraId="2CD3DE76">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附件3选址意见</w:t>
      </w:r>
    </w:p>
    <w:p w14:paraId="570A23EA">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附件4土地权属证明</w:t>
      </w:r>
    </w:p>
    <w:p w14:paraId="3B10BA0D">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附件5 污水排入污水处理厂的证明</w:t>
      </w:r>
    </w:p>
    <w:p w14:paraId="0BBE49BC">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附件6原有项目环保手续</w:t>
      </w:r>
    </w:p>
    <w:p w14:paraId="1E1F6FF0">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附件7杨广卫生院污水处理站水质监测报告</w:t>
      </w:r>
    </w:p>
    <w:p w14:paraId="37161E55">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附件8医疗废物处置合同</w:t>
      </w:r>
    </w:p>
    <w:p w14:paraId="66967C0B">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附件9环境现状检测报告</w:t>
      </w:r>
    </w:p>
    <w:p w14:paraId="362191AE">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附件10声环境现状检测报告</w:t>
      </w:r>
    </w:p>
    <w:p w14:paraId="40DE9854">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附件11纳古卫生院、九龙卫生院、四街卫生院废水检测报告</w:t>
      </w:r>
    </w:p>
    <w:p w14:paraId="3686995F">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附件12现有项目医疗固废转移联单</w:t>
      </w:r>
    </w:p>
    <w:p w14:paraId="64B69698">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附件13事业单位法人证书</w:t>
      </w:r>
    </w:p>
    <w:p w14:paraId="4BBC3131">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附件14三线一单查询结果</w:t>
      </w:r>
    </w:p>
    <w:p w14:paraId="54DA73D3">
      <w:pPr>
        <w:pStyle w:val="29"/>
        <w:adjustRightInd w:val="0"/>
        <w:snapToGrid w:val="0"/>
        <w:spacing w:before="0" w:beforeAutospacing="0" w:after="0" w:afterAutospacing="0" w:line="360" w:lineRule="auto"/>
        <w:ind w:firstLine="240" w:firstLineChars="100"/>
        <w:rPr>
          <w:rFonts w:hint="default" w:eastAsia="宋体" w:cs="宋体"/>
          <w:snapToGrid w:val="0"/>
          <w:color w:val="auto"/>
          <w:szCs w:val="24"/>
          <w:lang w:val="en-US" w:eastAsia="zh-CN"/>
        </w:rPr>
      </w:pPr>
      <w:r>
        <w:rPr>
          <w:rFonts w:hint="eastAsia" w:cs="宋体"/>
          <w:snapToGrid w:val="0"/>
          <w:color w:val="auto"/>
          <w:szCs w:val="24"/>
          <w:lang w:val="en-US" w:eastAsia="zh-CN"/>
        </w:rPr>
        <w:t>附件15 三区三线查询结果</w:t>
      </w:r>
    </w:p>
    <w:p w14:paraId="0DB7F4D4">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附件15评审意见</w:t>
      </w:r>
    </w:p>
    <w:p w14:paraId="65381C31">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附件16 专家签字表</w:t>
      </w:r>
    </w:p>
    <w:p w14:paraId="349E5FF7">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附件17修改清单</w:t>
      </w:r>
    </w:p>
    <w:p w14:paraId="4064A59B">
      <w:pPr>
        <w:pStyle w:val="29"/>
        <w:adjustRightInd w:val="0"/>
        <w:snapToGrid w:val="0"/>
        <w:spacing w:before="0" w:beforeAutospacing="0" w:after="0" w:afterAutospacing="0" w:line="360" w:lineRule="auto"/>
        <w:ind w:firstLine="240" w:firstLineChars="100"/>
        <w:rPr>
          <w:rFonts w:hint="eastAsia" w:cs="宋体"/>
          <w:snapToGrid w:val="0"/>
          <w:color w:val="auto"/>
          <w:szCs w:val="24"/>
          <w:lang w:val="en-US" w:eastAsia="zh-CN"/>
        </w:rPr>
      </w:pPr>
      <w:r>
        <w:rPr>
          <w:rFonts w:hint="eastAsia" w:cs="宋体"/>
          <w:snapToGrid w:val="0"/>
          <w:color w:val="auto"/>
          <w:szCs w:val="24"/>
          <w:lang w:val="en-US" w:eastAsia="zh-CN"/>
        </w:rPr>
        <w:t>附件18 进度管理表</w:t>
      </w:r>
    </w:p>
    <w:p w14:paraId="2B51F1D0">
      <w:pPr>
        <w:pStyle w:val="29"/>
        <w:adjustRightInd w:val="0"/>
        <w:snapToGrid w:val="0"/>
        <w:spacing w:before="0" w:beforeAutospacing="0" w:after="0" w:afterAutospacing="0" w:line="360" w:lineRule="auto"/>
        <w:ind w:firstLine="240" w:firstLineChars="100"/>
        <w:rPr>
          <w:rFonts w:hint="eastAsia" w:cs="宋体"/>
          <w:snapToGrid w:val="0"/>
          <w:color w:val="auto"/>
          <w:szCs w:val="24"/>
          <w:lang w:val="en-US" w:eastAsia="zh-CN"/>
        </w:rPr>
      </w:pPr>
      <w:r>
        <w:rPr>
          <w:rFonts w:hint="eastAsia" w:cs="宋体"/>
          <w:snapToGrid w:val="0"/>
          <w:color w:val="auto"/>
          <w:szCs w:val="24"/>
          <w:lang w:val="en-US" w:eastAsia="zh-CN"/>
        </w:rPr>
        <w:t>附件19 三级审核表</w:t>
      </w:r>
    </w:p>
    <w:p w14:paraId="1525CDFE">
      <w:pPr>
        <w:pStyle w:val="29"/>
        <w:adjustRightInd w:val="0"/>
        <w:snapToGrid w:val="0"/>
        <w:spacing w:before="0" w:beforeAutospacing="0" w:after="0" w:afterAutospacing="0" w:line="360" w:lineRule="auto"/>
        <w:ind w:firstLine="240" w:firstLineChars="100"/>
        <w:rPr>
          <w:rFonts w:hint="default" w:cs="宋体"/>
          <w:snapToGrid w:val="0"/>
          <w:color w:val="auto"/>
          <w:szCs w:val="24"/>
          <w:lang w:val="en-US" w:eastAsia="zh-CN"/>
        </w:rPr>
      </w:pPr>
      <w:r>
        <w:rPr>
          <w:rFonts w:hint="eastAsia" w:cs="宋体"/>
          <w:snapToGrid w:val="0"/>
          <w:color w:val="auto"/>
          <w:szCs w:val="24"/>
          <w:lang w:val="en-US" w:eastAsia="zh-CN"/>
        </w:rPr>
        <w:t>附件20 项目环评合同</w:t>
      </w:r>
    </w:p>
    <w:p w14:paraId="3AD44A3E">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p>
    <w:p w14:paraId="7D30F93F">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p>
    <w:p w14:paraId="5AD6E616">
      <w:pPr>
        <w:pStyle w:val="29"/>
        <w:adjustRightInd w:val="0"/>
        <w:snapToGrid w:val="0"/>
        <w:spacing w:before="0" w:beforeAutospacing="0" w:after="0" w:afterAutospacing="0" w:line="360" w:lineRule="auto"/>
        <w:rPr>
          <w:rFonts w:hint="eastAsia" w:cs="宋体"/>
          <w:b/>
          <w:bCs/>
          <w:snapToGrid w:val="0"/>
          <w:color w:val="auto"/>
          <w:szCs w:val="24"/>
        </w:rPr>
      </w:pPr>
      <w:r>
        <w:rPr>
          <w:rFonts w:hint="eastAsia" w:cs="宋体"/>
          <w:b/>
          <w:bCs/>
          <w:snapToGrid w:val="0"/>
          <w:color w:val="auto"/>
          <w:szCs w:val="24"/>
        </w:rPr>
        <w:t>附图</w:t>
      </w:r>
    </w:p>
    <w:p w14:paraId="0145D21B">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附图1  项目地理位置图</w:t>
      </w:r>
    </w:p>
    <w:p w14:paraId="6E9A0FCD">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附图2-1  四街卫生院厂区平面布置图</w:t>
      </w:r>
    </w:p>
    <w:p w14:paraId="275D1BF1">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附图2-2  纳古卫生院厂区平面布置图</w:t>
      </w:r>
    </w:p>
    <w:p w14:paraId="3A05C44B">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附图2-3  九龙卫生院厂区平面布置图</w:t>
      </w:r>
    </w:p>
    <w:p w14:paraId="0A483FA0">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附图2-4  杨广卫生院厂区平面布置图</w:t>
      </w:r>
    </w:p>
    <w:p w14:paraId="10BD9074">
      <w:pPr>
        <w:pStyle w:val="29"/>
        <w:adjustRightInd w:val="0"/>
        <w:snapToGrid w:val="0"/>
        <w:spacing w:before="0" w:beforeAutospacing="0" w:after="0" w:afterAutospacing="0" w:line="360" w:lineRule="auto"/>
        <w:rPr>
          <w:rFonts w:hint="eastAsia"/>
          <w:color w:val="auto"/>
        </w:rPr>
      </w:pPr>
      <w:r>
        <w:rPr>
          <w:rFonts w:hint="eastAsia"/>
          <w:color w:val="auto"/>
        </w:rPr>
        <w:t>附图3-1  纳古卫生院分层平面布置图</w:t>
      </w:r>
    </w:p>
    <w:p w14:paraId="535B75E0">
      <w:pPr>
        <w:pStyle w:val="29"/>
        <w:adjustRightInd w:val="0"/>
        <w:snapToGrid w:val="0"/>
        <w:spacing w:before="0" w:beforeAutospacing="0" w:after="0" w:afterAutospacing="0" w:line="360" w:lineRule="auto"/>
        <w:rPr>
          <w:rFonts w:hint="eastAsia"/>
          <w:color w:val="auto"/>
        </w:rPr>
      </w:pPr>
      <w:r>
        <w:rPr>
          <w:rFonts w:hint="eastAsia"/>
          <w:color w:val="auto"/>
        </w:rPr>
        <w:t>附图3-2  四街卫生院分层平面布置图</w:t>
      </w:r>
    </w:p>
    <w:p w14:paraId="76C5F401">
      <w:pPr>
        <w:pStyle w:val="29"/>
        <w:adjustRightInd w:val="0"/>
        <w:snapToGrid w:val="0"/>
        <w:spacing w:before="0" w:beforeAutospacing="0" w:after="0" w:afterAutospacing="0" w:line="360" w:lineRule="auto"/>
        <w:rPr>
          <w:rFonts w:hint="eastAsia"/>
          <w:color w:val="auto"/>
        </w:rPr>
      </w:pPr>
      <w:r>
        <w:rPr>
          <w:rFonts w:hint="eastAsia"/>
          <w:color w:val="auto"/>
        </w:rPr>
        <w:t>附图3-3  九龙卫生院分层平面布置图</w:t>
      </w:r>
    </w:p>
    <w:p w14:paraId="232EBE34">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附图4  项目区水系图</w:t>
      </w:r>
    </w:p>
    <w:p w14:paraId="5343A3D6">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附图5-1  四街镇卫生院周边关系及保护目标示意图</w:t>
      </w:r>
    </w:p>
    <w:p w14:paraId="64F12580">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附图5-2  九龙街道卫生院周边关系及保护目标示意图</w:t>
      </w:r>
    </w:p>
    <w:p w14:paraId="12389AC3">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附图5-3  杨广镇卫生院周边关系及保护目标示意图</w:t>
      </w:r>
    </w:p>
    <w:p w14:paraId="2095D69A">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附图5-4  纳古镇卫生院周边关系及保护目标示意图</w:t>
      </w:r>
    </w:p>
    <w:p w14:paraId="2F56886B">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附图6  项目与杞麓湖湖滨生态红线及湖泊生态黄线“两线”划定位置关系图</w:t>
      </w:r>
    </w:p>
    <w:p w14:paraId="25BC4CBC">
      <w:pPr>
        <w:pStyle w:val="29"/>
        <w:adjustRightInd w:val="0"/>
        <w:snapToGrid w:val="0"/>
        <w:spacing w:before="0" w:beforeAutospacing="0" w:after="0" w:afterAutospacing="0" w:line="360" w:lineRule="auto"/>
        <w:rPr>
          <w:rFonts w:hint="eastAsia" w:cs="宋体"/>
          <w:snapToGrid w:val="0"/>
          <w:color w:val="auto"/>
          <w:szCs w:val="24"/>
        </w:rPr>
      </w:pPr>
      <w:bookmarkStart w:id="3" w:name="_Toc32585"/>
      <w:r>
        <w:rPr>
          <w:rFonts w:hint="eastAsia" w:cs="宋体"/>
          <w:snapToGrid w:val="0"/>
          <w:color w:val="auto"/>
          <w:szCs w:val="24"/>
        </w:rPr>
        <w:t>附图7-1  四街卫生院分区防渗图</w:t>
      </w:r>
    </w:p>
    <w:p w14:paraId="43D8964C">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附图7-2  纳古卫生院分区防渗图</w:t>
      </w:r>
    </w:p>
    <w:p w14:paraId="670ABED1">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附图7-3  九龙卫生院分区防渗图</w:t>
      </w:r>
    </w:p>
    <w:p w14:paraId="224756A2">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附图7-4  杨广卫生院分区防渗图</w:t>
      </w:r>
    </w:p>
    <w:p w14:paraId="25D33E40">
      <w:pPr>
        <w:pStyle w:val="29"/>
        <w:jc w:val="center"/>
        <w:outlineLvl w:val="0"/>
        <w:rPr>
          <w:rFonts w:ascii="Times New Roman" w:hAnsi="Times New Roman" w:eastAsia="黑体"/>
          <w:snapToGrid w:val="0"/>
          <w:color w:val="auto"/>
          <w:sz w:val="30"/>
          <w:szCs w:val="30"/>
        </w:rPr>
      </w:pPr>
    </w:p>
    <w:p w14:paraId="1A49C940">
      <w:pPr>
        <w:pStyle w:val="29"/>
        <w:jc w:val="center"/>
        <w:outlineLvl w:val="0"/>
        <w:rPr>
          <w:rFonts w:ascii="Times New Roman" w:hAnsi="Times New Roman" w:eastAsia="黑体"/>
          <w:snapToGrid w:val="0"/>
          <w:color w:val="auto"/>
          <w:sz w:val="30"/>
          <w:szCs w:val="30"/>
        </w:rPr>
        <w:sectPr>
          <w:footerReference r:id="rId5" w:type="default"/>
          <w:pgSz w:w="11906" w:h="16838"/>
          <w:pgMar w:top="1701" w:right="1531" w:bottom="1701" w:left="1531" w:header="851" w:footer="1077" w:gutter="0"/>
          <w:pgNumType w:fmt="upperRoman" w:start="1"/>
          <w:cols w:space="720" w:num="1"/>
          <w:docGrid w:linePitch="312" w:charSpace="0"/>
        </w:sectPr>
      </w:pPr>
    </w:p>
    <w:p w14:paraId="2BA87831">
      <w:pPr>
        <w:pStyle w:val="29"/>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bookmarkEnd w:id="3"/>
    </w:p>
    <w:tbl>
      <w:tblPr>
        <w:tblStyle w:val="33"/>
        <w:tblW w:w="491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39"/>
        <w:gridCol w:w="1738"/>
        <w:gridCol w:w="2042"/>
        <w:gridCol w:w="3906"/>
      </w:tblGrid>
      <w:tr w14:paraId="73EB7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595" w:type="pct"/>
            <w:tcMar>
              <w:top w:w="16" w:type="dxa"/>
              <w:left w:w="16" w:type="dxa"/>
              <w:right w:w="16" w:type="dxa"/>
            </w:tcMar>
            <w:vAlign w:val="center"/>
          </w:tcPr>
          <w:p w14:paraId="7917B542">
            <w:pPr>
              <w:adjustRightInd w:val="0"/>
              <w:snapToGrid w:val="0"/>
              <w:jc w:val="center"/>
              <w:rPr>
                <w:color w:val="auto"/>
                <w:sz w:val="24"/>
              </w:rPr>
            </w:pPr>
            <w:r>
              <w:rPr>
                <w:color w:val="auto"/>
                <w:sz w:val="24"/>
              </w:rPr>
              <w:t>建设项目名称</w:t>
            </w:r>
          </w:p>
        </w:tc>
        <w:tc>
          <w:tcPr>
            <w:tcW w:w="4404" w:type="pct"/>
            <w:gridSpan w:val="3"/>
            <w:vAlign w:val="center"/>
          </w:tcPr>
          <w:p w14:paraId="1D918D6E">
            <w:pPr>
              <w:adjustRightInd w:val="0"/>
              <w:snapToGrid w:val="0"/>
              <w:jc w:val="center"/>
              <w:rPr>
                <w:color w:val="auto"/>
                <w:sz w:val="24"/>
              </w:rPr>
            </w:pPr>
            <w:bookmarkStart w:id="4" w:name="_Hlk192497852"/>
            <w:r>
              <w:rPr>
                <w:rFonts w:hint="eastAsia"/>
                <w:color w:val="auto"/>
                <w:sz w:val="24"/>
              </w:rPr>
              <w:t>通海县紧密型医共体乡镇医疗卫生服务能力提升项目</w:t>
            </w:r>
            <w:bookmarkEnd w:id="4"/>
          </w:p>
        </w:tc>
      </w:tr>
      <w:tr w14:paraId="3BE55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5" w:type="pct"/>
            <w:tcMar>
              <w:top w:w="16" w:type="dxa"/>
              <w:left w:w="16" w:type="dxa"/>
              <w:right w:w="16" w:type="dxa"/>
            </w:tcMar>
            <w:vAlign w:val="center"/>
          </w:tcPr>
          <w:p w14:paraId="2A48D465">
            <w:pPr>
              <w:adjustRightInd w:val="0"/>
              <w:snapToGrid w:val="0"/>
              <w:jc w:val="center"/>
              <w:rPr>
                <w:color w:val="auto"/>
                <w:sz w:val="24"/>
              </w:rPr>
            </w:pPr>
            <w:r>
              <w:rPr>
                <w:color w:val="auto"/>
                <w:sz w:val="24"/>
              </w:rPr>
              <w:t>项目代码</w:t>
            </w:r>
          </w:p>
        </w:tc>
        <w:tc>
          <w:tcPr>
            <w:tcW w:w="4404" w:type="pct"/>
            <w:gridSpan w:val="3"/>
            <w:vAlign w:val="center"/>
          </w:tcPr>
          <w:p w14:paraId="4708E927">
            <w:pPr>
              <w:adjustRightInd w:val="0"/>
              <w:snapToGrid w:val="0"/>
              <w:jc w:val="center"/>
              <w:rPr>
                <w:color w:val="auto"/>
                <w:sz w:val="24"/>
              </w:rPr>
            </w:pPr>
            <w:bookmarkStart w:id="5" w:name="_Hlk192498016"/>
            <w:r>
              <w:rPr>
                <w:rFonts w:hint="eastAsia"/>
                <w:color w:val="auto"/>
                <w:sz w:val="24"/>
              </w:rPr>
              <w:t>2403</w:t>
            </w:r>
            <w:r>
              <w:rPr>
                <w:color w:val="auto"/>
                <w:sz w:val="24"/>
              </w:rPr>
              <w:t>-</w:t>
            </w:r>
            <w:r>
              <w:rPr>
                <w:rFonts w:hint="eastAsia"/>
                <w:color w:val="auto"/>
                <w:sz w:val="24"/>
              </w:rPr>
              <w:t>530423</w:t>
            </w:r>
            <w:r>
              <w:rPr>
                <w:color w:val="auto"/>
                <w:sz w:val="24"/>
              </w:rPr>
              <w:t>-04-01-</w:t>
            </w:r>
            <w:r>
              <w:rPr>
                <w:rFonts w:hint="eastAsia"/>
                <w:color w:val="auto"/>
                <w:sz w:val="24"/>
              </w:rPr>
              <w:t>828908</w:t>
            </w:r>
            <w:bookmarkEnd w:id="5"/>
          </w:p>
        </w:tc>
      </w:tr>
      <w:tr w14:paraId="11806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5" w:type="pct"/>
            <w:tcMar>
              <w:top w:w="16" w:type="dxa"/>
              <w:left w:w="16" w:type="dxa"/>
              <w:right w:w="16" w:type="dxa"/>
            </w:tcMar>
            <w:vAlign w:val="center"/>
          </w:tcPr>
          <w:p w14:paraId="68F151C4">
            <w:pPr>
              <w:adjustRightInd w:val="0"/>
              <w:snapToGrid w:val="0"/>
              <w:jc w:val="center"/>
              <w:rPr>
                <w:color w:val="auto"/>
                <w:sz w:val="24"/>
              </w:rPr>
            </w:pPr>
            <w:r>
              <w:rPr>
                <w:color w:val="auto"/>
                <w:sz w:val="24"/>
              </w:rPr>
              <w:t>建设单位联系人</w:t>
            </w:r>
          </w:p>
        </w:tc>
        <w:tc>
          <w:tcPr>
            <w:tcW w:w="996" w:type="pct"/>
            <w:vAlign w:val="center"/>
          </w:tcPr>
          <w:p w14:paraId="0CDABEFF">
            <w:pPr>
              <w:adjustRightInd w:val="0"/>
              <w:snapToGrid w:val="0"/>
              <w:jc w:val="center"/>
              <w:rPr>
                <w:color w:val="auto"/>
                <w:sz w:val="24"/>
              </w:rPr>
            </w:pPr>
            <w:r>
              <w:rPr>
                <w:rFonts w:hint="eastAsia"/>
                <w:color w:val="auto"/>
                <w:sz w:val="24"/>
              </w:rPr>
              <w:t>李凌</w:t>
            </w:r>
          </w:p>
        </w:tc>
        <w:tc>
          <w:tcPr>
            <w:tcW w:w="1170" w:type="pct"/>
            <w:vAlign w:val="center"/>
          </w:tcPr>
          <w:p w14:paraId="3EDDFA9A">
            <w:pPr>
              <w:adjustRightInd w:val="0"/>
              <w:snapToGrid w:val="0"/>
              <w:jc w:val="center"/>
              <w:rPr>
                <w:color w:val="auto"/>
                <w:sz w:val="24"/>
              </w:rPr>
            </w:pPr>
            <w:r>
              <w:rPr>
                <w:color w:val="auto"/>
                <w:sz w:val="24"/>
              </w:rPr>
              <w:t>联系方式</w:t>
            </w:r>
          </w:p>
        </w:tc>
        <w:tc>
          <w:tcPr>
            <w:tcW w:w="2237" w:type="pct"/>
            <w:vAlign w:val="center"/>
          </w:tcPr>
          <w:p w14:paraId="64E3C819">
            <w:pPr>
              <w:adjustRightInd w:val="0"/>
              <w:snapToGrid w:val="0"/>
              <w:jc w:val="center"/>
              <w:rPr>
                <w:color w:val="auto"/>
                <w:sz w:val="24"/>
              </w:rPr>
            </w:pPr>
            <w:r>
              <w:rPr>
                <w:rFonts w:hint="eastAsia"/>
                <w:color w:val="auto"/>
                <w:sz w:val="24"/>
              </w:rPr>
              <w:t>16608770111</w:t>
            </w:r>
          </w:p>
        </w:tc>
      </w:tr>
      <w:tr w14:paraId="35CB2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595" w:type="pct"/>
            <w:tcMar>
              <w:top w:w="16" w:type="dxa"/>
              <w:left w:w="16" w:type="dxa"/>
              <w:right w:w="16" w:type="dxa"/>
            </w:tcMar>
            <w:vAlign w:val="center"/>
          </w:tcPr>
          <w:p w14:paraId="05BC708F">
            <w:pPr>
              <w:adjustRightInd w:val="0"/>
              <w:snapToGrid w:val="0"/>
              <w:jc w:val="center"/>
              <w:rPr>
                <w:color w:val="auto"/>
                <w:sz w:val="24"/>
              </w:rPr>
            </w:pPr>
            <w:r>
              <w:rPr>
                <w:color w:val="auto"/>
                <w:sz w:val="24"/>
              </w:rPr>
              <w:t>建设地点</w:t>
            </w:r>
          </w:p>
        </w:tc>
        <w:tc>
          <w:tcPr>
            <w:tcW w:w="4404" w:type="pct"/>
            <w:gridSpan w:val="3"/>
            <w:vAlign w:val="center"/>
          </w:tcPr>
          <w:p w14:paraId="2936C909">
            <w:pPr>
              <w:adjustRightInd w:val="0"/>
              <w:snapToGrid w:val="0"/>
              <w:jc w:val="center"/>
              <w:rPr>
                <w:color w:val="auto"/>
                <w:sz w:val="24"/>
              </w:rPr>
            </w:pPr>
            <w:bookmarkStart w:id="6" w:name="_Hlk192498029"/>
            <w:r>
              <w:rPr>
                <w:color w:val="auto"/>
                <w:sz w:val="24"/>
                <w:u w:val="single"/>
              </w:rPr>
              <w:t>云南</w:t>
            </w:r>
            <w:r>
              <w:rPr>
                <w:color w:val="auto"/>
                <w:sz w:val="24"/>
              </w:rPr>
              <w:t>省（自治区）</w:t>
            </w:r>
            <w:r>
              <w:rPr>
                <w:color w:val="auto"/>
                <w:sz w:val="24"/>
                <w:u w:val="single"/>
              </w:rPr>
              <w:t>玉溪</w:t>
            </w:r>
            <w:r>
              <w:rPr>
                <w:color w:val="auto"/>
                <w:sz w:val="24"/>
              </w:rPr>
              <w:t>市</w:t>
            </w:r>
            <w:r>
              <w:rPr>
                <w:rFonts w:hint="eastAsia"/>
                <w:color w:val="auto"/>
                <w:sz w:val="24"/>
                <w:u w:val="single"/>
              </w:rPr>
              <w:t>通海</w:t>
            </w:r>
            <w:r>
              <w:rPr>
                <w:color w:val="auto"/>
                <w:sz w:val="24"/>
              </w:rPr>
              <w:t>县（区）</w:t>
            </w:r>
            <w:r>
              <w:rPr>
                <w:rFonts w:hint="eastAsia"/>
                <w:color w:val="auto"/>
                <w:sz w:val="24"/>
                <w:u w:val="single"/>
              </w:rPr>
              <w:t>纳古镇纳古分院、四街镇四街分院、杨广镇杨广分院、九龙街道九龙分院</w:t>
            </w:r>
            <w:bookmarkEnd w:id="6"/>
          </w:p>
        </w:tc>
      </w:tr>
      <w:tr w14:paraId="7AB45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5" w:type="pct"/>
            <w:tcMar>
              <w:top w:w="16" w:type="dxa"/>
              <w:left w:w="16" w:type="dxa"/>
              <w:right w:w="16" w:type="dxa"/>
            </w:tcMar>
            <w:vAlign w:val="center"/>
          </w:tcPr>
          <w:p w14:paraId="4D0120B3">
            <w:pPr>
              <w:adjustRightInd w:val="0"/>
              <w:snapToGrid w:val="0"/>
              <w:jc w:val="center"/>
              <w:rPr>
                <w:color w:val="auto"/>
                <w:sz w:val="24"/>
              </w:rPr>
            </w:pPr>
            <w:r>
              <w:rPr>
                <w:color w:val="auto"/>
                <w:sz w:val="24"/>
              </w:rPr>
              <w:t>地理坐标</w:t>
            </w:r>
          </w:p>
        </w:tc>
        <w:tc>
          <w:tcPr>
            <w:tcW w:w="4404" w:type="pct"/>
            <w:gridSpan w:val="3"/>
            <w:vAlign w:val="center"/>
          </w:tcPr>
          <w:p w14:paraId="3F506405">
            <w:pPr>
              <w:jc w:val="center"/>
              <w:rPr>
                <w:color w:val="auto"/>
                <w:sz w:val="24"/>
              </w:rPr>
            </w:pPr>
            <w:r>
              <w:rPr>
                <w:rFonts w:hint="eastAsia"/>
                <w:color w:val="auto"/>
                <w:sz w:val="24"/>
              </w:rPr>
              <w:t>纳古镇纳古分院：</w:t>
            </w:r>
            <w:r>
              <w:rPr>
                <w:color w:val="auto"/>
                <w:sz w:val="24"/>
              </w:rPr>
              <w:t>（</w:t>
            </w:r>
            <w:r>
              <w:rPr>
                <w:color w:val="auto"/>
                <w:sz w:val="24"/>
                <w:u w:val="single"/>
              </w:rPr>
              <w:t>102</w:t>
            </w:r>
            <w:r>
              <w:rPr>
                <w:color w:val="auto"/>
                <w:sz w:val="24"/>
              </w:rPr>
              <w:t>度</w:t>
            </w:r>
            <w:r>
              <w:rPr>
                <w:rFonts w:hint="eastAsia"/>
                <w:color w:val="auto"/>
                <w:sz w:val="24"/>
                <w:u w:val="single"/>
              </w:rPr>
              <w:t>43</w:t>
            </w:r>
            <w:r>
              <w:rPr>
                <w:color w:val="auto"/>
                <w:sz w:val="24"/>
              </w:rPr>
              <w:t>分</w:t>
            </w:r>
            <w:r>
              <w:rPr>
                <w:rFonts w:hint="eastAsia"/>
                <w:color w:val="auto"/>
                <w:sz w:val="24"/>
                <w:u w:val="single"/>
              </w:rPr>
              <w:t>53.819</w:t>
            </w:r>
            <w:r>
              <w:rPr>
                <w:color w:val="auto"/>
                <w:sz w:val="24"/>
              </w:rPr>
              <w:t>秒，</w:t>
            </w:r>
            <w:r>
              <w:rPr>
                <w:color w:val="auto"/>
                <w:sz w:val="24"/>
                <w:u w:val="single"/>
              </w:rPr>
              <w:t>24</w:t>
            </w:r>
            <w:r>
              <w:rPr>
                <w:color w:val="auto"/>
                <w:sz w:val="24"/>
              </w:rPr>
              <w:t>度</w:t>
            </w:r>
            <w:r>
              <w:rPr>
                <w:rFonts w:hint="eastAsia"/>
                <w:color w:val="auto"/>
                <w:sz w:val="24"/>
                <w:u w:val="single"/>
              </w:rPr>
              <w:t>10</w:t>
            </w:r>
            <w:r>
              <w:rPr>
                <w:color w:val="auto"/>
                <w:sz w:val="24"/>
              </w:rPr>
              <w:t>分</w:t>
            </w:r>
            <w:r>
              <w:rPr>
                <w:rFonts w:hint="eastAsia"/>
                <w:color w:val="auto"/>
                <w:sz w:val="24"/>
                <w:u w:val="single"/>
              </w:rPr>
              <w:t>55.201</w:t>
            </w:r>
            <w:r>
              <w:rPr>
                <w:color w:val="auto"/>
                <w:sz w:val="24"/>
              </w:rPr>
              <w:t>秒）</w:t>
            </w:r>
          </w:p>
          <w:p w14:paraId="0A19EA5D">
            <w:pPr>
              <w:jc w:val="center"/>
              <w:rPr>
                <w:color w:val="auto"/>
                <w:sz w:val="24"/>
              </w:rPr>
            </w:pPr>
            <w:r>
              <w:rPr>
                <w:rFonts w:hint="eastAsia"/>
                <w:color w:val="auto"/>
                <w:sz w:val="24"/>
              </w:rPr>
              <w:t>四街镇四街分院：</w:t>
            </w:r>
            <w:r>
              <w:rPr>
                <w:color w:val="auto"/>
                <w:sz w:val="24"/>
              </w:rPr>
              <w:t>（</w:t>
            </w:r>
            <w:r>
              <w:rPr>
                <w:color w:val="auto"/>
                <w:sz w:val="24"/>
                <w:u w:val="single"/>
              </w:rPr>
              <w:t>102</w:t>
            </w:r>
            <w:r>
              <w:rPr>
                <w:color w:val="auto"/>
                <w:sz w:val="24"/>
              </w:rPr>
              <w:t>度</w:t>
            </w:r>
            <w:r>
              <w:rPr>
                <w:rFonts w:hint="eastAsia"/>
                <w:color w:val="auto"/>
                <w:sz w:val="24"/>
                <w:u w:val="single"/>
              </w:rPr>
              <w:t>42</w:t>
            </w:r>
            <w:r>
              <w:rPr>
                <w:color w:val="auto"/>
                <w:sz w:val="24"/>
              </w:rPr>
              <w:t>分</w:t>
            </w:r>
            <w:r>
              <w:rPr>
                <w:rFonts w:hint="eastAsia"/>
                <w:color w:val="auto"/>
                <w:sz w:val="24"/>
                <w:u w:val="single"/>
              </w:rPr>
              <w:t>8.646</w:t>
            </w:r>
            <w:r>
              <w:rPr>
                <w:color w:val="auto"/>
                <w:sz w:val="24"/>
              </w:rPr>
              <w:t>秒，</w:t>
            </w:r>
            <w:r>
              <w:rPr>
                <w:color w:val="auto"/>
                <w:sz w:val="24"/>
                <w:u w:val="single"/>
              </w:rPr>
              <w:t>24</w:t>
            </w:r>
            <w:r>
              <w:rPr>
                <w:color w:val="auto"/>
                <w:sz w:val="24"/>
              </w:rPr>
              <w:t>度</w:t>
            </w:r>
            <w:r>
              <w:rPr>
                <w:rFonts w:hint="eastAsia"/>
                <w:color w:val="auto"/>
                <w:sz w:val="24"/>
                <w:u w:val="single"/>
              </w:rPr>
              <w:t>9</w:t>
            </w:r>
            <w:r>
              <w:rPr>
                <w:color w:val="auto"/>
                <w:sz w:val="24"/>
              </w:rPr>
              <w:t>分</w:t>
            </w:r>
            <w:r>
              <w:rPr>
                <w:rFonts w:hint="eastAsia"/>
                <w:color w:val="auto"/>
                <w:sz w:val="24"/>
                <w:u w:val="single"/>
              </w:rPr>
              <w:t>53.403</w:t>
            </w:r>
            <w:r>
              <w:rPr>
                <w:color w:val="auto"/>
                <w:sz w:val="24"/>
              </w:rPr>
              <w:t>秒）</w:t>
            </w:r>
          </w:p>
          <w:p w14:paraId="1F409D65">
            <w:pPr>
              <w:jc w:val="center"/>
              <w:rPr>
                <w:color w:val="auto"/>
                <w:sz w:val="24"/>
              </w:rPr>
            </w:pPr>
            <w:r>
              <w:rPr>
                <w:rFonts w:hint="eastAsia"/>
                <w:color w:val="auto"/>
                <w:sz w:val="24"/>
              </w:rPr>
              <w:t>九龙街道九龙分院：</w:t>
            </w:r>
            <w:r>
              <w:rPr>
                <w:color w:val="auto"/>
                <w:sz w:val="24"/>
              </w:rPr>
              <w:t>（</w:t>
            </w:r>
            <w:r>
              <w:rPr>
                <w:color w:val="auto"/>
                <w:sz w:val="24"/>
                <w:u w:val="single"/>
              </w:rPr>
              <w:t>102</w:t>
            </w:r>
            <w:r>
              <w:rPr>
                <w:color w:val="auto"/>
                <w:sz w:val="24"/>
              </w:rPr>
              <w:t>度</w:t>
            </w:r>
            <w:r>
              <w:rPr>
                <w:rFonts w:hint="eastAsia"/>
                <w:color w:val="auto"/>
                <w:sz w:val="24"/>
                <w:u w:val="single"/>
              </w:rPr>
              <w:t>41</w:t>
            </w:r>
            <w:r>
              <w:rPr>
                <w:color w:val="auto"/>
                <w:sz w:val="24"/>
              </w:rPr>
              <w:t>分</w:t>
            </w:r>
            <w:r>
              <w:rPr>
                <w:rFonts w:hint="eastAsia"/>
                <w:color w:val="auto"/>
                <w:sz w:val="24"/>
                <w:u w:val="single"/>
              </w:rPr>
              <w:t>25.503</w:t>
            </w:r>
            <w:r>
              <w:rPr>
                <w:color w:val="auto"/>
                <w:sz w:val="24"/>
              </w:rPr>
              <w:t>秒，</w:t>
            </w:r>
            <w:r>
              <w:rPr>
                <w:color w:val="auto"/>
                <w:sz w:val="24"/>
                <w:u w:val="single"/>
              </w:rPr>
              <w:t>24</w:t>
            </w:r>
            <w:r>
              <w:rPr>
                <w:color w:val="auto"/>
                <w:sz w:val="24"/>
              </w:rPr>
              <w:t>度</w:t>
            </w:r>
            <w:r>
              <w:rPr>
                <w:rFonts w:hint="eastAsia"/>
                <w:color w:val="auto"/>
                <w:sz w:val="24"/>
                <w:u w:val="single"/>
              </w:rPr>
              <w:t>6</w:t>
            </w:r>
            <w:r>
              <w:rPr>
                <w:color w:val="auto"/>
                <w:sz w:val="24"/>
              </w:rPr>
              <w:t>分</w:t>
            </w:r>
            <w:r>
              <w:rPr>
                <w:rFonts w:hint="eastAsia"/>
                <w:color w:val="auto"/>
                <w:sz w:val="24"/>
                <w:u w:val="single"/>
              </w:rPr>
              <w:t>46.560</w:t>
            </w:r>
            <w:r>
              <w:rPr>
                <w:color w:val="auto"/>
                <w:sz w:val="24"/>
              </w:rPr>
              <w:t>秒）</w:t>
            </w:r>
          </w:p>
          <w:p w14:paraId="0CE2FA98">
            <w:pPr>
              <w:jc w:val="center"/>
              <w:rPr>
                <w:color w:val="auto"/>
              </w:rPr>
            </w:pPr>
            <w:r>
              <w:rPr>
                <w:rFonts w:hint="eastAsia"/>
                <w:color w:val="auto"/>
                <w:sz w:val="24"/>
              </w:rPr>
              <w:t>杨广镇杨广分院：</w:t>
            </w:r>
            <w:r>
              <w:rPr>
                <w:color w:val="auto"/>
                <w:sz w:val="24"/>
              </w:rPr>
              <w:t>（</w:t>
            </w:r>
            <w:r>
              <w:rPr>
                <w:color w:val="auto"/>
                <w:sz w:val="24"/>
                <w:u w:val="single"/>
              </w:rPr>
              <w:t>102</w:t>
            </w:r>
            <w:r>
              <w:rPr>
                <w:color w:val="auto"/>
                <w:sz w:val="24"/>
              </w:rPr>
              <w:t>度</w:t>
            </w:r>
            <w:r>
              <w:rPr>
                <w:rFonts w:hint="eastAsia"/>
                <w:color w:val="auto"/>
                <w:sz w:val="24"/>
                <w:u w:val="single"/>
              </w:rPr>
              <w:t>47</w:t>
            </w:r>
            <w:r>
              <w:rPr>
                <w:color w:val="auto"/>
                <w:sz w:val="24"/>
              </w:rPr>
              <w:t>分</w:t>
            </w:r>
            <w:r>
              <w:rPr>
                <w:rFonts w:hint="eastAsia"/>
                <w:color w:val="auto"/>
                <w:sz w:val="24"/>
                <w:u w:val="single"/>
              </w:rPr>
              <w:t>51.954</w:t>
            </w:r>
            <w:r>
              <w:rPr>
                <w:color w:val="auto"/>
                <w:sz w:val="24"/>
              </w:rPr>
              <w:t>秒，</w:t>
            </w:r>
            <w:r>
              <w:rPr>
                <w:color w:val="auto"/>
                <w:sz w:val="24"/>
                <w:u w:val="single"/>
              </w:rPr>
              <w:t>24</w:t>
            </w:r>
            <w:r>
              <w:rPr>
                <w:color w:val="auto"/>
                <w:sz w:val="24"/>
              </w:rPr>
              <w:t>度</w:t>
            </w:r>
            <w:r>
              <w:rPr>
                <w:rFonts w:hint="eastAsia"/>
                <w:color w:val="auto"/>
                <w:sz w:val="24"/>
                <w:u w:val="single"/>
              </w:rPr>
              <w:t>8</w:t>
            </w:r>
            <w:r>
              <w:rPr>
                <w:color w:val="auto"/>
                <w:sz w:val="24"/>
              </w:rPr>
              <w:t>分</w:t>
            </w:r>
            <w:r>
              <w:rPr>
                <w:rFonts w:hint="eastAsia"/>
                <w:color w:val="auto"/>
                <w:sz w:val="24"/>
                <w:u w:val="single"/>
              </w:rPr>
              <w:t>19.769</w:t>
            </w:r>
            <w:r>
              <w:rPr>
                <w:color w:val="auto"/>
                <w:sz w:val="24"/>
              </w:rPr>
              <w:t>秒）</w:t>
            </w:r>
          </w:p>
        </w:tc>
      </w:tr>
      <w:tr w14:paraId="3FF8E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04" w:hRule="atLeast"/>
          <w:jc w:val="center"/>
        </w:trPr>
        <w:tc>
          <w:tcPr>
            <w:tcW w:w="595" w:type="pct"/>
            <w:tcMar>
              <w:top w:w="16" w:type="dxa"/>
              <w:left w:w="16" w:type="dxa"/>
              <w:right w:w="16" w:type="dxa"/>
            </w:tcMar>
            <w:vAlign w:val="center"/>
          </w:tcPr>
          <w:p w14:paraId="7378E89E">
            <w:pPr>
              <w:adjustRightInd w:val="0"/>
              <w:snapToGrid w:val="0"/>
              <w:jc w:val="center"/>
              <w:rPr>
                <w:color w:val="auto"/>
                <w:sz w:val="24"/>
              </w:rPr>
            </w:pPr>
            <w:r>
              <w:rPr>
                <w:color w:val="auto"/>
                <w:sz w:val="24"/>
              </w:rPr>
              <w:t>国民经济行业类别</w:t>
            </w:r>
          </w:p>
        </w:tc>
        <w:tc>
          <w:tcPr>
            <w:tcW w:w="996" w:type="pct"/>
            <w:vAlign w:val="center"/>
          </w:tcPr>
          <w:p w14:paraId="0080D9BB">
            <w:pPr>
              <w:adjustRightInd w:val="0"/>
              <w:snapToGrid w:val="0"/>
              <w:jc w:val="center"/>
              <w:rPr>
                <w:color w:val="auto"/>
                <w:sz w:val="24"/>
              </w:rPr>
            </w:pPr>
            <w:r>
              <w:rPr>
                <w:rFonts w:hint="eastAsia"/>
                <w:color w:val="auto"/>
                <w:sz w:val="24"/>
              </w:rPr>
              <w:t>Q8423乡镇卫生院</w:t>
            </w:r>
          </w:p>
        </w:tc>
        <w:tc>
          <w:tcPr>
            <w:tcW w:w="1170" w:type="pct"/>
            <w:vAlign w:val="center"/>
          </w:tcPr>
          <w:p w14:paraId="6A2D96CD">
            <w:pPr>
              <w:adjustRightInd w:val="0"/>
              <w:snapToGrid w:val="0"/>
              <w:jc w:val="center"/>
              <w:rPr>
                <w:color w:val="auto"/>
                <w:sz w:val="24"/>
              </w:rPr>
            </w:pPr>
            <w:bookmarkStart w:id="7" w:name="_Hlk49843745"/>
            <w:r>
              <w:rPr>
                <w:color w:val="auto"/>
                <w:sz w:val="24"/>
              </w:rPr>
              <w:t>建设项目</w:t>
            </w:r>
          </w:p>
          <w:p w14:paraId="71FF1555">
            <w:pPr>
              <w:adjustRightInd w:val="0"/>
              <w:snapToGrid w:val="0"/>
              <w:jc w:val="center"/>
              <w:rPr>
                <w:color w:val="auto"/>
                <w:sz w:val="24"/>
              </w:rPr>
            </w:pPr>
            <w:r>
              <w:rPr>
                <w:color w:val="auto"/>
                <w:sz w:val="24"/>
              </w:rPr>
              <w:t>行业类别</w:t>
            </w:r>
            <w:bookmarkEnd w:id="7"/>
          </w:p>
        </w:tc>
        <w:tc>
          <w:tcPr>
            <w:tcW w:w="2237" w:type="pct"/>
            <w:vAlign w:val="center"/>
          </w:tcPr>
          <w:p w14:paraId="61E24188">
            <w:pPr>
              <w:adjustRightInd w:val="0"/>
              <w:snapToGrid w:val="0"/>
              <w:rPr>
                <w:color w:val="auto"/>
                <w:sz w:val="24"/>
              </w:rPr>
            </w:pPr>
            <w:r>
              <w:rPr>
                <w:rFonts w:hint="eastAsia"/>
                <w:color w:val="auto"/>
                <w:sz w:val="24"/>
              </w:rPr>
              <w:t>四十九</w:t>
            </w:r>
            <w:r>
              <w:rPr>
                <w:color w:val="auto"/>
                <w:sz w:val="24"/>
              </w:rPr>
              <w:t>、</w:t>
            </w:r>
            <w:r>
              <w:rPr>
                <w:rFonts w:hint="eastAsia"/>
                <w:color w:val="auto"/>
                <w:sz w:val="24"/>
              </w:rPr>
              <w:t>卫生84-108基层医疗卫生服务842</w:t>
            </w:r>
          </w:p>
        </w:tc>
      </w:tr>
      <w:tr w14:paraId="08374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12" w:hRule="atLeast"/>
          <w:jc w:val="center"/>
        </w:trPr>
        <w:tc>
          <w:tcPr>
            <w:tcW w:w="595" w:type="pct"/>
            <w:tcMar>
              <w:top w:w="16" w:type="dxa"/>
              <w:left w:w="16" w:type="dxa"/>
              <w:right w:w="16" w:type="dxa"/>
            </w:tcMar>
            <w:vAlign w:val="center"/>
          </w:tcPr>
          <w:p w14:paraId="4BEB13C3">
            <w:pPr>
              <w:adjustRightInd w:val="0"/>
              <w:snapToGrid w:val="0"/>
              <w:jc w:val="center"/>
              <w:rPr>
                <w:color w:val="auto"/>
                <w:sz w:val="24"/>
              </w:rPr>
            </w:pPr>
            <w:r>
              <w:rPr>
                <w:color w:val="auto"/>
                <w:sz w:val="24"/>
              </w:rPr>
              <w:t>建设性质</w:t>
            </w:r>
          </w:p>
        </w:tc>
        <w:tc>
          <w:tcPr>
            <w:tcW w:w="996" w:type="pct"/>
            <w:vAlign w:val="center"/>
          </w:tcPr>
          <w:p w14:paraId="1461F08A">
            <w:pPr>
              <w:jc w:val="left"/>
              <w:rPr>
                <w:color w:val="auto"/>
                <w:sz w:val="24"/>
              </w:rPr>
            </w:pPr>
            <w:r>
              <w:rPr>
                <w:color w:val="auto"/>
                <w:sz w:val="24"/>
              </w:rPr>
              <w:sym w:font="Wingdings 2" w:char="0052"/>
            </w:r>
            <w:r>
              <w:rPr>
                <w:color w:val="auto"/>
                <w:sz w:val="24"/>
              </w:rPr>
              <w:t>新建（迁建）</w:t>
            </w:r>
          </w:p>
          <w:p w14:paraId="0C55A9AA">
            <w:pPr>
              <w:jc w:val="left"/>
              <w:rPr>
                <w:color w:val="auto"/>
                <w:sz w:val="24"/>
              </w:rPr>
            </w:pPr>
            <w:r>
              <w:rPr>
                <w:color w:val="auto"/>
                <w:sz w:val="24"/>
              </w:rPr>
              <w:sym w:font="Wingdings 2" w:char="00A3"/>
            </w:r>
            <w:r>
              <w:rPr>
                <w:color w:val="auto"/>
                <w:sz w:val="24"/>
              </w:rPr>
              <w:t>改建</w:t>
            </w:r>
          </w:p>
          <w:p w14:paraId="4D5A95D4">
            <w:pPr>
              <w:jc w:val="left"/>
              <w:rPr>
                <w:color w:val="auto"/>
                <w:sz w:val="24"/>
              </w:rPr>
            </w:pPr>
            <w:r>
              <w:rPr>
                <w:rFonts w:hint="eastAsia"/>
                <w:color w:val="auto"/>
                <w:sz w:val="24"/>
              </w:rPr>
              <w:t>□</w:t>
            </w:r>
            <w:r>
              <w:rPr>
                <w:color w:val="auto"/>
                <w:sz w:val="24"/>
              </w:rPr>
              <w:t>扩建</w:t>
            </w:r>
          </w:p>
          <w:p w14:paraId="2732D343">
            <w:pPr>
              <w:jc w:val="left"/>
              <w:rPr>
                <w:color w:val="auto"/>
                <w:sz w:val="24"/>
              </w:rPr>
            </w:pPr>
            <w:r>
              <w:rPr>
                <w:rFonts w:hint="eastAsia"/>
                <w:color w:val="auto"/>
                <w:sz w:val="24"/>
              </w:rPr>
              <w:t>□</w:t>
            </w:r>
            <w:r>
              <w:rPr>
                <w:color w:val="auto"/>
                <w:sz w:val="24"/>
              </w:rPr>
              <w:t>技术改造</w:t>
            </w:r>
          </w:p>
        </w:tc>
        <w:tc>
          <w:tcPr>
            <w:tcW w:w="1170" w:type="pct"/>
            <w:vAlign w:val="center"/>
          </w:tcPr>
          <w:p w14:paraId="63DF84BC">
            <w:pPr>
              <w:adjustRightInd w:val="0"/>
              <w:snapToGrid w:val="0"/>
              <w:jc w:val="center"/>
              <w:rPr>
                <w:color w:val="auto"/>
                <w:sz w:val="24"/>
              </w:rPr>
            </w:pPr>
            <w:r>
              <w:rPr>
                <w:color w:val="auto"/>
                <w:sz w:val="24"/>
              </w:rPr>
              <w:t>建设项目</w:t>
            </w:r>
          </w:p>
          <w:p w14:paraId="10F40082">
            <w:pPr>
              <w:adjustRightInd w:val="0"/>
              <w:snapToGrid w:val="0"/>
              <w:jc w:val="center"/>
              <w:rPr>
                <w:color w:val="auto"/>
                <w:sz w:val="24"/>
              </w:rPr>
            </w:pPr>
            <w:r>
              <w:rPr>
                <w:color w:val="auto"/>
                <w:sz w:val="24"/>
              </w:rPr>
              <w:t>申报情形</w:t>
            </w:r>
          </w:p>
        </w:tc>
        <w:tc>
          <w:tcPr>
            <w:tcW w:w="2237" w:type="pct"/>
            <w:vAlign w:val="center"/>
          </w:tcPr>
          <w:p w14:paraId="7BC43764">
            <w:pPr>
              <w:jc w:val="left"/>
              <w:rPr>
                <w:color w:val="auto"/>
                <w:sz w:val="24"/>
              </w:rPr>
            </w:pPr>
            <w:r>
              <w:rPr>
                <w:color w:val="auto"/>
                <w:sz w:val="24"/>
              </w:rPr>
              <w:sym w:font="Wingdings 2" w:char="0052"/>
            </w:r>
            <w:r>
              <w:rPr>
                <w:color w:val="auto"/>
                <w:sz w:val="24"/>
              </w:rPr>
              <w:t>首次申报项目</w:t>
            </w:r>
          </w:p>
          <w:p w14:paraId="318DF210">
            <w:pPr>
              <w:jc w:val="left"/>
              <w:rPr>
                <w:color w:val="auto"/>
                <w:sz w:val="24"/>
              </w:rPr>
            </w:pPr>
            <w:r>
              <w:rPr>
                <w:rFonts w:hint="eastAsia"/>
                <w:color w:val="auto"/>
                <w:sz w:val="24"/>
              </w:rPr>
              <w:t>□</w:t>
            </w:r>
            <w:r>
              <w:rPr>
                <w:color w:val="auto"/>
                <w:sz w:val="24"/>
              </w:rPr>
              <w:t>不予批准后再次申报项目</w:t>
            </w:r>
          </w:p>
          <w:p w14:paraId="2D8C17AC">
            <w:pPr>
              <w:jc w:val="left"/>
              <w:rPr>
                <w:color w:val="auto"/>
                <w:sz w:val="24"/>
              </w:rPr>
            </w:pPr>
            <w:r>
              <w:rPr>
                <w:rFonts w:hint="eastAsia"/>
                <w:color w:val="auto"/>
                <w:sz w:val="24"/>
              </w:rPr>
              <w:t>□</w:t>
            </w:r>
            <w:r>
              <w:rPr>
                <w:color w:val="auto"/>
                <w:sz w:val="24"/>
              </w:rPr>
              <w:t>超五年重新审核项目</w:t>
            </w:r>
          </w:p>
          <w:p w14:paraId="7274DC60">
            <w:pPr>
              <w:jc w:val="left"/>
              <w:rPr>
                <w:color w:val="auto"/>
                <w:sz w:val="24"/>
              </w:rPr>
            </w:pPr>
            <w:r>
              <w:rPr>
                <w:rFonts w:hint="eastAsia"/>
                <w:color w:val="auto"/>
                <w:sz w:val="24"/>
              </w:rPr>
              <w:t>□</w:t>
            </w:r>
            <w:r>
              <w:rPr>
                <w:color w:val="auto"/>
                <w:sz w:val="24"/>
              </w:rPr>
              <w:t>重大变动重新报批项目</w:t>
            </w:r>
          </w:p>
        </w:tc>
      </w:tr>
      <w:tr w14:paraId="37BBE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5" w:type="pct"/>
            <w:tcMar>
              <w:top w:w="16" w:type="dxa"/>
              <w:left w:w="16" w:type="dxa"/>
              <w:right w:w="16" w:type="dxa"/>
            </w:tcMar>
            <w:vAlign w:val="center"/>
          </w:tcPr>
          <w:p w14:paraId="4B8E5346">
            <w:pPr>
              <w:adjustRightInd w:val="0"/>
              <w:snapToGrid w:val="0"/>
              <w:jc w:val="center"/>
              <w:rPr>
                <w:color w:val="auto"/>
                <w:sz w:val="24"/>
              </w:rPr>
            </w:pPr>
            <w:r>
              <w:rPr>
                <w:color w:val="auto"/>
                <w:sz w:val="24"/>
              </w:rPr>
              <w:t>项目审批（核准/</w:t>
            </w:r>
          </w:p>
          <w:p w14:paraId="2E1D785A">
            <w:pPr>
              <w:adjustRightInd w:val="0"/>
              <w:snapToGrid w:val="0"/>
              <w:jc w:val="center"/>
              <w:rPr>
                <w:color w:val="auto"/>
                <w:sz w:val="24"/>
              </w:rPr>
            </w:pPr>
            <w:r>
              <w:rPr>
                <w:color w:val="auto"/>
                <w:sz w:val="24"/>
              </w:rPr>
              <w:t>备案）部门（选填）</w:t>
            </w:r>
          </w:p>
        </w:tc>
        <w:tc>
          <w:tcPr>
            <w:tcW w:w="996" w:type="pct"/>
            <w:vAlign w:val="center"/>
          </w:tcPr>
          <w:p w14:paraId="3B9ED8F5">
            <w:pPr>
              <w:adjustRightInd w:val="0"/>
              <w:snapToGrid w:val="0"/>
              <w:jc w:val="center"/>
              <w:rPr>
                <w:color w:val="auto"/>
                <w:sz w:val="24"/>
              </w:rPr>
            </w:pPr>
            <w:r>
              <w:rPr>
                <w:rFonts w:hint="eastAsia" w:ascii="宋体" w:hAnsi="宋体" w:cs="宋体"/>
                <w:color w:val="auto"/>
                <w:sz w:val="24"/>
              </w:rPr>
              <w:t>通海县发展和改革局</w:t>
            </w:r>
          </w:p>
        </w:tc>
        <w:tc>
          <w:tcPr>
            <w:tcW w:w="1170" w:type="pct"/>
            <w:vAlign w:val="center"/>
          </w:tcPr>
          <w:p w14:paraId="57F5F4B0">
            <w:pPr>
              <w:adjustRightInd w:val="0"/>
              <w:snapToGrid w:val="0"/>
              <w:jc w:val="center"/>
              <w:rPr>
                <w:rFonts w:hint="eastAsia" w:ascii="宋体" w:hAnsi="宋体" w:cs="宋体"/>
                <w:color w:val="auto"/>
                <w:sz w:val="24"/>
              </w:rPr>
            </w:pPr>
            <w:r>
              <w:rPr>
                <w:rFonts w:hint="eastAsia" w:ascii="宋体" w:hAnsi="宋体" w:cs="宋体"/>
                <w:color w:val="auto"/>
                <w:sz w:val="24"/>
              </w:rPr>
              <w:t>项目审批（核准/</w:t>
            </w:r>
          </w:p>
          <w:p w14:paraId="11B8DAEF">
            <w:pPr>
              <w:adjustRightInd w:val="0"/>
              <w:snapToGrid w:val="0"/>
              <w:jc w:val="center"/>
              <w:rPr>
                <w:rFonts w:hint="eastAsia" w:ascii="宋体" w:hAnsi="宋体" w:cs="宋体"/>
                <w:color w:val="auto"/>
                <w:sz w:val="24"/>
              </w:rPr>
            </w:pPr>
            <w:r>
              <w:rPr>
                <w:rFonts w:hint="eastAsia" w:ascii="宋体" w:hAnsi="宋体" w:cs="宋体"/>
                <w:color w:val="auto"/>
                <w:sz w:val="24"/>
              </w:rPr>
              <w:t>备案）文号（选填）</w:t>
            </w:r>
          </w:p>
        </w:tc>
        <w:tc>
          <w:tcPr>
            <w:tcW w:w="2237" w:type="pct"/>
            <w:vAlign w:val="center"/>
          </w:tcPr>
          <w:p w14:paraId="7BB3B1E0">
            <w:pPr>
              <w:adjustRightInd w:val="0"/>
              <w:snapToGrid w:val="0"/>
              <w:jc w:val="center"/>
              <w:rPr>
                <w:rFonts w:hint="eastAsia" w:ascii="宋体" w:hAnsi="宋体" w:cs="宋体"/>
                <w:color w:val="auto"/>
                <w:sz w:val="24"/>
              </w:rPr>
            </w:pPr>
            <w:r>
              <w:rPr>
                <w:rFonts w:hint="eastAsia" w:ascii="宋体" w:hAnsi="宋体" w:cs="宋体"/>
                <w:color w:val="auto"/>
                <w:sz w:val="24"/>
              </w:rPr>
              <w:t>通发改基〔2024〕16号</w:t>
            </w:r>
          </w:p>
        </w:tc>
      </w:tr>
      <w:tr w14:paraId="7F57F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5" w:type="pct"/>
            <w:tcMar>
              <w:top w:w="16" w:type="dxa"/>
              <w:left w:w="16" w:type="dxa"/>
              <w:right w:w="16" w:type="dxa"/>
            </w:tcMar>
            <w:vAlign w:val="center"/>
          </w:tcPr>
          <w:p w14:paraId="3DBE20DB">
            <w:pPr>
              <w:adjustRightInd w:val="0"/>
              <w:snapToGrid w:val="0"/>
              <w:jc w:val="center"/>
              <w:rPr>
                <w:color w:val="auto"/>
                <w:sz w:val="24"/>
              </w:rPr>
            </w:pPr>
            <w:r>
              <w:rPr>
                <w:color w:val="auto"/>
                <w:sz w:val="24"/>
              </w:rPr>
              <w:t>总投资（万元）</w:t>
            </w:r>
          </w:p>
        </w:tc>
        <w:tc>
          <w:tcPr>
            <w:tcW w:w="996" w:type="pct"/>
            <w:vAlign w:val="center"/>
          </w:tcPr>
          <w:p w14:paraId="41FF5703">
            <w:pPr>
              <w:adjustRightInd w:val="0"/>
              <w:snapToGrid w:val="0"/>
              <w:jc w:val="center"/>
              <w:rPr>
                <w:color w:val="auto"/>
                <w:sz w:val="24"/>
              </w:rPr>
            </w:pPr>
            <w:r>
              <w:rPr>
                <w:rFonts w:hint="eastAsia"/>
                <w:color w:val="auto"/>
                <w:sz w:val="24"/>
              </w:rPr>
              <w:t>5747.99</w:t>
            </w:r>
          </w:p>
        </w:tc>
        <w:tc>
          <w:tcPr>
            <w:tcW w:w="1170" w:type="pct"/>
            <w:tcMar>
              <w:top w:w="16" w:type="dxa"/>
              <w:left w:w="16" w:type="dxa"/>
              <w:right w:w="16" w:type="dxa"/>
            </w:tcMar>
            <w:vAlign w:val="center"/>
          </w:tcPr>
          <w:p w14:paraId="7BB9E5AD">
            <w:pPr>
              <w:adjustRightInd w:val="0"/>
              <w:snapToGrid w:val="0"/>
              <w:jc w:val="center"/>
              <w:rPr>
                <w:color w:val="auto"/>
                <w:sz w:val="24"/>
              </w:rPr>
            </w:pPr>
            <w:r>
              <w:rPr>
                <w:color w:val="auto"/>
                <w:sz w:val="24"/>
              </w:rPr>
              <w:t>环保投资（万元）</w:t>
            </w:r>
          </w:p>
        </w:tc>
        <w:tc>
          <w:tcPr>
            <w:tcW w:w="2237" w:type="pct"/>
            <w:vAlign w:val="center"/>
          </w:tcPr>
          <w:p w14:paraId="25AD2B04">
            <w:pPr>
              <w:adjustRightInd w:val="0"/>
              <w:snapToGrid w:val="0"/>
              <w:jc w:val="center"/>
              <w:rPr>
                <w:color w:val="auto"/>
                <w:sz w:val="24"/>
              </w:rPr>
            </w:pPr>
            <w:r>
              <w:rPr>
                <w:rFonts w:hint="eastAsia"/>
                <w:color w:val="auto"/>
                <w:sz w:val="24"/>
              </w:rPr>
              <w:t>84</w:t>
            </w:r>
          </w:p>
        </w:tc>
      </w:tr>
      <w:tr w14:paraId="1CCE4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595" w:type="pct"/>
            <w:tcMar>
              <w:top w:w="16" w:type="dxa"/>
              <w:left w:w="16" w:type="dxa"/>
              <w:right w:w="16" w:type="dxa"/>
            </w:tcMar>
            <w:vAlign w:val="center"/>
          </w:tcPr>
          <w:p w14:paraId="6C394D2A">
            <w:pPr>
              <w:adjustRightInd w:val="0"/>
              <w:snapToGrid w:val="0"/>
              <w:jc w:val="center"/>
              <w:rPr>
                <w:color w:val="auto"/>
                <w:sz w:val="24"/>
              </w:rPr>
            </w:pPr>
            <w:r>
              <w:rPr>
                <w:color w:val="auto"/>
                <w:sz w:val="24"/>
              </w:rPr>
              <w:t>环保投资占比（%）</w:t>
            </w:r>
          </w:p>
        </w:tc>
        <w:tc>
          <w:tcPr>
            <w:tcW w:w="996" w:type="pct"/>
            <w:vAlign w:val="center"/>
          </w:tcPr>
          <w:p w14:paraId="6D522D14">
            <w:pPr>
              <w:adjustRightInd w:val="0"/>
              <w:snapToGrid w:val="0"/>
              <w:jc w:val="center"/>
              <w:rPr>
                <w:color w:val="auto"/>
                <w:sz w:val="24"/>
              </w:rPr>
            </w:pPr>
            <w:r>
              <w:rPr>
                <w:rFonts w:hint="eastAsia"/>
                <w:color w:val="auto"/>
                <w:sz w:val="24"/>
              </w:rPr>
              <w:t>1.46</w:t>
            </w:r>
          </w:p>
        </w:tc>
        <w:tc>
          <w:tcPr>
            <w:tcW w:w="1170" w:type="pct"/>
            <w:tcMar>
              <w:top w:w="16" w:type="dxa"/>
              <w:left w:w="16" w:type="dxa"/>
              <w:right w:w="16" w:type="dxa"/>
            </w:tcMar>
            <w:vAlign w:val="center"/>
          </w:tcPr>
          <w:p w14:paraId="04985CF8">
            <w:pPr>
              <w:adjustRightInd w:val="0"/>
              <w:snapToGrid w:val="0"/>
              <w:jc w:val="center"/>
              <w:rPr>
                <w:color w:val="auto"/>
                <w:sz w:val="24"/>
              </w:rPr>
            </w:pPr>
            <w:r>
              <w:rPr>
                <w:color w:val="auto"/>
                <w:sz w:val="24"/>
              </w:rPr>
              <w:t>施工工期</w:t>
            </w:r>
          </w:p>
        </w:tc>
        <w:tc>
          <w:tcPr>
            <w:tcW w:w="2237" w:type="pct"/>
            <w:vAlign w:val="center"/>
          </w:tcPr>
          <w:p w14:paraId="64333D94">
            <w:pPr>
              <w:adjustRightInd w:val="0"/>
              <w:snapToGrid w:val="0"/>
              <w:jc w:val="center"/>
              <w:rPr>
                <w:color w:val="auto"/>
                <w:sz w:val="24"/>
              </w:rPr>
            </w:pPr>
            <w:r>
              <w:rPr>
                <w:rFonts w:hint="eastAsia"/>
                <w:color w:val="auto"/>
                <w:sz w:val="24"/>
              </w:rPr>
              <w:t>16</w:t>
            </w:r>
            <w:r>
              <w:rPr>
                <w:color w:val="auto"/>
                <w:sz w:val="24"/>
              </w:rPr>
              <w:t>个月</w:t>
            </w:r>
          </w:p>
        </w:tc>
      </w:tr>
      <w:tr w14:paraId="7E3E2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4" w:hRule="atLeast"/>
          <w:jc w:val="center"/>
        </w:trPr>
        <w:tc>
          <w:tcPr>
            <w:tcW w:w="595" w:type="pct"/>
            <w:tcMar>
              <w:top w:w="16" w:type="dxa"/>
              <w:left w:w="16" w:type="dxa"/>
              <w:right w:w="16" w:type="dxa"/>
            </w:tcMar>
            <w:vAlign w:val="center"/>
          </w:tcPr>
          <w:p w14:paraId="3155EC00">
            <w:pPr>
              <w:adjustRightInd w:val="0"/>
              <w:snapToGrid w:val="0"/>
              <w:jc w:val="center"/>
              <w:rPr>
                <w:color w:val="auto"/>
                <w:sz w:val="24"/>
              </w:rPr>
            </w:pPr>
            <w:r>
              <w:rPr>
                <w:color w:val="auto"/>
                <w:sz w:val="24"/>
              </w:rPr>
              <w:t>是否开工建设</w:t>
            </w:r>
          </w:p>
        </w:tc>
        <w:tc>
          <w:tcPr>
            <w:tcW w:w="996" w:type="pct"/>
            <w:vAlign w:val="center"/>
          </w:tcPr>
          <w:p w14:paraId="484B9B02">
            <w:pPr>
              <w:adjustRightInd w:val="0"/>
              <w:snapToGrid w:val="0"/>
              <w:rPr>
                <w:color w:val="auto"/>
                <w:sz w:val="24"/>
              </w:rPr>
            </w:pPr>
            <w:r>
              <w:rPr>
                <w:color w:val="auto"/>
                <w:sz w:val="24"/>
              </w:rPr>
              <w:t>（否</w:t>
            </w:r>
            <w:r>
              <w:rPr>
                <w:color w:val="auto"/>
                <w:sz w:val="24"/>
              </w:rPr>
              <w:sym w:font="Wingdings 2" w:char="0052"/>
            </w:r>
          </w:p>
          <w:p w14:paraId="178681DB">
            <w:pPr>
              <w:adjustRightInd w:val="0"/>
              <w:snapToGrid w:val="0"/>
              <w:rPr>
                <w:color w:val="auto"/>
                <w:sz w:val="24"/>
              </w:rPr>
            </w:pPr>
            <w:r>
              <w:rPr>
                <w:color w:val="auto"/>
                <w:sz w:val="24"/>
              </w:rPr>
              <w:t>（是：</w:t>
            </w:r>
          </w:p>
          <w:p w14:paraId="1E307824">
            <w:pPr>
              <w:adjustRightInd w:val="0"/>
              <w:snapToGrid w:val="0"/>
              <w:rPr>
                <w:color w:val="auto"/>
                <w:sz w:val="24"/>
              </w:rPr>
            </w:pPr>
          </w:p>
        </w:tc>
        <w:tc>
          <w:tcPr>
            <w:tcW w:w="1170" w:type="pct"/>
            <w:tcMar>
              <w:top w:w="16" w:type="dxa"/>
              <w:left w:w="16" w:type="dxa"/>
              <w:right w:w="16" w:type="dxa"/>
            </w:tcMar>
            <w:vAlign w:val="center"/>
          </w:tcPr>
          <w:p w14:paraId="447DBECA">
            <w:pPr>
              <w:adjustRightInd w:val="0"/>
              <w:snapToGrid w:val="0"/>
              <w:jc w:val="center"/>
              <w:rPr>
                <w:color w:val="auto"/>
                <w:spacing w:val="-6"/>
                <w:sz w:val="24"/>
              </w:rPr>
            </w:pPr>
            <w:r>
              <w:rPr>
                <w:color w:val="auto"/>
                <w:spacing w:val="-6"/>
                <w:sz w:val="24"/>
              </w:rPr>
              <w:t>用地（用海）</w:t>
            </w:r>
          </w:p>
          <w:p w14:paraId="270D30B0">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237" w:type="pct"/>
            <w:vAlign w:val="center"/>
          </w:tcPr>
          <w:p w14:paraId="40119998">
            <w:pPr>
              <w:pStyle w:val="18"/>
              <w:jc w:val="center"/>
              <w:rPr>
                <w:color w:val="auto"/>
              </w:rPr>
            </w:pPr>
            <w:r>
              <w:rPr>
                <w:rFonts w:hint="eastAsia"/>
                <w:color w:val="auto"/>
                <w:sz w:val="24"/>
              </w:rPr>
              <w:t>1579.28</w:t>
            </w:r>
          </w:p>
        </w:tc>
      </w:tr>
      <w:tr w14:paraId="0E638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Align w:val="center"/>
          </w:tcPr>
          <w:p w14:paraId="311A6CBD">
            <w:pPr>
              <w:autoSpaceDE w:val="0"/>
              <w:autoSpaceDN w:val="0"/>
              <w:adjustRightInd w:val="0"/>
              <w:snapToGrid w:val="0"/>
              <w:jc w:val="center"/>
              <w:rPr>
                <w:color w:val="auto"/>
                <w:kern w:val="0"/>
                <w:sz w:val="24"/>
              </w:rPr>
            </w:pPr>
            <w:r>
              <w:rPr>
                <w:color w:val="auto"/>
                <w:kern w:val="0"/>
                <w:sz w:val="24"/>
              </w:rPr>
              <w:t>专项评价设置情况</w:t>
            </w:r>
          </w:p>
        </w:tc>
        <w:tc>
          <w:tcPr>
            <w:tcW w:w="4404" w:type="pct"/>
            <w:gridSpan w:val="3"/>
            <w:vAlign w:val="center"/>
          </w:tcPr>
          <w:p w14:paraId="5DCA58C3">
            <w:pPr>
              <w:autoSpaceDE w:val="0"/>
              <w:autoSpaceDN w:val="0"/>
              <w:spacing w:line="360" w:lineRule="auto"/>
              <w:ind w:firstLine="480" w:firstLineChars="200"/>
              <w:jc w:val="left"/>
              <w:rPr>
                <w:color w:val="auto"/>
              </w:rPr>
            </w:pPr>
            <w:r>
              <w:rPr>
                <w:color w:val="auto"/>
                <w:sz w:val="24"/>
              </w:rPr>
              <w:t>根据《建设项目环境影响报告表编制技术指南（污染影响类）（试行）》，本项目不设置专项评价。具体专项评价设置原则及本项目判定情况见下表。</w:t>
            </w:r>
          </w:p>
          <w:p w14:paraId="36BC2355">
            <w:pPr>
              <w:autoSpaceDE w:val="0"/>
              <w:autoSpaceDN w:val="0"/>
              <w:jc w:val="center"/>
              <w:rPr>
                <w:b/>
                <w:bCs/>
                <w:color w:val="auto"/>
                <w:sz w:val="24"/>
              </w:rPr>
            </w:pPr>
            <w:r>
              <w:rPr>
                <w:b/>
                <w:bCs/>
                <w:color w:val="auto"/>
                <w:sz w:val="24"/>
              </w:rPr>
              <w:t>表1-1专项评价设置原则与本项目判定情况对照表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799"/>
              <w:gridCol w:w="2753"/>
              <w:gridCol w:w="965"/>
            </w:tblGrid>
            <w:tr w14:paraId="2EEE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6AA43C55">
                  <w:pPr>
                    <w:pStyle w:val="18"/>
                    <w:jc w:val="center"/>
                    <w:rPr>
                      <w:rFonts w:hAnsi="Times New Roman" w:eastAsia="宋体"/>
                      <w:color w:val="auto"/>
                      <w:sz w:val="21"/>
                      <w:szCs w:val="21"/>
                    </w:rPr>
                  </w:pPr>
                  <w:r>
                    <w:rPr>
                      <w:rFonts w:hAnsi="Times New Roman" w:eastAsia="宋体"/>
                      <w:color w:val="auto"/>
                      <w:sz w:val="21"/>
                      <w:szCs w:val="21"/>
                    </w:rPr>
                    <w:t>专项评价的类别</w:t>
                  </w:r>
                </w:p>
              </w:tc>
              <w:tc>
                <w:tcPr>
                  <w:tcW w:w="2799" w:type="dxa"/>
                  <w:vAlign w:val="center"/>
                </w:tcPr>
                <w:p w14:paraId="39AB7B85">
                  <w:pPr>
                    <w:pStyle w:val="18"/>
                    <w:jc w:val="center"/>
                    <w:rPr>
                      <w:rFonts w:hAnsi="Times New Roman" w:eastAsia="宋体"/>
                      <w:color w:val="auto"/>
                      <w:sz w:val="21"/>
                      <w:szCs w:val="21"/>
                    </w:rPr>
                  </w:pPr>
                  <w:r>
                    <w:rPr>
                      <w:rFonts w:hAnsi="Times New Roman" w:eastAsia="宋体"/>
                      <w:color w:val="auto"/>
                      <w:sz w:val="21"/>
                      <w:szCs w:val="21"/>
                    </w:rPr>
                    <w:t>设置原则</w:t>
                  </w:r>
                </w:p>
              </w:tc>
              <w:tc>
                <w:tcPr>
                  <w:tcW w:w="2753" w:type="dxa"/>
                  <w:vAlign w:val="center"/>
                </w:tcPr>
                <w:p w14:paraId="02AE73B6">
                  <w:pPr>
                    <w:pStyle w:val="18"/>
                    <w:jc w:val="center"/>
                    <w:rPr>
                      <w:rFonts w:hAnsi="Times New Roman" w:eastAsia="宋体"/>
                      <w:color w:val="auto"/>
                      <w:sz w:val="21"/>
                      <w:szCs w:val="21"/>
                    </w:rPr>
                  </w:pPr>
                  <w:r>
                    <w:rPr>
                      <w:rFonts w:hAnsi="Times New Roman" w:eastAsia="宋体"/>
                      <w:color w:val="auto"/>
                      <w:sz w:val="21"/>
                      <w:szCs w:val="21"/>
                    </w:rPr>
                    <w:t>项目判定情况</w:t>
                  </w:r>
                </w:p>
              </w:tc>
              <w:tc>
                <w:tcPr>
                  <w:tcW w:w="965" w:type="dxa"/>
                  <w:vAlign w:val="center"/>
                </w:tcPr>
                <w:p w14:paraId="7999D126">
                  <w:pPr>
                    <w:pStyle w:val="18"/>
                    <w:jc w:val="center"/>
                    <w:rPr>
                      <w:rFonts w:hAnsi="Times New Roman" w:eastAsia="宋体"/>
                      <w:color w:val="auto"/>
                      <w:sz w:val="21"/>
                      <w:szCs w:val="21"/>
                    </w:rPr>
                  </w:pPr>
                  <w:r>
                    <w:rPr>
                      <w:rFonts w:hAnsi="Times New Roman" w:eastAsia="宋体"/>
                      <w:color w:val="auto"/>
                      <w:sz w:val="21"/>
                      <w:szCs w:val="21"/>
                    </w:rPr>
                    <w:t>是否设</w:t>
                  </w:r>
                </w:p>
                <w:p w14:paraId="1CF99C50">
                  <w:pPr>
                    <w:pStyle w:val="18"/>
                    <w:jc w:val="center"/>
                    <w:rPr>
                      <w:rFonts w:hAnsi="Times New Roman" w:eastAsia="宋体"/>
                      <w:color w:val="auto"/>
                      <w:sz w:val="21"/>
                      <w:szCs w:val="21"/>
                    </w:rPr>
                  </w:pPr>
                  <w:r>
                    <w:rPr>
                      <w:rFonts w:hAnsi="Times New Roman" w:eastAsia="宋体"/>
                      <w:color w:val="auto"/>
                      <w:sz w:val="21"/>
                      <w:szCs w:val="21"/>
                    </w:rPr>
                    <w:t>置专题</w:t>
                  </w:r>
                </w:p>
              </w:tc>
            </w:tr>
            <w:tr w14:paraId="5E04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0E4073AE">
                  <w:pPr>
                    <w:pStyle w:val="18"/>
                    <w:jc w:val="center"/>
                    <w:rPr>
                      <w:rFonts w:hAnsi="Times New Roman" w:eastAsia="宋体"/>
                      <w:color w:val="auto"/>
                      <w:sz w:val="21"/>
                      <w:szCs w:val="21"/>
                    </w:rPr>
                  </w:pPr>
                </w:p>
                <w:p w14:paraId="59A29BC6">
                  <w:pPr>
                    <w:pStyle w:val="18"/>
                    <w:jc w:val="center"/>
                    <w:rPr>
                      <w:rFonts w:hAnsi="Times New Roman" w:eastAsia="宋体"/>
                      <w:color w:val="auto"/>
                      <w:sz w:val="21"/>
                      <w:szCs w:val="21"/>
                    </w:rPr>
                  </w:pPr>
                </w:p>
                <w:p w14:paraId="4E3ED24C">
                  <w:pPr>
                    <w:pStyle w:val="18"/>
                    <w:jc w:val="center"/>
                    <w:rPr>
                      <w:rFonts w:hAnsi="Times New Roman" w:eastAsia="宋体"/>
                      <w:color w:val="auto"/>
                      <w:sz w:val="21"/>
                      <w:szCs w:val="21"/>
                    </w:rPr>
                  </w:pPr>
                </w:p>
                <w:p w14:paraId="5B167F81">
                  <w:pPr>
                    <w:pStyle w:val="18"/>
                    <w:jc w:val="center"/>
                    <w:rPr>
                      <w:rFonts w:hAnsi="Times New Roman" w:eastAsia="宋体"/>
                      <w:color w:val="auto"/>
                      <w:sz w:val="21"/>
                      <w:szCs w:val="21"/>
                    </w:rPr>
                  </w:pPr>
                </w:p>
                <w:p w14:paraId="09266629">
                  <w:pPr>
                    <w:pStyle w:val="18"/>
                    <w:jc w:val="center"/>
                    <w:rPr>
                      <w:rFonts w:hAnsi="Times New Roman" w:eastAsia="宋体"/>
                      <w:color w:val="auto"/>
                      <w:sz w:val="21"/>
                      <w:szCs w:val="21"/>
                    </w:rPr>
                  </w:pPr>
                </w:p>
                <w:p w14:paraId="2129F4C2">
                  <w:pPr>
                    <w:pStyle w:val="18"/>
                    <w:jc w:val="center"/>
                    <w:rPr>
                      <w:rFonts w:hAnsi="Times New Roman" w:eastAsia="宋体"/>
                      <w:color w:val="auto"/>
                      <w:sz w:val="21"/>
                      <w:szCs w:val="21"/>
                    </w:rPr>
                  </w:pPr>
                  <w:r>
                    <w:rPr>
                      <w:rFonts w:hAnsi="Times New Roman" w:eastAsia="宋体"/>
                      <w:color w:val="auto"/>
                      <w:sz w:val="21"/>
                      <w:szCs w:val="21"/>
                    </w:rPr>
                    <w:t>大气</w:t>
                  </w:r>
                </w:p>
              </w:tc>
              <w:tc>
                <w:tcPr>
                  <w:tcW w:w="2799" w:type="dxa"/>
                  <w:vAlign w:val="center"/>
                </w:tcPr>
                <w:p w14:paraId="619F835A">
                  <w:pPr>
                    <w:widowControl/>
                    <w:jc w:val="center"/>
                    <w:rPr>
                      <w:color w:val="auto"/>
                      <w:szCs w:val="21"/>
                    </w:rPr>
                  </w:pPr>
                  <w:r>
                    <w:rPr>
                      <w:color w:val="auto"/>
                      <w:szCs w:val="21"/>
                    </w:rPr>
                    <w:t>排放废气含有毒有害污染物、二噁英、苯并[</w:t>
                  </w:r>
                  <w:r>
                    <w:rPr>
                      <w:i/>
                      <w:iCs/>
                      <w:color w:val="auto"/>
                      <w:kern w:val="0"/>
                      <w:szCs w:val="21"/>
                      <w:lang w:bidi="ar"/>
                    </w:rPr>
                    <w:t>a</w:t>
                  </w:r>
                  <w:r>
                    <w:rPr>
                      <w:color w:val="auto"/>
                      <w:szCs w:val="21"/>
                    </w:rPr>
                    <w:t>]芘、</w:t>
                  </w:r>
                  <w:r>
                    <w:rPr>
                      <w:color w:val="auto"/>
                      <w:kern w:val="0"/>
                      <w:szCs w:val="21"/>
                      <w:lang w:bidi="ar"/>
                    </w:rPr>
                    <w:t>氰化物、氯气且厂界外500米范围内有环境空气保护目标的建设项目</w:t>
                  </w:r>
                </w:p>
              </w:tc>
              <w:tc>
                <w:tcPr>
                  <w:tcW w:w="2753" w:type="dxa"/>
                  <w:vAlign w:val="center"/>
                </w:tcPr>
                <w:p w14:paraId="3F7EFB79">
                  <w:pPr>
                    <w:jc w:val="center"/>
                    <w:textAlignment w:val="baseline"/>
                    <w:rPr>
                      <w:color w:val="auto"/>
                      <w:szCs w:val="21"/>
                    </w:rPr>
                  </w:pPr>
                  <w:r>
                    <w:rPr>
                      <w:rFonts w:hint="eastAsia" w:ascii="宋体" w:hAnsi="宋体" w:cs="宋体"/>
                      <w:color w:val="auto"/>
                      <w:kern w:val="0"/>
                      <w:szCs w:val="21"/>
                    </w:rPr>
                    <w:t>项目施工期涉及粉尘排放；运行期主要排放汽车尾气、污水处理站异味等</w:t>
                  </w:r>
                </w:p>
              </w:tc>
              <w:tc>
                <w:tcPr>
                  <w:tcW w:w="965" w:type="dxa"/>
                  <w:vAlign w:val="center"/>
                </w:tcPr>
                <w:p w14:paraId="05821A64">
                  <w:pPr>
                    <w:pStyle w:val="18"/>
                    <w:jc w:val="center"/>
                    <w:rPr>
                      <w:rFonts w:hAnsi="Times New Roman" w:eastAsia="宋体"/>
                      <w:color w:val="auto"/>
                      <w:sz w:val="21"/>
                      <w:szCs w:val="21"/>
                    </w:rPr>
                  </w:pPr>
                </w:p>
                <w:p w14:paraId="6B3B221A">
                  <w:pPr>
                    <w:pStyle w:val="18"/>
                    <w:jc w:val="center"/>
                    <w:rPr>
                      <w:rFonts w:hAnsi="Times New Roman" w:eastAsia="宋体"/>
                      <w:color w:val="auto"/>
                      <w:sz w:val="21"/>
                      <w:szCs w:val="21"/>
                    </w:rPr>
                  </w:pPr>
                </w:p>
                <w:p w14:paraId="56982CFD">
                  <w:pPr>
                    <w:pStyle w:val="18"/>
                    <w:jc w:val="center"/>
                    <w:rPr>
                      <w:rFonts w:hAnsi="Times New Roman" w:eastAsia="宋体"/>
                      <w:color w:val="auto"/>
                      <w:sz w:val="21"/>
                      <w:szCs w:val="21"/>
                    </w:rPr>
                  </w:pPr>
                </w:p>
                <w:p w14:paraId="2702D555">
                  <w:pPr>
                    <w:pStyle w:val="18"/>
                    <w:jc w:val="center"/>
                    <w:rPr>
                      <w:rFonts w:hAnsi="Times New Roman" w:eastAsia="宋体"/>
                      <w:color w:val="auto"/>
                      <w:sz w:val="21"/>
                      <w:szCs w:val="21"/>
                    </w:rPr>
                  </w:pPr>
                </w:p>
                <w:p w14:paraId="32BED52D">
                  <w:pPr>
                    <w:pStyle w:val="18"/>
                    <w:jc w:val="center"/>
                    <w:rPr>
                      <w:rFonts w:hAnsi="Times New Roman" w:eastAsia="宋体"/>
                      <w:color w:val="auto"/>
                      <w:sz w:val="21"/>
                      <w:szCs w:val="21"/>
                    </w:rPr>
                  </w:pPr>
                  <w:r>
                    <w:rPr>
                      <w:rFonts w:hAnsi="Times New Roman" w:eastAsia="宋体"/>
                      <w:color w:val="auto"/>
                      <w:sz w:val="21"/>
                      <w:szCs w:val="21"/>
                    </w:rPr>
                    <w:t>否</w:t>
                  </w:r>
                </w:p>
              </w:tc>
            </w:tr>
            <w:tr w14:paraId="7A20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002334C0">
                  <w:pPr>
                    <w:pStyle w:val="18"/>
                    <w:jc w:val="center"/>
                    <w:rPr>
                      <w:rFonts w:hAnsi="Times New Roman" w:eastAsia="宋体"/>
                      <w:color w:val="auto"/>
                      <w:sz w:val="21"/>
                      <w:szCs w:val="21"/>
                    </w:rPr>
                  </w:pPr>
                  <w:r>
                    <w:rPr>
                      <w:rFonts w:hAnsi="Times New Roman" w:eastAsia="宋体"/>
                      <w:color w:val="auto"/>
                      <w:sz w:val="21"/>
                      <w:szCs w:val="21"/>
                    </w:rPr>
                    <w:t>地表水</w:t>
                  </w:r>
                </w:p>
              </w:tc>
              <w:tc>
                <w:tcPr>
                  <w:tcW w:w="2799" w:type="dxa"/>
                  <w:vAlign w:val="center"/>
                </w:tcPr>
                <w:p w14:paraId="61AB64B8">
                  <w:pPr>
                    <w:widowControl/>
                    <w:jc w:val="center"/>
                    <w:rPr>
                      <w:color w:val="auto"/>
                      <w:szCs w:val="21"/>
                    </w:rPr>
                  </w:pPr>
                  <w:r>
                    <w:rPr>
                      <w:color w:val="auto"/>
                      <w:kern w:val="0"/>
                      <w:szCs w:val="21"/>
                      <w:lang w:bidi="ar"/>
                    </w:rPr>
                    <w:t>新增工业废水直排建设项目（槽罐车外送污水处理厂的除外）；新增废水直排的污水集中处理厂</w:t>
                  </w:r>
                </w:p>
              </w:tc>
              <w:tc>
                <w:tcPr>
                  <w:tcW w:w="2753" w:type="dxa"/>
                  <w:vAlign w:val="center"/>
                </w:tcPr>
                <w:p w14:paraId="0743BED1">
                  <w:pPr>
                    <w:jc w:val="center"/>
                    <w:textAlignment w:val="baseline"/>
                    <w:rPr>
                      <w:color w:val="auto"/>
                      <w:szCs w:val="21"/>
                    </w:rPr>
                  </w:pPr>
                  <w:r>
                    <w:rPr>
                      <w:rFonts w:hint="eastAsia" w:ascii="宋体" w:hAnsi="宋体" w:cs="宋体"/>
                      <w:color w:val="auto"/>
                      <w:szCs w:val="21"/>
                    </w:rPr>
                    <w:t>项目涉及四个卫生院，各个卫生院产生的废水经化粪池处理后进入卫生院内的污水处理站达标外排进入市政污水管网，最终进入污水处理厂处理。</w:t>
                  </w:r>
                </w:p>
              </w:tc>
              <w:tc>
                <w:tcPr>
                  <w:tcW w:w="965" w:type="dxa"/>
                  <w:vAlign w:val="center"/>
                </w:tcPr>
                <w:p w14:paraId="4CFBFCDD">
                  <w:pPr>
                    <w:pStyle w:val="18"/>
                    <w:jc w:val="center"/>
                    <w:rPr>
                      <w:rFonts w:hAnsi="Times New Roman" w:eastAsia="宋体"/>
                      <w:color w:val="auto"/>
                      <w:sz w:val="21"/>
                      <w:szCs w:val="21"/>
                    </w:rPr>
                  </w:pPr>
                  <w:r>
                    <w:rPr>
                      <w:rFonts w:hAnsi="Times New Roman" w:eastAsia="宋体"/>
                      <w:color w:val="auto"/>
                      <w:sz w:val="21"/>
                      <w:szCs w:val="21"/>
                    </w:rPr>
                    <w:t>否</w:t>
                  </w:r>
                </w:p>
              </w:tc>
            </w:tr>
            <w:tr w14:paraId="37CF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4FA14CF5">
                  <w:pPr>
                    <w:widowControl/>
                    <w:jc w:val="center"/>
                    <w:rPr>
                      <w:color w:val="auto"/>
                      <w:szCs w:val="21"/>
                    </w:rPr>
                  </w:pPr>
                  <w:r>
                    <w:rPr>
                      <w:color w:val="auto"/>
                      <w:kern w:val="0"/>
                      <w:szCs w:val="21"/>
                      <w:lang w:bidi="ar"/>
                    </w:rPr>
                    <w:t>环境风险</w:t>
                  </w:r>
                </w:p>
              </w:tc>
              <w:tc>
                <w:tcPr>
                  <w:tcW w:w="2799" w:type="dxa"/>
                  <w:vAlign w:val="center"/>
                </w:tcPr>
                <w:p w14:paraId="7A122559">
                  <w:pPr>
                    <w:widowControl/>
                    <w:jc w:val="center"/>
                    <w:rPr>
                      <w:color w:val="auto"/>
                      <w:szCs w:val="21"/>
                    </w:rPr>
                  </w:pPr>
                  <w:r>
                    <w:rPr>
                      <w:color w:val="auto"/>
                      <w:kern w:val="0"/>
                      <w:szCs w:val="21"/>
                      <w:lang w:bidi="ar"/>
                    </w:rPr>
                    <w:t>有毒有害和易燃易爆危险物质存储量超过临界量的建设项目</w:t>
                  </w:r>
                </w:p>
              </w:tc>
              <w:tc>
                <w:tcPr>
                  <w:tcW w:w="2753" w:type="dxa"/>
                  <w:vAlign w:val="center"/>
                </w:tcPr>
                <w:p w14:paraId="252FB913">
                  <w:pPr>
                    <w:jc w:val="center"/>
                    <w:textAlignment w:val="baseline"/>
                    <w:rPr>
                      <w:color w:val="auto"/>
                      <w:szCs w:val="21"/>
                    </w:rPr>
                  </w:pPr>
                  <w:r>
                    <w:rPr>
                      <w:rFonts w:hint="eastAsia" w:ascii="宋体" w:hAnsi="宋体" w:cs="宋体"/>
                      <w:color w:val="auto"/>
                      <w:szCs w:val="21"/>
                    </w:rPr>
                    <w:t>项目不涉及有毒有害物质的存储，医疗废物定期交有资质单位处置</w:t>
                  </w:r>
                </w:p>
              </w:tc>
              <w:tc>
                <w:tcPr>
                  <w:tcW w:w="965" w:type="dxa"/>
                  <w:vAlign w:val="center"/>
                </w:tcPr>
                <w:p w14:paraId="32DBDD8D">
                  <w:pPr>
                    <w:pStyle w:val="18"/>
                    <w:jc w:val="center"/>
                    <w:rPr>
                      <w:rFonts w:hAnsi="Times New Roman" w:eastAsia="宋体"/>
                      <w:color w:val="auto"/>
                      <w:sz w:val="21"/>
                      <w:szCs w:val="21"/>
                    </w:rPr>
                  </w:pPr>
                  <w:r>
                    <w:rPr>
                      <w:rFonts w:hAnsi="Times New Roman" w:eastAsia="宋体"/>
                      <w:color w:val="auto"/>
                      <w:sz w:val="21"/>
                      <w:szCs w:val="21"/>
                    </w:rPr>
                    <w:t>否</w:t>
                  </w:r>
                </w:p>
              </w:tc>
            </w:tr>
            <w:tr w14:paraId="3A46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916" w:type="dxa"/>
                  <w:vAlign w:val="center"/>
                </w:tcPr>
                <w:p w14:paraId="25EE85ED">
                  <w:pPr>
                    <w:widowControl/>
                    <w:jc w:val="center"/>
                    <w:rPr>
                      <w:color w:val="auto"/>
                      <w:szCs w:val="21"/>
                    </w:rPr>
                  </w:pPr>
                  <w:r>
                    <w:rPr>
                      <w:color w:val="auto"/>
                      <w:kern w:val="0"/>
                      <w:szCs w:val="21"/>
                      <w:lang w:bidi="ar"/>
                    </w:rPr>
                    <w:t>生态</w:t>
                  </w:r>
                </w:p>
              </w:tc>
              <w:tc>
                <w:tcPr>
                  <w:tcW w:w="2799" w:type="dxa"/>
                  <w:vAlign w:val="center"/>
                </w:tcPr>
                <w:p w14:paraId="4A9496BC">
                  <w:pPr>
                    <w:widowControl/>
                    <w:jc w:val="center"/>
                    <w:rPr>
                      <w:color w:val="auto"/>
                      <w:szCs w:val="21"/>
                    </w:rPr>
                  </w:pPr>
                  <w:r>
                    <w:rPr>
                      <w:color w:val="auto"/>
                      <w:kern w:val="0"/>
                      <w:szCs w:val="21"/>
                      <w:lang w:bidi="ar"/>
                    </w:rPr>
                    <w:t>取水口下游500米范围内有重要水生生物的自然产卵场、索饵场、越冬场和洄游通道的新增河道取水的污染类建设项目</w:t>
                  </w:r>
                </w:p>
              </w:tc>
              <w:tc>
                <w:tcPr>
                  <w:tcW w:w="2753" w:type="dxa"/>
                  <w:vAlign w:val="center"/>
                </w:tcPr>
                <w:p w14:paraId="416788A2">
                  <w:pPr>
                    <w:jc w:val="center"/>
                    <w:textAlignment w:val="baseline"/>
                    <w:rPr>
                      <w:color w:val="auto"/>
                      <w:szCs w:val="21"/>
                    </w:rPr>
                  </w:pPr>
                  <w:r>
                    <w:rPr>
                      <w:rFonts w:hint="eastAsia" w:ascii="宋体" w:hAnsi="宋体" w:cs="宋体"/>
                      <w:color w:val="auto"/>
                      <w:szCs w:val="21"/>
                    </w:rPr>
                    <w:t>项目为乡镇卫生院建设工程，不从河道直接取水</w:t>
                  </w:r>
                </w:p>
              </w:tc>
              <w:tc>
                <w:tcPr>
                  <w:tcW w:w="965" w:type="dxa"/>
                  <w:vAlign w:val="center"/>
                </w:tcPr>
                <w:p w14:paraId="3BF17CA1">
                  <w:pPr>
                    <w:pStyle w:val="18"/>
                    <w:jc w:val="center"/>
                    <w:rPr>
                      <w:rFonts w:hAnsi="Times New Roman" w:eastAsia="宋体"/>
                      <w:color w:val="auto"/>
                      <w:sz w:val="21"/>
                      <w:szCs w:val="21"/>
                    </w:rPr>
                  </w:pPr>
                  <w:r>
                    <w:rPr>
                      <w:rFonts w:hAnsi="Times New Roman" w:eastAsia="宋体"/>
                      <w:color w:val="auto"/>
                      <w:sz w:val="21"/>
                      <w:szCs w:val="21"/>
                    </w:rPr>
                    <w:t>否</w:t>
                  </w:r>
                </w:p>
              </w:tc>
            </w:tr>
            <w:tr w14:paraId="6D61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4F29F473">
                  <w:pPr>
                    <w:widowControl/>
                    <w:jc w:val="center"/>
                    <w:rPr>
                      <w:color w:val="auto"/>
                      <w:szCs w:val="21"/>
                    </w:rPr>
                  </w:pPr>
                  <w:r>
                    <w:rPr>
                      <w:color w:val="auto"/>
                      <w:kern w:val="0"/>
                      <w:szCs w:val="21"/>
                      <w:lang w:bidi="ar"/>
                    </w:rPr>
                    <w:t>海洋</w:t>
                  </w:r>
                </w:p>
              </w:tc>
              <w:tc>
                <w:tcPr>
                  <w:tcW w:w="2799" w:type="dxa"/>
                  <w:vAlign w:val="center"/>
                </w:tcPr>
                <w:p w14:paraId="1793BE6A">
                  <w:pPr>
                    <w:widowControl/>
                    <w:jc w:val="center"/>
                    <w:rPr>
                      <w:color w:val="auto"/>
                      <w:szCs w:val="21"/>
                    </w:rPr>
                  </w:pPr>
                  <w:r>
                    <w:rPr>
                      <w:color w:val="auto"/>
                      <w:kern w:val="0"/>
                      <w:szCs w:val="21"/>
                      <w:lang w:bidi="ar"/>
                    </w:rPr>
                    <w:t>直接向海排放污染物的海洋工程建设项目</w:t>
                  </w:r>
                </w:p>
              </w:tc>
              <w:tc>
                <w:tcPr>
                  <w:tcW w:w="2753" w:type="dxa"/>
                  <w:vAlign w:val="center"/>
                </w:tcPr>
                <w:p w14:paraId="19FCABCC">
                  <w:pPr>
                    <w:pStyle w:val="18"/>
                    <w:jc w:val="center"/>
                    <w:rPr>
                      <w:rFonts w:hAnsi="Times New Roman" w:eastAsia="宋体"/>
                      <w:color w:val="auto"/>
                      <w:sz w:val="21"/>
                      <w:szCs w:val="21"/>
                    </w:rPr>
                  </w:pPr>
                  <w:r>
                    <w:rPr>
                      <w:rFonts w:hAnsi="Times New Roman" w:eastAsia="宋体"/>
                      <w:color w:val="auto"/>
                      <w:sz w:val="21"/>
                      <w:szCs w:val="21"/>
                    </w:rPr>
                    <w:t>本项目不涉及</w:t>
                  </w:r>
                </w:p>
              </w:tc>
              <w:tc>
                <w:tcPr>
                  <w:tcW w:w="965" w:type="dxa"/>
                  <w:vAlign w:val="center"/>
                </w:tcPr>
                <w:p w14:paraId="0D5768EF">
                  <w:pPr>
                    <w:pStyle w:val="18"/>
                    <w:jc w:val="center"/>
                    <w:rPr>
                      <w:rFonts w:hAnsi="Times New Roman" w:eastAsia="宋体"/>
                      <w:color w:val="auto"/>
                      <w:sz w:val="21"/>
                      <w:szCs w:val="21"/>
                    </w:rPr>
                  </w:pPr>
                  <w:r>
                    <w:rPr>
                      <w:rFonts w:hAnsi="Times New Roman" w:eastAsia="宋体"/>
                      <w:color w:val="auto"/>
                      <w:sz w:val="21"/>
                      <w:szCs w:val="21"/>
                    </w:rPr>
                    <w:t>否</w:t>
                  </w:r>
                </w:p>
              </w:tc>
            </w:tr>
          </w:tbl>
          <w:p w14:paraId="4A93424E">
            <w:pPr>
              <w:autoSpaceDE w:val="0"/>
              <w:autoSpaceDN w:val="0"/>
              <w:adjustRightInd w:val="0"/>
              <w:snapToGrid w:val="0"/>
              <w:rPr>
                <w:color w:val="auto"/>
                <w:kern w:val="0"/>
                <w:sz w:val="24"/>
              </w:rPr>
            </w:pPr>
          </w:p>
        </w:tc>
      </w:tr>
      <w:tr w14:paraId="2B039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Align w:val="center"/>
          </w:tcPr>
          <w:p w14:paraId="1C59726F">
            <w:pPr>
              <w:autoSpaceDE w:val="0"/>
              <w:autoSpaceDN w:val="0"/>
              <w:adjustRightInd w:val="0"/>
              <w:snapToGrid w:val="0"/>
              <w:jc w:val="center"/>
              <w:rPr>
                <w:color w:val="auto"/>
                <w:kern w:val="0"/>
                <w:sz w:val="24"/>
              </w:rPr>
            </w:pPr>
            <w:r>
              <w:rPr>
                <w:color w:val="auto"/>
                <w:sz w:val="24"/>
              </w:rPr>
              <w:t>规划情况</w:t>
            </w:r>
          </w:p>
        </w:tc>
        <w:tc>
          <w:tcPr>
            <w:tcW w:w="4404" w:type="pct"/>
            <w:gridSpan w:val="3"/>
            <w:vAlign w:val="center"/>
          </w:tcPr>
          <w:p w14:paraId="2E87CE56">
            <w:pPr>
              <w:pStyle w:val="11"/>
              <w:spacing w:line="360" w:lineRule="auto"/>
              <w:ind w:firstLine="2880" w:firstLineChars="1200"/>
              <w:jc w:val="both"/>
              <w:rPr>
                <w:color w:val="auto"/>
                <w:szCs w:val="24"/>
              </w:rPr>
            </w:pPr>
            <w:r>
              <w:rPr>
                <w:rFonts w:hint="eastAsia"/>
                <w:color w:val="auto"/>
                <w:szCs w:val="32"/>
              </w:rPr>
              <w:t>无</w:t>
            </w:r>
          </w:p>
        </w:tc>
      </w:tr>
      <w:tr w14:paraId="69B7C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5" w:type="pct"/>
            <w:vAlign w:val="center"/>
          </w:tcPr>
          <w:p w14:paraId="4353BC9F">
            <w:pPr>
              <w:adjustRightInd w:val="0"/>
              <w:snapToGrid w:val="0"/>
              <w:jc w:val="center"/>
              <w:rPr>
                <w:color w:val="auto"/>
                <w:sz w:val="24"/>
              </w:rPr>
            </w:pPr>
            <w:r>
              <w:rPr>
                <w:color w:val="auto"/>
                <w:sz w:val="24"/>
              </w:rPr>
              <w:t>规划环境影响</w:t>
            </w:r>
          </w:p>
          <w:p w14:paraId="7E77E9F0">
            <w:pPr>
              <w:adjustRightInd w:val="0"/>
              <w:snapToGrid w:val="0"/>
              <w:jc w:val="center"/>
              <w:rPr>
                <w:color w:val="auto"/>
                <w:kern w:val="0"/>
                <w:sz w:val="24"/>
              </w:rPr>
            </w:pPr>
            <w:r>
              <w:rPr>
                <w:color w:val="auto"/>
                <w:sz w:val="24"/>
              </w:rPr>
              <w:t>评价情况</w:t>
            </w:r>
          </w:p>
        </w:tc>
        <w:tc>
          <w:tcPr>
            <w:tcW w:w="4404" w:type="pct"/>
            <w:gridSpan w:val="3"/>
            <w:vAlign w:val="center"/>
          </w:tcPr>
          <w:p w14:paraId="595695A5">
            <w:pPr>
              <w:spacing w:line="440" w:lineRule="exact"/>
              <w:ind w:firstLine="2880" w:firstLineChars="1200"/>
              <w:rPr>
                <w:color w:val="auto"/>
                <w:kern w:val="0"/>
                <w:sz w:val="24"/>
              </w:rPr>
            </w:pPr>
            <w:r>
              <w:rPr>
                <w:rFonts w:hint="eastAsia"/>
                <w:color w:val="auto"/>
                <w:sz w:val="24"/>
                <w:szCs w:val="32"/>
              </w:rPr>
              <w:t>无</w:t>
            </w:r>
          </w:p>
        </w:tc>
      </w:tr>
      <w:tr w14:paraId="7918A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Align w:val="center"/>
          </w:tcPr>
          <w:p w14:paraId="4A28D11A">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4404" w:type="pct"/>
            <w:gridSpan w:val="3"/>
            <w:vAlign w:val="center"/>
          </w:tcPr>
          <w:p w14:paraId="1AEAA133">
            <w:pPr>
              <w:pStyle w:val="62"/>
              <w:spacing w:before="120" w:beforeLines="50" w:line="360" w:lineRule="auto"/>
              <w:ind w:firstLine="2880" w:firstLineChars="1200"/>
              <w:rPr>
                <w:color w:val="auto"/>
                <w:sz w:val="24"/>
                <w:szCs w:val="32"/>
              </w:rPr>
            </w:pPr>
          </w:p>
          <w:p w14:paraId="3636D155">
            <w:pPr>
              <w:pStyle w:val="62"/>
              <w:spacing w:before="120" w:beforeLines="50" w:line="360" w:lineRule="auto"/>
              <w:ind w:firstLine="2880" w:firstLineChars="1200"/>
              <w:rPr>
                <w:color w:val="auto"/>
                <w:sz w:val="24"/>
                <w:szCs w:val="32"/>
              </w:rPr>
            </w:pPr>
          </w:p>
          <w:p w14:paraId="70097F5F">
            <w:pPr>
              <w:pStyle w:val="62"/>
              <w:spacing w:before="120" w:beforeLines="50" w:line="360" w:lineRule="auto"/>
              <w:ind w:firstLine="2880" w:firstLineChars="1200"/>
              <w:rPr>
                <w:color w:val="auto"/>
                <w:sz w:val="24"/>
                <w:szCs w:val="32"/>
              </w:rPr>
            </w:pPr>
            <w:r>
              <w:rPr>
                <w:rFonts w:hint="eastAsia"/>
                <w:color w:val="auto"/>
                <w:sz w:val="24"/>
                <w:szCs w:val="32"/>
              </w:rPr>
              <w:t>无</w:t>
            </w:r>
          </w:p>
          <w:p w14:paraId="37684304">
            <w:pPr>
              <w:pStyle w:val="62"/>
              <w:spacing w:before="120" w:beforeLines="50" w:line="360" w:lineRule="auto"/>
              <w:ind w:firstLine="2880" w:firstLineChars="1200"/>
              <w:rPr>
                <w:color w:val="auto"/>
                <w:sz w:val="24"/>
                <w:szCs w:val="32"/>
              </w:rPr>
            </w:pPr>
          </w:p>
          <w:p w14:paraId="35DFD2AF">
            <w:pPr>
              <w:pStyle w:val="62"/>
              <w:spacing w:before="120" w:beforeLines="50" w:line="360" w:lineRule="auto"/>
              <w:ind w:firstLine="2880" w:firstLineChars="1200"/>
              <w:rPr>
                <w:color w:val="auto"/>
                <w:sz w:val="24"/>
                <w:szCs w:val="32"/>
              </w:rPr>
            </w:pPr>
          </w:p>
          <w:p w14:paraId="66A2626E">
            <w:pPr>
              <w:pStyle w:val="62"/>
              <w:spacing w:before="120" w:beforeLines="50" w:line="360" w:lineRule="auto"/>
              <w:ind w:firstLine="2880" w:firstLineChars="1200"/>
              <w:rPr>
                <w:color w:val="auto"/>
                <w:sz w:val="24"/>
                <w:szCs w:val="32"/>
              </w:rPr>
            </w:pPr>
          </w:p>
          <w:p w14:paraId="7EA71483">
            <w:pPr>
              <w:pStyle w:val="62"/>
              <w:spacing w:before="120" w:beforeLines="50" w:line="360" w:lineRule="auto"/>
              <w:ind w:firstLine="2880" w:firstLineChars="1200"/>
              <w:rPr>
                <w:color w:val="auto"/>
                <w:sz w:val="24"/>
                <w:szCs w:val="32"/>
              </w:rPr>
            </w:pPr>
          </w:p>
          <w:p w14:paraId="6ACADDC6">
            <w:pPr>
              <w:pStyle w:val="62"/>
              <w:spacing w:before="120" w:beforeLines="50" w:line="360" w:lineRule="auto"/>
              <w:ind w:firstLine="0" w:firstLineChars="0"/>
              <w:rPr>
                <w:color w:val="auto"/>
                <w:sz w:val="24"/>
                <w:szCs w:val="32"/>
              </w:rPr>
            </w:pPr>
          </w:p>
          <w:p w14:paraId="03AADC43">
            <w:pPr>
              <w:pStyle w:val="62"/>
              <w:spacing w:before="120" w:beforeLines="50" w:line="360" w:lineRule="auto"/>
              <w:ind w:firstLine="0" w:firstLineChars="0"/>
              <w:rPr>
                <w:color w:val="auto"/>
                <w:sz w:val="24"/>
                <w:szCs w:val="32"/>
              </w:rPr>
            </w:pPr>
          </w:p>
          <w:p w14:paraId="4CD09609">
            <w:pPr>
              <w:pStyle w:val="62"/>
              <w:spacing w:before="120" w:beforeLines="50" w:line="360" w:lineRule="auto"/>
              <w:ind w:firstLine="0" w:firstLineChars="0"/>
              <w:rPr>
                <w:color w:val="auto"/>
                <w:sz w:val="24"/>
                <w:szCs w:val="32"/>
              </w:rPr>
            </w:pPr>
          </w:p>
        </w:tc>
      </w:tr>
      <w:tr w14:paraId="124FE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8" w:hRule="atLeast"/>
          <w:jc w:val="center"/>
        </w:trPr>
        <w:tc>
          <w:tcPr>
            <w:tcW w:w="595" w:type="pct"/>
            <w:vAlign w:val="center"/>
          </w:tcPr>
          <w:p w14:paraId="425AFBD6">
            <w:pPr>
              <w:autoSpaceDE w:val="0"/>
              <w:autoSpaceDN w:val="0"/>
              <w:adjustRightInd w:val="0"/>
              <w:snapToGrid w:val="0"/>
              <w:jc w:val="center"/>
              <w:rPr>
                <w:color w:val="auto"/>
                <w:kern w:val="0"/>
                <w:sz w:val="24"/>
              </w:rPr>
            </w:pPr>
            <w:r>
              <w:rPr>
                <w:color w:val="auto"/>
                <w:kern w:val="0"/>
                <w:sz w:val="24"/>
              </w:rPr>
              <w:t>其他符合性分析</w:t>
            </w:r>
          </w:p>
        </w:tc>
        <w:tc>
          <w:tcPr>
            <w:tcW w:w="4404" w:type="pct"/>
            <w:gridSpan w:val="3"/>
            <w:vAlign w:val="center"/>
          </w:tcPr>
          <w:p w14:paraId="377C1F3A">
            <w:pPr>
              <w:adjustRightInd w:val="0"/>
              <w:snapToGrid w:val="0"/>
              <w:spacing w:line="360" w:lineRule="auto"/>
              <w:ind w:firstLine="422"/>
              <w:jc w:val="left"/>
              <w:rPr>
                <w:b/>
                <w:bCs/>
                <w:color w:val="auto"/>
                <w:sz w:val="24"/>
              </w:rPr>
            </w:pPr>
            <w:r>
              <w:rPr>
                <w:b/>
                <w:bCs/>
                <w:color w:val="auto"/>
                <w:sz w:val="24"/>
              </w:rPr>
              <w:t>一、产业政策符合性</w:t>
            </w:r>
          </w:p>
          <w:p w14:paraId="2FC6CFC9">
            <w:pPr>
              <w:adjustRightInd w:val="0"/>
              <w:snapToGrid w:val="0"/>
              <w:spacing w:line="360" w:lineRule="auto"/>
              <w:ind w:firstLine="480" w:firstLineChars="200"/>
              <w:rPr>
                <w:rFonts w:hint="eastAsia" w:ascii="宋体" w:hAnsi="宋体"/>
                <w:color w:val="auto"/>
                <w:sz w:val="24"/>
              </w:rPr>
            </w:pPr>
            <w:r>
              <w:rPr>
                <w:rFonts w:hint="eastAsia"/>
                <w:color w:val="auto"/>
                <w:sz w:val="24"/>
              </w:rPr>
              <w:t>本项目为卫生院项目，属《国民经济行业分类》（</w:t>
            </w:r>
            <w:r>
              <w:rPr>
                <w:color w:val="auto"/>
                <w:sz w:val="24"/>
              </w:rPr>
              <w:t>GB/T4754-2017</w:t>
            </w:r>
            <w:r>
              <w:rPr>
                <w:rFonts w:hint="eastAsia"/>
                <w:color w:val="auto"/>
                <w:sz w:val="24"/>
              </w:rPr>
              <w:t>）中的“Q8423乡镇卫生院”</w:t>
            </w:r>
            <w:r>
              <w:rPr>
                <w:color w:val="auto"/>
              </w:rPr>
              <w:t>，对照</w:t>
            </w:r>
            <w:r>
              <w:rPr>
                <w:color w:val="auto"/>
                <w:sz w:val="24"/>
              </w:rPr>
              <w:t>国家发展和改革委员会文件《产业结构调整指导目录（20</w:t>
            </w:r>
            <w:r>
              <w:rPr>
                <w:rFonts w:hint="eastAsia"/>
                <w:color w:val="auto"/>
                <w:sz w:val="24"/>
              </w:rPr>
              <w:t>24</w:t>
            </w:r>
            <w:r>
              <w:rPr>
                <w:color w:val="auto"/>
                <w:sz w:val="24"/>
              </w:rPr>
              <w:t>年本）》</w:t>
            </w:r>
            <w:r>
              <w:rPr>
                <w:rFonts w:hint="eastAsia"/>
                <w:color w:val="auto"/>
                <w:sz w:val="24"/>
              </w:rPr>
              <w:t>，项目属于鼓励类第三十七大条“卫生健康”中的第1条“医疗服务设施建设”。项目已于</w:t>
            </w:r>
            <w:bookmarkStart w:id="8" w:name="_Hlk194509394"/>
            <w:r>
              <w:rPr>
                <w:rFonts w:hint="eastAsia"/>
                <w:color w:val="auto"/>
                <w:sz w:val="24"/>
              </w:rPr>
              <w:t>2024年8月20日取得了</w:t>
            </w:r>
            <w:bookmarkStart w:id="9" w:name="_Hlk192497987"/>
            <w:r>
              <w:rPr>
                <w:rFonts w:hint="eastAsia"/>
                <w:color w:val="auto"/>
                <w:sz w:val="24"/>
              </w:rPr>
              <w:t>通海县发展和改革局出具的《关于通海县紧密型医共体乡镇医疗卫生服务能力提升项目可行性研究报告的批复》通发改基</w:t>
            </w:r>
            <w:r>
              <w:rPr>
                <w:rFonts w:hint="eastAsia" w:ascii="宋体" w:hAnsi="宋体" w:cs="宋体"/>
                <w:color w:val="auto"/>
                <w:sz w:val="24"/>
              </w:rPr>
              <w:t>〔2024〕16号</w:t>
            </w:r>
            <w:bookmarkEnd w:id="8"/>
            <w:bookmarkEnd w:id="9"/>
            <w:r>
              <w:rPr>
                <w:rFonts w:hint="eastAsia"/>
                <w:color w:val="auto"/>
                <w:sz w:val="24"/>
              </w:rPr>
              <w:t>，故本项目的建设符合国家现行的产业政策。</w:t>
            </w:r>
          </w:p>
          <w:p w14:paraId="791E1214">
            <w:pPr>
              <w:spacing w:line="360" w:lineRule="auto"/>
              <w:ind w:firstLine="480"/>
              <w:rPr>
                <w:b/>
                <w:bCs/>
                <w:color w:val="auto"/>
                <w:sz w:val="24"/>
              </w:rPr>
            </w:pPr>
            <w:r>
              <w:rPr>
                <w:b/>
                <w:bCs/>
                <w:color w:val="auto"/>
                <w:sz w:val="24"/>
              </w:rPr>
              <w:t>二、</w:t>
            </w:r>
            <w:r>
              <w:rPr>
                <w:rFonts w:hint="eastAsia"/>
                <w:b/>
                <w:bCs/>
                <w:color w:val="auto"/>
                <w:sz w:val="24"/>
              </w:rPr>
              <w:t>“三线一单”符合性分析</w:t>
            </w:r>
          </w:p>
          <w:p w14:paraId="11A89516">
            <w:pPr>
              <w:spacing w:line="360" w:lineRule="auto"/>
              <w:ind w:firstLine="480"/>
              <w:rPr>
                <w:color w:val="auto"/>
                <w:sz w:val="24"/>
              </w:rPr>
            </w:pPr>
            <w:r>
              <w:rPr>
                <w:color w:val="auto"/>
                <w:sz w:val="24"/>
              </w:rPr>
              <w:t>202</w:t>
            </w:r>
            <w:r>
              <w:rPr>
                <w:rFonts w:hint="eastAsia"/>
                <w:color w:val="auto"/>
                <w:sz w:val="24"/>
              </w:rPr>
              <w:t>4</w:t>
            </w:r>
            <w:r>
              <w:rPr>
                <w:color w:val="auto"/>
                <w:sz w:val="24"/>
              </w:rPr>
              <w:t>年</w:t>
            </w:r>
            <w:r>
              <w:rPr>
                <w:rFonts w:hint="eastAsia"/>
                <w:color w:val="auto"/>
                <w:sz w:val="24"/>
              </w:rPr>
              <w:t>6</w:t>
            </w:r>
            <w:r>
              <w:rPr>
                <w:color w:val="auto"/>
                <w:sz w:val="24"/>
              </w:rPr>
              <w:t>月</w:t>
            </w:r>
            <w:r>
              <w:rPr>
                <w:rFonts w:hint="eastAsia"/>
                <w:color w:val="auto"/>
                <w:sz w:val="24"/>
              </w:rPr>
              <w:t>7</w:t>
            </w:r>
            <w:r>
              <w:rPr>
                <w:color w:val="auto"/>
                <w:sz w:val="24"/>
              </w:rPr>
              <w:t>日，玉溪市</w:t>
            </w:r>
            <w:r>
              <w:rPr>
                <w:rFonts w:hint="eastAsia"/>
                <w:color w:val="auto"/>
                <w:sz w:val="24"/>
              </w:rPr>
              <w:t>生态环境局印</w:t>
            </w:r>
            <w:r>
              <w:rPr>
                <w:color w:val="auto"/>
                <w:sz w:val="24"/>
              </w:rPr>
              <w:t>发了《</w:t>
            </w:r>
            <w:r>
              <w:rPr>
                <w:rFonts w:hint="eastAsia"/>
                <w:color w:val="auto"/>
                <w:sz w:val="24"/>
              </w:rPr>
              <w:t>关于印发玉溪市生态环境分区管控动态更新调整方案（2023年）</w:t>
            </w:r>
            <w:r>
              <w:rPr>
                <w:color w:val="auto"/>
                <w:sz w:val="24"/>
              </w:rPr>
              <w:t>的通知》（玉</w:t>
            </w:r>
            <w:r>
              <w:rPr>
                <w:rFonts w:hint="eastAsia"/>
                <w:color w:val="auto"/>
                <w:sz w:val="24"/>
              </w:rPr>
              <w:t>市环</w:t>
            </w:r>
            <w:r>
              <w:rPr>
                <w:color w:val="auto"/>
                <w:sz w:val="24"/>
              </w:rPr>
              <w:t>〔202</w:t>
            </w:r>
            <w:r>
              <w:rPr>
                <w:rFonts w:hint="eastAsia"/>
                <w:color w:val="auto"/>
                <w:sz w:val="24"/>
              </w:rPr>
              <w:t>4</w:t>
            </w:r>
            <w:r>
              <w:rPr>
                <w:color w:val="auto"/>
                <w:sz w:val="24"/>
              </w:rPr>
              <w:t>〕</w:t>
            </w:r>
            <w:r>
              <w:rPr>
                <w:rFonts w:hint="eastAsia"/>
                <w:color w:val="auto"/>
                <w:sz w:val="24"/>
              </w:rPr>
              <w:t>40</w:t>
            </w:r>
            <w:r>
              <w:rPr>
                <w:color w:val="auto"/>
                <w:sz w:val="24"/>
              </w:rPr>
              <w:t>号）。</w:t>
            </w:r>
          </w:p>
          <w:p w14:paraId="0B6C1E60">
            <w:pPr>
              <w:spacing w:line="360" w:lineRule="auto"/>
              <w:ind w:firstLine="480"/>
              <w:rPr>
                <w:color w:val="auto"/>
                <w:sz w:val="24"/>
              </w:rPr>
            </w:pPr>
            <w:r>
              <w:rPr>
                <w:color w:val="auto"/>
                <w:sz w:val="24"/>
              </w:rPr>
              <w:t>本项目属于</w:t>
            </w:r>
            <w:r>
              <w:rPr>
                <w:rFonts w:hint="eastAsia"/>
                <w:color w:val="auto"/>
                <w:sz w:val="24"/>
              </w:rPr>
              <w:t>乡镇卫生院项目</w:t>
            </w:r>
            <w:r>
              <w:rPr>
                <w:color w:val="auto"/>
                <w:sz w:val="24"/>
              </w:rPr>
              <w:t>，选址</w:t>
            </w:r>
            <w:r>
              <w:rPr>
                <w:rFonts w:hint="eastAsia"/>
                <w:color w:val="auto"/>
                <w:sz w:val="24"/>
                <w:lang w:val="en-US" w:eastAsia="zh-CN"/>
              </w:rPr>
              <w:t>位</w:t>
            </w:r>
            <w:r>
              <w:rPr>
                <w:color w:val="auto"/>
                <w:sz w:val="24"/>
              </w:rPr>
              <w:t>于</w:t>
            </w:r>
            <w:r>
              <w:rPr>
                <w:rFonts w:hint="eastAsia"/>
                <w:color w:val="auto"/>
                <w:sz w:val="24"/>
              </w:rPr>
              <w:t>云南省通海县九龙街道九龙分院，杨广镇杨广分院、四街镇四街分院、纳古镇纳古分院。根据“三线一单”查询结果（附件14），九龙卫生院、纳古卫生院、四街卫生院</w:t>
            </w:r>
            <w:r>
              <w:rPr>
                <w:color w:val="auto"/>
                <w:sz w:val="24"/>
              </w:rPr>
              <w:t>属于通海县</w:t>
            </w:r>
            <w:r>
              <w:rPr>
                <w:rFonts w:hint="eastAsia"/>
                <w:color w:val="auto"/>
                <w:sz w:val="24"/>
              </w:rPr>
              <w:t>乡镇</w:t>
            </w:r>
            <w:r>
              <w:rPr>
                <w:color w:val="auto"/>
                <w:sz w:val="24"/>
              </w:rPr>
              <w:t>生活污染重点管控单元，</w:t>
            </w:r>
            <w:r>
              <w:rPr>
                <w:rFonts w:hint="eastAsia"/>
                <w:color w:val="auto"/>
                <w:sz w:val="24"/>
              </w:rPr>
              <w:t>杨广卫生院</w:t>
            </w:r>
            <w:r>
              <w:rPr>
                <w:rFonts w:hint="eastAsia"/>
                <w:color w:val="auto"/>
                <w:sz w:val="24"/>
                <w:lang w:val="en-US" w:eastAsia="zh-CN"/>
              </w:rPr>
              <w:t>属于</w:t>
            </w:r>
            <w:r>
              <w:rPr>
                <w:rFonts w:hint="eastAsia"/>
                <w:color w:val="auto"/>
                <w:sz w:val="24"/>
              </w:rPr>
              <w:t>通海县城区生活污染重点管控单元，</w:t>
            </w:r>
            <w:r>
              <w:rPr>
                <w:color w:val="auto"/>
                <w:sz w:val="24"/>
              </w:rPr>
              <w:t>具体要求如下。项目与玉</w:t>
            </w:r>
            <w:r>
              <w:rPr>
                <w:rFonts w:hint="eastAsia"/>
                <w:color w:val="auto"/>
                <w:sz w:val="24"/>
              </w:rPr>
              <w:t>市环</w:t>
            </w:r>
            <w:r>
              <w:rPr>
                <w:color w:val="auto"/>
                <w:sz w:val="24"/>
              </w:rPr>
              <w:t>〔202</w:t>
            </w:r>
            <w:r>
              <w:rPr>
                <w:rFonts w:hint="eastAsia"/>
                <w:color w:val="auto"/>
                <w:sz w:val="24"/>
              </w:rPr>
              <w:t>4</w:t>
            </w:r>
            <w:r>
              <w:rPr>
                <w:color w:val="auto"/>
                <w:sz w:val="24"/>
              </w:rPr>
              <w:t>〕</w:t>
            </w:r>
            <w:r>
              <w:rPr>
                <w:rFonts w:hint="eastAsia"/>
                <w:color w:val="auto"/>
                <w:sz w:val="24"/>
              </w:rPr>
              <w:t>40</w:t>
            </w:r>
            <w:r>
              <w:rPr>
                <w:color w:val="auto"/>
                <w:sz w:val="24"/>
              </w:rPr>
              <w:t>号的符合性分析如下：</w:t>
            </w:r>
          </w:p>
          <w:p w14:paraId="4DD5F0E3">
            <w:pPr>
              <w:pStyle w:val="66"/>
              <w:spacing w:before="120" w:after="120"/>
              <w:rPr>
                <w:rFonts w:hint="default"/>
                <w:color w:val="auto"/>
                <w:sz w:val="24"/>
              </w:rPr>
            </w:pPr>
            <w:r>
              <w:rPr>
                <w:rFonts w:hint="default"/>
                <w:color w:val="auto"/>
                <w:sz w:val="24"/>
              </w:rPr>
              <w:t>表1-</w:t>
            </w:r>
            <w:r>
              <w:rPr>
                <w:color w:val="auto"/>
                <w:sz w:val="24"/>
              </w:rPr>
              <w:t>2</w:t>
            </w:r>
            <w:r>
              <w:rPr>
                <w:rFonts w:hint="default"/>
                <w:color w:val="auto"/>
                <w:sz w:val="24"/>
              </w:rPr>
              <w:t>与“玉溪市三线一单”文件符合性分析</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35"/>
              <w:gridCol w:w="516"/>
              <w:gridCol w:w="1949"/>
              <w:gridCol w:w="3543"/>
              <w:gridCol w:w="443"/>
            </w:tblGrid>
            <w:tr w14:paraId="2BD6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23870E28">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序号</w:t>
                  </w:r>
                </w:p>
              </w:tc>
              <w:tc>
                <w:tcPr>
                  <w:tcW w:w="3100" w:type="dxa"/>
                  <w:gridSpan w:val="3"/>
                  <w:vAlign w:val="center"/>
                </w:tcPr>
                <w:p w14:paraId="0F36D84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文件要求</w:t>
                  </w:r>
                </w:p>
              </w:tc>
              <w:tc>
                <w:tcPr>
                  <w:tcW w:w="3543" w:type="dxa"/>
                  <w:vAlign w:val="center"/>
                </w:tcPr>
                <w:p w14:paraId="46138A5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本项目情况</w:t>
                  </w:r>
                </w:p>
              </w:tc>
              <w:tc>
                <w:tcPr>
                  <w:tcW w:w="443" w:type="dxa"/>
                  <w:vAlign w:val="center"/>
                </w:tcPr>
                <w:p w14:paraId="76AED2B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符合性</w:t>
                  </w:r>
                </w:p>
              </w:tc>
            </w:tr>
            <w:tr w14:paraId="0002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8" w:type="dxa"/>
                  <w:gridSpan w:val="6"/>
                  <w:vAlign w:val="center"/>
                </w:tcPr>
                <w:p w14:paraId="661CF57A">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color w:val="auto"/>
                    </w:rPr>
                    <w:t>一、生态保护红线和一般生态空间</w:t>
                  </w:r>
                </w:p>
              </w:tc>
            </w:tr>
            <w:tr w14:paraId="1DEC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6E957BD9">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1</w:t>
                  </w:r>
                </w:p>
              </w:tc>
              <w:tc>
                <w:tcPr>
                  <w:tcW w:w="3100" w:type="dxa"/>
                  <w:gridSpan w:val="3"/>
                  <w:vAlign w:val="center"/>
                </w:tcPr>
                <w:p w14:paraId="77BD181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3543" w:type="dxa"/>
                  <w:vAlign w:val="center"/>
                </w:tcPr>
                <w:p w14:paraId="2C51ED1E">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本项目位于云南省通海县九龙街道九龙分院，杨广镇杨广分院、四街镇四街分院、纳古镇纳古分院。在卫生院原址上划拨土地进行建设，项目用地性质为医疗卫生用地，不新增用地，用地不涉及饮用水水源保护区、重要湿地、基本草原、生态公益林、天然林和生态保护红线、一般生态空间。</w:t>
                  </w:r>
                </w:p>
              </w:tc>
              <w:tc>
                <w:tcPr>
                  <w:tcW w:w="443" w:type="dxa"/>
                  <w:vAlign w:val="center"/>
                </w:tcPr>
                <w:p w14:paraId="5E026BBE">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2803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8" w:type="dxa"/>
                  <w:gridSpan w:val="6"/>
                  <w:vAlign w:val="center"/>
                </w:tcPr>
                <w:p w14:paraId="0ABA4C0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color w:val="auto"/>
                    </w:rPr>
                    <w:t>二、环境质量底线</w:t>
                  </w:r>
                </w:p>
              </w:tc>
            </w:tr>
            <w:tr w14:paraId="6E38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17F2E77B">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1</w:t>
                  </w:r>
                </w:p>
              </w:tc>
              <w:tc>
                <w:tcPr>
                  <w:tcW w:w="3100" w:type="dxa"/>
                  <w:gridSpan w:val="3"/>
                  <w:vAlign w:val="center"/>
                </w:tcPr>
                <w:p w14:paraId="5CA7247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水环境质量底线。到2025年，全市水环境质量持续改善，纳入国家和省级考核的地表水监测断面水质优良率稳步提升。抚仙湖水质稳定保持Ⅰ类水质标准，星云湖、杞麓湖水质指标均达到V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3543" w:type="dxa"/>
                  <w:vAlign w:val="center"/>
                </w:tcPr>
                <w:p w14:paraId="132EA759">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本项目涉及4个乡镇卫生院，四街卫生院所在地附近主要地表水体为东面610m的者湾河和东南面1965m的杞麓湖。九龙卫生院所在地附近主要地表水体为东北面4646m的杞麓湖。杨广卫生院所在地附近主要地表水体为西北面1568m的杞麓湖。根据云南省生态环境厅公开发布的《九大高原湖泊水质监测月报》中2023年1月～12月湖泊水质评价结果可知，2023年杞麓湖水质类别为V类～劣Ⅴ类，不满足水环境功能区划要求（Ⅲ类）。者湾河水质为V类～劣Ⅴ类，不满足水环境功能区划要求（Ⅲ类）。因此，杞麓湖和者湾河现状水质不能满足《地表水环境质量标准》（GB3838-2002）中的Ⅲ类水质标准，该区域没有水环境容量。杞麓湖、者湾河水质超标原因主要是由于周围农田及生活面源污染，农村生活污水、农业灌溉用水直接排入河流水体，河道常年污染严重，失去自净能力，河道水体直接进入杞麓湖。本项目涉及4个卫生院，每个卫生院均采用雨污分流制排水系统。项目运营期废（污）水经化粪池预处理后排入本次自建的污水处理站处理达《医疗机构水污染物排放标准》（GB18466-2005）表2预处理标准及《污水排入城镇下水道水质标准》（GB/T31962-2015）表1B等级标准限值要求后，通过市政污水管，最终进入污水处理厂处理。项目运营期废水达标排放，不会改变区域水环境质量功能。</w:t>
                  </w:r>
                </w:p>
              </w:tc>
              <w:tc>
                <w:tcPr>
                  <w:tcW w:w="443" w:type="dxa"/>
                  <w:vAlign w:val="center"/>
                </w:tcPr>
                <w:p w14:paraId="7FD6CB0F">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533D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1A073001">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2</w:t>
                  </w:r>
                </w:p>
              </w:tc>
              <w:tc>
                <w:tcPr>
                  <w:tcW w:w="3100" w:type="dxa"/>
                  <w:gridSpan w:val="3"/>
                  <w:vAlign w:val="center"/>
                </w:tcPr>
                <w:p w14:paraId="20C967D0">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3543" w:type="dxa"/>
                  <w:vAlign w:val="center"/>
                </w:tcPr>
                <w:p w14:paraId="69A05B0B">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项目所在区域为环境空气质量达标区，项目运营期废气均能够实现达标排放，不会改变区域环境空气质量功能。</w:t>
                  </w:r>
                </w:p>
              </w:tc>
              <w:tc>
                <w:tcPr>
                  <w:tcW w:w="443" w:type="dxa"/>
                  <w:vAlign w:val="center"/>
                </w:tcPr>
                <w:p w14:paraId="47D1B5F3">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28D8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0B0F9BD4">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3</w:t>
                  </w:r>
                </w:p>
              </w:tc>
              <w:tc>
                <w:tcPr>
                  <w:tcW w:w="3100" w:type="dxa"/>
                  <w:gridSpan w:val="3"/>
                  <w:vAlign w:val="center"/>
                </w:tcPr>
                <w:p w14:paraId="70D9BF9F">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3543" w:type="dxa"/>
                  <w:vAlign w:val="center"/>
                </w:tcPr>
                <w:p w14:paraId="6C992C0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本项目位于云南省通海县九龙街道九龙分院，杨广镇杨广分院、四街镇四街分院、纳古镇纳古分院，在卫生院原址上划拨土地进行建设，项目用地性质为医疗卫生用地，不新增用地，对土壤环境影响较小，符合土壤环境风险防控底线</w:t>
                  </w:r>
                </w:p>
              </w:tc>
              <w:tc>
                <w:tcPr>
                  <w:tcW w:w="443" w:type="dxa"/>
                  <w:vAlign w:val="center"/>
                </w:tcPr>
                <w:p w14:paraId="4B3AC65C">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1ABF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8" w:type="dxa"/>
                  <w:gridSpan w:val="6"/>
                  <w:vAlign w:val="center"/>
                </w:tcPr>
                <w:p w14:paraId="1674D29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color w:val="auto"/>
                    </w:rPr>
                    <w:t>三、资源利用上线</w:t>
                  </w:r>
                </w:p>
              </w:tc>
            </w:tr>
            <w:tr w14:paraId="327F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3E0E3AE8">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1</w:t>
                  </w:r>
                </w:p>
              </w:tc>
              <w:tc>
                <w:tcPr>
                  <w:tcW w:w="3100" w:type="dxa"/>
                  <w:gridSpan w:val="3"/>
                  <w:vAlign w:val="center"/>
                </w:tcPr>
                <w:p w14:paraId="42F69A1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强化资源能源节约集约利用，持续提升资源能源利用效率，水资源、土地资源、能源消耗等达到或优于省下达的总量和强度控制目标。</w:t>
                  </w:r>
                </w:p>
              </w:tc>
              <w:tc>
                <w:tcPr>
                  <w:tcW w:w="3543" w:type="dxa"/>
                  <w:vAlign w:val="center"/>
                </w:tcPr>
                <w:p w14:paraId="09824CF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项目所消耗资源为水资源、电能、柴油，项目营运期资源消耗量在区域资源利用总量占比较小，符合资源利用上限要求。</w:t>
                  </w:r>
                </w:p>
              </w:tc>
              <w:tc>
                <w:tcPr>
                  <w:tcW w:w="443" w:type="dxa"/>
                  <w:vAlign w:val="center"/>
                </w:tcPr>
                <w:p w14:paraId="66CF1C5B">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73B4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8" w:type="dxa"/>
                  <w:gridSpan w:val="6"/>
                  <w:vAlign w:val="center"/>
                </w:tcPr>
                <w:p w14:paraId="6B3F3A8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color w:val="auto"/>
                    </w:rPr>
                    <w:t>四、生态环境准入清单</w:t>
                  </w:r>
                </w:p>
              </w:tc>
            </w:tr>
            <w:tr w14:paraId="5654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7F49BDDC">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1</w:t>
                  </w:r>
                </w:p>
              </w:tc>
              <w:tc>
                <w:tcPr>
                  <w:tcW w:w="3100" w:type="dxa"/>
                  <w:gridSpan w:val="3"/>
                  <w:vAlign w:val="center"/>
                </w:tcPr>
                <w:p w14:paraId="4B0599A2">
                  <w:pPr>
                    <w:pStyle w:val="88"/>
                    <w:keepNext w:val="0"/>
                    <w:keepLines w:val="0"/>
                    <w:pageBreakBefore w:val="0"/>
                    <w:widowControl/>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全市共划分83个生态环境管控单元，分为优先保护、重点管控和一般管控3类。（1）优先保护单元。共27个，包含生态保护红线和一般生态空间，主要分布在哀牢山、红河（元江）干热河谷、珠江上游及滇东南喀斯特地带、高原湖泊湖区及流域水源涵养区等生态功能重要、生态环境敏感区域。</w:t>
                  </w:r>
                </w:p>
                <w:p w14:paraId="30E3A74E">
                  <w:pPr>
                    <w:pStyle w:val="88"/>
                    <w:keepNext w:val="0"/>
                    <w:keepLines w:val="0"/>
                    <w:pageBreakBefore w:val="0"/>
                    <w:widowControl/>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2）重点管控单元。共47个，包含开发强度高、污染物排放强度大、环境问题相对集中的区域和大气环境布局敏感区等，主要分布在“三湖”（抚仙湖、星云湖、杞麓湖）坝区、各类开发区和工业集中区、城镇规划区及环境质量改善压力较大的区域。</w:t>
                  </w:r>
                </w:p>
                <w:p w14:paraId="289631CE">
                  <w:pPr>
                    <w:pStyle w:val="88"/>
                    <w:keepNext w:val="0"/>
                    <w:keepLines w:val="0"/>
                    <w:pageBreakBefore w:val="0"/>
                    <w:widowControl/>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（3）一般管控单元。共9个，为优先保护、重点管控单元之外的区域。</w:t>
                  </w:r>
                </w:p>
              </w:tc>
              <w:tc>
                <w:tcPr>
                  <w:tcW w:w="3543" w:type="dxa"/>
                  <w:vAlign w:val="center"/>
                </w:tcPr>
                <w:p w14:paraId="250176D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本项目位于云南省通海县九龙街道九龙分院，杨广镇杨广分院、四街镇四街分院、纳古镇纳古分院，在卫生院原址上划拨土地进行建设，九龙卫生院、纳古卫生院、四街卫生院属于通海县乡镇生活污染重点管控单元，杨广卫生院</w:t>
                  </w:r>
                  <w:r>
                    <w:rPr>
                      <w:rFonts w:hint="eastAsia" w:ascii="宋体" w:hAnsi="宋体" w:cs="宋体"/>
                      <w:b w:val="0"/>
                      <w:bCs/>
                      <w:color w:val="auto"/>
                      <w:lang w:val="en-US" w:eastAsia="zh-CN"/>
                    </w:rPr>
                    <w:t>属于</w:t>
                  </w:r>
                  <w:r>
                    <w:rPr>
                      <w:rFonts w:ascii="宋体" w:hAnsi="宋体" w:cs="宋体"/>
                      <w:b w:val="0"/>
                      <w:bCs/>
                      <w:color w:val="auto"/>
                    </w:rPr>
                    <w:t>通海县城区生活污染重点管控单元。</w:t>
                  </w:r>
                </w:p>
              </w:tc>
              <w:tc>
                <w:tcPr>
                  <w:tcW w:w="443" w:type="dxa"/>
                  <w:vAlign w:val="center"/>
                </w:tcPr>
                <w:p w14:paraId="4438E920">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7C8D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restart"/>
                  <w:vAlign w:val="center"/>
                </w:tcPr>
                <w:p w14:paraId="7C34F7D4">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2</w:t>
                  </w:r>
                </w:p>
              </w:tc>
              <w:tc>
                <w:tcPr>
                  <w:tcW w:w="635" w:type="dxa"/>
                  <w:vMerge w:val="restart"/>
                  <w:vAlign w:val="center"/>
                </w:tcPr>
                <w:p w14:paraId="171478E1">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通海县乡镇生活污染重点管控单元</w:t>
                  </w:r>
                </w:p>
              </w:tc>
              <w:tc>
                <w:tcPr>
                  <w:tcW w:w="516" w:type="dxa"/>
                  <w:vAlign w:val="center"/>
                </w:tcPr>
                <w:p w14:paraId="076E02C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空间布局约束</w:t>
                  </w:r>
                </w:p>
              </w:tc>
              <w:tc>
                <w:tcPr>
                  <w:tcW w:w="1949" w:type="dxa"/>
                  <w:vAlign w:val="center"/>
                </w:tcPr>
                <w:p w14:paraId="226CE76E">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1.河西镇根据《河西历史文化名镇保护规划》进行保护。纳古镇严格执行《云南省杞麓湖保护条例》要求。</w:t>
                  </w:r>
                </w:p>
                <w:p w14:paraId="46F732B7">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2.优化产业空间布局，对不符合准入要求的既有项目，依法依规实施整改、退出等分类治理方案，促进企业向园区集中，产业向园区集聚，资源集约利用。</w:t>
                  </w:r>
                </w:p>
              </w:tc>
              <w:tc>
                <w:tcPr>
                  <w:tcW w:w="3543" w:type="dxa"/>
                  <w:vAlign w:val="center"/>
                </w:tcPr>
                <w:p w14:paraId="14616276">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hint="eastAsia" w:ascii="宋体" w:hAnsi="宋体" w:cs="宋体"/>
                      <w:bCs/>
                      <w:color w:val="auto"/>
                      <w:szCs w:val="21"/>
                    </w:rPr>
                    <w:t>本项目九龙街道九龙分院、四街镇四街分院、纳古镇纳古分院位于通海县乡镇生活污染重点管控单元，主要为卫生院扩建项目，不属于国家产业政策明令禁止的以及《云南省杞麓湖保护条例》规定禁止的项目，项目的建设符合《云南省杞麓湖保护条例》相关要求。</w:t>
                  </w:r>
                </w:p>
              </w:tc>
              <w:tc>
                <w:tcPr>
                  <w:tcW w:w="443" w:type="dxa"/>
                  <w:vAlign w:val="center"/>
                </w:tcPr>
                <w:p w14:paraId="770B0362">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5AF1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continue"/>
                  <w:vAlign w:val="center"/>
                </w:tcPr>
                <w:p w14:paraId="654487B0">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635" w:type="dxa"/>
                  <w:vMerge w:val="continue"/>
                  <w:vAlign w:val="center"/>
                </w:tcPr>
                <w:p w14:paraId="11165C7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516" w:type="dxa"/>
                  <w:vAlign w:val="center"/>
                </w:tcPr>
                <w:p w14:paraId="21E5AF1A">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污染物排放管控</w:t>
                  </w:r>
                </w:p>
              </w:tc>
              <w:tc>
                <w:tcPr>
                  <w:tcW w:w="1949" w:type="dxa"/>
                  <w:vAlign w:val="center"/>
                </w:tcPr>
                <w:p w14:paraId="037B2D93">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1.临杞麓湖区域严格落实禁养、限养措施，退出高耗水、耗肥、耗药作物，实施农业高效节水减排工程，重点发展优质水稻、豆类、烤烟、油菜、离地花卉、莲藕等种植，注重生态复绿与休耕，发展休闲观光</w:t>
                  </w:r>
                </w:p>
                <w:p w14:paraId="27900B90">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农业。</w:t>
                  </w:r>
                </w:p>
                <w:p w14:paraId="5C185EC4">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2.向城镇污水集中处理设施排放水污染物，应当符合国家或者地方规定的水污染物排放标准。</w:t>
                  </w:r>
                </w:p>
                <w:p w14:paraId="2DF85BAC">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3.加强城镇生活污水收集处理设施建设和提标改造，城镇驻地逐步实现雨污分流。</w:t>
                  </w:r>
                </w:p>
                <w:p w14:paraId="2BE1A07D">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4.大力推进生活垃圾分类回收利用，建立分类投放、收集、运输、处理的生活垃圾收运处理系统。</w:t>
                  </w:r>
                </w:p>
              </w:tc>
              <w:tc>
                <w:tcPr>
                  <w:tcW w:w="3543" w:type="dxa"/>
                  <w:vAlign w:val="center"/>
                </w:tcPr>
                <w:p w14:paraId="09D6AE6F">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hint="eastAsia" w:ascii="宋体" w:hAnsi="宋体" w:cs="宋体"/>
                      <w:bCs/>
                      <w:color w:val="auto"/>
                      <w:szCs w:val="21"/>
                    </w:rPr>
                    <w:t>本项目涉及</w:t>
                  </w:r>
                  <w:r>
                    <w:rPr>
                      <w:rFonts w:hint="eastAsia" w:ascii="宋体" w:hAnsi="宋体" w:cs="宋体"/>
                      <w:bCs/>
                      <w:color w:val="auto"/>
                      <w:szCs w:val="21"/>
                      <w:lang w:val="en-US" w:eastAsia="zh-CN"/>
                    </w:rPr>
                    <w:t>到的3个卫生院属于</w:t>
                  </w:r>
                  <w:r>
                    <w:rPr>
                      <w:rFonts w:ascii="宋体" w:hAnsi="宋体" w:cs="宋体"/>
                      <w:b w:val="0"/>
                      <w:bCs/>
                      <w:color w:val="auto"/>
                    </w:rPr>
                    <w:t>通海县乡镇生活污染重点管控单元</w:t>
                  </w:r>
                  <w:r>
                    <w:rPr>
                      <w:rFonts w:hint="eastAsia" w:ascii="宋体" w:hAnsi="宋体" w:cs="宋体"/>
                      <w:bCs/>
                      <w:color w:val="auto"/>
                      <w:szCs w:val="21"/>
                    </w:rPr>
                    <w:t>，每个卫生院均采用雨污分流制排水系统。项目运营期废（污）水经化粪池预处理后排入院内本项目自建的污水处理站处理达《医疗机构水污染物排放标准》（GB18466-2005）表2预处理标准及《污水排入城镇下水道水质标准》（GB/T31962-2015）表1B等级标准限值要求后，通过市政污水管，最终进入污水处理厂处理。施工期废水经临时沉淀处理后，全部回用于场地洒水降尘，采取封闭施工。</w:t>
                  </w:r>
                </w:p>
              </w:tc>
              <w:tc>
                <w:tcPr>
                  <w:tcW w:w="443" w:type="dxa"/>
                  <w:vAlign w:val="center"/>
                </w:tcPr>
                <w:p w14:paraId="0BEE95B2">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51B7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restart"/>
                  <w:vAlign w:val="center"/>
                </w:tcPr>
                <w:p w14:paraId="7C98436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3</w:t>
                  </w:r>
                </w:p>
              </w:tc>
              <w:tc>
                <w:tcPr>
                  <w:tcW w:w="635" w:type="dxa"/>
                  <w:vMerge w:val="restart"/>
                  <w:vAlign w:val="center"/>
                </w:tcPr>
                <w:p w14:paraId="785E795E">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通海县城区生活污染重点管控单元</w:t>
                  </w:r>
                </w:p>
              </w:tc>
              <w:tc>
                <w:tcPr>
                  <w:tcW w:w="516" w:type="dxa"/>
                  <w:vAlign w:val="center"/>
                </w:tcPr>
                <w:p w14:paraId="5B62F8C4">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空间布局约束</w:t>
                  </w:r>
                </w:p>
              </w:tc>
              <w:tc>
                <w:tcPr>
                  <w:tcW w:w="1949" w:type="dxa"/>
                  <w:vAlign w:val="center"/>
                </w:tcPr>
                <w:p w14:paraId="7EEE6D83">
                  <w:pPr>
                    <w:keepNext w:val="0"/>
                    <w:keepLines w:val="0"/>
                    <w:pageBreakBefore w:val="0"/>
                    <w:numPr>
                      <w:ilvl w:val="0"/>
                      <w:numId w:val="4"/>
                    </w:numPr>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hint="eastAsia" w:ascii="宋体" w:hAnsi="宋体" w:cs="宋体"/>
                      <w:bCs/>
                      <w:color w:val="auto"/>
                      <w:szCs w:val="21"/>
                    </w:rPr>
                    <w:t>杞麓湖流域内开发建设活动必须严格遵守《云南省杞麓湖保护条例》要求。</w:t>
                  </w:r>
                </w:p>
                <w:p w14:paraId="1BEC3387">
                  <w:pPr>
                    <w:keepNext w:val="0"/>
                    <w:keepLines w:val="0"/>
                    <w:pageBreakBefore w:val="0"/>
                    <w:numPr>
                      <w:ilvl w:val="0"/>
                      <w:numId w:val="4"/>
                    </w:numPr>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ascii="宋体" w:hAnsi="宋体" w:cs="宋体"/>
                      <w:bCs/>
                      <w:color w:val="auto"/>
                      <w:szCs w:val="21"/>
                    </w:rPr>
                    <w:t>现有城区及周边严重影响城区环境空气质量的污染企业应限期搬迁改造。</w:t>
                  </w:r>
                </w:p>
                <w:p w14:paraId="4F817C1D">
                  <w:pPr>
                    <w:keepNext w:val="0"/>
                    <w:keepLines w:val="0"/>
                    <w:pageBreakBefore w:val="0"/>
                    <w:numPr>
                      <w:ilvl w:val="0"/>
                      <w:numId w:val="4"/>
                    </w:numPr>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ascii="宋体" w:hAnsi="宋体" w:cs="宋体"/>
                      <w:bCs/>
                      <w:color w:val="auto"/>
                      <w:szCs w:val="21"/>
                    </w:rPr>
                    <w:t>禁止在居民住宅楼、未配套设立专用烟道的商住综合楼以及商住综合楼内与居住层相邻的商业楼层内新建、改建、扩建产生油烟、异味、废气的餐饮服务项目。</w:t>
                  </w:r>
                </w:p>
                <w:p w14:paraId="3583359C">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ascii="宋体" w:hAnsi="宋体" w:cs="宋体"/>
                      <w:bCs/>
                      <w:color w:val="auto"/>
                      <w:szCs w:val="21"/>
                    </w:rPr>
                    <w:t>4.</w:t>
                  </w:r>
                  <w:r>
                    <w:rPr>
                      <w:rFonts w:hint="eastAsia" w:ascii="宋体" w:hAnsi="宋体" w:cs="宋体"/>
                      <w:bCs/>
                      <w:color w:val="auto"/>
                      <w:szCs w:val="21"/>
                    </w:rPr>
                    <w:t>高污染燃料禁燃区，禁止新建、改建、扩建高污染燃料燃用设施</w:t>
                  </w:r>
                  <w:r>
                    <w:rPr>
                      <w:rFonts w:ascii="方正仿宋_GBK" w:hAnsi="方正仿宋_GBK" w:eastAsia="方正仿宋_GBK" w:cs="方正仿宋_GBK"/>
                      <w:color w:val="auto"/>
                      <w:kern w:val="0"/>
                      <w:sz w:val="24"/>
                      <w:lang w:bidi="ar"/>
                    </w:rPr>
                    <w:t>。</w:t>
                  </w:r>
                </w:p>
              </w:tc>
              <w:tc>
                <w:tcPr>
                  <w:tcW w:w="3543" w:type="dxa"/>
                  <w:vAlign w:val="center"/>
                </w:tcPr>
                <w:p w14:paraId="05AC69AF">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hint="eastAsia" w:ascii="宋体" w:hAnsi="宋体" w:cs="宋体"/>
                      <w:bCs/>
                      <w:color w:val="auto"/>
                      <w:szCs w:val="21"/>
                    </w:rPr>
                    <w:t>本项目杨广镇杨广分院位于通海县城区生活污染重点管控单元，主要为卫生院扩建项目，不属于国家产业政策明令禁止的以及《云南省杞麓湖保护条例》规定禁止的项目，项目的建设符合《云南省杞麓湖保护条例》相关要求。项目选址在卫生院原址上划拨土地进行建设，项目用地性质为医疗卫生用地，不新增用地，不属于</w:t>
                  </w:r>
                  <w:r>
                    <w:rPr>
                      <w:rFonts w:ascii="宋体" w:hAnsi="宋体" w:cs="宋体"/>
                      <w:bCs/>
                      <w:color w:val="auto"/>
                      <w:szCs w:val="21"/>
                    </w:rPr>
                    <w:t>居民住宅楼、未配套设立专用烟道的商住综合楼以及商住综合楼内与居住层相邻的商业楼层内新建、改建、扩建产生油烟、异味、废气的餐饮服务项目</w:t>
                  </w:r>
                  <w:r>
                    <w:rPr>
                      <w:rFonts w:hint="eastAsia" w:ascii="宋体" w:hAnsi="宋体" w:cs="宋体"/>
                      <w:bCs/>
                      <w:color w:val="auto"/>
                      <w:szCs w:val="21"/>
                    </w:rPr>
                    <w:t>。也不属于高污染燃料用设施。</w:t>
                  </w:r>
                </w:p>
              </w:tc>
              <w:tc>
                <w:tcPr>
                  <w:tcW w:w="443" w:type="dxa"/>
                  <w:vAlign w:val="center"/>
                </w:tcPr>
                <w:p w14:paraId="425F010B">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017F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continue"/>
                  <w:vAlign w:val="center"/>
                </w:tcPr>
                <w:p w14:paraId="13106CE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635" w:type="dxa"/>
                  <w:vMerge w:val="continue"/>
                  <w:vAlign w:val="center"/>
                </w:tcPr>
                <w:p w14:paraId="782E9FD3">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516" w:type="dxa"/>
                  <w:vAlign w:val="center"/>
                </w:tcPr>
                <w:p w14:paraId="2FB64D8D">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污染物排放管控</w:t>
                  </w:r>
                </w:p>
              </w:tc>
              <w:tc>
                <w:tcPr>
                  <w:tcW w:w="1949" w:type="dxa"/>
                  <w:vAlign w:val="center"/>
                </w:tcPr>
                <w:p w14:paraId="7FC9E346">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1.禁止在人口集中地区、交通干线附近和其他依法需要特殊保护的区域内焚烧沥青、油毡、橡胶、塑料、皮革、秸秆、落叶、垃圾以及其他产生有毒有害烟尘和恶臭气体的物质。 </w:t>
                  </w:r>
                </w:p>
                <w:p w14:paraId="7F20F873">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2.高污染燃料禁燃区严格建筑工地施工扬尘监管，加强噪声、臭气异味、油烟、挥发性有机物等污染防治。 </w:t>
                  </w:r>
                </w:p>
                <w:p w14:paraId="2EE85614">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3.实现市政道路的雨污分流排水体制，并逐步推进小区庭院的雨污完全分流，2035 年建成区 80%以上面积达到海绵城市建设要求。 </w:t>
                  </w:r>
                </w:p>
                <w:p w14:paraId="223B1250">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4.加强城镇生活污水收集处理设施建设和提标改造，025 年底前，城镇污水处理率达 95%以，2035年流域城镇污水处理率不低于97%。 </w:t>
                  </w:r>
                </w:p>
                <w:p w14:paraId="4F3A40C2">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5.开展生活垃圾分类处理，2025 年底前实现城镇生活垃圾处理率达 97%以上，至 2035年，全域生活垃圾无害化处理率达到 100%、生活垃圾收集率达到 100%、城镇生活垃圾回收利用率超过 45%。 </w:t>
                  </w:r>
                </w:p>
                <w:p w14:paraId="08D32713">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6.全面推行建筑工地扬尘污染防治网格化管理，严格渣土运输车辆规范化管理，严格执行餐饮业油烟排放标。 </w:t>
                  </w:r>
                </w:p>
                <w:p w14:paraId="278EBA27">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7.严禁洗车污水、餐饮泔水、施工泥浆等通过雨水口进入管网后直排入。 </w:t>
                  </w:r>
                </w:p>
                <w:p w14:paraId="29883120">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8.禁止生产、经营、使用含磷洗涤用。</w:t>
                  </w:r>
                </w:p>
              </w:tc>
              <w:tc>
                <w:tcPr>
                  <w:tcW w:w="3543" w:type="dxa"/>
                  <w:vAlign w:val="center"/>
                </w:tcPr>
                <w:p w14:paraId="68D172FD">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hint="eastAsia" w:ascii="宋体" w:hAnsi="宋体" w:cs="宋体"/>
                      <w:bCs/>
                      <w:color w:val="auto"/>
                      <w:szCs w:val="21"/>
                    </w:rPr>
                    <w:t>本项目</w:t>
                  </w:r>
                  <w:r>
                    <w:rPr>
                      <w:rFonts w:hint="eastAsia" w:ascii="宋体" w:hAnsi="宋体" w:cs="宋体"/>
                      <w:bCs/>
                      <w:color w:val="auto"/>
                      <w:szCs w:val="21"/>
                      <w:lang w:val="en-US" w:eastAsia="zh-CN"/>
                    </w:rPr>
                    <w:t>杨广卫生院属于</w:t>
                  </w:r>
                  <w:r>
                    <w:rPr>
                      <w:rFonts w:ascii="宋体" w:hAnsi="宋体" w:cs="宋体"/>
                      <w:b w:val="0"/>
                      <w:bCs/>
                      <w:color w:val="auto"/>
                    </w:rPr>
                    <w:t>通海县城区生活污染重点管控单元</w:t>
                  </w:r>
                  <w:r>
                    <w:rPr>
                      <w:rFonts w:hint="eastAsia" w:ascii="宋体" w:hAnsi="宋体" w:cs="宋体"/>
                      <w:bCs/>
                      <w:color w:val="auto"/>
                      <w:szCs w:val="21"/>
                    </w:rPr>
                    <w:t>，卫生院均采用雨污分流制排水系统。项目运营期废（污）水经化粪池预处理后排入院内本项目自建的污水处理站处理达《医疗机构水污染物排放标准》（GB18466-2005）表2预处理标准及《污水排入城镇下水道水质标准》（GB/T31962-2015）表1B等级标准限值要求后，通过市政污水管，最终进入污水处理厂处理。施工期废水经临时沉淀处理后，全部回用于场地洒水降尘，采取封闭施工。</w:t>
                  </w:r>
                </w:p>
              </w:tc>
              <w:tc>
                <w:tcPr>
                  <w:tcW w:w="443" w:type="dxa"/>
                  <w:vAlign w:val="center"/>
                </w:tcPr>
                <w:p w14:paraId="46352FFF">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30E3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continue"/>
                  <w:vAlign w:val="center"/>
                </w:tcPr>
                <w:p w14:paraId="06DCA159">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635" w:type="dxa"/>
                  <w:vMerge w:val="continue"/>
                  <w:vAlign w:val="center"/>
                </w:tcPr>
                <w:p w14:paraId="5926866F">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516" w:type="dxa"/>
                  <w:vAlign w:val="center"/>
                </w:tcPr>
                <w:p w14:paraId="3600310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环境风险防控</w:t>
                  </w:r>
                </w:p>
              </w:tc>
              <w:tc>
                <w:tcPr>
                  <w:tcW w:w="1949" w:type="dxa"/>
                  <w:vAlign w:val="center"/>
                </w:tcPr>
                <w:p w14:paraId="40656322">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1.禁止建设排放重金属、“三致物”、剧毒物质污染物的项目，严格控制持久性有机污染物的项目。 </w:t>
                  </w:r>
                </w:p>
                <w:p w14:paraId="0C98F2C9">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2.居民点与产业园区各片区之间应保留足够的安全防护距离。</w:t>
                  </w:r>
                </w:p>
              </w:tc>
              <w:tc>
                <w:tcPr>
                  <w:tcW w:w="3543" w:type="dxa"/>
                  <w:vAlign w:val="center"/>
                </w:tcPr>
                <w:p w14:paraId="62A6BDEB">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cs="宋体"/>
                      <w:bCs/>
                      <w:color w:val="auto"/>
                      <w:szCs w:val="21"/>
                    </w:rPr>
                  </w:pPr>
                  <w:r>
                    <w:rPr>
                      <w:rFonts w:hint="eastAsia" w:ascii="宋体" w:hAnsi="宋体" w:cs="宋体"/>
                      <w:bCs/>
                      <w:color w:val="auto"/>
                      <w:szCs w:val="21"/>
                    </w:rPr>
                    <w:t>本项目不涉及</w:t>
                  </w:r>
                </w:p>
              </w:tc>
              <w:tc>
                <w:tcPr>
                  <w:tcW w:w="443" w:type="dxa"/>
                  <w:vAlign w:val="center"/>
                </w:tcPr>
                <w:p w14:paraId="31D0C35A">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0CEF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continue"/>
                  <w:vAlign w:val="center"/>
                </w:tcPr>
                <w:p w14:paraId="160915F0">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635" w:type="dxa"/>
                  <w:vMerge w:val="continue"/>
                  <w:vAlign w:val="center"/>
                </w:tcPr>
                <w:p w14:paraId="759B4764">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516" w:type="dxa"/>
                  <w:vAlign w:val="center"/>
                </w:tcPr>
                <w:p w14:paraId="610EB1CD">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资源开发效率要求</w:t>
                  </w:r>
                </w:p>
              </w:tc>
              <w:tc>
                <w:tcPr>
                  <w:tcW w:w="1949" w:type="dxa"/>
                  <w:vAlign w:val="center"/>
                </w:tcPr>
                <w:p w14:paraId="0BC7E3A9">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1.到2025年，通海县用水总量控制在 9500万立方米，2035年用水总量控制在9700万立方米。 </w:t>
                  </w:r>
                </w:p>
                <w:p w14:paraId="0E758A3D">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2.完善再生利用设施及其管道，污水处理厂处理达标后出水优先回用于城市绿化。 </w:t>
                  </w:r>
                </w:p>
                <w:p w14:paraId="4E44F058">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3.推进“煤改气”、“煤改电”。</w:t>
                  </w:r>
                </w:p>
              </w:tc>
              <w:tc>
                <w:tcPr>
                  <w:tcW w:w="3543" w:type="dxa"/>
                  <w:vAlign w:val="center"/>
                </w:tcPr>
                <w:p w14:paraId="45C543EC">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bCs/>
                      <w:color w:val="auto"/>
                    </w:rPr>
                    <w:t>项目所消耗资源为水资源、电能，项目营运期资源消耗量在区域资源利用总量占比较小，符合资源利用上限要求。</w:t>
                  </w:r>
                </w:p>
              </w:tc>
              <w:tc>
                <w:tcPr>
                  <w:tcW w:w="443" w:type="dxa"/>
                  <w:vAlign w:val="center"/>
                </w:tcPr>
                <w:p w14:paraId="3BCB9A6A">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bl>
          <w:p w14:paraId="5F0C6004">
            <w:pPr>
              <w:spacing w:line="360" w:lineRule="auto"/>
              <w:ind w:firstLine="480"/>
              <w:rPr>
                <w:color w:val="auto"/>
                <w:sz w:val="24"/>
              </w:rPr>
            </w:pPr>
            <w:r>
              <w:rPr>
                <w:color w:val="auto"/>
                <w:sz w:val="24"/>
              </w:rPr>
              <w:t>综上，本项目与玉溪市</w:t>
            </w:r>
            <w:r>
              <w:rPr>
                <w:rFonts w:hint="eastAsia"/>
                <w:color w:val="auto"/>
                <w:sz w:val="24"/>
              </w:rPr>
              <w:t>生态环境局印</w:t>
            </w:r>
            <w:r>
              <w:rPr>
                <w:color w:val="auto"/>
                <w:sz w:val="24"/>
              </w:rPr>
              <w:t>发</w:t>
            </w:r>
            <w:r>
              <w:rPr>
                <w:rFonts w:hint="eastAsia"/>
                <w:color w:val="auto"/>
                <w:sz w:val="24"/>
              </w:rPr>
              <w:t>的</w:t>
            </w:r>
            <w:r>
              <w:rPr>
                <w:color w:val="auto"/>
                <w:sz w:val="24"/>
              </w:rPr>
              <w:t>《</w:t>
            </w:r>
            <w:r>
              <w:rPr>
                <w:rFonts w:hint="eastAsia"/>
                <w:color w:val="auto"/>
                <w:sz w:val="24"/>
              </w:rPr>
              <w:t>关于印发玉溪市生态环境分区管控动态更新调整方案（2023年）</w:t>
            </w:r>
            <w:r>
              <w:rPr>
                <w:color w:val="auto"/>
                <w:sz w:val="24"/>
              </w:rPr>
              <w:t>的通知》（玉</w:t>
            </w:r>
            <w:r>
              <w:rPr>
                <w:rFonts w:hint="eastAsia"/>
                <w:color w:val="auto"/>
                <w:sz w:val="24"/>
              </w:rPr>
              <w:t>市环</w:t>
            </w:r>
            <w:r>
              <w:rPr>
                <w:color w:val="auto"/>
                <w:sz w:val="24"/>
              </w:rPr>
              <w:t>〔202</w:t>
            </w:r>
            <w:r>
              <w:rPr>
                <w:rFonts w:hint="eastAsia"/>
                <w:color w:val="auto"/>
                <w:sz w:val="24"/>
              </w:rPr>
              <w:t>4</w:t>
            </w:r>
            <w:r>
              <w:rPr>
                <w:color w:val="auto"/>
                <w:sz w:val="24"/>
              </w:rPr>
              <w:t>〕</w:t>
            </w:r>
            <w:r>
              <w:rPr>
                <w:rFonts w:hint="eastAsia"/>
                <w:color w:val="auto"/>
                <w:sz w:val="24"/>
              </w:rPr>
              <w:t>40</w:t>
            </w:r>
            <w:r>
              <w:rPr>
                <w:color w:val="auto"/>
                <w:sz w:val="24"/>
              </w:rPr>
              <w:t>号）相符合。</w:t>
            </w:r>
          </w:p>
          <w:p w14:paraId="78CC5C81">
            <w:pPr>
              <w:numPr>
                <w:ilvl w:val="0"/>
                <w:numId w:val="5"/>
              </w:numPr>
              <w:spacing w:line="360" w:lineRule="auto"/>
              <w:rPr>
                <w:b/>
                <w:bCs/>
                <w:color w:val="auto"/>
                <w:sz w:val="24"/>
              </w:rPr>
            </w:pPr>
            <w:r>
              <w:rPr>
                <w:rFonts w:hint="eastAsia"/>
                <w:b/>
                <w:bCs/>
                <w:color w:val="auto"/>
                <w:sz w:val="24"/>
              </w:rPr>
              <w:t>项目与《长江经济带发展负面清单指南》（试行2022年版）进行相符性分析</w:t>
            </w:r>
          </w:p>
          <w:p w14:paraId="29156035">
            <w:pPr>
              <w:jc w:val="center"/>
              <w:rPr>
                <w:b/>
                <w:bCs/>
                <w:color w:val="auto"/>
                <w:sz w:val="24"/>
              </w:rPr>
            </w:pPr>
            <w:r>
              <w:rPr>
                <w:rFonts w:hint="eastAsia"/>
                <w:b/>
                <w:bCs/>
                <w:color w:val="auto"/>
                <w:sz w:val="24"/>
              </w:rPr>
              <w:t>表 1-3项目与《长江经济带发展负面清单指南》（试行2022年版）符合性分析</w:t>
            </w:r>
          </w:p>
          <w:tbl>
            <w:tblPr>
              <w:tblStyle w:val="33"/>
              <w:tblW w:w="7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3028"/>
              <w:gridCol w:w="3064"/>
              <w:gridCol w:w="787"/>
            </w:tblGrid>
            <w:tr w14:paraId="407B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619" w:type="dxa"/>
                  <w:vAlign w:val="center"/>
                </w:tcPr>
                <w:p w14:paraId="34189B22">
                  <w:pPr>
                    <w:pStyle w:val="74"/>
                    <w:spacing w:before="5" w:line="271" w:lineRule="auto"/>
                    <w:ind w:right="129"/>
                    <w:jc w:val="center"/>
                    <w:rPr>
                      <w:rFonts w:hint="eastAsia" w:ascii="宋体" w:hAnsi="宋体" w:cs="宋体"/>
                      <w:b/>
                      <w:bCs/>
                      <w:color w:val="auto"/>
                      <w:w w:val="95"/>
                      <w:szCs w:val="21"/>
                    </w:rPr>
                  </w:pPr>
                  <w:r>
                    <w:rPr>
                      <w:rFonts w:hint="eastAsia" w:ascii="宋体" w:hAnsi="宋体" w:cs="宋体"/>
                      <w:b/>
                      <w:bCs/>
                      <w:color w:val="auto"/>
                      <w:w w:val="95"/>
                      <w:szCs w:val="21"/>
                    </w:rPr>
                    <w:t>序号</w:t>
                  </w:r>
                </w:p>
              </w:tc>
              <w:tc>
                <w:tcPr>
                  <w:tcW w:w="3028" w:type="dxa"/>
                  <w:vAlign w:val="center"/>
                </w:tcPr>
                <w:p w14:paraId="2F0444F0">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文件内容</w:t>
                  </w:r>
                </w:p>
              </w:tc>
              <w:tc>
                <w:tcPr>
                  <w:tcW w:w="3064" w:type="dxa"/>
                  <w:vAlign w:val="center"/>
                </w:tcPr>
                <w:p w14:paraId="51D58001">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相符性分析</w:t>
                  </w:r>
                </w:p>
              </w:tc>
              <w:tc>
                <w:tcPr>
                  <w:tcW w:w="787" w:type="dxa"/>
                  <w:vAlign w:val="center"/>
                </w:tcPr>
                <w:p w14:paraId="069C97E2">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符合性</w:t>
                  </w:r>
                </w:p>
              </w:tc>
            </w:tr>
            <w:tr w14:paraId="71E6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trPr>
              <w:tc>
                <w:tcPr>
                  <w:tcW w:w="619" w:type="dxa"/>
                  <w:vAlign w:val="center"/>
                </w:tcPr>
                <w:p w14:paraId="5B124F26">
                  <w:pPr>
                    <w:jc w:val="center"/>
                    <w:rPr>
                      <w:rFonts w:hint="eastAsia" w:ascii="宋体" w:hAnsi="宋体" w:cs="宋体"/>
                      <w:color w:val="auto"/>
                      <w:w w:val="95"/>
                      <w:szCs w:val="21"/>
                    </w:rPr>
                  </w:pPr>
                  <w:r>
                    <w:rPr>
                      <w:rFonts w:hint="eastAsia" w:ascii="宋体" w:hAnsi="宋体" w:cs="宋体"/>
                      <w:color w:val="auto"/>
                      <w:w w:val="95"/>
                      <w:szCs w:val="21"/>
                    </w:rPr>
                    <w:t>1</w:t>
                  </w:r>
                </w:p>
              </w:tc>
              <w:tc>
                <w:tcPr>
                  <w:tcW w:w="3028" w:type="dxa"/>
                  <w:vAlign w:val="center"/>
                </w:tcPr>
                <w:p w14:paraId="68735CB0">
                  <w:pPr>
                    <w:ind w:firstLine="420" w:firstLineChars="200"/>
                    <w:rPr>
                      <w:rFonts w:hint="eastAsia" w:ascii="宋体" w:hAnsi="宋体" w:cs="宋体"/>
                      <w:color w:val="auto"/>
                      <w:szCs w:val="21"/>
                    </w:rPr>
                  </w:pPr>
                  <w:r>
                    <w:rPr>
                      <w:rFonts w:hint="eastAsia" w:ascii="宋体" w:hAnsi="宋体" w:cs="宋体"/>
                      <w:color w:val="auto"/>
                      <w:szCs w:val="21"/>
                    </w:rPr>
                    <w:t>禁止建设不符合全国和省级港口布局规划以及港口总体规划的码头项目，禁止建设不符合《长江干线过江通道布局规划》的过长江通道项目。</w:t>
                  </w:r>
                </w:p>
              </w:tc>
              <w:tc>
                <w:tcPr>
                  <w:tcW w:w="3064" w:type="dxa"/>
                  <w:vAlign w:val="center"/>
                </w:tcPr>
                <w:p w14:paraId="2CB7BDC1">
                  <w:pPr>
                    <w:ind w:firstLine="420" w:firstLineChars="200"/>
                    <w:rPr>
                      <w:rFonts w:hint="eastAsia" w:ascii="宋体" w:hAnsi="宋体" w:cs="宋体"/>
                      <w:color w:val="auto"/>
                      <w:szCs w:val="21"/>
                    </w:rPr>
                  </w:pPr>
                  <w:r>
                    <w:rPr>
                      <w:rFonts w:hint="eastAsia" w:ascii="宋体" w:hAnsi="宋体" w:cs="宋体"/>
                      <w:bCs/>
                      <w:color w:val="auto"/>
                      <w:szCs w:val="21"/>
                    </w:rPr>
                    <w:t>本项目为卫生院建设项目，不涉及以上内容</w:t>
                  </w:r>
                </w:p>
              </w:tc>
              <w:tc>
                <w:tcPr>
                  <w:tcW w:w="787" w:type="dxa"/>
                  <w:vAlign w:val="center"/>
                </w:tcPr>
                <w:p w14:paraId="1FF76B95">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4741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619" w:type="dxa"/>
                  <w:vAlign w:val="center"/>
                </w:tcPr>
                <w:p w14:paraId="45B0315F">
                  <w:pPr>
                    <w:jc w:val="center"/>
                    <w:rPr>
                      <w:rFonts w:hint="eastAsia" w:ascii="宋体" w:hAnsi="宋体" w:cs="宋体"/>
                      <w:color w:val="auto"/>
                      <w:w w:val="95"/>
                      <w:szCs w:val="21"/>
                    </w:rPr>
                  </w:pPr>
                  <w:r>
                    <w:rPr>
                      <w:rFonts w:hint="eastAsia" w:ascii="宋体" w:hAnsi="宋体" w:cs="宋体"/>
                      <w:color w:val="auto"/>
                      <w:w w:val="95"/>
                      <w:szCs w:val="21"/>
                    </w:rPr>
                    <w:t>2</w:t>
                  </w:r>
                </w:p>
              </w:tc>
              <w:tc>
                <w:tcPr>
                  <w:tcW w:w="3028" w:type="dxa"/>
                  <w:vAlign w:val="center"/>
                </w:tcPr>
                <w:p w14:paraId="1362ED3F">
                  <w:pPr>
                    <w:ind w:firstLine="420" w:firstLineChars="200"/>
                    <w:rPr>
                      <w:rFonts w:hint="eastAsia" w:ascii="宋体" w:hAnsi="宋体" w:cs="宋体"/>
                      <w:color w:val="auto"/>
                      <w:szCs w:val="21"/>
                    </w:rPr>
                  </w:pPr>
                  <w:r>
                    <w:rPr>
                      <w:rFonts w:hint="eastAsia" w:ascii="宋体" w:hAnsi="宋体" w:cs="宋体"/>
                      <w:color w:val="auto"/>
                      <w:szCs w:val="21"/>
                    </w:rPr>
                    <w:t>禁止在自然保护区核心区、缓冲区的岸线和河段范围内投资建设旅游和生产经营项目。禁止在风景名胜区核心景区的岸线和河段范围内投资建设与风景名胜资源保护无关的项目。</w:t>
                  </w:r>
                </w:p>
              </w:tc>
              <w:tc>
                <w:tcPr>
                  <w:tcW w:w="3064" w:type="dxa"/>
                  <w:vAlign w:val="center"/>
                </w:tcPr>
                <w:p w14:paraId="5534344C">
                  <w:pPr>
                    <w:ind w:firstLine="420" w:firstLineChars="200"/>
                    <w:rPr>
                      <w:rFonts w:hint="eastAsia" w:ascii="宋体" w:hAnsi="宋体" w:cs="宋体"/>
                      <w:color w:val="auto"/>
                      <w:szCs w:val="21"/>
                    </w:rPr>
                  </w:pPr>
                  <w:r>
                    <w:rPr>
                      <w:rFonts w:hint="eastAsia" w:ascii="宋体" w:hAnsi="宋体" w:cs="宋体"/>
                      <w:color w:val="auto"/>
                      <w:szCs w:val="21"/>
                    </w:rPr>
                    <w:t>本项目在卫生院原址上进行建设，用地性质为医疗卫生用地，不涉及自然保护区、风景名胜区。</w:t>
                  </w:r>
                </w:p>
              </w:tc>
              <w:tc>
                <w:tcPr>
                  <w:tcW w:w="787" w:type="dxa"/>
                  <w:vAlign w:val="center"/>
                </w:tcPr>
                <w:p w14:paraId="4EC71A1B">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0F40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619" w:type="dxa"/>
                  <w:vAlign w:val="center"/>
                </w:tcPr>
                <w:p w14:paraId="30B82DE2">
                  <w:pPr>
                    <w:jc w:val="center"/>
                    <w:rPr>
                      <w:rFonts w:hint="eastAsia" w:ascii="宋体" w:hAnsi="宋体" w:cs="宋体"/>
                      <w:color w:val="auto"/>
                      <w:w w:val="95"/>
                      <w:szCs w:val="21"/>
                    </w:rPr>
                  </w:pPr>
                  <w:r>
                    <w:rPr>
                      <w:rFonts w:hint="eastAsia" w:ascii="宋体" w:hAnsi="宋体" w:cs="宋体"/>
                      <w:color w:val="auto"/>
                      <w:w w:val="95"/>
                      <w:szCs w:val="21"/>
                    </w:rPr>
                    <w:t>3、</w:t>
                  </w:r>
                </w:p>
              </w:tc>
              <w:tc>
                <w:tcPr>
                  <w:tcW w:w="3028" w:type="dxa"/>
                  <w:vAlign w:val="center"/>
                </w:tcPr>
                <w:p w14:paraId="24C506FA">
                  <w:pPr>
                    <w:ind w:firstLine="420" w:firstLineChars="200"/>
                    <w:rPr>
                      <w:rFonts w:hint="eastAsia" w:ascii="宋体" w:hAnsi="宋体" w:cs="宋体"/>
                      <w:color w:val="auto"/>
                      <w:szCs w:val="21"/>
                    </w:rPr>
                  </w:pPr>
                  <w:r>
                    <w:rPr>
                      <w:rFonts w:hint="eastAsia" w:ascii="宋体" w:hAnsi="宋体" w:cs="宋体"/>
                      <w:color w:val="auto"/>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3064" w:type="dxa"/>
                  <w:vAlign w:val="center"/>
                </w:tcPr>
                <w:p w14:paraId="35A9706D">
                  <w:pPr>
                    <w:ind w:firstLine="420" w:firstLineChars="200"/>
                    <w:rPr>
                      <w:rFonts w:hint="eastAsia" w:ascii="宋体" w:hAnsi="宋体" w:cs="宋体"/>
                      <w:color w:val="auto"/>
                      <w:szCs w:val="21"/>
                    </w:rPr>
                  </w:pPr>
                  <w:r>
                    <w:rPr>
                      <w:rFonts w:hint="eastAsia" w:ascii="宋体" w:hAnsi="宋体" w:cs="宋体"/>
                      <w:color w:val="auto"/>
                      <w:szCs w:val="21"/>
                    </w:rPr>
                    <w:t>本项目在卫生院原址上进行建设，用地性质为医疗卫生用地，不涉及饮用水源保护区。</w:t>
                  </w:r>
                </w:p>
              </w:tc>
              <w:tc>
                <w:tcPr>
                  <w:tcW w:w="787" w:type="dxa"/>
                  <w:vAlign w:val="center"/>
                </w:tcPr>
                <w:p w14:paraId="404AC3A3">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1B50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619" w:type="dxa"/>
                  <w:vAlign w:val="center"/>
                </w:tcPr>
                <w:p w14:paraId="2C183660">
                  <w:pPr>
                    <w:jc w:val="center"/>
                    <w:rPr>
                      <w:rFonts w:hint="eastAsia" w:ascii="宋体" w:hAnsi="宋体" w:cs="宋体"/>
                      <w:color w:val="auto"/>
                      <w:w w:val="95"/>
                      <w:szCs w:val="21"/>
                    </w:rPr>
                  </w:pPr>
                  <w:r>
                    <w:rPr>
                      <w:rFonts w:hint="eastAsia" w:ascii="宋体" w:hAnsi="宋体" w:cs="宋体"/>
                      <w:color w:val="auto"/>
                      <w:w w:val="95"/>
                      <w:szCs w:val="21"/>
                    </w:rPr>
                    <w:t>4</w:t>
                  </w:r>
                </w:p>
              </w:tc>
              <w:tc>
                <w:tcPr>
                  <w:tcW w:w="3028" w:type="dxa"/>
                  <w:vAlign w:val="center"/>
                </w:tcPr>
                <w:p w14:paraId="37EADD90">
                  <w:pPr>
                    <w:ind w:firstLine="420" w:firstLineChars="200"/>
                    <w:rPr>
                      <w:rFonts w:hint="eastAsia" w:ascii="宋体" w:hAnsi="宋体" w:cs="宋体"/>
                      <w:color w:val="auto"/>
                      <w:szCs w:val="21"/>
                    </w:rPr>
                  </w:pPr>
                  <w:r>
                    <w:rPr>
                      <w:rFonts w:hint="eastAsia" w:ascii="宋体" w:hAnsi="宋体" w:cs="宋体"/>
                      <w:color w:val="auto"/>
                      <w:szCs w:val="21"/>
                    </w:rPr>
                    <w:t>禁止在长江干支流、重要湖泊岸线一公里范围内新建、扩建化工园区和化工项目。禁止在长江干流岸线三公里范围内和重要支流岸线一公里范围内新建、改建、扩建尾矿库、冶炼渣库和磷石音库，以提升安全、生态环境保护水平为目的的改建除外。</w:t>
                  </w:r>
                </w:p>
                <w:p w14:paraId="4842AB3D">
                  <w:pPr>
                    <w:ind w:firstLine="420" w:firstLineChars="200"/>
                    <w:rPr>
                      <w:rFonts w:hint="eastAsia" w:ascii="宋体" w:hAnsi="宋体" w:cs="宋体"/>
                      <w:color w:val="auto"/>
                      <w:szCs w:val="21"/>
                    </w:rPr>
                  </w:pPr>
                </w:p>
              </w:tc>
              <w:tc>
                <w:tcPr>
                  <w:tcW w:w="3064" w:type="dxa"/>
                  <w:vAlign w:val="center"/>
                </w:tcPr>
                <w:p w14:paraId="40B01967">
                  <w:pPr>
                    <w:ind w:firstLine="420" w:firstLineChars="200"/>
                    <w:rPr>
                      <w:rFonts w:hint="eastAsia" w:ascii="宋体" w:hAnsi="宋体" w:cs="宋体"/>
                      <w:color w:val="auto"/>
                      <w:szCs w:val="21"/>
                    </w:rPr>
                  </w:pPr>
                  <w:r>
                    <w:rPr>
                      <w:rFonts w:hint="eastAsia" w:ascii="宋体" w:hAnsi="宋体" w:cs="宋体"/>
                      <w:bCs/>
                      <w:color w:val="auto"/>
                      <w:szCs w:val="21"/>
                    </w:rPr>
                    <w:t>本项目为卫生院建设项目，不涉及以上内容</w:t>
                  </w:r>
                </w:p>
              </w:tc>
              <w:tc>
                <w:tcPr>
                  <w:tcW w:w="787" w:type="dxa"/>
                  <w:vAlign w:val="center"/>
                </w:tcPr>
                <w:p w14:paraId="3ECB60E1">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3C26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619" w:type="dxa"/>
                  <w:vAlign w:val="center"/>
                </w:tcPr>
                <w:p w14:paraId="78F6C2DD">
                  <w:pPr>
                    <w:jc w:val="center"/>
                    <w:rPr>
                      <w:rFonts w:hint="eastAsia" w:ascii="宋体" w:hAnsi="宋体" w:cs="宋体"/>
                      <w:color w:val="auto"/>
                      <w:w w:val="95"/>
                      <w:szCs w:val="21"/>
                    </w:rPr>
                  </w:pPr>
                  <w:r>
                    <w:rPr>
                      <w:rFonts w:hint="eastAsia" w:ascii="宋体" w:hAnsi="宋体" w:cs="宋体"/>
                      <w:color w:val="auto"/>
                      <w:w w:val="95"/>
                      <w:szCs w:val="21"/>
                    </w:rPr>
                    <w:t>5</w:t>
                  </w:r>
                </w:p>
              </w:tc>
              <w:tc>
                <w:tcPr>
                  <w:tcW w:w="3028" w:type="dxa"/>
                  <w:vAlign w:val="center"/>
                </w:tcPr>
                <w:p w14:paraId="2D9E99FD">
                  <w:pPr>
                    <w:ind w:firstLine="420" w:firstLineChars="200"/>
                    <w:rPr>
                      <w:rFonts w:hint="eastAsia" w:ascii="宋体" w:hAnsi="宋体" w:cs="宋体"/>
                      <w:color w:val="auto"/>
                      <w:szCs w:val="21"/>
                    </w:rPr>
                  </w:pPr>
                  <w:r>
                    <w:rPr>
                      <w:rFonts w:hint="eastAsia" w:ascii="宋体" w:hAnsi="宋体" w:cs="宋体"/>
                      <w:color w:val="auto"/>
                      <w:szCs w:val="21"/>
                    </w:rPr>
                    <w:t>禁止在合规园区外新建、扩建钢铁、石化、化工、焦化、建材、有色、制浆造纸等高污染项目。</w:t>
                  </w:r>
                </w:p>
                <w:p w14:paraId="38864292">
                  <w:pPr>
                    <w:ind w:firstLine="420" w:firstLineChars="200"/>
                    <w:rPr>
                      <w:rFonts w:hint="eastAsia" w:ascii="宋体" w:hAnsi="宋体" w:cs="宋体"/>
                      <w:color w:val="auto"/>
                      <w:szCs w:val="21"/>
                    </w:rPr>
                  </w:pPr>
                </w:p>
              </w:tc>
              <w:tc>
                <w:tcPr>
                  <w:tcW w:w="3064" w:type="dxa"/>
                  <w:vAlign w:val="center"/>
                </w:tcPr>
                <w:p w14:paraId="11B4B5B5">
                  <w:pPr>
                    <w:ind w:firstLine="420" w:firstLineChars="200"/>
                    <w:rPr>
                      <w:rFonts w:hint="eastAsia" w:ascii="宋体" w:hAnsi="宋体" w:cs="宋体"/>
                      <w:color w:val="auto"/>
                      <w:szCs w:val="21"/>
                    </w:rPr>
                  </w:pPr>
                  <w:r>
                    <w:rPr>
                      <w:rFonts w:hint="eastAsia" w:ascii="宋体" w:hAnsi="宋体" w:cs="宋体"/>
                      <w:bCs/>
                      <w:color w:val="auto"/>
                      <w:szCs w:val="21"/>
                    </w:rPr>
                    <w:t>本项目为卫生院建设项目，不涉及以上内容</w:t>
                  </w:r>
                </w:p>
              </w:tc>
              <w:tc>
                <w:tcPr>
                  <w:tcW w:w="787" w:type="dxa"/>
                  <w:vAlign w:val="center"/>
                </w:tcPr>
                <w:p w14:paraId="5CAB8BFC">
                  <w:pPr>
                    <w:jc w:val="center"/>
                    <w:rPr>
                      <w:rFonts w:hint="eastAsia" w:ascii="宋体" w:hAnsi="宋体" w:cs="宋体"/>
                      <w:color w:val="auto"/>
                      <w:szCs w:val="21"/>
                    </w:rPr>
                  </w:pPr>
                  <w:r>
                    <w:rPr>
                      <w:rFonts w:hint="eastAsia" w:ascii="宋体" w:hAnsi="宋体" w:cs="宋体"/>
                      <w:color w:val="auto"/>
                      <w:w w:val="95"/>
                      <w:szCs w:val="21"/>
                    </w:rPr>
                    <w:t>符合</w:t>
                  </w:r>
                </w:p>
              </w:tc>
            </w:tr>
            <w:tr w14:paraId="3685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619" w:type="dxa"/>
                  <w:vAlign w:val="center"/>
                </w:tcPr>
                <w:p w14:paraId="21BEFE3A">
                  <w:pPr>
                    <w:jc w:val="center"/>
                    <w:rPr>
                      <w:rFonts w:hint="eastAsia" w:ascii="宋体" w:hAnsi="宋体" w:cs="宋体"/>
                      <w:color w:val="auto"/>
                      <w:w w:val="95"/>
                      <w:szCs w:val="21"/>
                    </w:rPr>
                  </w:pPr>
                  <w:r>
                    <w:rPr>
                      <w:rFonts w:hint="eastAsia" w:ascii="宋体" w:hAnsi="宋体" w:cs="宋体"/>
                      <w:color w:val="auto"/>
                      <w:w w:val="95"/>
                      <w:szCs w:val="21"/>
                    </w:rPr>
                    <w:t>6</w:t>
                  </w:r>
                </w:p>
              </w:tc>
              <w:tc>
                <w:tcPr>
                  <w:tcW w:w="3028" w:type="dxa"/>
                  <w:vAlign w:val="center"/>
                </w:tcPr>
                <w:p w14:paraId="372BC273">
                  <w:pPr>
                    <w:ind w:firstLine="420" w:firstLineChars="200"/>
                    <w:rPr>
                      <w:rFonts w:hint="eastAsia" w:ascii="宋体" w:hAnsi="宋体" w:cs="宋体"/>
                      <w:color w:val="auto"/>
                      <w:szCs w:val="21"/>
                    </w:rPr>
                  </w:pPr>
                  <w:r>
                    <w:rPr>
                      <w:rFonts w:hint="eastAsia" w:ascii="宋体" w:hAnsi="宋体" w:cs="宋体"/>
                      <w:color w:val="auto"/>
                      <w:szCs w:val="21"/>
                    </w:rPr>
                    <w:t>禁止新建、扩建法律法规和相关政策明令禁止的落后产能项目。禁止新建、扩建不符合国家产能置换要求的严重过剩产能行业的项目。禁止新建、扩建不符合要求的高耗能高排放项目。</w:t>
                  </w:r>
                </w:p>
                <w:p w14:paraId="24CF8547">
                  <w:pPr>
                    <w:ind w:firstLine="420" w:firstLineChars="200"/>
                    <w:rPr>
                      <w:rFonts w:hint="eastAsia" w:ascii="宋体" w:hAnsi="宋体" w:cs="宋体"/>
                      <w:color w:val="auto"/>
                      <w:szCs w:val="21"/>
                    </w:rPr>
                  </w:pPr>
                </w:p>
              </w:tc>
              <w:tc>
                <w:tcPr>
                  <w:tcW w:w="3064" w:type="dxa"/>
                  <w:vAlign w:val="center"/>
                </w:tcPr>
                <w:p w14:paraId="4838C3EB">
                  <w:pPr>
                    <w:ind w:firstLine="420" w:firstLineChars="200"/>
                    <w:rPr>
                      <w:rFonts w:hint="eastAsia" w:ascii="宋体" w:hAnsi="宋体" w:cs="宋体"/>
                      <w:color w:val="auto"/>
                      <w:szCs w:val="21"/>
                    </w:rPr>
                  </w:pPr>
                  <w:r>
                    <w:rPr>
                      <w:rFonts w:hint="eastAsia" w:ascii="宋体" w:hAnsi="宋体" w:cs="宋体"/>
                      <w:bCs/>
                      <w:color w:val="auto"/>
                      <w:szCs w:val="21"/>
                    </w:rPr>
                    <w:t>本项目为卫生院建设项目，不涉及以上内容</w:t>
                  </w:r>
                </w:p>
              </w:tc>
              <w:tc>
                <w:tcPr>
                  <w:tcW w:w="787" w:type="dxa"/>
                  <w:vAlign w:val="center"/>
                </w:tcPr>
                <w:p w14:paraId="44C0E104">
                  <w:pPr>
                    <w:pStyle w:val="58"/>
                    <w:rPr>
                      <w:rFonts w:hint="eastAsia" w:ascii="宋体" w:hAnsi="宋体" w:eastAsia="宋体" w:cs="宋体"/>
                      <w:color w:val="auto"/>
                      <w:sz w:val="21"/>
                      <w:szCs w:val="21"/>
                    </w:rPr>
                  </w:pPr>
                  <w:r>
                    <w:rPr>
                      <w:rFonts w:hint="eastAsia" w:ascii="宋体" w:hAnsi="宋体" w:eastAsia="宋体" w:cs="宋体"/>
                      <w:color w:val="auto"/>
                      <w:w w:val="95"/>
                      <w:sz w:val="21"/>
                      <w:szCs w:val="21"/>
                    </w:rPr>
                    <w:t>符合</w:t>
                  </w:r>
                </w:p>
              </w:tc>
            </w:tr>
          </w:tbl>
          <w:p w14:paraId="309D07C5">
            <w:pPr>
              <w:spacing w:line="360" w:lineRule="auto"/>
              <w:ind w:firstLine="480" w:firstLineChars="200"/>
              <w:rPr>
                <w:color w:val="auto"/>
                <w:kern w:val="0"/>
                <w:sz w:val="24"/>
              </w:rPr>
            </w:pPr>
            <w:r>
              <w:rPr>
                <w:rFonts w:hint="eastAsia"/>
                <w:color w:val="auto"/>
                <w:kern w:val="0"/>
                <w:sz w:val="24"/>
              </w:rPr>
              <w:t xml:space="preserve">根据表 1-3，本项目与《长江经济带发展负面清单指南（试行，2022 </w:t>
            </w:r>
          </w:p>
          <w:p w14:paraId="133FE131">
            <w:pPr>
              <w:spacing w:line="360" w:lineRule="auto"/>
              <w:rPr>
                <w:color w:val="auto"/>
                <w:kern w:val="0"/>
                <w:sz w:val="24"/>
              </w:rPr>
            </w:pPr>
            <w:r>
              <w:rPr>
                <w:rFonts w:hint="eastAsia"/>
                <w:color w:val="auto"/>
                <w:kern w:val="0"/>
                <w:sz w:val="24"/>
              </w:rPr>
              <w:t>年版）》的相关要求相符。</w:t>
            </w:r>
          </w:p>
          <w:p w14:paraId="14AED95D">
            <w:pPr>
              <w:spacing w:line="360" w:lineRule="auto"/>
              <w:rPr>
                <w:b/>
                <w:bCs/>
                <w:color w:val="auto"/>
                <w:sz w:val="24"/>
              </w:rPr>
            </w:pPr>
            <w:r>
              <w:rPr>
                <w:rFonts w:hint="eastAsia"/>
                <w:b/>
                <w:bCs/>
                <w:color w:val="auto"/>
                <w:kern w:val="0"/>
                <w:sz w:val="24"/>
              </w:rPr>
              <w:t>四</w:t>
            </w:r>
            <w:r>
              <w:rPr>
                <w:b/>
                <w:bCs/>
                <w:color w:val="auto"/>
                <w:kern w:val="0"/>
                <w:sz w:val="24"/>
              </w:rPr>
              <w:t>、</w:t>
            </w:r>
            <w:r>
              <w:rPr>
                <w:rFonts w:hint="eastAsia"/>
                <w:b/>
                <w:bCs/>
                <w:color w:val="auto"/>
                <w:kern w:val="0"/>
                <w:sz w:val="24"/>
              </w:rPr>
              <w:t>项目与《云南省长江经济带发展负面清单指南实施细则（试行，2022年版）》</w:t>
            </w:r>
            <w:r>
              <w:rPr>
                <w:rFonts w:hint="eastAsia"/>
                <w:b/>
                <w:bCs/>
                <w:color w:val="auto"/>
                <w:sz w:val="24"/>
              </w:rPr>
              <w:t>进行相符性分析</w:t>
            </w:r>
          </w:p>
          <w:p w14:paraId="12D57FFB">
            <w:pPr>
              <w:jc w:val="center"/>
              <w:rPr>
                <w:b/>
                <w:bCs/>
                <w:color w:val="auto"/>
                <w:sz w:val="24"/>
              </w:rPr>
            </w:pPr>
            <w:r>
              <w:rPr>
                <w:rFonts w:hint="eastAsia"/>
                <w:b/>
                <w:bCs/>
                <w:color w:val="auto"/>
                <w:sz w:val="24"/>
              </w:rPr>
              <w:t>表 1-4项目与《云南省长江经济带发展负面清单指南实施细则（</w:t>
            </w:r>
            <w:r>
              <w:rPr>
                <w:rFonts w:hint="eastAsia"/>
                <w:b/>
                <w:bCs/>
                <w:color w:val="auto"/>
                <w:kern w:val="0"/>
                <w:sz w:val="24"/>
              </w:rPr>
              <w:t>试行，2022年版）</w:t>
            </w:r>
            <w:r>
              <w:rPr>
                <w:rFonts w:hint="eastAsia"/>
                <w:b/>
                <w:bCs/>
                <w:color w:val="auto"/>
                <w:sz w:val="24"/>
              </w:rPr>
              <w:t>）》符合性分析</w:t>
            </w:r>
          </w:p>
          <w:tbl>
            <w:tblPr>
              <w:tblStyle w:val="33"/>
              <w:tblW w:w="7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3763"/>
              <w:gridCol w:w="2297"/>
              <w:gridCol w:w="783"/>
            </w:tblGrid>
            <w:tr w14:paraId="72FC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615" w:type="dxa"/>
                  <w:vAlign w:val="center"/>
                </w:tcPr>
                <w:p w14:paraId="239B86B1">
                  <w:pPr>
                    <w:pStyle w:val="74"/>
                    <w:spacing w:before="5" w:line="271" w:lineRule="auto"/>
                    <w:ind w:right="129"/>
                    <w:jc w:val="center"/>
                    <w:rPr>
                      <w:rFonts w:hint="eastAsia" w:ascii="宋体" w:hAnsi="宋体" w:cs="宋体"/>
                      <w:b/>
                      <w:bCs/>
                      <w:color w:val="auto"/>
                      <w:w w:val="95"/>
                      <w:szCs w:val="21"/>
                    </w:rPr>
                  </w:pPr>
                  <w:r>
                    <w:rPr>
                      <w:rFonts w:hint="eastAsia" w:ascii="宋体" w:hAnsi="宋体" w:cs="宋体"/>
                      <w:b/>
                      <w:bCs/>
                      <w:color w:val="auto"/>
                      <w:w w:val="95"/>
                      <w:szCs w:val="21"/>
                    </w:rPr>
                    <w:t>序号</w:t>
                  </w:r>
                </w:p>
              </w:tc>
              <w:tc>
                <w:tcPr>
                  <w:tcW w:w="3763" w:type="dxa"/>
                  <w:vAlign w:val="center"/>
                </w:tcPr>
                <w:p w14:paraId="208B0B38">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文件内容</w:t>
                  </w:r>
                </w:p>
              </w:tc>
              <w:tc>
                <w:tcPr>
                  <w:tcW w:w="2297" w:type="dxa"/>
                  <w:vAlign w:val="center"/>
                </w:tcPr>
                <w:p w14:paraId="113A31CC">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相符性分析</w:t>
                  </w:r>
                </w:p>
              </w:tc>
              <w:tc>
                <w:tcPr>
                  <w:tcW w:w="783" w:type="dxa"/>
                  <w:vAlign w:val="center"/>
                </w:tcPr>
                <w:p w14:paraId="00951968">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符合性</w:t>
                  </w:r>
                </w:p>
              </w:tc>
            </w:tr>
            <w:tr w14:paraId="45B2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615" w:type="dxa"/>
                  <w:vAlign w:val="center"/>
                </w:tcPr>
                <w:p w14:paraId="588A86B3">
                  <w:pPr>
                    <w:jc w:val="center"/>
                    <w:rPr>
                      <w:rFonts w:hint="eastAsia" w:ascii="宋体" w:hAnsi="宋体" w:cs="宋体"/>
                      <w:color w:val="auto"/>
                      <w:w w:val="95"/>
                      <w:szCs w:val="21"/>
                    </w:rPr>
                  </w:pPr>
                  <w:r>
                    <w:rPr>
                      <w:rFonts w:hint="eastAsia" w:ascii="宋体" w:hAnsi="宋体" w:cs="宋体"/>
                      <w:color w:val="auto"/>
                      <w:w w:val="95"/>
                      <w:szCs w:val="21"/>
                    </w:rPr>
                    <w:t>1</w:t>
                  </w:r>
                </w:p>
              </w:tc>
              <w:tc>
                <w:tcPr>
                  <w:tcW w:w="3763" w:type="dxa"/>
                  <w:vAlign w:val="center"/>
                </w:tcPr>
                <w:p w14:paraId="555E5685">
                  <w:pPr>
                    <w:jc w:val="center"/>
                    <w:rPr>
                      <w:rFonts w:hint="eastAsia" w:ascii="宋体" w:hAnsi="宋体" w:cs="宋体"/>
                      <w:color w:val="auto"/>
                      <w:szCs w:val="21"/>
                    </w:rPr>
                  </w:pPr>
                  <w:r>
                    <w:rPr>
                      <w:rFonts w:hint="eastAsia" w:ascii="宋体" w:hAnsi="宋体" w:cs="宋体"/>
                      <w:color w:val="auto"/>
                      <w:szCs w:val="21"/>
                    </w:rPr>
                    <w:t>禁止新建、改建和扩建不符合《全国内河航道与港口布局规划》等全国港口规划和州（市）级以上港口布局规划以及港口总体规划的码头项目。</w:t>
                  </w:r>
                </w:p>
              </w:tc>
              <w:tc>
                <w:tcPr>
                  <w:tcW w:w="2297" w:type="dxa"/>
                  <w:vAlign w:val="center"/>
                </w:tcPr>
                <w:p w14:paraId="1F2A0FD3">
                  <w:pPr>
                    <w:jc w:val="center"/>
                    <w:rPr>
                      <w:rFonts w:hint="eastAsia" w:ascii="宋体" w:hAnsi="宋体" w:cs="宋体"/>
                      <w:color w:val="auto"/>
                      <w:szCs w:val="21"/>
                    </w:rPr>
                  </w:pPr>
                  <w:r>
                    <w:rPr>
                      <w:rFonts w:hint="eastAsia" w:ascii="宋体" w:hAnsi="宋体" w:cs="宋体"/>
                      <w:bCs/>
                      <w:color w:val="auto"/>
                      <w:szCs w:val="21"/>
                    </w:rPr>
                    <w:t>本项目为卫生院建设项目，不属于码头项目。</w:t>
                  </w:r>
                </w:p>
              </w:tc>
              <w:tc>
                <w:tcPr>
                  <w:tcW w:w="783" w:type="dxa"/>
                  <w:vAlign w:val="center"/>
                </w:tcPr>
                <w:p w14:paraId="2BADCD86">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2F2F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trPr>
              <w:tc>
                <w:tcPr>
                  <w:tcW w:w="615" w:type="dxa"/>
                  <w:vAlign w:val="center"/>
                </w:tcPr>
                <w:p w14:paraId="633B0489">
                  <w:pPr>
                    <w:jc w:val="center"/>
                    <w:rPr>
                      <w:rFonts w:hint="eastAsia" w:ascii="宋体" w:hAnsi="宋体" w:cs="宋体"/>
                      <w:color w:val="auto"/>
                      <w:w w:val="95"/>
                      <w:szCs w:val="21"/>
                    </w:rPr>
                  </w:pPr>
                  <w:r>
                    <w:rPr>
                      <w:rFonts w:hint="eastAsia" w:ascii="宋体" w:hAnsi="宋体" w:cs="宋体"/>
                      <w:color w:val="auto"/>
                      <w:w w:val="95"/>
                      <w:szCs w:val="21"/>
                    </w:rPr>
                    <w:t>2</w:t>
                  </w:r>
                </w:p>
              </w:tc>
              <w:tc>
                <w:tcPr>
                  <w:tcW w:w="3763" w:type="dxa"/>
                  <w:vAlign w:val="center"/>
                </w:tcPr>
                <w:p w14:paraId="6A29F3F4">
                  <w:pPr>
                    <w:jc w:val="center"/>
                    <w:rPr>
                      <w:rFonts w:hint="eastAsia" w:ascii="宋体" w:hAnsi="宋体" w:cs="宋体"/>
                      <w:color w:val="auto"/>
                      <w:szCs w:val="21"/>
                    </w:rPr>
                  </w:pPr>
                  <w:r>
                    <w:rPr>
                      <w:rFonts w:hint="eastAsia" w:ascii="宋体" w:hAnsi="宋体" w:cs="宋体"/>
                      <w:color w:val="auto"/>
                      <w:szCs w:val="21"/>
                    </w:rPr>
                    <w:t>禁止在自然保护区核心区、缓冲区的岸线和河段范围内投资建设旅游和生产经营项目。禁止建设与自然保护区保护方向不一致的旅游项目。禁止在自然保护区内进行开矿、采石、挖沙等活动。禁止在自然保护区的实验区内建设污染环境、破坏资源或者景观的生产设施。</w:t>
                  </w:r>
                </w:p>
              </w:tc>
              <w:tc>
                <w:tcPr>
                  <w:tcW w:w="2297" w:type="dxa"/>
                  <w:vAlign w:val="center"/>
                </w:tcPr>
                <w:p w14:paraId="6680BEF7">
                  <w:pPr>
                    <w:jc w:val="center"/>
                    <w:rPr>
                      <w:rFonts w:hint="eastAsia" w:ascii="宋体" w:hAnsi="宋体" w:cs="宋体"/>
                      <w:color w:val="auto"/>
                      <w:szCs w:val="21"/>
                    </w:rPr>
                  </w:pPr>
                  <w:r>
                    <w:rPr>
                      <w:rFonts w:hint="eastAsia" w:ascii="宋体" w:hAnsi="宋体" w:cs="宋体"/>
                      <w:color w:val="auto"/>
                      <w:szCs w:val="21"/>
                    </w:rPr>
                    <w:t>本项目在卫生院原址上进行建设，用地性质为医疗卫生用地，不涉及自然保护区。</w:t>
                  </w:r>
                </w:p>
              </w:tc>
              <w:tc>
                <w:tcPr>
                  <w:tcW w:w="783" w:type="dxa"/>
                  <w:vAlign w:val="center"/>
                </w:tcPr>
                <w:p w14:paraId="742AF613">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376A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trPr>
              <w:tc>
                <w:tcPr>
                  <w:tcW w:w="615" w:type="dxa"/>
                  <w:vAlign w:val="center"/>
                </w:tcPr>
                <w:p w14:paraId="3F622F93">
                  <w:pPr>
                    <w:jc w:val="center"/>
                    <w:rPr>
                      <w:rFonts w:hint="eastAsia" w:ascii="宋体" w:hAnsi="宋体" w:cs="宋体"/>
                      <w:color w:val="auto"/>
                      <w:w w:val="95"/>
                      <w:szCs w:val="21"/>
                    </w:rPr>
                  </w:pPr>
                  <w:r>
                    <w:rPr>
                      <w:rFonts w:hint="eastAsia" w:ascii="宋体" w:hAnsi="宋体" w:cs="宋体"/>
                      <w:color w:val="auto"/>
                      <w:w w:val="95"/>
                      <w:szCs w:val="21"/>
                    </w:rPr>
                    <w:t>3</w:t>
                  </w:r>
                </w:p>
              </w:tc>
              <w:tc>
                <w:tcPr>
                  <w:tcW w:w="3763" w:type="dxa"/>
                  <w:vAlign w:val="center"/>
                </w:tcPr>
                <w:p w14:paraId="34C7FF68">
                  <w:pPr>
                    <w:rPr>
                      <w:rFonts w:hint="eastAsia" w:ascii="宋体" w:hAnsi="宋体" w:cs="宋体"/>
                      <w:color w:val="auto"/>
                      <w:szCs w:val="21"/>
                    </w:rPr>
                  </w:pPr>
                  <w:r>
                    <w:rPr>
                      <w:rFonts w:hint="eastAsia" w:ascii="宋体" w:hAnsi="宋体" w:cs="宋体"/>
                      <w:color w:val="auto"/>
                      <w:szCs w:val="21"/>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297" w:type="dxa"/>
                  <w:vAlign w:val="center"/>
                </w:tcPr>
                <w:p w14:paraId="779E0CEC">
                  <w:pPr>
                    <w:jc w:val="center"/>
                    <w:rPr>
                      <w:rFonts w:hint="eastAsia" w:ascii="宋体" w:hAnsi="宋体" w:cs="宋体"/>
                      <w:color w:val="auto"/>
                      <w:szCs w:val="21"/>
                    </w:rPr>
                  </w:pPr>
                  <w:r>
                    <w:rPr>
                      <w:rFonts w:hint="eastAsia" w:ascii="宋体" w:hAnsi="宋体" w:cs="宋体"/>
                      <w:color w:val="auto"/>
                      <w:szCs w:val="21"/>
                    </w:rPr>
                    <w:t>本项目在卫生院原址上进行建设，用地性质为医疗卫生用地，不涉及风景名胜区。</w:t>
                  </w:r>
                </w:p>
              </w:tc>
              <w:tc>
                <w:tcPr>
                  <w:tcW w:w="783" w:type="dxa"/>
                  <w:vAlign w:val="center"/>
                </w:tcPr>
                <w:p w14:paraId="0562B944">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6E92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dxa"/>
                  <w:vAlign w:val="center"/>
                </w:tcPr>
                <w:p w14:paraId="7D3AC109">
                  <w:pPr>
                    <w:jc w:val="center"/>
                    <w:rPr>
                      <w:rFonts w:hint="eastAsia" w:ascii="宋体" w:hAnsi="宋体" w:cs="宋体"/>
                      <w:color w:val="auto"/>
                      <w:w w:val="95"/>
                      <w:szCs w:val="21"/>
                    </w:rPr>
                  </w:pPr>
                  <w:r>
                    <w:rPr>
                      <w:rFonts w:hint="eastAsia" w:ascii="宋体" w:hAnsi="宋体" w:cs="宋体"/>
                      <w:color w:val="auto"/>
                      <w:w w:val="95"/>
                      <w:szCs w:val="21"/>
                    </w:rPr>
                    <w:t>4</w:t>
                  </w:r>
                </w:p>
              </w:tc>
              <w:tc>
                <w:tcPr>
                  <w:tcW w:w="3763" w:type="dxa"/>
                  <w:vAlign w:val="center"/>
                </w:tcPr>
                <w:p w14:paraId="520C5F3E">
                  <w:pPr>
                    <w:rPr>
                      <w:rFonts w:hint="eastAsia" w:ascii="宋体" w:hAnsi="宋体" w:cs="宋体"/>
                      <w:color w:val="auto"/>
                      <w:szCs w:val="21"/>
                    </w:rPr>
                  </w:pPr>
                  <w:r>
                    <w:rPr>
                      <w:rFonts w:hint="eastAsia" w:ascii="宋体" w:hAnsi="宋体" w:cs="宋体"/>
                      <w:color w:val="auto"/>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297" w:type="dxa"/>
                  <w:vAlign w:val="center"/>
                </w:tcPr>
                <w:p w14:paraId="3FAEB9CC">
                  <w:pPr>
                    <w:jc w:val="center"/>
                    <w:rPr>
                      <w:rFonts w:hint="eastAsia" w:ascii="宋体" w:hAnsi="宋体" w:cs="宋体"/>
                      <w:color w:val="auto"/>
                      <w:szCs w:val="21"/>
                    </w:rPr>
                  </w:pPr>
                  <w:r>
                    <w:rPr>
                      <w:rFonts w:hint="eastAsia" w:ascii="宋体" w:hAnsi="宋体" w:cs="宋体"/>
                      <w:color w:val="auto"/>
                      <w:szCs w:val="21"/>
                    </w:rPr>
                    <w:t>本项目在卫生院原址上进行建设，用地性质为医疗卫生用地，不涉及饮用水源地保护区。</w:t>
                  </w:r>
                </w:p>
              </w:tc>
              <w:tc>
                <w:tcPr>
                  <w:tcW w:w="783" w:type="dxa"/>
                  <w:vAlign w:val="center"/>
                </w:tcPr>
                <w:p w14:paraId="2D1A8CA5">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3639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615" w:type="dxa"/>
                  <w:vAlign w:val="center"/>
                </w:tcPr>
                <w:p w14:paraId="00533A4D">
                  <w:pPr>
                    <w:jc w:val="center"/>
                    <w:rPr>
                      <w:rFonts w:hint="eastAsia" w:ascii="宋体" w:hAnsi="宋体" w:cs="宋体"/>
                      <w:color w:val="auto"/>
                      <w:w w:val="95"/>
                      <w:szCs w:val="21"/>
                    </w:rPr>
                  </w:pPr>
                  <w:r>
                    <w:rPr>
                      <w:rFonts w:hint="eastAsia" w:ascii="宋体" w:hAnsi="宋体" w:cs="宋体"/>
                      <w:color w:val="auto"/>
                      <w:w w:val="95"/>
                      <w:szCs w:val="21"/>
                    </w:rPr>
                    <w:t>5</w:t>
                  </w:r>
                </w:p>
              </w:tc>
              <w:tc>
                <w:tcPr>
                  <w:tcW w:w="3763" w:type="dxa"/>
                  <w:vAlign w:val="center"/>
                </w:tcPr>
                <w:p w14:paraId="13F0518D">
                  <w:pPr>
                    <w:rPr>
                      <w:rFonts w:hint="eastAsia" w:ascii="宋体" w:hAnsi="宋体" w:cs="宋体"/>
                      <w:color w:val="auto"/>
                      <w:szCs w:val="21"/>
                    </w:rPr>
                  </w:pPr>
                  <w:r>
                    <w:rPr>
                      <w:rFonts w:hint="eastAsia" w:ascii="宋体" w:hAnsi="宋体" w:cs="宋体"/>
                      <w:color w:val="auto"/>
                      <w:szCs w:val="21"/>
                    </w:rPr>
                    <w:t>禁止在水产种质资源保护区的岸线和河段范围内新建围湖造田、围海造地或围填海等投资建设项目。禁止擅自征收、占用国家湿地公园的土地；禁止在国家湿地公园内挖沙、采矿， 以及建设度假村、高尔夫球场等任何不符合主体功能定位的投资建设项目。</w:t>
                  </w:r>
                </w:p>
              </w:tc>
              <w:tc>
                <w:tcPr>
                  <w:tcW w:w="2297" w:type="dxa"/>
                  <w:vAlign w:val="center"/>
                </w:tcPr>
                <w:p w14:paraId="05753CD5">
                  <w:pPr>
                    <w:pStyle w:val="58"/>
                    <w:rPr>
                      <w:rFonts w:hint="eastAsia" w:ascii="宋体" w:hAnsi="宋体" w:eastAsia="宋体" w:cs="宋体"/>
                      <w:color w:val="auto"/>
                      <w:sz w:val="21"/>
                      <w:szCs w:val="21"/>
                    </w:rPr>
                  </w:pPr>
                  <w:r>
                    <w:rPr>
                      <w:rFonts w:hint="eastAsia" w:ascii="宋体" w:hAnsi="宋体" w:eastAsia="宋体" w:cs="宋体"/>
                      <w:color w:val="auto"/>
                      <w:sz w:val="21"/>
                      <w:szCs w:val="21"/>
                    </w:rPr>
                    <w:t>本项目在卫生院原址上进行建设，用地性质为医疗卫生用地，不涉及水产种质资源保护区。</w:t>
                  </w:r>
                </w:p>
              </w:tc>
              <w:tc>
                <w:tcPr>
                  <w:tcW w:w="783" w:type="dxa"/>
                  <w:vAlign w:val="center"/>
                </w:tcPr>
                <w:p w14:paraId="7DAB7878">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63CD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trPr>
              <w:tc>
                <w:tcPr>
                  <w:tcW w:w="615" w:type="dxa"/>
                  <w:vAlign w:val="center"/>
                </w:tcPr>
                <w:p w14:paraId="5A31CF78">
                  <w:pPr>
                    <w:jc w:val="center"/>
                    <w:rPr>
                      <w:rFonts w:hint="eastAsia" w:ascii="宋体" w:hAnsi="宋体" w:cs="宋体"/>
                      <w:color w:val="auto"/>
                      <w:w w:val="95"/>
                      <w:szCs w:val="21"/>
                    </w:rPr>
                  </w:pPr>
                  <w:r>
                    <w:rPr>
                      <w:rFonts w:hint="eastAsia" w:ascii="宋体" w:hAnsi="宋体" w:cs="宋体"/>
                      <w:color w:val="auto"/>
                      <w:w w:val="95"/>
                      <w:szCs w:val="21"/>
                    </w:rPr>
                    <w:t>6</w:t>
                  </w:r>
                </w:p>
              </w:tc>
              <w:tc>
                <w:tcPr>
                  <w:tcW w:w="3763" w:type="dxa"/>
                  <w:vAlign w:val="center"/>
                </w:tcPr>
                <w:p w14:paraId="43F112B3">
                  <w:pPr>
                    <w:jc w:val="center"/>
                    <w:rPr>
                      <w:rFonts w:hint="eastAsia" w:ascii="宋体" w:hAnsi="宋体" w:cs="宋体"/>
                      <w:color w:val="auto"/>
                      <w:szCs w:val="21"/>
                    </w:rPr>
                  </w:pPr>
                  <w:r>
                    <w:rPr>
                      <w:rFonts w:hint="eastAsia" w:ascii="宋体" w:hAnsi="宋体" w:cs="宋体"/>
                      <w:color w:val="auto"/>
                      <w:szCs w:val="21"/>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297" w:type="dxa"/>
                  <w:vAlign w:val="center"/>
                </w:tcPr>
                <w:p w14:paraId="12672A48">
                  <w:pPr>
                    <w:pStyle w:val="32"/>
                    <w:ind w:left="0" w:leftChars="0" w:firstLine="0" w:firstLineChars="0"/>
                    <w:rPr>
                      <w:rFonts w:hint="eastAsia" w:ascii="宋体" w:hAnsi="宋体" w:cs="宋体"/>
                      <w:color w:val="auto"/>
                      <w:sz w:val="21"/>
                      <w:szCs w:val="21"/>
                    </w:rPr>
                  </w:pPr>
                  <w:r>
                    <w:rPr>
                      <w:rFonts w:hint="eastAsia" w:ascii="宋体" w:hAnsi="宋体" w:cs="宋体"/>
                      <w:color w:val="auto"/>
                      <w:sz w:val="21"/>
                      <w:szCs w:val="21"/>
                    </w:rPr>
                    <w:t>本项目在卫生院原址上进行建设，不涉及利用、占用长江流域河湖岸线。</w:t>
                  </w:r>
                </w:p>
              </w:tc>
              <w:tc>
                <w:tcPr>
                  <w:tcW w:w="783" w:type="dxa"/>
                  <w:vAlign w:val="center"/>
                </w:tcPr>
                <w:p w14:paraId="1ACDCA0D">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6C03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615" w:type="dxa"/>
                  <w:vAlign w:val="center"/>
                </w:tcPr>
                <w:p w14:paraId="4BF41BDF">
                  <w:pPr>
                    <w:jc w:val="center"/>
                    <w:rPr>
                      <w:rFonts w:hint="eastAsia" w:ascii="宋体" w:hAnsi="宋体" w:cs="宋体"/>
                      <w:color w:val="auto"/>
                      <w:w w:val="95"/>
                      <w:szCs w:val="21"/>
                    </w:rPr>
                  </w:pPr>
                  <w:r>
                    <w:rPr>
                      <w:rFonts w:hint="eastAsia" w:ascii="宋体" w:hAnsi="宋体" w:cs="宋体"/>
                      <w:color w:val="auto"/>
                      <w:w w:val="95"/>
                      <w:szCs w:val="21"/>
                    </w:rPr>
                    <w:t>7</w:t>
                  </w:r>
                </w:p>
              </w:tc>
              <w:tc>
                <w:tcPr>
                  <w:tcW w:w="3763" w:type="dxa"/>
                  <w:vAlign w:val="center"/>
                </w:tcPr>
                <w:p w14:paraId="6EDE15F2">
                  <w:pPr>
                    <w:jc w:val="center"/>
                    <w:rPr>
                      <w:rFonts w:hint="eastAsia" w:ascii="宋体" w:hAnsi="宋体" w:cs="宋体"/>
                      <w:color w:val="auto"/>
                      <w:szCs w:val="21"/>
                    </w:rPr>
                  </w:pPr>
                  <w:r>
                    <w:rPr>
                      <w:rFonts w:hint="eastAsia" w:ascii="宋体" w:hAnsi="宋体" w:cs="宋体"/>
                      <w:color w:val="auto"/>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p w14:paraId="58FCE03F">
                  <w:pPr>
                    <w:jc w:val="center"/>
                    <w:rPr>
                      <w:rFonts w:hint="eastAsia" w:ascii="宋体" w:hAnsi="宋体" w:cs="宋体"/>
                      <w:color w:val="auto"/>
                      <w:szCs w:val="21"/>
                    </w:rPr>
                  </w:pPr>
                </w:p>
              </w:tc>
              <w:tc>
                <w:tcPr>
                  <w:tcW w:w="2297" w:type="dxa"/>
                  <w:vAlign w:val="center"/>
                </w:tcPr>
                <w:p w14:paraId="7833AA20">
                  <w:pPr>
                    <w:jc w:val="center"/>
                    <w:rPr>
                      <w:bCs/>
                      <w:color w:val="auto"/>
                      <w:szCs w:val="21"/>
                    </w:rPr>
                  </w:pPr>
                  <w:r>
                    <w:rPr>
                      <w:rFonts w:hint="eastAsia"/>
                      <w:bCs/>
                      <w:color w:val="auto"/>
                      <w:szCs w:val="21"/>
                    </w:rPr>
                    <w:t>本项目为卫生院建设项目，不涉及以上内容</w:t>
                  </w:r>
                </w:p>
              </w:tc>
              <w:tc>
                <w:tcPr>
                  <w:tcW w:w="783" w:type="dxa"/>
                  <w:vAlign w:val="center"/>
                </w:tcPr>
                <w:p w14:paraId="71127446">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12F1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trPr>
              <w:tc>
                <w:tcPr>
                  <w:tcW w:w="615" w:type="dxa"/>
                  <w:vAlign w:val="center"/>
                </w:tcPr>
                <w:p w14:paraId="61821F6D">
                  <w:pPr>
                    <w:jc w:val="center"/>
                    <w:rPr>
                      <w:rFonts w:hint="eastAsia" w:ascii="宋体" w:hAnsi="宋体" w:cs="宋体"/>
                      <w:color w:val="auto"/>
                      <w:w w:val="95"/>
                      <w:szCs w:val="21"/>
                    </w:rPr>
                  </w:pPr>
                  <w:r>
                    <w:rPr>
                      <w:rFonts w:hint="eastAsia" w:ascii="宋体" w:hAnsi="宋体" w:cs="宋体"/>
                      <w:color w:val="auto"/>
                      <w:w w:val="95"/>
                      <w:szCs w:val="21"/>
                    </w:rPr>
                    <w:t>8</w:t>
                  </w:r>
                </w:p>
              </w:tc>
              <w:tc>
                <w:tcPr>
                  <w:tcW w:w="3763" w:type="dxa"/>
                  <w:vAlign w:val="center"/>
                </w:tcPr>
                <w:p w14:paraId="57FC7F53">
                  <w:pPr>
                    <w:jc w:val="center"/>
                    <w:rPr>
                      <w:rFonts w:hint="eastAsia" w:ascii="宋体" w:hAnsi="宋体" w:cs="宋体"/>
                      <w:color w:val="auto"/>
                      <w:szCs w:val="21"/>
                    </w:rPr>
                  </w:pPr>
                  <w:r>
                    <w:rPr>
                      <w:rFonts w:hint="eastAsia" w:ascii="宋体" w:hAnsi="宋体" w:cs="宋体"/>
                      <w:color w:val="auto"/>
                      <w:szCs w:val="21"/>
                    </w:rPr>
                    <w:t>禁止在金沙江干流、长江一级支流、水生生物保护区和长江流域禁捕水域开展天然渔业资源生产性捕捞。</w:t>
                  </w:r>
                </w:p>
                <w:p w14:paraId="0CAD6E1E">
                  <w:pPr>
                    <w:jc w:val="center"/>
                    <w:rPr>
                      <w:rFonts w:hint="eastAsia" w:ascii="宋体" w:hAnsi="宋体" w:cs="宋体"/>
                      <w:color w:val="auto"/>
                      <w:szCs w:val="21"/>
                    </w:rPr>
                  </w:pPr>
                </w:p>
              </w:tc>
              <w:tc>
                <w:tcPr>
                  <w:tcW w:w="2297" w:type="dxa"/>
                  <w:vAlign w:val="center"/>
                </w:tcPr>
                <w:p w14:paraId="74663C01">
                  <w:pPr>
                    <w:jc w:val="center"/>
                    <w:rPr>
                      <w:bCs/>
                      <w:color w:val="auto"/>
                      <w:szCs w:val="21"/>
                    </w:rPr>
                  </w:pPr>
                  <w:r>
                    <w:rPr>
                      <w:rFonts w:hint="eastAsia"/>
                      <w:bCs/>
                      <w:color w:val="auto"/>
                      <w:szCs w:val="21"/>
                    </w:rPr>
                    <w:t xml:space="preserve">项目不涉及渔业资 </w:t>
                  </w:r>
                </w:p>
                <w:p w14:paraId="1118DAAB">
                  <w:pPr>
                    <w:jc w:val="center"/>
                    <w:rPr>
                      <w:bCs/>
                      <w:color w:val="auto"/>
                      <w:szCs w:val="21"/>
                    </w:rPr>
                  </w:pPr>
                  <w:r>
                    <w:rPr>
                      <w:rFonts w:hint="eastAsia"/>
                      <w:bCs/>
                      <w:color w:val="auto"/>
                      <w:szCs w:val="21"/>
                    </w:rPr>
                    <w:t>源的捕捞。</w:t>
                  </w:r>
                </w:p>
              </w:tc>
              <w:tc>
                <w:tcPr>
                  <w:tcW w:w="783" w:type="dxa"/>
                  <w:vAlign w:val="center"/>
                </w:tcPr>
                <w:p w14:paraId="01897F9B">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20D6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615" w:type="dxa"/>
                  <w:vAlign w:val="center"/>
                </w:tcPr>
                <w:p w14:paraId="46964FC0">
                  <w:pPr>
                    <w:jc w:val="center"/>
                    <w:rPr>
                      <w:rFonts w:hint="eastAsia" w:ascii="宋体" w:hAnsi="宋体" w:cs="宋体"/>
                      <w:color w:val="auto"/>
                      <w:w w:val="95"/>
                      <w:szCs w:val="21"/>
                    </w:rPr>
                  </w:pPr>
                  <w:r>
                    <w:rPr>
                      <w:rFonts w:hint="eastAsia" w:ascii="宋体" w:hAnsi="宋体" w:cs="宋体"/>
                      <w:color w:val="auto"/>
                      <w:w w:val="95"/>
                      <w:szCs w:val="21"/>
                    </w:rPr>
                    <w:t>9</w:t>
                  </w:r>
                </w:p>
              </w:tc>
              <w:tc>
                <w:tcPr>
                  <w:tcW w:w="3763" w:type="dxa"/>
                  <w:vAlign w:val="center"/>
                </w:tcPr>
                <w:p w14:paraId="0F7E5ADF">
                  <w:pPr>
                    <w:jc w:val="center"/>
                    <w:rPr>
                      <w:rFonts w:hint="eastAsia" w:ascii="宋体" w:hAnsi="宋体" w:cs="宋体"/>
                      <w:color w:val="auto"/>
                      <w:szCs w:val="21"/>
                    </w:rPr>
                  </w:pPr>
                  <w:r>
                    <w:rPr>
                      <w:rFonts w:hint="eastAsia" w:ascii="宋体" w:hAnsi="宋体" w:cs="宋体"/>
                      <w:color w:val="auto"/>
                      <w:szCs w:val="21"/>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 以提升安全、生态环境保护水平为目的的改建除外。</w:t>
                  </w:r>
                </w:p>
              </w:tc>
              <w:tc>
                <w:tcPr>
                  <w:tcW w:w="2297" w:type="dxa"/>
                  <w:vAlign w:val="center"/>
                </w:tcPr>
                <w:p w14:paraId="7D70DE32">
                  <w:pPr>
                    <w:jc w:val="center"/>
                    <w:rPr>
                      <w:bCs/>
                      <w:color w:val="auto"/>
                      <w:szCs w:val="21"/>
                    </w:rPr>
                  </w:pPr>
                  <w:r>
                    <w:rPr>
                      <w:rFonts w:hint="eastAsia"/>
                      <w:bCs/>
                      <w:color w:val="auto"/>
                      <w:szCs w:val="21"/>
                    </w:rPr>
                    <w:t xml:space="preserve">项目不属于化工项 </w:t>
                  </w:r>
                </w:p>
                <w:p w14:paraId="6E09256A">
                  <w:pPr>
                    <w:jc w:val="center"/>
                    <w:rPr>
                      <w:bCs/>
                      <w:color w:val="auto"/>
                      <w:szCs w:val="21"/>
                    </w:rPr>
                  </w:pPr>
                  <w:r>
                    <w:rPr>
                      <w:rFonts w:hint="eastAsia"/>
                      <w:bCs/>
                      <w:color w:val="auto"/>
                      <w:szCs w:val="21"/>
                    </w:rPr>
                    <w:t xml:space="preserve">目，也不属于新建、 </w:t>
                  </w:r>
                </w:p>
                <w:p w14:paraId="6FED3A15">
                  <w:pPr>
                    <w:jc w:val="center"/>
                    <w:rPr>
                      <w:bCs/>
                      <w:color w:val="auto"/>
                      <w:szCs w:val="21"/>
                    </w:rPr>
                  </w:pPr>
                  <w:r>
                    <w:rPr>
                      <w:rFonts w:hint="eastAsia"/>
                      <w:bCs/>
                      <w:color w:val="auto"/>
                      <w:szCs w:val="21"/>
                    </w:rPr>
                    <w:t xml:space="preserve">改建、扩建尾矿库、 </w:t>
                  </w:r>
                </w:p>
                <w:p w14:paraId="7ADA2B17">
                  <w:pPr>
                    <w:jc w:val="center"/>
                    <w:rPr>
                      <w:bCs/>
                      <w:color w:val="auto"/>
                      <w:szCs w:val="21"/>
                    </w:rPr>
                  </w:pPr>
                  <w:r>
                    <w:rPr>
                      <w:rFonts w:hint="eastAsia"/>
                      <w:bCs/>
                      <w:color w:val="auto"/>
                      <w:szCs w:val="21"/>
                    </w:rPr>
                    <w:t xml:space="preserve">冶炼渣库和磷石膏 </w:t>
                  </w:r>
                </w:p>
                <w:p w14:paraId="1EB40E1D">
                  <w:pPr>
                    <w:jc w:val="center"/>
                    <w:rPr>
                      <w:bCs/>
                      <w:color w:val="auto"/>
                      <w:szCs w:val="21"/>
                    </w:rPr>
                  </w:pPr>
                  <w:r>
                    <w:rPr>
                      <w:rFonts w:hint="eastAsia"/>
                      <w:bCs/>
                      <w:color w:val="auto"/>
                      <w:szCs w:val="21"/>
                    </w:rPr>
                    <w:t>库。</w:t>
                  </w:r>
                </w:p>
                <w:p w14:paraId="7C8E32A4">
                  <w:pPr>
                    <w:jc w:val="center"/>
                    <w:rPr>
                      <w:bCs/>
                      <w:color w:val="auto"/>
                      <w:szCs w:val="21"/>
                    </w:rPr>
                  </w:pPr>
                </w:p>
              </w:tc>
              <w:tc>
                <w:tcPr>
                  <w:tcW w:w="783" w:type="dxa"/>
                  <w:vAlign w:val="center"/>
                </w:tcPr>
                <w:p w14:paraId="7639C20C">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4921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15" w:type="dxa"/>
                  <w:vAlign w:val="center"/>
                </w:tcPr>
                <w:p w14:paraId="582CCABF">
                  <w:pPr>
                    <w:jc w:val="center"/>
                    <w:rPr>
                      <w:rFonts w:hint="eastAsia" w:ascii="宋体" w:hAnsi="宋体" w:cs="宋体"/>
                      <w:color w:val="auto"/>
                      <w:w w:val="95"/>
                      <w:szCs w:val="21"/>
                    </w:rPr>
                  </w:pPr>
                  <w:r>
                    <w:rPr>
                      <w:rFonts w:hint="eastAsia" w:ascii="宋体" w:hAnsi="宋体" w:cs="宋体"/>
                      <w:color w:val="auto"/>
                      <w:w w:val="95"/>
                      <w:szCs w:val="21"/>
                    </w:rPr>
                    <w:t>10</w:t>
                  </w:r>
                </w:p>
              </w:tc>
              <w:tc>
                <w:tcPr>
                  <w:tcW w:w="3763" w:type="dxa"/>
                  <w:vAlign w:val="center"/>
                </w:tcPr>
                <w:p w14:paraId="496AEBEF">
                  <w:pPr>
                    <w:jc w:val="center"/>
                    <w:rPr>
                      <w:rFonts w:hint="eastAsia" w:ascii="宋体" w:hAnsi="宋体" w:cs="宋体"/>
                      <w:color w:val="auto"/>
                      <w:szCs w:val="21"/>
                    </w:rPr>
                  </w:pPr>
                  <w:r>
                    <w:rPr>
                      <w:rFonts w:hint="eastAsia" w:ascii="宋体" w:hAnsi="宋体" w:cs="宋体"/>
                      <w:color w:val="auto"/>
                      <w:szCs w:val="21"/>
                    </w:rPr>
                    <w:t>禁止在合规园区外新建、扩建钢铁、石化、化工、焦化、建材、有色、制浆造纸等高污染项目。</w:t>
                  </w:r>
                </w:p>
                <w:p w14:paraId="25EA14E8">
                  <w:pPr>
                    <w:jc w:val="center"/>
                    <w:rPr>
                      <w:rFonts w:hint="eastAsia" w:ascii="宋体" w:hAnsi="宋体" w:cs="宋体"/>
                      <w:color w:val="auto"/>
                      <w:szCs w:val="21"/>
                    </w:rPr>
                  </w:pPr>
                </w:p>
              </w:tc>
              <w:tc>
                <w:tcPr>
                  <w:tcW w:w="2297" w:type="dxa"/>
                  <w:vAlign w:val="center"/>
                </w:tcPr>
                <w:p w14:paraId="2030BD08">
                  <w:pPr>
                    <w:jc w:val="center"/>
                    <w:rPr>
                      <w:bCs/>
                      <w:color w:val="auto"/>
                      <w:szCs w:val="21"/>
                    </w:rPr>
                  </w:pPr>
                  <w:r>
                    <w:rPr>
                      <w:rFonts w:hint="eastAsia"/>
                      <w:bCs/>
                      <w:color w:val="auto"/>
                      <w:szCs w:val="21"/>
                    </w:rPr>
                    <w:t>本项目属于卫生院建设项目，不属于高污染项目</w:t>
                  </w:r>
                </w:p>
              </w:tc>
              <w:tc>
                <w:tcPr>
                  <w:tcW w:w="783" w:type="dxa"/>
                  <w:vAlign w:val="center"/>
                </w:tcPr>
                <w:p w14:paraId="08D0B0F4">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1D16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15" w:type="dxa"/>
                  <w:vAlign w:val="center"/>
                </w:tcPr>
                <w:p w14:paraId="1AC7C9D7">
                  <w:pPr>
                    <w:jc w:val="center"/>
                    <w:rPr>
                      <w:rFonts w:hint="eastAsia" w:ascii="宋体" w:hAnsi="宋体" w:cs="宋体"/>
                      <w:color w:val="auto"/>
                      <w:w w:val="95"/>
                      <w:szCs w:val="21"/>
                    </w:rPr>
                  </w:pPr>
                  <w:r>
                    <w:rPr>
                      <w:rFonts w:hint="eastAsia" w:ascii="宋体" w:hAnsi="宋体" w:cs="宋体"/>
                      <w:color w:val="auto"/>
                      <w:w w:val="95"/>
                      <w:szCs w:val="21"/>
                    </w:rPr>
                    <w:t>11</w:t>
                  </w:r>
                </w:p>
              </w:tc>
              <w:tc>
                <w:tcPr>
                  <w:tcW w:w="3763" w:type="dxa"/>
                  <w:vAlign w:val="center"/>
                </w:tcPr>
                <w:p w14:paraId="7D96F35A">
                  <w:pPr>
                    <w:jc w:val="center"/>
                    <w:rPr>
                      <w:rFonts w:hint="eastAsia" w:ascii="宋体" w:hAnsi="宋体" w:cs="宋体"/>
                      <w:color w:val="auto"/>
                      <w:szCs w:val="21"/>
                    </w:rPr>
                  </w:pPr>
                  <w:r>
                    <w:rPr>
                      <w:rFonts w:hint="eastAsia" w:ascii="宋体" w:hAnsi="宋体" w:cs="宋体"/>
                      <w:color w:val="auto"/>
                      <w:szCs w:val="21"/>
                    </w:rPr>
                    <w:t>禁止新建、扩建不符合国家石化、现代煤化工等产业布局规划的项目。禁止列入《云南省城镇人口密集区危险化学品生产企业搬迁改造名单》的搬迁改造企业在原址新建、扩建危险化学品生产项目</w:t>
                  </w:r>
                </w:p>
              </w:tc>
              <w:tc>
                <w:tcPr>
                  <w:tcW w:w="2297" w:type="dxa"/>
                  <w:vAlign w:val="center"/>
                </w:tcPr>
                <w:p w14:paraId="2302B105">
                  <w:pPr>
                    <w:jc w:val="center"/>
                    <w:rPr>
                      <w:bCs/>
                      <w:color w:val="auto"/>
                      <w:szCs w:val="21"/>
                    </w:rPr>
                  </w:pPr>
                  <w:r>
                    <w:rPr>
                      <w:rFonts w:hint="eastAsia"/>
                      <w:bCs/>
                      <w:color w:val="auto"/>
                      <w:szCs w:val="21"/>
                    </w:rPr>
                    <w:t xml:space="preserve">项目不涉及石化、现 </w:t>
                  </w:r>
                </w:p>
                <w:p w14:paraId="394DC0E4">
                  <w:pPr>
                    <w:jc w:val="center"/>
                    <w:rPr>
                      <w:bCs/>
                      <w:color w:val="auto"/>
                      <w:szCs w:val="21"/>
                    </w:rPr>
                  </w:pPr>
                  <w:r>
                    <w:rPr>
                      <w:rFonts w:hint="eastAsia"/>
                      <w:bCs/>
                      <w:color w:val="auto"/>
                      <w:szCs w:val="21"/>
                    </w:rPr>
                    <w:t xml:space="preserve">代煤化工等产业布 </w:t>
                  </w:r>
                </w:p>
                <w:p w14:paraId="76EDCDE1">
                  <w:pPr>
                    <w:jc w:val="center"/>
                    <w:rPr>
                      <w:bCs/>
                      <w:color w:val="auto"/>
                      <w:szCs w:val="21"/>
                    </w:rPr>
                  </w:pPr>
                  <w:r>
                    <w:rPr>
                      <w:rFonts w:hint="eastAsia"/>
                      <w:bCs/>
                      <w:color w:val="auto"/>
                      <w:szCs w:val="21"/>
                    </w:rPr>
                    <w:t>局规划。</w:t>
                  </w:r>
                </w:p>
                <w:p w14:paraId="1C0035E3">
                  <w:pPr>
                    <w:jc w:val="center"/>
                    <w:rPr>
                      <w:bCs/>
                      <w:color w:val="auto"/>
                      <w:szCs w:val="21"/>
                    </w:rPr>
                  </w:pPr>
                </w:p>
              </w:tc>
              <w:tc>
                <w:tcPr>
                  <w:tcW w:w="783" w:type="dxa"/>
                  <w:vAlign w:val="center"/>
                </w:tcPr>
                <w:p w14:paraId="4F2016C3">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56F5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15" w:type="dxa"/>
                  <w:vAlign w:val="center"/>
                </w:tcPr>
                <w:p w14:paraId="73008F94">
                  <w:pPr>
                    <w:jc w:val="center"/>
                    <w:rPr>
                      <w:rFonts w:hint="eastAsia" w:ascii="宋体" w:hAnsi="宋体" w:cs="宋体"/>
                      <w:color w:val="auto"/>
                      <w:w w:val="95"/>
                      <w:szCs w:val="21"/>
                    </w:rPr>
                  </w:pPr>
                  <w:r>
                    <w:rPr>
                      <w:rFonts w:hint="eastAsia" w:ascii="宋体" w:hAnsi="宋体" w:cs="宋体"/>
                      <w:color w:val="auto"/>
                      <w:w w:val="95"/>
                      <w:szCs w:val="21"/>
                    </w:rPr>
                    <w:t>12</w:t>
                  </w:r>
                </w:p>
              </w:tc>
              <w:tc>
                <w:tcPr>
                  <w:tcW w:w="3763" w:type="dxa"/>
                  <w:vAlign w:val="center"/>
                </w:tcPr>
                <w:p w14:paraId="77911101">
                  <w:pPr>
                    <w:jc w:val="center"/>
                    <w:rPr>
                      <w:rFonts w:hint="eastAsia" w:ascii="宋体" w:hAnsi="宋体" w:cs="宋体"/>
                      <w:color w:val="auto"/>
                      <w:szCs w:val="21"/>
                    </w:rPr>
                  </w:pPr>
                  <w:r>
                    <w:rPr>
                      <w:rFonts w:hint="eastAsia" w:ascii="宋体" w:hAnsi="宋体" w:cs="宋体"/>
                      <w:color w:val="auto"/>
                      <w:szCs w:val="21"/>
                    </w:rPr>
                    <w:t xml:space="preserve">新建、扩建法律法规和相关政策明令禁止的落后产能项目，依法依规关停退出能耗、环保、质量、安全不达标产能和技术落后产能。禁止新建、扩建不符合国家产能置换要求的严重过剩产能行业的项目。禁止新建、扩建不符合要求的高耗能、高排放项目，推动退出重 点高耗能行业“限制类”产能。禁止建设 </w:t>
                  </w:r>
                </w:p>
                <w:p w14:paraId="13465777">
                  <w:pPr>
                    <w:jc w:val="center"/>
                    <w:rPr>
                      <w:rFonts w:hint="eastAsia" w:ascii="宋体" w:hAnsi="宋体" w:cs="宋体"/>
                      <w:color w:val="auto"/>
                      <w:szCs w:val="21"/>
                    </w:rPr>
                  </w:pPr>
                  <w:r>
                    <w:rPr>
                      <w:rFonts w:hint="eastAsia" w:ascii="宋体" w:hAnsi="宋体" w:cs="宋体"/>
                      <w:color w:val="auto"/>
                      <w:szCs w:val="21"/>
                    </w:rPr>
                    <w:t>高毒高残留以及对环境影响大的农药原药生产装置，严控尿素、磷铵、电石、焦炭、黄磷、烧碱、纯碱、聚氯乙烯等行业新增产能。</w:t>
                  </w:r>
                </w:p>
              </w:tc>
              <w:tc>
                <w:tcPr>
                  <w:tcW w:w="2297" w:type="dxa"/>
                  <w:vAlign w:val="center"/>
                </w:tcPr>
                <w:p w14:paraId="0C962CB3">
                  <w:pPr>
                    <w:jc w:val="center"/>
                    <w:rPr>
                      <w:bCs/>
                      <w:color w:val="auto"/>
                      <w:szCs w:val="21"/>
                    </w:rPr>
                  </w:pPr>
                  <w:r>
                    <w:rPr>
                      <w:rFonts w:hint="eastAsia"/>
                      <w:bCs/>
                      <w:color w:val="auto"/>
                      <w:szCs w:val="21"/>
                    </w:rPr>
                    <w:t>本项目不属于法律法规和相关政策明令禁止的落后产能项目，不属于国家产能置换要求的过剩产能行业，以及不属于对环境影响大的农药原药生产装置项目。</w:t>
                  </w:r>
                </w:p>
                <w:p w14:paraId="783D98E7">
                  <w:pPr>
                    <w:jc w:val="center"/>
                    <w:rPr>
                      <w:bCs/>
                      <w:color w:val="auto"/>
                      <w:szCs w:val="21"/>
                    </w:rPr>
                  </w:pPr>
                </w:p>
              </w:tc>
              <w:tc>
                <w:tcPr>
                  <w:tcW w:w="783" w:type="dxa"/>
                  <w:vAlign w:val="center"/>
                </w:tcPr>
                <w:p w14:paraId="6E1FD9DD">
                  <w:pPr>
                    <w:jc w:val="center"/>
                    <w:rPr>
                      <w:rFonts w:hint="eastAsia" w:ascii="宋体" w:hAnsi="宋体" w:cs="宋体"/>
                      <w:color w:val="auto"/>
                      <w:w w:val="95"/>
                      <w:szCs w:val="21"/>
                    </w:rPr>
                  </w:pPr>
                  <w:r>
                    <w:rPr>
                      <w:rFonts w:hint="eastAsia" w:ascii="宋体" w:hAnsi="宋体" w:cs="宋体"/>
                      <w:color w:val="auto"/>
                      <w:w w:val="95"/>
                      <w:szCs w:val="21"/>
                    </w:rPr>
                    <w:t>符合</w:t>
                  </w:r>
                </w:p>
              </w:tc>
            </w:tr>
          </w:tbl>
          <w:p w14:paraId="33CD1CB2">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根据表 1-4，本项目与《云南省长江经济带发展负面清单指南实施细则（试行）》的相符。</w:t>
            </w:r>
          </w:p>
          <w:p w14:paraId="5ED2961B">
            <w:pPr>
              <w:autoSpaceDE w:val="0"/>
              <w:autoSpaceDN w:val="0"/>
              <w:adjustRightInd w:val="0"/>
              <w:snapToGrid w:val="0"/>
              <w:spacing w:line="360" w:lineRule="auto"/>
              <w:ind w:firstLine="482" w:firstLineChars="200"/>
              <w:jc w:val="left"/>
              <w:rPr>
                <w:b/>
                <w:bCs/>
                <w:color w:val="auto"/>
                <w:kern w:val="0"/>
                <w:sz w:val="24"/>
              </w:rPr>
            </w:pPr>
            <w:r>
              <w:rPr>
                <w:rFonts w:hint="eastAsia"/>
                <w:b/>
                <w:bCs/>
                <w:color w:val="auto"/>
                <w:kern w:val="0"/>
                <w:sz w:val="24"/>
              </w:rPr>
              <w:t>五、</w:t>
            </w:r>
            <w:r>
              <w:rPr>
                <w:b/>
                <w:bCs/>
                <w:color w:val="auto"/>
                <w:kern w:val="0"/>
                <w:sz w:val="24"/>
              </w:rPr>
              <w:t>建设项目与《云南省杞麓湖保护条例》（2024年1月1日起施行）符合性分析</w:t>
            </w:r>
          </w:p>
          <w:p w14:paraId="4FD5618D">
            <w:pPr>
              <w:autoSpaceDE w:val="0"/>
              <w:autoSpaceDN w:val="0"/>
              <w:adjustRightInd w:val="0"/>
              <w:snapToGrid w:val="0"/>
              <w:spacing w:line="360" w:lineRule="auto"/>
              <w:ind w:firstLine="480" w:firstLineChars="200"/>
              <w:jc w:val="left"/>
              <w:rPr>
                <w:bCs/>
                <w:color w:val="auto"/>
                <w:kern w:val="0"/>
                <w:sz w:val="24"/>
              </w:rPr>
            </w:pPr>
            <w:r>
              <w:rPr>
                <w:rFonts w:hint="eastAsia"/>
                <w:bCs/>
                <w:color w:val="auto"/>
                <w:kern w:val="0"/>
                <w:sz w:val="24"/>
              </w:rPr>
              <w:t xml:space="preserve">根据《云南省杞麓湖保护条例》（2024年1月1日起施行），其相关条例如下： </w:t>
            </w:r>
          </w:p>
          <w:p w14:paraId="638387DB">
            <w:pPr>
              <w:autoSpaceDE w:val="0"/>
              <w:autoSpaceDN w:val="0"/>
              <w:adjustRightInd w:val="0"/>
              <w:snapToGrid w:val="0"/>
              <w:spacing w:line="360" w:lineRule="auto"/>
              <w:ind w:firstLine="482" w:firstLineChars="200"/>
              <w:jc w:val="left"/>
              <w:rPr>
                <w:rFonts w:hint="eastAsia"/>
                <w:bCs/>
                <w:color w:val="auto"/>
                <w:kern w:val="0"/>
                <w:sz w:val="24"/>
              </w:rPr>
            </w:pPr>
            <w:r>
              <w:rPr>
                <w:rFonts w:hint="eastAsia"/>
                <w:b/>
                <w:color w:val="auto"/>
                <w:kern w:val="0"/>
                <w:sz w:val="24"/>
              </w:rPr>
              <w:t>第四条</w:t>
            </w:r>
            <w:r>
              <w:rPr>
                <w:rFonts w:hint="eastAsia"/>
                <w:bCs/>
                <w:color w:val="auto"/>
                <w:kern w:val="0"/>
                <w:sz w:val="24"/>
              </w:rPr>
              <w:t xml:space="preserve"> 杞 麓 湖 水 质 按 照 国 家 《 地 表 水 环 境 质 量 标 准 》 （GB3838-2002）规定的Ⅲ类水标准保护。</w:t>
            </w:r>
          </w:p>
          <w:p w14:paraId="6F999F21">
            <w:pPr>
              <w:autoSpaceDE w:val="0"/>
              <w:autoSpaceDN w:val="0"/>
              <w:adjustRightInd w:val="0"/>
              <w:snapToGrid w:val="0"/>
              <w:spacing w:line="360" w:lineRule="auto"/>
              <w:ind w:firstLine="482" w:firstLineChars="200"/>
              <w:jc w:val="left"/>
              <w:rPr>
                <w:bCs/>
                <w:color w:val="auto"/>
                <w:kern w:val="0"/>
                <w:sz w:val="24"/>
              </w:rPr>
            </w:pPr>
            <w:r>
              <w:rPr>
                <w:rFonts w:hint="eastAsia"/>
                <w:b/>
                <w:color w:val="auto"/>
                <w:kern w:val="0"/>
                <w:sz w:val="24"/>
              </w:rPr>
              <w:t>第五条</w:t>
            </w:r>
            <w:r>
              <w:rPr>
                <w:rFonts w:hint="eastAsia"/>
                <w:bCs/>
                <w:color w:val="auto"/>
                <w:kern w:val="0"/>
                <w:sz w:val="24"/>
              </w:rPr>
              <w:t xml:space="preserve"> 杞麓湖保护应当划定湖滨生态红线和湖泊生态黄线。湖滨生态红线和湖泊生态黄线由玉溪市人民政府按照规定划定，报省人民政府同意后实施。湖滨生态红线是指具有生态功能的湿地、林地、草地、耕地、未利用地等湖滨空间的管控边界线。湖泊生态黄线是指实现湖泊生态扩容增量、维持生态系统稳定的缓冲空间管控边界线。</w:t>
            </w:r>
          </w:p>
          <w:p w14:paraId="30FD0E50">
            <w:pPr>
              <w:numPr>
                <w:ilvl w:val="0"/>
                <w:numId w:val="6"/>
              </w:numPr>
              <w:autoSpaceDE w:val="0"/>
              <w:autoSpaceDN w:val="0"/>
              <w:adjustRightInd w:val="0"/>
              <w:snapToGrid w:val="0"/>
              <w:spacing w:line="360" w:lineRule="auto"/>
              <w:ind w:firstLine="480" w:firstLineChars="200"/>
              <w:jc w:val="left"/>
              <w:rPr>
                <w:bCs/>
                <w:color w:val="auto"/>
                <w:kern w:val="0"/>
                <w:sz w:val="24"/>
              </w:rPr>
            </w:pPr>
            <w:r>
              <w:rPr>
                <w:rFonts w:hint="eastAsia"/>
                <w:bCs/>
                <w:color w:val="auto"/>
                <w:kern w:val="0"/>
                <w:sz w:val="24"/>
              </w:rPr>
              <w:t>玉溪市人民政府应当按照划定的湖滨生态红线和湖泊生态黄线，确定生态保护核心区、生态保护缓冲区和绿色发展区。生态保护核心区是指湖滨生态红线以内的水域和陆域。生态保护缓冲区是指湖滨生态红线与湖泊生态黄线之间的区域。绿色发展区是指湖泊生态黄线与湖泊流域分水线之间的区域。玉溪市人民政府应当向社会公布生态保护核心区、生态保护缓冲区和绿色发展区的具体范围，并在湖滨生态红线和湖泊生态黄线设置界桩、标识。根据《云南省杞麓湖湖滨生态红线及湖泊生态黄线“两线”划定方案》本项目位于湖泊生态黄线与湖泊流域分水线之间的区域，属于杞麓湖绿色发展区，根据通海县杞麓湖管理局出具的选址意见，项目符合绿色发展区管控的相关要求。</w:t>
            </w:r>
          </w:p>
          <w:p w14:paraId="771ADBAA">
            <w:pPr>
              <w:autoSpaceDE w:val="0"/>
              <w:autoSpaceDN w:val="0"/>
              <w:adjustRightInd w:val="0"/>
              <w:snapToGrid w:val="0"/>
              <w:spacing w:line="360" w:lineRule="auto"/>
              <w:ind w:firstLine="480" w:firstLineChars="200"/>
              <w:jc w:val="left"/>
              <w:rPr>
                <w:bCs/>
                <w:color w:val="auto"/>
                <w:kern w:val="0"/>
                <w:sz w:val="24"/>
              </w:rPr>
            </w:pPr>
            <w:r>
              <w:rPr>
                <w:rFonts w:hint="eastAsia"/>
                <w:bCs/>
                <w:color w:val="auto"/>
                <w:kern w:val="0"/>
                <w:sz w:val="24"/>
              </w:rPr>
              <w:t>本项目位于云南省通海县九龙街道九龙分院，杨广镇杨广分院、四街镇四街分院、纳古镇纳古分院，属于杞麓湖径流区，杨广镇杨广分院、四街镇四街分院、纳古镇纳古分院涉及杞麓湖绿色发展区。本项目与《云南省杞麓湖保护条例》规定的保护区禁止行为符合性详见表</w:t>
            </w:r>
            <w:r>
              <w:rPr>
                <w:rFonts w:hint="eastAsia"/>
                <w:color w:val="auto"/>
                <w:kern w:val="0"/>
                <w:sz w:val="24"/>
              </w:rPr>
              <w:t>1-5，项目与杞麓湖湖滨生态红线及湖泊生态黄线“两线”划定位置关系见附图6</w:t>
            </w:r>
            <w:r>
              <w:rPr>
                <w:rFonts w:hint="eastAsia"/>
                <w:bCs/>
                <w:color w:val="auto"/>
                <w:kern w:val="0"/>
                <w:sz w:val="24"/>
              </w:rPr>
              <w:t>。</w:t>
            </w:r>
          </w:p>
          <w:p w14:paraId="5C6A0955">
            <w:pPr>
              <w:autoSpaceDE w:val="0"/>
              <w:autoSpaceDN w:val="0"/>
              <w:adjustRightInd w:val="0"/>
              <w:snapToGrid w:val="0"/>
              <w:spacing w:line="360" w:lineRule="auto"/>
              <w:ind w:firstLine="482" w:firstLineChars="200"/>
              <w:jc w:val="center"/>
              <w:rPr>
                <w:b/>
                <w:bCs/>
                <w:color w:val="auto"/>
                <w:kern w:val="0"/>
                <w:sz w:val="24"/>
              </w:rPr>
            </w:pPr>
            <w:r>
              <w:rPr>
                <w:b/>
                <w:bCs/>
                <w:color w:val="auto"/>
                <w:kern w:val="0"/>
                <w:sz w:val="24"/>
              </w:rPr>
              <w:t>表</w:t>
            </w:r>
            <w:r>
              <w:rPr>
                <w:rFonts w:hint="eastAsia"/>
                <w:b/>
                <w:bCs/>
                <w:color w:val="auto"/>
                <w:kern w:val="0"/>
                <w:sz w:val="24"/>
              </w:rPr>
              <w:t>1-5</w:t>
            </w:r>
            <w:r>
              <w:rPr>
                <w:b/>
                <w:bCs/>
                <w:color w:val="auto"/>
                <w:kern w:val="0"/>
                <w:sz w:val="24"/>
              </w:rPr>
              <w:tab/>
            </w:r>
            <w:r>
              <w:rPr>
                <w:b/>
                <w:bCs/>
                <w:color w:val="auto"/>
                <w:kern w:val="0"/>
                <w:sz w:val="24"/>
              </w:rPr>
              <w:t>与</w:t>
            </w:r>
            <w:r>
              <w:rPr>
                <w:rFonts w:hint="eastAsia"/>
                <w:b/>
                <w:bCs/>
                <w:color w:val="auto"/>
                <w:kern w:val="0"/>
                <w:sz w:val="24"/>
              </w:rPr>
              <w:t>《云南省杞麓湖保护条例》</w:t>
            </w:r>
            <w:r>
              <w:rPr>
                <w:b/>
                <w:bCs/>
                <w:color w:val="auto"/>
                <w:kern w:val="0"/>
                <w:sz w:val="24"/>
              </w:rPr>
              <w:t>符合性分析一览表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8"/>
              <w:gridCol w:w="3472"/>
              <w:gridCol w:w="528"/>
            </w:tblGrid>
            <w:tr w14:paraId="076A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418" w:type="dxa"/>
                  <w:vAlign w:val="center"/>
                </w:tcPr>
                <w:p w14:paraId="6AF4F664">
                  <w:pPr>
                    <w:adjustRightInd w:val="0"/>
                    <w:jc w:val="center"/>
                    <w:rPr>
                      <w:rFonts w:hAnsi="Calibri"/>
                      <w:b/>
                      <w:bCs/>
                      <w:color w:val="auto"/>
                      <w:szCs w:val="21"/>
                    </w:rPr>
                  </w:pPr>
                  <w:r>
                    <w:rPr>
                      <w:rFonts w:hint="eastAsia" w:hAnsi="Calibri"/>
                      <w:b/>
                      <w:bCs/>
                      <w:color w:val="auto"/>
                      <w:szCs w:val="21"/>
                    </w:rPr>
                    <w:t>云南省杞麓湖保护条例</w:t>
                  </w:r>
                </w:p>
              </w:tc>
              <w:tc>
                <w:tcPr>
                  <w:tcW w:w="3472" w:type="dxa"/>
                  <w:vAlign w:val="center"/>
                </w:tcPr>
                <w:p w14:paraId="529D457A">
                  <w:pPr>
                    <w:adjustRightInd w:val="0"/>
                    <w:jc w:val="center"/>
                    <w:rPr>
                      <w:rFonts w:hAnsi="Calibri"/>
                      <w:b/>
                      <w:bCs/>
                      <w:color w:val="auto"/>
                      <w:szCs w:val="21"/>
                    </w:rPr>
                  </w:pPr>
                  <w:r>
                    <w:rPr>
                      <w:rFonts w:hint="eastAsia" w:hAnsi="Calibri"/>
                      <w:b/>
                      <w:bCs/>
                      <w:color w:val="auto"/>
                      <w:szCs w:val="21"/>
                    </w:rPr>
                    <w:t>项目情况</w:t>
                  </w:r>
                </w:p>
              </w:tc>
              <w:tc>
                <w:tcPr>
                  <w:tcW w:w="528" w:type="dxa"/>
                  <w:vAlign w:val="center"/>
                </w:tcPr>
                <w:p w14:paraId="767F2991">
                  <w:pPr>
                    <w:adjustRightInd w:val="0"/>
                    <w:jc w:val="center"/>
                    <w:rPr>
                      <w:rFonts w:hAnsi="Calibri"/>
                      <w:b/>
                      <w:bCs/>
                      <w:color w:val="auto"/>
                      <w:szCs w:val="21"/>
                    </w:rPr>
                  </w:pPr>
                  <w:r>
                    <w:rPr>
                      <w:rFonts w:hint="eastAsia" w:hAnsi="Calibri"/>
                      <w:b/>
                      <w:bCs/>
                      <w:color w:val="auto"/>
                      <w:szCs w:val="21"/>
                    </w:rPr>
                    <w:t>符合情况</w:t>
                  </w:r>
                </w:p>
              </w:tc>
            </w:tr>
            <w:tr w14:paraId="7749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418" w:type="dxa"/>
                  <w:gridSpan w:val="3"/>
                  <w:vAlign w:val="center"/>
                </w:tcPr>
                <w:p w14:paraId="1DDB0B36">
                  <w:pPr>
                    <w:adjustRightInd w:val="0"/>
                    <w:jc w:val="center"/>
                    <w:rPr>
                      <w:rFonts w:hAnsi="Calibri"/>
                      <w:color w:val="auto"/>
                      <w:szCs w:val="21"/>
                    </w:rPr>
                  </w:pPr>
                  <w:r>
                    <w:rPr>
                      <w:rFonts w:hint="eastAsia" w:hAnsi="Calibri"/>
                      <w:b/>
                      <w:bCs/>
                      <w:color w:val="auto"/>
                      <w:szCs w:val="21"/>
                    </w:rPr>
                    <w:t>绿色发展区</w:t>
                  </w:r>
                </w:p>
              </w:tc>
            </w:tr>
            <w:tr w14:paraId="6FE5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3418" w:type="dxa"/>
                  <w:vAlign w:val="center"/>
                </w:tcPr>
                <w:p w14:paraId="6983B6B8">
                  <w:pPr>
                    <w:adjustRightInd w:val="0"/>
                    <w:jc w:val="center"/>
                    <w:rPr>
                      <w:rFonts w:hAnsi="Calibri"/>
                      <w:b/>
                      <w:bCs/>
                      <w:color w:val="auto"/>
                      <w:szCs w:val="21"/>
                    </w:rPr>
                  </w:pPr>
                  <w:r>
                    <w:rPr>
                      <w:rFonts w:hint="eastAsia" w:hAnsi="Calibri"/>
                      <w:b/>
                      <w:bCs/>
                      <w:color w:val="auto"/>
                      <w:szCs w:val="21"/>
                    </w:rPr>
                    <w:t>第二十四条　</w:t>
                  </w:r>
                  <w:r>
                    <w:rPr>
                      <w:rFonts w:hint="eastAsia" w:hAnsi="Calibri"/>
                      <w:color w:val="auto"/>
                      <w:szCs w:val="21"/>
                    </w:rPr>
                    <w:t>绿色发展区应当科学确定人口和城镇建设规模，严格管控建设用地总规模。加快产业结构调整，淘汰落后产能，逐步退出高污染、高耗水、高耗能项目。</w:t>
                  </w:r>
                </w:p>
              </w:tc>
              <w:tc>
                <w:tcPr>
                  <w:tcW w:w="3472" w:type="dxa"/>
                  <w:vAlign w:val="center"/>
                </w:tcPr>
                <w:p w14:paraId="7D059A6A">
                  <w:pPr>
                    <w:adjustRightInd w:val="0"/>
                    <w:jc w:val="center"/>
                    <w:rPr>
                      <w:rFonts w:hAnsi="Calibri"/>
                      <w:color w:val="auto"/>
                      <w:szCs w:val="21"/>
                    </w:rPr>
                  </w:pPr>
                  <w:r>
                    <w:rPr>
                      <w:rFonts w:hint="eastAsia" w:hAnsi="Calibri"/>
                      <w:color w:val="auto"/>
                      <w:szCs w:val="21"/>
                    </w:rPr>
                    <w:t>本项目涉及的四个卫生院位于杞麓湖绿色发展区。本项目属于卫生院项目，不涉及落后产能，高污染、高耗水、高耗能的项目。</w:t>
                  </w:r>
                </w:p>
              </w:tc>
              <w:tc>
                <w:tcPr>
                  <w:tcW w:w="528" w:type="dxa"/>
                  <w:vAlign w:val="center"/>
                </w:tcPr>
                <w:p w14:paraId="5B01D216">
                  <w:pPr>
                    <w:adjustRightInd w:val="0"/>
                    <w:jc w:val="center"/>
                    <w:rPr>
                      <w:rFonts w:hAnsi="Calibri"/>
                      <w:color w:val="auto"/>
                      <w:szCs w:val="21"/>
                    </w:rPr>
                  </w:pPr>
                  <w:r>
                    <w:rPr>
                      <w:rFonts w:hint="eastAsia" w:hAnsi="Calibri"/>
                      <w:color w:val="auto"/>
                      <w:szCs w:val="21"/>
                    </w:rPr>
                    <w:t>符合</w:t>
                  </w:r>
                </w:p>
              </w:tc>
            </w:tr>
            <w:tr w14:paraId="3689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52787399">
                  <w:pPr>
                    <w:adjustRightInd w:val="0"/>
                    <w:jc w:val="center"/>
                    <w:rPr>
                      <w:rFonts w:hAnsi="Calibri"/>
                      <w:b/>
                      <w:bCs/>
                      <w:color w:val="auto"/>
                      <w:szCs w:val="21"/>
                    </w:rPr>
                  </w:pPr>
                  <w:r>
                    <w:rPr>
                      <w:rFonts w:hint="eastAsia" w:hAnsi="Calibri"/>
                      <w:b/>
                      <w:bCs/>
                      <w:color w:val="auto"/>
                      <w:szCs w:val="21"/>
                    </w:rPr>
                    <w:t>第二十五条　绿色发展区禁止下列行为：</w:t>
                  </w:r>
                </w:p>
              </w:tc>
              <w:tc>
                <w:tcPr>
                  <w:tcW w:w="3472" w:type="dxa"/>
                  <w:vAlign w:val="center"/>
                </w:tcPr>
                <w:p w14:paraId="71F79C35">
                  <w:pPr>
                    <w:adjustRightInd w:val="0"/>
                    <w:jc w:val="center"/>
                    <w:rPr>
                      <w:rFonts w:hAnsi="Calibri"/>
                      <w:color w:val="auto"/>
                      <w:szCs w:val="21"/>
                    </w:rPr>
                  </w:pPr>
                  <w:r>
                    <w:rPr>
                      <w:rFonts w:hint="eastAsia" w:hAnsi="Calibri"/>
                      <w:color w:val="auto"/>
                      <w:szCs w:val="21"/>
                    </w:rPr>
                    <w:t>/</w:t>
                  </w:r>
                </w:p>
              </w:tc>
              <w:tc>
                <w:tcPr>
                  <w:tcW w:w="528" w:type="dxa"/>
                  <w:vAlign w:val="center"/>
                </w:tcPr>
                <w:p w14:paraId="43307F1C">
                  <w:pPr>
                    <w:adjustRightInd w:val="0"/>
                    <w:jc w:val="center"/>
                    <w:rPr>
                      <w:rFonts w:hAnsi="Calibri"/>
                      <w:color w:val="auto"/>
                      <w:szCs w:val="21"/>
                    </w:rPr>
                  </w:pPr>
                  <w:r>
                    <w:rPr>
                      <w:rFonts w:hint="eastAsia" w:hAnsi="Calibri"/>
                      <w:color w:val="auto"/>
                      <w:szCs w:val="21"/>
                    </w:rPr>
                    <w:t>/</w:t>
                  </w:r>
                </w:p>
              </w:tc>
            </w:tr>
            <w:tr w14:paraId="02FF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8" w:type="dxa"/>
                  <w:vAlign w:val="center"/>
                </w:tcPr>
                <w:p w14:paraId="492AC8C2">
                  <w:pPr>
                    <w:adjustRightInd w:val="0"/>
                    <w:jc w:val="center"/>
                    <w:rPr>
                      <w:rFonts w:hAnsi="Calibri"/>
                      <w:color w:val="auto"/>
                      <w:szCs w:val="21"/>
                    </w:rPr>
                  </w:pPr>
                  <w:r>
                    <w:rPr>
                      <w:rFonts w:hint="eastAsia" w:hAnsi="Calibri"/>
                      <w:color w:val="auto"/>
                      <w:szCs w:val="21"/>
                    </w:rPr>
                    <w:t>（一）新建、改建、扩建严重污染环境、破坏生态平衡和自然景观的项目；</w:t>
                  </w:r>
                </w:p>
              </w:tc>
              <w:tc>
                <w:tcPr>
                  <w:tcW w:w="3472" w:type="dxa"/>
                  <w:vAlign w:val="center"/>
                </w:tcPr>
                <w:p w14:paraId="0964A88D">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75A2D62D">
                  <w:pPr>
                    <w:adjustRightInd w:val="0"/>
                    <w:jc w:val="center"/>
                    <w:rPr>
                      <w:rFonts w:hAnsi="Calibri"/>
                      <w:color w:val="auto"/>
                      <w:szCs w:val="21"/>
                    </w:rPr>
                  </w:pPr>
                  <w:r>
                    <w:rPr>
                      <w:rFonts w:hint="eastAsia" w:hAnsi="Calibri"/>
                      <w:color w:val="auto"/>
                      <w:szCs w:val="21"/>
                    </w:rPr>
                    <w:t>符合</w:t>
                  </w:r>
                </w:p>
              </w:tc>
            </w:tr>
            <w:tr w14:paraId="3A0F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3418" w:type="dxa"/>
                  <w:vAlign w:val="center"/>
                </w:tcPr>
                <w:p w14:paraId="1E430002">
                  <w:pPr>
                    <w:adjustRightInd w:val="0"/>
                    <w:jc w:val="center"/>
                    <w:rPr>
                      <w:rFonts w:hAnsi="Calibri"/>
                      <w:color w:val="auto"/>
                      <w:szCs w:val="21"/>
                    </w:rPr>
                  </w:pPr>
                  <w:r>
                    <w:rPr>
                      <w:rFonts w:hint="eastAsia" w:hAnsi="Calibri"/>
                      <w:color w:val="auto"/>
                      <w:szCs w:val="21"/>
                    </w:rPr>
                    <w:t>（二）开山、采石、挖砂、取土、毁林、毁草、挖树根等；</w:t>
                  </w:r>
                </w:p>
              </w:tc>
              <w:tc>
                <w:tcPr>
                  <w:tcW w:w="3472" w:type="dxa"/>
                  <w:vAlign w:val="center"/>
                </w:tcPr>
                <w:p w14:paraId="0B640155">
                  <w:pPr>
                    <w:adjustRightInd w:val="0"/>
                    <w:jc w:val="center"/>
                    <w:rPr>
                      <w:rFonts w:hAnsi="Calibri"/>
                      <w:color w:val="auto"/>
                      <w:szCs w:val="21"/>
                    </w:rPr>
                  </w:pPr>
                  <w:r>
                    <w:rPr>
                      <w:rFonts w:hint="eastAsia" w:hAnsi="Calibri"/>
                      <w:color w:val="auto"/>
                      <w:szCs w:val="21"/>
                    </w:rPr>
                    <w:t>本项目所需砂石料及其他物料均为外购，项目不涉及开山、采石、挖砂、取土、毁林、毁草、挖树根等。</w:t>
                  </w:r>
                </w:p>
                <w:p w14:paraId="1693D1A1">
                  <w:pPr>
                    <w:adjustRightInd w:val="0"/>
                    <w:jc w:val="center"/>
                    <w:rPr>
                      <w:rFonts w:hAnsi="Calibri"/>
                      <w:color w:val="auto"/>
                      <w:szCs w:val="21"/>
                    </w:rPr>
                  </w:pPr>
                </w:p>
              </w:tc>
              <w:tc>
                <w:tcPr>
                  <w:tcW w:w="528" w:type="dxa"/>
                  <w:vAlign w:val="center"/>
                </w:tcPr>
                <w:p w14:paraId="3FDDC65C">
                  <w:pPr>
                    <w:adjustRightInd w:val="0"/>
                    <w:jc w:val="center"/>
                    <w:rPr>
                      <w:rFonts w:hAnsi="Calibri"/>
                      <w:color w:val="auto"/>
                      <w:szCs w:val="21"/>
                    </w:rPr>
                  </w:pPr>
                  <w:r>
                    <w:rPr>
                      <w:rFonts w:hint="eastAsia" w:hAnsi="Calibri"/>
                      <w:color w:val="auto"/>
                      <w:szCs w:val="21"/>
                    </w:rPr>
                    <w:t>符合</w:t>
                  </w:r>
                </w:p>
              </w:tc>
            </w:tr>
            <w:tr w14:paraId="1301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017E31F0">
                  <w:pPr>
                    <w:adjustRightInd w:val="0"/>
                    <w:jc w:val="center"/>
                    <w:rPr>
                      <w:rFonts w:hAnsi="Calibri"/>
                      <w:color w:val="auto"/>
                      <w:szCs w:val="21"/>
                    </w:rPr>
                  </w:pPr>
                  <w:r>
                    <w:rPr>
                      <w:rFonts w:hint="eastAsia" w:hAnsi="Calibri"/>
                      <w:color w:val="auto"/>
                      <w:szCs w:val="21"/>
                    </w:rPr>
                    <w:t>（三）采矿、选矿；</w:t>
                  </w:r>
                </w:p>
              </w:tc>
              <w:tc>
                <w:tcPr>
                  <w:tcW w:w="3472" w:type="dxa"/>
                  <w:vAlign w:val="center"/>
                </w:tcPr>
                <w:p w14:paraId="614E8706">
                  <w:pPr>
                    <w:adjustRightInd w:val="0"/>
                    <w:jc w:val="center"/>
                    <w:rPr>
                      <w:rFonts w:hAnsi="Calibri"/>
                      <w:color w:val="auto"/>
                      <w:szCs w:val="21"/>
                    </w:rPr>
                  </w:pPr>
                  <w:r>
                    <w:rPr>
                      <w:rFonts w:hint="eastAsia" w:hAnsi="Calibri"/>
                      <w:color w:val="auto"/>
                      <w:szCs w:val="21"/>
                    </w:rPr>
                    <w:t>本项目不涉及采矿、选矿</w:t>
                  </w:r>
                </w:p>
              </w:tc>
              <w:tc>
                <w:tcPr>
                  <w:tcW w:w="528" w:type="dxa"/>
                  <w:vAlign w:val="center"/>
                </w:tcPr>
                <w:p w14:paraId="1C9ECBEC">
                  <w:pPr>
                    <w:adjustRightInd w:val="0"/>
                    <w:jc w:val="center"/>
                    <w:rPr>
                      <w:rFonts w:hAnsi="Calibri"/>
                      <w:color w:val="auto"/>
                      <w:szCs w:val="21"/>
                    </w:rPr>
                  </w:pPr>
                  <w:r>
                    <w:rPr>
                      <w:rFonts w:hint="eastAsia" w:hAnsi="Calibri"/>
                      <w:color w:val="auto"/>
                      <w:szCs w:val="21"/>
                    </w:rPr>
                    <w:t>符合</w:t>
                  </w:r>
                </w:p>
              </w:tc>
            </w:tr>
            <w:tr w14:paraId="16C7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418" w:type="dxa"/>
                  <w:vAlign w:val="center"/>
                </w:tcPr>
                <w:p w14:paraId="492467B3">
                  <w:pPr>
                    <w:adjustRightInd w:val="0"/>
                    <w:jc w:val="center"/>
                    <w:rPr>
                      <w:rFonts w:hAnsi="Calibri"/>
                      <w:color w:val="auto"/>
                      <w:szCs w:val="21"/>
                    </w:rPr>
                  </w:pPr>
                  <w:r>
                    <w:rPr>
                      <w:rFonts w:hint="eastAsia" w:hAnsi="Calibri"/>
                      <w:color w:val="auto"/>
                      <w:szCs w:val="21"/>
                    </w:rPr>
                    <w:t>（四）侵占河堤、护岸，损毁或者擅自移动防汛、水文、水利、科研、气象、测量、环境监测、杞麓湖保护相关标牌、环卫等设施；</w:t>
                  </w:r>
                </w:p>
              </w:tc>
              <w:tc>
                <w:tcPr>
                  <w:tcW w:w="3472" w:type="dxa"/>
                  <w:vAlign w:val="center"/>
                </w:tcPr>
                <w:p w14:paraId="14AB2668">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04ED183C">
                  <w:pPr>
                    <w:adjustRightInd w:val="0"/>
                    <w:jc w:val="center"/>
                    <w:rPr>
                      <w:rFonts w:hAnsi="Calibri"/>
                      <w:color w:val="auto"/>
                      <w:szCs w:val="21"/>
                    </w:rPr>
                  </w:pPr>
                  <w:r>
                    <w:rPr>
                      <w:rFonts w:hint="eastAsia" w:hAnsi="Calibri"/>
                      <w:color w:val="auto"/>
                      <w:szCs w:val="21"/>
                    </w:rPr>
                    <w:t>符合</w:t>
                  </w:r>
                </w:p>
              </w:tc>
            </w:tr>
            <w:tr w14:paraId="47FF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418" w:type="dxa"/>
                  <w:vAlign w:val="center"/>
                </w:tcPr>
                <w:p w14:paraId="7BF8EA45">
                  <w:pPr>
                    <w:adjustRightInd w:val="0"/>
                    <w:jc w:val="center"/>
                    <w:rPr>
                      <w:rFonts w:hAnsi="Calibri"/>
                      <w:color w:val="auto"/>
                      <w:szCs w:val="21"/>
                    </w:rPr>
                  </w:pPr>
                  <w:r>
                    <w:rPr>
                      <w:rFonts w:hint="eastAsia" w:hAnsi="Calibri"/>
                      <w:color w:val="auto"/>
                      <w:szCs w:val="21"/>
                    </w:rPr>
                    <w:t>（五）向入湖河道、沟渠、城镇排水管网排放超过国家、地方水污染排放标准或者超过重点水污染物排放总量控制指标的水污染物；</w:t>
                  </w:r>
                </w:p>
              </w:tc>
              <w:tc>
                <w:tcPr>
                  <w:tcW w:w="3472" w:type="dxa"/>
                  <w:vAlign w:val="center"/>
                </w:tcPr>
                <w:p w14:paraId="17405287">
                  <w:pPr>
                    <w:adjustRightInd w:val="0"/>
                    <w:jc w:val="center"/>
                    <w:rPr>
                      <w:rFonts w:hAnsi="Calibri"/>
                      <w:color w:val="auto"/>
                      <w:szCs w:val="21"/>
                    </w:rPr>
                  </w:pPr>
                  <w:r>
                    <w:rPr>
                      <w:rFonts w:hint="eastAsia" w:hAnsi="Calibri"/>
                      <w:color w:val="auto"/>
                      <w:szCs w:val="21"/>
                    </w:rPr>
                    <w:t>本项目污水经化粪池处理后排入污水处理站处理达标后排入污水处理厂处理，污水处理厂有足够的余量来处理本项目产生的废水</w:t>
                  </w:r>
                </w:p>
              </w:tc>
              <w:tc>
                <w:tcPr>
                  <w:tcW w:w="528" w:type="dxa"/>
                  <w:vAlign w:val="center"/>
                </w:tcPr>
                <w:p w14:paraId="19AAC975">
                  <w:pPr>
                    <w:adjustRightInd w:val="0"/>
                    <w:jc w:val="center"/>
                    <w:rPr>
                      <w:rFonts w:hAnsi="Calibri"/>
                      <w:color w:val="auto"/>
                      <w:szCs w:val="21"/>
                    </w:rPr>
                  </w:pPr>
                  <w:r>
                    <w:rPr>
                      <w:rFonts w:hint="eastAsia" w:hAnsi="Calibri"/>
                      <w:color w:val="auto"/>
                      <w:szCs w:val="21"/>
                    </w:rPr>
                    <w:t>符合</w:t>
                  </w:r>
                </w:p>
              </w:tc>
            </w:tr>
            <w:tr w14:paraId="1997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8" w:type="dxa"/>
                  <w:vAlign w:val="center"/>
                </w:tcPr>
                <w:p w14:paraId="257E1997">
                  <w:pPr>
                    <w:adjustRightInd w:val="0"/>
                    <w:jc w:val="center"/>
                    <w:rPr>
                      <w:rFonts w:hAnsi="Calibri"/>
                      <w:color w:val="auto"/>
                      <w:szCs w:val="21"/>
                    </w:rPr>
                  </w:pPr>
                  <w:r>
                    <w:rPr>
                      <w:rFonts w:hint="eastAsia" w:hAnsi="Calibri"/>
                      <w:color w:val="auto"/>
                      <w:szCs w:val="21"/>
                    </w:rPr>
                    <w:t>（六）向入湖河道、沟渠及河道岸坡排放、倾倒、填埋油类、酸液、碱液、剧毒废液（渣）等；</w:t>
                  </w:r>
                </w:p>
              </w:tc>
              <w:tc>
                <w:tcPr>
                  <w:tcW w:w="3472" w:type="dxa"/>
                  <w:vAlign w:val="center"/>
                </w:tcPr>
                <w:p w14:paraId="71A88C05">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6A1097AC">
                  <w:pPr>
                    <w:adjustRightInd w:val="0"/>
                    <w:jc w:val="center"/>
                    <w:rPr>
                      <w:rFonts w:hAnsi="Calibri"/>
                      <w:color w:val="auto"/>
                      <w:szCs w:val="21"/>
                    </w:rPr>
                  </w:pPr>
                  <w:r>
                    <w:rPr>
                      <w:rFonts w:hint="eastAsia" w:hAnsi="Calibri"/>
                      <w:color w:val="auto"/>
                      <w:szCs w:val="21"/>
                    </w:rPr>
                    <w:t>符合</w:t>
                  </w:r>
                </w:p>
              </w:tc>
            </w:tr>
            <w:tr w14:paraId="312B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8" w:type="dxa"/>
                  <w:vAlign w:val="center"/>
                </w:tcPr>
                <w:p w14:paraId="64D8A003">
                  <w:pPr>
                    <w:adjustRightInd w:val="0"/>
                    <w:jc w:val="center"/>
                    <w:rPr>
                      <w:rFonts w:hAnsi="Calibri"/>
                      <w:color w:val="auto"/>
                      <w:szCs w:val="21"/>
                    </w:rPr>
                  </w:pPr>
                  <w:r>
                    <w:rPr>
                      <w:rFonts w:hint="eastAsia" w:hAnsi="Calibri"/>
                      <w:color w:val="auto"/>
                      <w:szCs w:val="21"/>
                    </w:rPr>
                    <w:t>（七）在入湖河道、沟渠、水库最高水位线以下的滩地、岸坡堆放、存贮固体废弃物或者其他污染物；</w:t>
                  </w:r>
                </w:p>
              </w:tc>
              <w:tc>
                <w:tcPr>
                  <w:tcW w:w="3472" w:type="dxa"/>
                  <w:vAlign w:val="center"/>
                </w:tcPr>
                <w:p w14:paraId="657F6DD3">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64A53694">
                  <w:pPr>
                    <w:adjustRightInd w:val="0"/>
                    <w:jc w:val="center"/>
                    <w:rPr>
                      <w:rFonts w:hAnsi="Calibri"/>
                      <w:color w:val="auto"/>
                      <w:szCs w:val="21"/>
                    </w:rPr>
                  </w:pPr>
                  <w:r>
                    <w:rPr>
                      <w:rFonts w:hint="eastAsia" w:hAnsi="Calibri"/>
                      <w:color w:val="auto"/>
                      <w:szCs w:val="21"/>
                    </w:rPr>
                    <w:t>符合</w:t>
                  </w:r>
                </w:p>
              </w:tc>
            </w:tr>
            <w:tr w14:paraId="2267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76820EAE">
                  <w:pPr>
                    <w:adjustRightInd w:val="0"/>
                    <w:jc w:val="center"/>
                    <w:rPr>
                      <w:rFonts w:hAnsi="Calibri"/>
                      <w:color w:val="auto"/>
                      <w:szCs w:val="21"/>
                    </w:rPr>
                  </w:pPr>
                  <w:r>
                    <w:rPr>
                      <w:rFonts w:hint="eastAsia" w:hAnsi="Calibri"/>
                      <w:color w:val="auto"/>
                      <w:szCs w:val="21"/>
                    </w:rPr>
                    <w:t>（八）向入湖河道、沟渠、水库倾倒粪便、污水；</w:t>
                  </w:r>
                </w:p>
              </w:tc>
              <w:tc>
                <w:tcPr>
                  <w:tcW w:w="3472" w:type="dxa"/>
                  <w:vAlign w:val="center"/>
                </w:tcPr>
                <w:p w14:paraId="767A176D">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44E1B84B">
                  <w:pPr>
                    <w:adjustRightInd w:val="0"/>
                    <w:jc w:val="center"/>
                    <w:rPr>
                      <w:rFonts w:hAnsi="Calibri"/>
                      <w:color w:val="auto"/>
                      <w:szCs w:val="21"/>
                    </w:rPr>
                  </w:pPr>
                  <w:r>
                    <w:rPr>
                      <w:rFonts w:hint="eastAsia" w:hAnsi="Calibri"/>
                      <w:color w:val="auto"/>
                      <w:szCs w:val="21"/>
                    </w:rPr>
                    <w:t>符合</w:t>
                  </w:r>
                </w:p>
              </w:tc>
            </w:tr>
            <w:tr w14:paraId="670C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8" w:type="dxa"/>
                  <w:vAlign w:val="center"/>
                </w:tcPr>
                <w:p w14:paraId="0806F3C6">
                  <w:pPr>
                    <w:adjustRightInd w:val="0"/>
                    <w:jc w:val="center"/>
                    <w:rPr>
                      <w:rFonts w:hAnsi="Calibri"/>
                      <w:color w:val="auto"/>
                      <w:szCs w:val="21"/>
                    </w:rPr>
                  </w:pPr>
                  <w:r>
                    <w:rPr>
                      <w:rFonts w:hint="eastAsia" w:hAnsi="Calibri"/>
                      <w:color w:val="auto"/>
                      <w:szCs w:val="21"/>
                    </w:rPr>
                    <w:t>（九）在入湖河道、沟渠、水库内丢弃农药、农药包装物或者清洗施药器械；</w:t>
                  </w:r>
                </w:p>
              </w:tc>
              <w:tc>
                <w:tcPr>
                  <w:tcW w:w="3472" w:type="dxa"/>
                  <w:vAlign w:val="center"/>
                </w:tcPr>
                <w:p w14:paraId="0DC295C6">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7CF89229">
                  <w:pPr>
                    <w:adjustRightInd w:val="0"/>
                    <w:jc w:val="center"/>
                    <w:rPr>
                      <w:rFonts w:hAnsi="Calibri"/>
                      <w:color w:val="auto"/>
                      <w:szCs w:val="21"/>
                    </w:rPr>
                  </w:pPr>
                  <w:r>
                    <w:rPr>
                      <w:rFonts w:hint="eastAsia" w:hAnsi="Calibri"/>
                      <w:color w:val="auto"/>
                      <w:szCs w:val="21"/>
                    </w:rPr>
                    <w:t>符合</w:t>
                  </w:r>
                </w:p>
              </w:tc>
            </w:tr>
            <w:tr w14:paraId="465F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trPr>
              <w:tc>
                <w:tcPr>
                  <w:tcW w:w="3418" w:type="dxa"/>
                  <w:vAlign w:val="center"/>
                </w:tcPr>
                <w:p w14:paraId="58862EB1">
                  <w:pPr>
                    <w:adjustRightInd w:val="0"/>
                    <w:jc w:val="center"/>
                    <w:rPr>
                      <w:rFonts w:hAnsi="Calibri"/>
                      <w:color w:val="auto"/>
                      <w:szCs w:val="21"/>
                    </w:rPr>
                  </w:pPr>
                  <w:r>
                    <w:rPr>
                      <w:rFonts w:hint="eastAsia" w:hAnsi="Calibri"/>
                      <w:color w:val="auto"/>
                      <w:szCs w:val="21"/>
                    </w:rPr>
                    <w:t>（十）随意倾倒垃圾、抛撒或者堆放泡沫、塑料餐饮具、塑料袋等；</w:t>
                  </w:r>
                </w:p>
              </w:tc>
              <w:tc>
                <w:tcPr>
                  <w:tcW w:w="3472" w:type="dxa"/>
                  <w:vAlign w:val="center"/>
                </w:tcPr>
                <w:p w14:paraId="2EBA1D8F">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350CC7F3">
                  <w:pPr>
                    <w:adjustRightInd w:val="0"/>
                    <w:jc w:val="center"/>
                    <w:rPr>
                      <w:rFonts w:hAnsi="Calibri"/>
                      <w:color w:val="auto"/>
                      <w:szCs w:val="21"/>
                    </w:rPr>
                  </w:pPr>
                  <w:r>
                    <w:rPr>
                      <w:rFonts w:hint="eastAsia" w:hAnsi="Calibri"/>
                      <w:color w:val="auto"/>
                      <w:szCs w:val="21"/>
                    </w:rPr>
                    <w:t>符合</w:t>
                  </w:r>
                </w:p>
              </w:tc>
            </w:tr>
            <w:tr w14:paraId="37B6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574ACE60">
                  <w:pPr>
                    <w:adjustRightInd w:val="0"/>
                    <w:jc w:val="center"/>
                    <w:rPr>
                      <w:rFonts w:hAnsi="Calibri"/>
                      <w:color w:val="auto"/>
                      <w:szCs w:val="21"/>
                    </w:rPr>
                  </w:pPr>
                  <w:r>
                    <w:rPr>
                      <w:rFonts w:hint="eastAsia" w:hAnsi="Calibri"/>
                      <w:color w:val="auto"/>
                      <w:szCs w:val="21"/>
                    </w:rPr>
                    <w:t>（十一）随意倾倒、堆放、填埋废弃菜叶等农业废弃物；</w:t>
                  </w:r>
                </w:p>
              </w:tc>
              <w:tc>
                <w:tcPr>
                  <w:tcW w:w="3472" w:type="dxa"/>
                  <w:vAlign w:val="center"/>
                </w:tcPr>
                <w:p w14:paraId="6BDC279E">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77E8C411">
                  <w:pPr>
                    <w:adjustRightInd w:val="0"/>
                    <w:jc w:val="center"/>
                    <w:rPr>
                      <w:rFonts w:hAnsi="Calibri"/>
                      <w:color w:val="auto"/>
                      <w:szCs w:val="21"/>
                    </w:rPr>
                  </w:pPr>
                  <w:r>
                    <w:rPr>
                      <w:rFonts w:hint="eastAsia" w:hAnsi="Calibri"/>
                      <w:color w:val="auto"/>
                      <w:szCs w:val="21"/>
                    </w:rPr>
                    <w:t>符合</w:t>
                  </w:r>
                </w:p>
              </w:tc>
            </w:tr>
            <w:tr w14:paraId="3E23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8" w:type="dxa"/>
                  <w:vAlign w:val="center"/>
                </w:tcPr>
                <w:p w14:paraId="791BD9B0">
                  <w:pPr>
                    <w:adjustRightInd w:val="0"/>
                    <w:jc w:val="center"/>
                    <w:rPr>
                      <w:rFonts w:hAnsi="Calibri"/>
                      <w:color w:val="auto"/>
                      <w:szCs w:val="21"/>
                    </w:rPr>
                  </w:pPr>
                  <w:r>
                    <w:rPr>
                      <w:rFonts w:hint="eastAsia" w:hAnsi="Calibri"/>
                      <w:color w:val="auto"/>
                      <w:szCs w:val="21"/>
                    </w:rPr>
                    <w:t>（十二）生产、销售、使用杀鼠剂以外的限制使用类农药和含磷洗涤用品；</w:t>
                  </w:r>
                </w:p>
              </w:tc>
              <w:tc>
                <w:tcPr>
                  <w:tcW w:w="3472" w:type="dxa"/>
                  <w:vAlign w:val="center"/>
                </w:tcPr>
                <w:p w14:paraId="3C7B38D0">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5E3F5169">
                  <w:pPr>
                    <w:adjustRightInd w:val="0"/>
                    <w:jc w:val="center"/>
                    <w:rPr>
                      <w:rFonts w:hAnsi="Calibri"/>
                      <w:color w:val="auto"/>
                      <w:szCs w:val="21"/>
                    </w:rPr>
                  </w:pPr>
                  <w:r>
                    <w:rPr>
                      <w:rFonts w:hint="eastAsia" w:hAnsi="Calibri"/>
                      <w:color w:val="auto"/>
                      <w:szCs w:val="21"/>
                    </w:rPr>
                    <w:t>符合</w:t>
                  </w:r>
                </w:p>
              </w:tc>
            </w:tr>
            <w:tr w14:paraId="09B5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6460BF3D">
                  <w:pPr>
                    <w:adjustRightInd w:val="0"/>
                    <w:jc w:val="center"/>
                    <w:rPr>
                      <w:rFonts w:hAnsi="Calibri"/>
                      <w:color w:val="auto"/>
                      <w:szCs w:val="21"/>
                    </w:rPr>
                  </w:pPr>
                  <w:r>
                    <w:rPr>
                      <w:rFonts w:hint="eastAsia" w:hAnsi="Calibri"/>
                      <w:color w:val="auto"/>
                      <w:szCs w:val="21"/>
                    </w:rPr>
                    <w:t>（十三）擅自取水或者违反取水许可规定取水；</w:t>
                  </w:r>
                </w:p>
              </w:tc>
              <w:tc>
                <w:tcPr>
                  <w:tcW w:w="3472" w:type="dxa"/>
                  <w:vAlign w:val="center"/>
                </w:tcPr>
                <w:p w14:paraId="6E95662B">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747D65BF">
                  <w:pPr>
                    <w:adjustRightInd w:val="0"/>
                    <w:jc w:val="center"/>
                    <w:rPr>
                      <w:rFonts w:hAnsi="Calibri"/>
                      <w:color w:val="auto"/>
                      <w:szCs w:val="21"/>
                    </w:rPr>
                  </w:pPr>
                  <w:r>
                    <w:rPr>
                      <w:rFonts w:hint="eastAsia" w:hAnsi="Calibri"/>
                      <w:color w:val="auto"/>
                      <w:szCs w:val="21"/>
                    </w:rPr>
                    <w:t>符合</w:t>
                  </w:r>
                </w:p>
              </w:tc>
            </w:tr>
            <w:tr w14:paraId="72BE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09749E8A">
                  <w:pPr>
                    <w:adjustRightInd w:val="0"/>
                    <w:jc w:val="center"/>
                    <w:rPr>
                      <w:rFonts w:hAnsi="Calibri"/>
                      <w:color w:val="auto"/>
                      <w:szCs w:val="21"/>
                    </w:rPr>
                  </w:pPr>
                  <w:r>
                    <w:rPr>
                      <w:rFonts w:hint="eastAsia" w:hAnsi="Calibri"/>
                      <w:color w:val="auto"/>
                      <w:szCs w:val="21"/>
                    </w:rPr>
                    <w:t>（十四）擅自释放或者丢弃外来物种；</w:t>
                  </w:r>
                </w:p>
              </w:tc>
              <w:tc>
                <w:tcPr>
                  <w:tcW w:w="3472" w:type="dxa"/>
                  <w:vAlign w:val="center"/>
                </w:tcPr>
                <w:p w14:paraId="59F2D5EB">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540584A4">
                  <w:pPr>
                    <w:adjustRightInd w:val="0"/>
                    <w:jc w:val="center"/>
                    <w:rPr>
                      <w:rFonts w:hAnsi="Calibri"/>
                      <w:color w:val="auto"/>
                      <w:szCs w:val="21"/>
                    </w:rPr>
                  </w:pPr>
                  <w:r>
                    <w:rPr>
                      <w:rFonts w:hint="eastAsia" w:hAnsi="Calibri"/>
                      <w:color w:val="auto"/>
                      <w:szCs w:val="21"/>
                    </w:rPr>
                    <w:t>符合</w:t>
                  </w:r>
                </w:p>
              </w:tc>
            </w:tr>
            <w:tr w14:paraId="7D85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0F60D861">
                  <w:pPr>
                    <w:adjustRightInd w:val="0"/>
                    <w:jc w:val="center"/>
                    <w:rPr>
                      <w:rFonts w:hAnsi="Calibri"/>
                      <w:color w:val="auto"/>
                      <w:szCs w:val="21"/>
                    </w:rPr>
                  </w:pPr>
                  <w:r>
                    <w:rPr>
                      <w:rFonts w:hint="eastAsia" w:hAnsi="Calibri"/>
                      <w:color w:val="auto"/>
                      <w:szCs w:val="21"/>
                    </w:rPr>
                    <w:t>（十五）违法猎捕、杀害、买卖野生动物；</w:t>
                  </w:r>
                </w:p>
              </w:tc>
              <w:tc>
                <w:tcPr>
                  <w:tcW w:w="3472" w:type="dxa"/>
                  <w:vAlign w:val="center"/>
                </w:tcPr>
                <w:p w14:paraId="1159B89D">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3A0C1B6E">
                  <w:pPr>
                    <w:adjustRightInd w:val="0"/>
                    <w:jc w:val="center"/>
                    <w:rPr>
                      <w:rFonts w:hAnsi="Calibri"/>
                      <w:color w:val="auto"/>
                      <w:szCs w:val="21"/>
                    </w:rPr>
                  </w:pPr>
                  <w:r>
                    <w:rPr>
                      <w:rFonts w:hint="eastAsia" w:hAnsi="Calibri"/>
                      <w:color w:val="auto"/>
                      <w:szCs w:val="21"/>
                    </w:rPr>
                    <w:t>符合</w:t>
                  </w:r>
                </w:p>
              </w:tc>
            </w:tr>
            <w:tr w14:paraId="77B7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747205B7">
                  <w:pPr>
                    <w:adjustRightInd w:val="0"/>
                    <w:jc w:val="center"/>
                    <w:rPr>
                      <w:rFonts w:hAnsi="Calibri"/>
                      <w:color w:val="auto"/>
                      <w:szCs w:val="21"/>
                    </w:rPr>
                  </w:pPr>
                  <w:r>
                    <w:rPr>
                      <w:rFonts w:hint="eastAsia" w:hAnsi="Calibri"/>
                      <w:color w:val="auto"/>
                      <w:szCs w:val="21"/>
                    </w:rPr>
                    <w:t>（十六）损毁或者擅自移动界桩、标识；</w:t>
                  </w:r>
                </w:p>
              </w:tc>
              <w:tc>
                <w:tcPr>
                  <w:tcW w:w="3472" w:type="dxa"/>
                  <w:vAlign w:val="center"/>
                </w:tcPr>
                <w:p w14:paraId="55523849">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4E463DA2">
                  <w:pPr>
                    <w:adjustRightInd w:val="0"/>
                    <w:jc w:val="center"/>
                    <w:rPr>
                      <w:rFonts w:hAnsi="Calibri"/>
                      <w:color w:val="auto"/>
                      <w:szCs w:val="21"/>
                    </w:rPr>
                  </w:pPr>
                  <w:r>
                    <w:rPr>
                      <w:rFonts w:hint="eastAsia" w:hAnsi="Calibri"/>
                      <w:color w:val="auto"/>
                      <w:szCs w:val="21"/>
                    </w:rPr>
                    <w:t>符合</w:t>
                  </w:r>
                </w:p>
              </w:tc>
            </w:tr>
            <w:tr w14:paraId="6BBA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418" w:type="dxa"/>
                  <w:vAlign w:val="center"/>
                </w:tcPr>
                <w:p w14:paraId="4D06034F">
                  <w:pPr>
                    <w:adjustRightInd w:val="0"/>
                    <w:jc w:val="center"/>
                    <w:rPr>
                      <w:rFonts w:hAnsi="Calibri"/>
                      <w:color w:val="auto"/>
                      <w:szCs w:val="21"/>
                    </w:rPr>
                  </w:pPr>
                  <w:r>
                    <w:rPr>
                      <w:rFonts w:hint="eastAsia" w:hAnsi="Calibri"/>
                      <w:color w:val="auto"/>
                      <w:szCs w:val="21"/>
                    </w:rPr>
                    <w:t>（十七）法律、法规禁止的其他行为。</w:t>
                  </w:r>
                </w:p>
              </w:tc>
              <w:tc>
                <w:tcPr>
                  <w:tcW w:w="3472" w:type="dxa"/>
                  <w:vAlign w:val="center"/>
                </w:tcPr>
                <w:p w14:paraId="7AB9D147">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459E79FE">
                  <w:pPr>
                    <w:adjustRightInd w:val="0"/>
                    <w:jc w:val="center"/>
                    <w:rPr>
                      <w:rFonts w:hAnsi="Calibri"/>
                      <w:color w:val="auto"/>
                      <w:szCs w:val="21"/>
                    </w:rPr>
                  </w:pPr>
                  <w:r>
                    <w:rPr>
                      <w:rFonts w:hint="eastAsia" w:hAnsi="Calibri"/>
                      <w:color w:val="auto"/>
                      <w:szCs w:val="21"/>
                    </w:rPr>
                    <w:t>符合</w:t>
                  </w:r>
                </w:p>
              </w:tc>
            </w:tr>
          </w:tbl>
          <w:p w14:paraId="7B30ABA7">
            <w:pPr>
              <w:autoSpaceDE w:val="0"/>
              <w:autoSpaceDN w:val="0"/>
              <w:spacing w:line="360" w:lineRule="auto"/>
              <w:ind w:firstLine="480" w:firstLineChars="200"/>
              <w:jc w:val="left"/>
              <w:rPr>
                <w:color w:val="auto"/>
                <w:sz w:val="24"/>
                <w:lang w:val="zh-CN"/>
              </w:rPr>
            </w:pPr>
            <w:r>
              <w:rPr>
                <w:color w:val="auto"/>
                <w:kern w:val="0"/>
                <w:sz w:val="24"/>
              </w:rPr>
              <w:t>根据表</w:t>
            </w:r>
            <w:r>
              <w:rPr>
                <w:rFonts w:hint="eastAsia"/>
                <w:color w:val="auto"/>
                <w:kern w:val="0"/>
                <w:sz w:val="24"/>
              </w:rPr>
              <w:t>1-</w:t>
            </w:r>
            <w:r>
              <w:rPr>
                <w:color w:val="auto"/>
                <w:kern w:val="0"/>
                <w:sz w:val="24"/>
              </w:rPr>
              <w:t>3可知</w:t>
            </w:r>
            <w:r>
              <w:rPr>
                <w:rFonts w:hint="eastAsia"/>
                <w:bCs/>
                <w:color w:val="auto"/>
                <w:kern w:val="0"/>
                <w:sz w:val="24"/>
              </w:rPr>
              <w:t>，项目不涉及《云南省杞麓湖保护条例》中规定的绿色发展区的禁止行为，因此本项目的建设符合《云南省杞麓湖保护条例》规定的要求。</w:t>
            </w:r>
          </w:p>
          <w:p w14:paraId="15361A7C">
            <w:pPr>
              <w:adjustRightInd w:val="0"/>
              <w:snapToGrid w:val="0"/>
              <w:spacing w:line="360" w:lineRule="auto"/>
              <w:rPr>
                <w:b/>
                <w:bCs/>
                <w:color w:val="auto"/>
                <w:kern w:val="0"/>
                <w:sz w:val="24"/>
              </w:rPr>
            </w:pPr>
            <w:r>
              <w:rPr>
                <w:rFonts w:hint="eastAsia"/>
                <w:b/>
                <w:bCs/>
                <w:color w:val="auto"/>
                <w:kern w:val="0"/>
                <w:sz w:val="24"/>
              </w:rPr>
              <w:t>六</w:t>
            </w:r>
            <w:r>
              <w:rPr>
                <w:b/>
                <w:bCs/>
                <w:color w:val="auto"/>
                <w:kern w:val="0"/>
                <w:sz w:val="24"/>
              </w:rPr>
              <w:t>、</w:t>
            </w:r>
            <w:r>
              <w:rPr>
                <w:rFonts w:hint="eastAsia"/>
                <w:b/>
                <w:bCs/>
                <w:color w:val="auto"/>
                <w:kern w:val="0"/>
                <w:sz w:val="24"/>
              </w:rPr>
              <w:t>与《云南省水污染防治工作方案》规划符合性分析</w:t>
            </w:r>
          </w:p>
          <w:p w14:paraId="57A2C16A">
            <w:pPr>
              <w:autoSpaceDE w:val="0"/>
              <w:autoSpaceDN w:val="0"/>
              <w:adjustRightInd w:val="0"/>
              <w:snapToGrid w:val="0"/>
              <w:spacing w:line="360" w:lineRule="auto"/>
              <w:ind w:firstLine="480" w:firstLineChars="200"/>
              <w:jc w:val="left"/>
              <w:rPr>
                <w:rFonts w:hint="eastAsia" w:ascii="宋体" w:hAnsi="宋体" w:cs="宋体"/>
                <w:bCs/>
                <w:color w:val="auto"/>
                <w:sz w:val="24"/>
              </w:rPr>
            </w:pPr>
            <w:r>
              <w:rPr>
                <w:rFonts w:hint="eastAsia" w:ascii="宋体" w:hAnsi="宋体" w:cs="宋体"/>
                <w:bCs/>
                <w:color w:val="auto"/>
                <w:sz w:val="24"/>
              </w:rPr>
              <w:t>《云南省水污染防治工作方案》（云政发(2016)3号）中指出工作目标为：到2020年，全省水环境质量得到阶段性改善。六大水系优良水体水环境质量稳中向好，长江流域昆明、楚雄，珠江流域红河、曲靖，西南诸河流域大理、德宏、玉溪、怒江、文山保山等州市重点控制区域的水环境质量不断改善提升。九大高原湖泊中，污染较重的滇池、星云湖、杞麓湖和异龙湖主要污染物得到有效控制，富营养化水平持续降低。螳螂川、龙川江等污染较重水体逐步恢复使用功能。全面推进城市黑臭水体整治工作。饮用水安全保障水平持续提升。地下水质量保持稳定。水生态环境状况明显好转。到2030年，全省水环境质量总体改善，水生态系统功能初步恢复。至本世纪中叶，生态环境质量全面改善，生态系统实现良性循环。</w:t>
            </w:r>
          </w:p>
          <w:p w14:paraId="19E2EC75">
            <w:pPr>
              <w:pStyle w:val="121"/>
              <w:adjustRightInd w:val="0"/>
              <w:snapToGrid w:val="0"/>
              <w:spacing w:beforeLines="0" w:afterLines="0"/>
              <w:ind w:firstLine="480"/>
              <w:rPr>
                <w:rFonts w:cs="Times New Roman"/>
                <w:color w:val="auto"/>
              </w:rPr>
            </w:pPr>
            <w:r>
              <w:rPr>
                <w:rFonts w:hint="eastAsia" w:ascii="宋体" w:hAnsi="宋体"/>
                <w:bCs/>
                <w:color w:val="auto"/>
              </w:rPr>
              <w:t>本项目产生的</w:t>
            </w:r>
            <w:r>
              <w:rPr>
                <w:rFonts w:hint="eastAsia"/>
                <w:bCs/>
                <w:color w:val="auto"/>
              </w:rPr>
              <w:t>废水</w:t>
            </w:r>
            <w:r>
              <w:rPr>
                <w:rFonts w:hint="eastAsia" w:ascii="宋体" w:hAnsi="宋体"/>
                <w:bCs/>
                <w:color w:val="auto"/>
              </w:rPr>
              <w:t>经</w:t>
            </w:r>
            <w:r>
              <w:rPr>
                <w:rFonts w:hint="eastAsia"/>
                <w:bCs/>
                <w:color w:val="auto"/>
              </w:rPr>
              <w:t>自建的</w:t>
            </w:r>
            <w:r>
              <w:rPr>
                <w:rFonts w:hint="eastAsia" w:ascii="宋体" w:hAnsi="宋体"/>
                <w:bCs/>
                <w:color w:val="auto"/>
              </w:rPr>
              <w:t>污水处理站处理达标后排入污水处理厂处理，</w:t>
            </w:r>
            <w:r>
              <w:rPr>
                <w:rFonts w:hint="eastAsia"/>
                <w:bCs/>
                <w:color w:val="auto"/>
              </w:rPr>
              <w:t>不直接外排，</w:t>
            </w:r>
            <w:r>
              <w:rPr>
                <w:rFonts w:hint="eastAsia" w:ascii="宋体" w:hAnsi="宋体"/>
                <w:bCs/>
                <w:color w:val="auto"/>
              </w:rPr>
              <w:t>对杞麓湖水质影响不大，故本项目符合《云南省水污染防治工作方案》要求</w:t>
            </w:r>
            <w:r>
              <w:rPr>
                <w:rFonts w:cs="Times New Roman"/>
                <w:snapToGrid w:val="0"/>
                <w:color w:val="auto"/>
              </w:rPr>
              <w:t>。</w:t>
            </w:r>
          </w:p>
          <w:p w14:paraId="3195FC07">
            <w:pPr>
              <w:pStyle w:val="18"/>
              <w:spacing w:line="360" w:lineRule="auto"/>
              <w:rPr>
                <w:rFonts w:hAnsi="Times New Roman" w:eastAsia="宋体"/>
                <w:b/>
                <w:bCs/>
                <w:color w:val="auto"/>
                <w:kern w:val="0"/>
                <w:sz w:val="24"/>
              </w:rPr>
            </w:pPr>
            <w:r>
              <w:rPr>
                <w:rFonts w:hint="eastAsia" w:hAnsi="Times New Roman" w:eastAsia="宋体"/>
                <w:b/>
                <w:bCs/>
                <w:color w:val="auto"/>
                <w:kern w:val="0"/>
                <w:sz w:val="24"/>
              </w:rPr>
              <w:t>七</w:t>
            </w:r>
            <w:r>
              <w:rPr>
                <w:rFonts w:hAnsi="Times New Roman" w:eastAsia="宋体"/>
                <w:b/>
                <w:bCs/>
                <w:color w:val="auto"/>
                <w:kern w:val="0"/>
                <w:sz w:val="24"/>
              </w:rPr>
              <w:t>、</w:t>
            </w:r>
            <w:r>
              <w:rPr>
                <w:rFonts w:hint="eastAsia" w:hAnsi="Times New Roman" w:eastAsia="宋体"/>
                <w:b/>
                <w:bCs/>
                <w:color w:val="auto"/>
                <w:kern w:val="0"/>
                <w:sz w:val="24"/>
              </w:rPr>
              <w:t>与《土壤污染防治行动计划》符合性分析</w:t>
            </w:r>
          </w:p>
          <w:p w14:paraId="5D85C86E">
            <w:pPr>
              <w:autoSpaceDE w:val="0"/>
              <w:autoSpaceDN w:val="0"/>
              <w:adjustRightInd w:val="0"/>
              <w:jc w:val="center"/>
              <w:rPr>
                <w:rFonts w:ascii="宋体" w:hAnsi="宋体" w:cs="宋体"/>
                <w:b/>
                <w:color w:val="auto"/>
                <w:szCs w:val="21"/>
              </w:rPr>
            </w:pPr>
          </w:p>
          <w:p w14:paraId="61F262DF">
            <w:pPr>
              <w:autoSpaceDE w:val="0"/>
              <w:autoSpaceDN w:val="0"/>
              <w:adjustRightInd w:val="0"/>
              <w:jc w:val="center"/>
              <w:rPr>
                <w:rFonts w:hint="eastAsia" w:ascii="宋体" w:hAnsi="宋体" w:cs="宋体"/>
                <w:b/>
                <w:color w:val="auto"/>
                <w:szCs w:val="21"/>
              </w:rPr>
            </w:pPr>
            <w:r>
              <w:rPr>
                <w:rFonts w:ascii="宋体" w:hAnsi="宋体" w:cs="宋体"/>
                <w:b/>
                <w:color w:val="auto"/>
                <w:szCs w:val="21"/>
              </w:rPr>
              <w:t>表1-</w:t>
            </w:r>
            <w:r>
              <w:rPr>
                <w:rFonts w:hint="eastAsia" w:ascii="宋体" w:hAnsi="宋体" w:cs="宋体"/>
                <w:b/>
                <w:color w:val="auto"/>
                <w:szCs w:val="21"/>
              </w:rPr>
              <w:t xml:space="preserve">6 </w:t>
            </w:r>
            <w:r>
              <w:rPr>
                <w:rFonts w:ascii="宋体" w:hAnsi="宋体" w:cs="宋体"/>
                <w:b/>
                <w:color w:val="auto"/>
                <w:szCs w:val="21"/>
              </w:rPr>
              <w:t>本项目与</w:t>
            </w:r>
            <w:r>
              <w:rPr>
                <w:rFonts w:hint="eastAsia" w:ascii="宋体" w:hAnsi="宋体" w:cs="宋体"/>
                <w:b/>
                <w:color w:val="auto"/>
                <w:szCs w:val="21"/>
              </w:rPr>
              <w:t>土壤污染防治行动计划</w:t>
            </w:r>
            <w:r>
              <w:rPr>
                <w:rFonts w:ascii="宋体" w:hAnsi="宋体" w:cs="宋体"/>
                <w:b/>
                <w:color w:val="auto"/>
                <w:szCs w:val="21"/>
              </w:rPr>
              <w:t>相关规定要求对照表</w:t>
            </w:r>
          </w:p>
          <w:tbl>
            <w:tblPr>
              <w:tblStyle w:val="33"/>
              <w:tblW w:w="7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7"/>
              <w:gridCol w:w="3136"/>
              <w:gridCol w:w="840"/>
            </w:tblGrid>
            <w:tr w14:paraId="747A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7" w:type="dxa"/>
                  <w:vAlign w:val="center"/>
                </w:tcPr>
                <w:p w14:paraId="2AC7E60C">
                  <w:pPr>
                    <w:autoSpaceDE w:val="0"/>
                    <w:autoSpaceDN w:val="0"/>
                    <w:adjustRightInd w:val="0"/>
                    <w:snapToGrid w:val="0"/>
                    <w:jc w:val="center"/>
                    <w:rPr>
                      <w:rFonts w:hint="eastAsia" w:ascii="宋体" w:hAnsi="宋体" w:cs="宋体"/>
                      <w:b/>
                      <w:color w:val="auto"/>
                      <w:szCs w:val="21"/>
                    </w:rPr>
                  </w:pPr>
                  <w:r>
                    <w:rPr>
                      <w:rFonts w:hint="eastAsia" w:ascii="宋体" w:hAnsi="宋体" w:cs="宋体"/>
                      <w:b/>
                      <w:color w:val="auto"/>
                      <w:szCs w:val="21"/>
                    </w:rPr>
                    <w:t>土壤污染防治行动计划</w:t>
                  </w:r>
                </w:p>
              </w:tc>
              <w:tc>
                <w:tcPr>
                  <w:tcW w:w="3136" w:type="dxa"/>
                  <w:vAlign w:val="center"/>
                </w:tcPr>
                <w:p w14:paraId="51D11673">
                  <w:pPr>
                    <w:autoSpaceDE w:val="0"/>
                    <w:autoSpaceDN w:val="0"/>
                    <w:adjustRightInd w:val="0"/>
                    <w:snapToGrid w:val="0"/>
                    <w:jc w:val="center"/>
                    <w:rPr>
                      <w:rFonts w:hint="eastAsia" w:ascii="宋体" w:hAnsi="宋体" w:cs="宋体"/>
                      <w:b/>
                      <w:color w:val="auto"/>
                      <w:szCs w:val="21"/>
                    </w:rPr>
                  </w:pPr>
                  <w:r>
                    <w:rPr>
                      <w:rFonts w:hint="eastAsia" w:ascii="宋体" w:hAnsi="宋体" w:cs="宋体"/>
                      <w:b/>
                      <w:color w:val="auto"/>
                      <w:szCs w:val="21"/>
                    </w:rPr>
                    <w:t>本项目执行情况</w:t>
                  </w:r>
                </w:p>
              </w:tc>
              <w:tc>
                <w:tcPr>
                  <w:tcW w:w="840" w:type="dxa"/>
                  <w:vAlign w:val="center"/>
                </w:tcPr>
                <w:p w14:paraId="5D572D8A">
                  <w:pPr>
                    <w:autoSpaceDE w:val="0"/>
                    <w:autoSpaceDN w:val="0"/>
                    <w:adjustRightInd w:val="0"/>
                    <w:snapToGrid w:val="0"/>
                    <w:jc w:val="center"/>
                    <w:rPr>
                      <w:rFonts w:hint="eastAsia" w:ascii="宋体" w:hAnsi="宋体" w:cs="宋体"/>
                      <w:b/>
                      <w:color w:val="auto"/>
                      <w:szCs w:val="21"/>
                    </w:rPr>
                  </w:pPr>
                  <w:r>
                    <w:rPr>
                      <w:rFonts w:hint="eastAsia" w:ascii="宋体" w:hAnsi="宋体" w:cs="宋体"/>
                      <w:b/>
                      <w:color w:val="auto"/>
                      <w:szCs w:val="21"/>
                    </w:rPr>
                    <w:t>符合性</w:t>
                  </w:r>
                </w:p>
              </w:tc>
            </w:tr>
            <w:tr w14:paraId="7541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3457" w:type="dxa"/>
                  <w:vAlign w:val="center"/>
                </w:tcPr>
                <w:p w14:paraId="2CBBB819">
                  <w:pPr>
                    <w:jc w:val="center"/>
                    <w:rPr>
                      <w:rFonts w:hint="eastAsia" w:ascii="宋体" w:hAnsi="宋体" w:cs="宋体"/>
                      <w:b/>
                      <w:color w:val="auto"/>
                      <w:szCs w:val="21"/>
                    </w:rPr>
                  </w:pPr>
                  <w:r>
                    <w:rPr>
                      <w:rFonts w:hint="eastAsia" w:ascii="宋体" w:hAnsi="宋体" w:cs="宋体"/>
                      <w:color w:val="auto"/>
                      <w:szCs w:val="21"/>
                    </w:rPr>
                    <w:t>推进土壤污染防治立法，建立健全法规标准体系。2020年，土壤污染防治法律法规体系基本建立：系统构建标准体系；全面强化监管执法，重点监测土壤中镉、汞、砷、铅、铬等重金属和多环芳经、石油经等有机污染物，重点监管有色金属矿采选、有色金属冶炼、石油开采等行业。</w:t>
                  </w:r>
                </w:p>
              </w:tc>
              <w:tc>
                <w:tcPr>
                  <w:tcW w:w="3136" w:type="dxa"/>
                  <w:vAlign w:val="center"/>
                </w:tcPr>
                <w:p w14:paraId="389273EB">
                  <w:pPr>
                    <w:autoSpaceDE w:val="0"/>
                    <w:autoSpaceDN w:val="0"/>
                    <w:adjustRightInd w:val="0"/>
                    <w:snapToGrid w:val="0"/>
                    <w:jc w:val="center"/>
                    <w:rPr>
                      <w:rFonts w:hint="eastAsia" w:ascii="宋体" w:hAnsi="宋体" w:cs="宋体"/>
                      <w:b/>
                      <w:color w:val="auto"/>
                      <w:szCs w:val="21"/>
                    </w:rPr>
                  </w:pPr>
                  <w:r>
                    <w:rPr>
                      <w:rFonts w:hint="eastAsia" w:ascii="宋体" w:hAnsi="宋体" w:cs="宋体"/>
                      <w:bCs/>
                      <w:color w:val="auto"/>
                      <w:szCs w:val="21"/>
                    </w:rPr>
                    <w:t>根据土壤污染防治行动计划要求，卫生院定期制定计划，对污水处理站周边土壤进行监测，重点监测土壤中镉、汞、砷、铅、铬等</w:t>
                  </w:r>
                </w:p>
              </w:tc>
              <w:tc>
                <w:tcPr>
                  <w:tcW w:w="840" w:type="dxa"/>
                  <w:vAlign w:val="center"/>
                </w:tcPr>
                <w:p w14:paraId="6575DA3B">
                  <w:pPr>
                    <w:autoSpaceDE w:val="0"/>
                    <w:autoSpaceDN w:val="0"/>
                    <w:adjustRightInd w:val="0"/>
                    <w:snapToGrid w:val="0"/>
                    <w:jc w:val="center"/>
                    <w:rPr>
                      <w:rFonts w:hint="eastAsia" w:ascii="宋体" w:hAnsi="宋体" w:cs="宋体"/>
                      <w:b/>
                      <w:color w:val="auto"/>
                      <w:szCs w:val="21"/>
                    </w:rPr>
                  </w:pPr>
                  <w:r>
                    <w:rPr>
                      <w:rFonts w:hint="eastAsia" w:ascii="宋体" w:hAnsi="宋体" w:cs="宋体"/>
                      <w:color w:val="auto"/>
                      <w:szCs w:val="21"/>
                    </w:rPr>
                    <w:t>符合</w:t>
                  </w:r>
                </w:p>
              </w:tc>
            </w:tr>
            <w:tr w14:paraId="1988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7" w:type="dxa"/>
                  <w:vAlign w:val="center"/>
                </w:tcPr>
                <w:p w14:paraId="7FB25851">
                  <w:pPr>
                    <w:jc w:val="center"/>
                    <w:rPr>
                      <w:rFonts w:hint="eastAsia" w:ascii="宋体" w:hAnsi="宋体" w:cs="宋体"/>
                      <w:color w:val="auto"/>
                      <w:szCs w:val="21"/>
                    </w:rPr>
                  </w:pPr>
                  <w:r>
                    <w:rPr>
                      <w:rFonts w:hint="eastAsia" w:ascii="宋体" w:hAnsi="宋体" w:cs="宋体"/>
                      <w:color w:val="auto"/>
                      <w:szCs w:val="21"/>
                    </w:rPr>
                    <w:t>强化未污染土壤保护，严控新增土壤污染。结合推进新型城镇化、产业结构调整和化解过剩产能等，有序搬迁或依法关闭对土壤造成严重污染的现有企业。</w:t>
                  </w:r>
                </w:p>
                <w:p w14:paraId="77F31A20">
                  <w:pPr>
                    <w:jc w:val="center"/>
                    <w:rPr>
                      <w:rFonts w:hint="eastAsia" w:ascii="宋体" w:hAnsi="宋体" w:cs="宋体"/>
                      <w:color w:val="auto"/>
                      <w:szCs w:val="21"/>
                    </w:rPr>
                  </w:pPr>
                </w:p>
              </w:tc>
              <w:tc>
                <w:tcPr>
                  <w:tcW w:w="3136" w:type="dxa"/>
                  <w:vAlign w:val="center"/>
                </w:tcPr>
                <w:p w14:paraId="443E43D2">
                  <w:pPr>
                    <w:jc w:val="center"/>
                    <w:rPr>
                      <w:rFonts w:hint="eastAsia" w:ascii="宋体" w:hAnsi="宋体" w:cs="宋体"/>
                      <w:color w:val="auto"/>
                      <w:szCs w:val="21"/>
                    </w:rPr>
                  </w:pPr>
                  <w:r>
                    <w:rPr>
                      <w:rFonts w:hint="eastAsia" w:ascii="宋体" w:hAnsi="宋体" w:cs="宋体"/>
                      <w:color w:val="auto"/>
                      <w:szCs w:val="21"/>
                    </w:rPr>
                    <w:t>本项目为卫生院建设项目，属于产业结构调整中鼓励类项目，本项目医疗废物暂存间采取防渗漏处理，污水处理站池体做重点防渗处理，化粪池做重点防渗处理对土壤环境影响较小。</w:t>
                  </w:r>
                </w:p>
              </w:tc>
              <w:tc>
                <w:tcPr>
                  <w:tcW w:w="840" w:type="dxa"/>
                  <w:vAlign w:val="center"/>
                </w:tcPr>
                <w:p w14:paraId="23BCB56B">
                  <w:pPr>
                    <w:jc w:val="center"/>
                    <w:rPr>
                      <w:rFonts w:hint="eastAsia" w:ascii="宋体" w:hAnsi="宋体" w:cs="宋体"/>
                      <w:color w:val="auto"/>
                      <w:szCs w:val="21"/>
                    </w:rPr>
                  </w:pPr>
                  <w:r>
                    <w:rPr>
                      <w:rFonts w:hint="eastAsia" w:ascii="宋体" w:hAnsi="宋体" w:cs="宋体"/>
                      <w:color w:val="auto"/>
                      <w:szCs w:val="21"/>
                    </w:rPr>
                    <w:t>符合</w:t>
                  </w:r>
                </w:p>
              </w:tc>
            </w:tr>
            <w:tr w14:paraId="761D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7" w:type="dxa"/>
                  <w:vAlign w:val="center"/>
                </w:tcPr>
                <w:p w14:paraId="278D8ADB">
                  <w:pPr>
                    <w:jc w:val="center"/>
                    <w:rPr>
                      <w:rFonts w:hint="eastAsia" w:ascii="宋体" w:hAnsi="宋体" w:cs="宋体"/>
                      <w:color w:val="auto"/>
                      <w:szCs w:val="21"/>
                    </w:rPr>
                  </w:pPr>
                  <w:r>
                    <w:rPr>
                      <w:rFonts w:hint="eastAsia" w:ascii="宋体" w:hAnsi="宋体" w:cs="宋体"/>
                      <w:color w:val="auto"/>
                      <w:szCs w:val="21"/>
                    </w:rPr>
                    <w:t>加强污染源监管，做好土壤污染预防工作。严控工矿污染，控制农业污染，减少生活污染。</w:t>
                  </w:r>
                </w:p>
                <w:p w14:paraId="7C14B27F">
                  <w:pPr>
                    <w:jc w:val="center"/>
                    <w:rPr>
                      <w:rFonts w:hint="eastAsia" w:ascii="宋体" w:hAnsi="宋体" w:cs="宋体"/>
                      <w:color w:val="auto"/>
                      <w:szCs w:val="21"/>
                    </w:rPr>
                  </w:pPr>
                </w:p>
              </w:tc>
              <w:tc>
                <w:tcPr>
                  <w:tcW w:w="3136" w:type="dxa"/>
                  <w:vAlign w:val="center"/>
                </w:tcPr>
                <w:p w14:paraId="4110A228">
                  <w:pPr>
                    <w:rPr>
                      <w:rFonts w:hint="eastAsia" w:ascii="宋体" w:hAnsi="宋体" w:cs="宋体"/>
                      <w:color w:val="auto"/>
                      <w:szCs w:val="21"/>
                    </w:rPr>
                  </w:pPr>
                  <w:r>
                    <w:rPr>
                      <w:rFonts w:hint="eastAsia" w:ascii="宋体" w:hAnsi="宋体" w:cs="宋体"/>
                      <w:color w:val="auto"/>
                      <w:szCs w:val="21"/>
                    </w:rPr>
                    <w:t>本项目将加强污染物产排的监管，并做好土壤污染预防工作，产生的医疗废物定期交有资质的玉溪兴洁垃圾处理有限公司处置，生活垃圾定期由环卫部门清运处置，减少了生活污染。</w:t>
                  </w:r>
                </w:p>
              </w:tc>
              <w:tc>
                <w:tcPr>
                  <w:tcW w:w="840" w:type="dxa"/>
                  <w:vAlign w:val="center"/>
                </w:tcPr>
                <w:p w14:paraId="3629A14A">
                  <w:pPr>
                    <w:jc w:val="center"/>
                    <w:rPr>
                      <w:rFonts w:hint="eastAsia" w:ascii="宋体" w:hAnsi="宋体" w:cs="宋体"/>
                      <w:color w:val="auto"/>
                      <w:szCs w:val="21"/>
                    </w:rPr>
                  </w:pPr>
                  <w:r>
                    <w:rPr>
                      <w:rFonts w:hint="eastAsia" w:ascii="宋体" w:hAnsi="宋体" w:cs="宋体"/>
                      <w:color w:val="auto"/>
                      <w:szCs w:val="21"/>
                    </w:rPr>
                    <w:t>符合</w:t>
                  </w:r>
                </w:p>
              </w:tc>
            </w:tr>
          </w:tbl>
          <w:p w14:paraId="5E6C6D64">
            <w:pPr>
              <w:pStyle w:val="121"/>
              <w:adjustRightInd w:val="0"/>
              <w:snapToGrid w:val="0"/>
              <w:spacing w:beforeLines="0" w:afterLines="0"/>
              <w:ind w:firstLine="480"/>
              <w:rPr>
                <w:rFonts w:cs="Times New Roman"/>
                <w:color w:val="auto"/>
              </w:rPr>
            </w:pPr>
            <w:r>
              <w:rPr>
                <w:rFonts w:hint="eastAsia" w:ascii="宋体" w:hAnsi="宋体"/>
                <w:bCs/>
                <w:color w:val="auto"/>
              </w:rPr>
              <w:t>综上所述，本项目符合《土壤污染防治行动计划》要求</w:t>
            </w:r>
            <w:r>
              <w:rPr>
                <w:rFonts w:cs="Times New Roman"/>
                <w:color w:val="auto"/>
              </w:rPr>
              <w:t>。</w:t>
            </w:r>
          </w:p>
          <w:p w14:paraId="00AD814E">
            <w:pPr>
              <w:widowControl/>
              <w:spacing w:line="360" w:lineRule="auto"/>
              <w:jc w:val="left"/>
              <w:rPr>
                <w:b/>
                <w:bCs/>
                <w:color w:val="auto"/>
                <w:kern w:val="0"/>
                <w:sz w:val="24"/>
              </w:rPr>
            </w:pPr>
            <w:r>
              <w:rPr>
                <w:rFonts w:hint="eastAsia"/>
                <w:b/>
                <w:bCs/>
                <w:color w:val="auto"/>
                <w:kern w:val="0"/>
                <w:sz w:val="24"/>
              </w:rPr>
              <w:t>八</w:t>
            </w:r>
            <w:r>
              <w:rPr>
                <w:b/>
                <w:bCs/>
                <w:color w:val="auto"/>
                <w:kern w:val="0"/>
                <w:sz w:val="24"/>
              </w:rPr>
              <w:t>、</w:t>
            </w:r>
            <w:r>
              <w:rPr>
                <w:rFonts w:hint="eastAsia"/>
                <w:b/>
                <w:bCs/>
                <w:color w:val="auto"/>
                <w:kern w:val="0"/>
                <w:sz w:val="24"/>
              </w:rPr>
              <w:t>项目与《医疗废物管理条例》及《关于加快补齐医疗机构污水处理设施短板提高污染治理能力的通知》（环办水体〔</w:t>
            </w:r>
            <w:r>
              <w:rPr>
                <w:b/>
                <w:bCs/>
                <w:color w:val="auto"/>
                <w:kern w:val="0"/>
                <w:sz w:val="24"/>
              </w:rPr>
              <w:t>2021</w:t>
            </w:r>
            <w:r>
              <w:rPr>
                <w:rFonts w:hint="eastAsia"/>
                <w:b/>
                <w:bCs/>
                <w:color w:val="auto"/>
                <w:kern w:val="0"/>
                <w:sz w:val="24"/>
              </w:rPr>
              <w:t>〕</w:t>
            </w:r>
            <w:r>
              <w:rPr>
                <w:b/>
                <w:bCs/>
                <w:color w:val="auto"/>
                <w:kern w:val="0"/>
                <w:sz w:val="24"/>
              </w:rPr>
              <w:t>19</w:t>
            </w:r>
            <w:r>
              <w:rPr>
                <w:rFonts w:hint="eastAsia"/>
                <w:b/>
                <w:bCs/>
                <w:color w:val="auto"/>
                <w:kern w:val="0"/>
                <w:sz w:val="24"/>
              </w:rPr>
              <w:t>号）符合性分析</w:t>
            </w:r>
          </w:p>
          <w:p w14:paraId="1B463700">
            <w:pPr>
              <w:spacing w:line="360" w:lineRule="auto"/>
              <w:ind w:firstLine="480" w:firstLineChars="200"/>
              <w:rPr>
                <w:color w:val="auto"/>
                <w:kern w:val="0"/>
                <w:sz w:val="24"/>
              </w:rPr>
            </w:pPr>
            <w:r>
              <w:rPr>
                <w:rFonts w:hint="eastAsia"/>
                <w:color w:val="auto"/>
                <w:kern w:val="0"/>
                <w:sz w:val="24"/>
              </w:rPr>
              <w:t>（1）与《医疗废物管理条例》符合性分析</w:t>
            </w:r>
          </w:p>
          <w:p w14:paraId="6FB8AE2D">
            <w:pPr>
              <w:autoSpaceDE w:val="0"/>
              <w:autoSpaceDN w:val="0"/>
              <w:adjustRightInd w:val="0"/>
              <w:jc w:val="center"/>
              <w:rPr>
                <w:rFonts w:hint="eastAsia" w:ascii="宋体" w:hAnsi="宋体" w:cs="宋体"/>
                <w:b/>
                <w:color w:val="auto"/>
                <w:sz w:val="24"/>
              </w:rPr>
            </w:pPr>
            <w:r>
              <w:rPr>
                <w:rFonts w:ascii="宋体" w:hAnsi="宋体" w:cs="宋体"/>
                <w:b/>
                <w:color w:val="auto"/>
                <w:sz w:val="24"/>
              </w:rPr>
              <w:t>表1-</w:t>
            </w:r>
            <w:r>
              <w:rPr>
                <w:rFonts w:hint="eastAsia" w:cs="宋体"/>
                <w:b/>
                <w:color w:val="auto"/>
                <w:sz w:val="24"/>
              </w:rPr>
              <w:t xml:space="preserve">7 </w:t>
            </w:r>
            <w:r>
              <w:rPr>
                <w:rFonts w:ascii="宋体" w:hAnsi="宋体" w:cs="宋体"/>
                <w:b/>
                <w:color w:val="auto"/>
                <w:sz w:val="24"/>
              </w:rPr>
              <w:t>本项目与《医疗废物管理条例》</w:t>
            </w:r>
            <w:r>
              <w:rPr>
                <w:rFonts w:hint="eastAsia" w:ascii="宋体" w:hAnsi="宋体" w:cs="宋体"/>
                <w:b/>
                <w:color w:val="auto"/>
                <w:sz w:val="24"/>
              </w:rPr>
              <w:t>符合性分析</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9"/>
              <w:gridCol w:w="2507"/>
              <w:gridCol w:w="1022"/>
            </w:tblGrid>
            <w:tr w14:paraId="776F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1AFEDC03">
                  <w:pPr>
                    <w:autoSpaceDE w:val="0"/>
                    <w:autoSpaceDN w:val="0"/>
                    <w:adjustRightInd w:val="0"/>
                    <w:snapToGrid w:val="0"/>
                    <w:spacing w:line="360" w:lineRule="auto"/>
                    <w:jc w:val="center"/>
                    <w:rPr>
                      <w:rFonts w:hint="eastAsia" w:ascii="宋体" w:hAnsi="宋体" w:cs="宋体"/>
                      <w:b/>
                      <w:color w:val="auto"/>
                      <w:szCs w:val="21"/>
                    </w:rPr>
                  </w:pPr>
                  <w:r>
                    <w:rPr>
                      <w:rFonts w:hint="eastAsia" w:ascii="宋体" w:hAnsi="宋体" w:cs="宋体"/>
                      <w:b/>
                      <w:color w:val="auto"/>
                      <w:szCs w:val="21"/>
                    </w:rPr>
                    <w:t>《医疗废物管理条例》要求</w:t>
                  </w:r>
                </w:p>
              </w:tc>
              <w:tc>
                <w:tcPr>
                  <w:tcW w:w="2507" w:type="dxa"/>
                </w:tcPr>
                <w:p w14:paraId="3E4B3149">
                  <w:pPr>
                    <w:autoSpaceDE w:val="0"/>
                    <w:autoSpaceDN w:val="0"/>
                    <w:adjustRightInd w:val="0"/>
                    <w:snapToGrid w:val="0"/>
                    <w:spacing w:line="360" w:lineRule="auto"/>
                    <w:jc w:val="center"/>
                    <w:rPr>
                      <w:rFonts w:hint="eastAsia" w:ascii="宋体" w:hAnsi="宋体" w:cs="宋体"/>
                      <w:b/>
                      <w:color w:val="auto"/>
                      <w:szCs w:val="21"/>
                    </w:rPr>
                  </w:pPr>
                  <w:r>
                    <w:rPr>
                      <w:rFonts w:hint="eastAsia" w:ascii="宋体" w:hAnsi="宋体" w:cs="宋体"/>
                      <w:b/>
                      <w:color w:val="auto"/>
                      <w:szCs w:val="21"/>
                    </w:rPr>
                    <w:t>本项目情况</w:t>
                  </w:r>
                </w:p>
              </w:tc>
              <w:tc>
                <w:tcPr>
                  <w:tcW w:w="1022" w:type="dxa"/>
                </w:tcPr>
                <w:p w14:paraId="65AEA152">
                  <w:pPr>
                    <w:autoSpaceDE w:val="0"/>
                    <w:autoSpaceDN w:val="0"/>
                    <w:adjustRightInd w:val="0"/>
                    <w:snapToGrid w:val="0"/>
                    <w:spacing w:line="360" w:lineRule="auto"/>
                    <w:jc w:val="center"/>
                    <w:rPr>
                      <w:rFonts w:hint="eastAsia" w:ascii="宋体" w:hAnsi="宋体" w:cs="宋体"/>
                      <w:b/>
                      <w:color w:val="auto"/>
                      <w:szCs w:val="21"/>
                    </w:rPr>
                  </w:pPr>
                  <w:r>
                    <w:rPr>
                      <w:rFonts w:hint="eastAsia" w:ascii="宋体" w:hAnsi="宋体" w:cs="宋体"/>
                      <w:b/>
                      <w:color w:val="auto"/>
                      <w:szCs w:val="21"/>
                    </w:rPr>
                    <w:t>符合性</w:t>
                  </w:r>
                </w:p>
              </w:tc>
            </w:tr>
            <w:tr w14:paraId="6D5B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15E15392">
                  <w:pPr>
                    <w:widowControl/>
                    <w:spacing w:line="360" w:lineRule="auto"/>
                    <w:jc w:val="left"/>
                    <w:rPr>
                      <w:rFonts w:hint="eastAsia" w:ascii="宋体" w:hAnsi="宋体" w:cs="宋体"/>
                      <w:color w:val="auto"/>
                      <w:szCs w:val="21"/>
                    </w:rPr>
                  </w:pPr>
                  <w:r>
                    <w:rPr>
                      <w:rFonts w:hint="eastAsia" w:ascii="宋体" w:hAnsi="宋体" w:cs="宋体"/>
                      <w:color w:val="auto"/>
                      <w:kern w:val="0"/>
                      <w:szCs w:val="21"/>
                      <w:lang w:bidi="ar"/>
                    </w:rPr>
                    <w:t>第七条医疗卫生机构和医疗废物集中处置单位，应当建立、健全医疗废物管理责任制，其法定代表人为第一责任人，切实履行职责，防止因医疗废物导致传染病传播和环境污染事故。</w:t>
                  </w:r>
                </w:p>
              </w:tc>
              <w:tc>
                <w:tcPr>
                  <w:tcW w:w="2507" w:type="dxa"/>
                </w:tcPr>
                <w:p w14:paraId="004FBB85">
                  <w:pPr>
                    <w:widowControl/>
                    <w:spacing w:line="360" w:lineRule="auto"/>
                    <w:jc w:val="center"/>
                    <w:rPr>
                      <w:rFonts w:hint="eastAsia" w:ascii="宋体" w:hAnsi="宋体" w:cs="宋体"/>
                      <w:b/>
                      <w:color w:val="auto"/>
                      <w:szCs w:val="21"/>
                    </w:rPr>
                  </w:pPr>
                  <w:r>
                    <w:rPr>
                      <w:rFonts w:hint="eastAsia" w:ascii="宋体" w:hAnsi="宋体" w:cs="宋体"/>
                      <w:color w:val="auto"/>
                      <w:kern w:val="0"/>
                      <w:szCs w:val="21"/>
                      <w:lang w:bidi="ar"/>
                    </w:rPr>
                    <w:t>本项目建立医疗废物管理责任制，确定法定代表人为第一责任人。</w:t>
                  </w:r>
                </w:p>
              </w:tc>
              <w:tc>
                <w:tcPr>
                  <w:tcW w:w="1022" w:type="dxa"/>
                </w:tcPr>
                <w:p w14:paraId="0DD988A1">
                  <w:pPr>
                    <w:autoSpaceDE w:val="0"/>
                    <w:autoSpaceDN w:val="0"/>
                    <w:adjustRightInd w:val="0"/>
                    <w:snapToGrid w:val="0"/>
                    <w:spacing w:line="360" w:lineRule="auto"/>
                    <w:jc w:val="center"/>
                    <w:rPr>
                      <w:rFonts w:hint="eastAsia" w:ascii="宋体" w:hAnsi="宋体" w:cs="宋体"/>
                      <w:b/>
                      <w:color w:val="auto"/>
                      <w:szCs w:val="21"/>
                    </w:rPr>
                  </w:pPr>
                  <w:r>
                    <w:rPr>
                      <w:rFonts w:hint="eastAsia" w:ascii="宋体" w:hAnsi="宋体" w:cs="宋体"/>
                      <w:color w:val="auto"/>
                      <w:szCs w:val="21"/>
                    </w:rPr>
                    <w:t>符合</w:t>
                  </w:r>
                </w:p>
              </w:tc>
            </w:tr>
            <w:tr w14:paraId="79CC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6007138B">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八条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tc>
              <w:tc>
                <w:tcPr>
                  <w:tcW w:w="2507" w:type="dxa"/>
                </w:tcPr>
                <w:p w14:paraId="0A85B0C3">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本项目建成后，制定医疗废物全过程管理规章制度，制定医疗废物泄漏应急方案，设置医疗废物管理专职人员。</w:t>
                  </w:r>
                </w:p>
              </w:tc>
              <w:tc>
                <w:tcPr>
                  <w:tcW w:w="1022" w:type="dxa"/>
                </w:tcPr>
                <w:p w14:paraId="45DAE695">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2E1A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3C71007E">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第十一条医疗卫生机构和医疗废物集中处置单位，应当依照《中华人民共和国固体废物污染环境防治法》的规定，执行危险废物转移联单管理制度。</w:t>
                  </w:r>
                </w:p>
              </w:tc>
              <w:tc>
                <w:tcPr>
                  <w:tcW w:w="2507" w:type="dxa"/>
                </w:tcPr>
                <w:p w14:paraId="562CBD1C">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本项目建成后，危险废物的转移执行《危险废物转移管理办法》。</w:t>
                  </w:r>
                </w:p>
              </w:tc>
              <w:tc>
                <w:tcPr>
                  <w:tcW w:w="1022" w:type="dxa"/>
                </w:tcPr>
                <w:p w14:paraId="0D5FC520">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20D0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37FCD1B9">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十二条医疗卫生机构和医疗废物集中处置单位，应当对医疗废物进行登记，登记内容应当包括医疗废物的来源、种类、重量或者数量、交接时间、处置方法、最终去向以及经办人签名等项目。登记资料至少保存3年。</w:t>
                  </w:r>
                </w:p>
              </w:tc>
              <w:tc>
                <w:tcPr>
                  <w:tcW w:w="2507" w:type="dxa"/>
                </w:tcPr>
                <w:p w14:paraId="79067840">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本项目建成后，实施医疗废物全过程管理登记制度，并系统存档。</w:t>
                  </w:r>
                </w:p>
              </w:tc>
              <w:tc>
                <w:tcPr>
                  <w:tcW w:w="1022" w:type="dxa"/>
                </w:tcPr>
                <w:p w14:paraId="08402B7C">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688E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0A40467E">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第十三条医疗卫生机构和医疗废物集中处置单位，应当采取有效措施，防止医疗废物流失、泄漏、扩散。</w:t>
                  </w:r>
                </w:p>
              </w:tc>
              <w:tc>
                <w:tcPr>
                  <w:tcW w:w="2507" w:type="dxa"/>
                </w:tcPr>
                <w:p w14:paraId="5EDD01E6">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本项目建成后，制订操作规章，实行医疗废物全过程登记制度和医疗废物管理责任制，防止医疗废物流失、泄漏、扩散。</w:t>
                  </w:r>
                </w:p>
              </w:tc>
              <w:tc>
                <w:tcPr>
                  <w:tcW w:w="1022" w:type="dxa"/>
                </w:tcPr>
                <w:p w14:paraId="5F9EC240">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0AD6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4D6AA833">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十六条医疗卫生机构应当及时收集本单位产生的医疗废物，并按照类别分置于防渗漏、防锐器穿透的专用包装物或者密闭的容器内。医疗废物专用包装物、容器，应当有明显的警示标识和警示说明。医疗废物专用包装物、容器的标准和警示标识的规定，由国务院卫生行政主管部门和环境保护行政主管部门共同制定。</w:t>
                  </w:r>
                </w:p>
              </w:tc>
              <w:tc>
                <w:tcPr>
                  <w:tcW w:w="2507" w:type="dxa"/>
                </w:tcPr>
                <w:p w14:paraId="0FC3914F">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本项目建成后，按照类别分置于防渗漏、防锐器穿透的专用包装物或者密闭的容器内，医疗废物包装袋和容器严格执行《医疗废物专用包装物、容器标准和警示标识规定》。</w:t>
                  </w:r>
                </w:p>
              </w:tc>
              <w:tc>
                <w:tcPr>
                  <w:tcW w:w="1022" w:type="dxa"/>
                </w:tcPr>
                <w:p w14:paraId="5CAA42F0">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7BC5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6EF8090A">
                  <w:pPr>
                    <w:widowControl/>
                    <w:spacing w:line="360" w:lineRule="auto"/>
                    <w:jc w:val="left"/>
                    <w:rPr>
                      <w:rFonts w:hint="eastAsia" w:ascii="宋体" w:hAnsi="宋体" w:cs="宋体"/>
                      <w:color w:val="auto"/>
                      <w:szCs w:val="21"/>
                    </w:rPr>
                  </w:pPr>
                  <w:r>
                    <w:rPr>
                      <w:rFonts w:hint="eastAsia" w:ascii="宋体" w:hAnsi="宋体" w:cs="宋体"/>
                      <w:color w:val="auto"/>
                      <w:szCs w:val="21"/>
                    </w:rPr>
                    <w:t>第十七条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漏、防鼠、防蚊蝇、防蟑螂、防盗以及预防儿童接触等安全措施。</w:t>
                  </w:r>
                  <w:r>
                    <w:rPr>
                      <w:rFonts w:hint="eastAsia" w:ascii="宋体" w:hAnsi="宋体" w:cs="宋体"/>
                      <w:color w:val="auto"/>
                      <w:kern w:val="0"/>
                      <w:szCs w:val="21"/>
                      <w:lang w:bidi="ar"/>
                    </w:rPr>
                    <w:t>医疗废物的暂时贮存设施、设备应当定期消毒和清洁。</w:t>
                  </w:r>
                </w:p>
              </w:tc>
              <w:tc>
                <w:tcPr>
                  <w:tcW w:w="2507" w:type="dxa"/>
                </w:tcPr>
                <w:p w14:paraId="3C7FA750">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本项目，医疗废物暂存间与医疗区和办公区等区域严格分离，医疗废物贮存时间不超过2天，每次清运后对暂存间进行消毒。</w:t>
                  </w:r>
                </w:p>
              </w:tc>
              <w:tc>
                <w:tcPr>
                  <w:tcW w:w="1022" w:type="dxa"/>
                </w:tcPr>
                <w:p w14:paraId="08428A72">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55B0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75A83DC7">
                  <w:pPr>
                    <w:widowControl/>
                    <w:spacing w:line="360" w:lineRule="auto"/>
                    <w:jc w:val="left"/>
                    <w:rPr>
                      <w:rFonts w:hint="eastAsia" w:ascii="宋体" w:hAnsi="宋体" w:cs="宋体"/>
                      <w:color w:val="auto"/>
                      <w:szCs w:val="21"/>
                    </w:rPr>
                  </w:pPr>
                  <w:r>
                    <w:rPr>
                      <w:rFonts w:hint="eastAsia" w:ascii="宋体" w:hAnsi="宋体" w:cs="宋体"/>
                      <w:color w:val="auto"/>
                      <w:kern w:val="0"/>
                      <w:szCs w:val="21"/>
                      <w:lang w:bidi="ar"/>
                    </w:rPr>
                    <w:t>第十八条医疗卫生机构应当使用防渗漏、防遗撒的专用运送工具，按照本单位确定的内部医疗废物运送时间、路线，将医疗废物收集、运送至暂时贮存地点。</w:t>
                  </w:r>
                </w:p>
                <w:p w14:paraId="5256F44D">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运送工具使用后应当在医疗卫生机构内指定的地点及时消毒和清洁。</w:t>
                  </w:r>
                </w:p>
              </w:tc>
              <w:tc>
                <w:tcPr>
                  <w:tcW w:w="2507" w:type="dxa"/>
                </w:tcPr>
                <w:p w14:paraId="6CE7154C">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本项目医疗废物内部运送工具使用周转箱（桶），严格执行《医疗废物专用包装物、容器标准和警示标识规定》，按照制订的操作规章，于指定时间、指定污物路线，运送到医疗废物暂存间，并定时消毒和清洁。</w:t>
                  </w:r>
                </w:p>
              </w:tc>
              <w:tc>
                <w:tcPr>
                  <w:tcW w:w="1022" w:type="dxa"/>
                </w:tcPr>
                <w:p w14:paraId="7828F0F4">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6EF6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76E906F9">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第二十条医疗卫生机构产生的污水、传染病病人或者疑似传染病病人的排泄物，应当按照国家规定严格消毒；达到国家规定的排放标准后，方可排入污水处理系统。</w:t>
                  </w:r>
                </w:p>
              </w:tc>
              <w:tc>
                <w:tcPr>
                  <w:tcW w:w="2507" w:type="dxa"/>
                </w:tcPr>
                <w:p w14:paraId="64BD8194">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本项目污水等按照国家规定严格消毒，经化粪池、污水处理站处理达标准，排入市政污水管网，进入污水处理厂处理。</w:t>
                  </w:r>
                </w:p>
              </w:tc>
              <w:tc>
                <w:tcPr>
                  <w:tcW w:w="1022" w:type="dxa"/>
                </w:tcPr>
                <w:p w14:paraId="5521062C">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bl>
          <w:p w14:paraId="074CC898">
            <w:pPr>
              <w:spacing w:line="360" w:lineRule="auto"/>
              <w:ind w:firstLine="480" w:firstLineChars="200"/>
              <w:rPr>
                <w:color w:val="auto"/>
                <w:kern w:val="0"/>
                <w:sz w:val="24"/>
              </w:rPr>
            </w:pPr>
            <w:r>
              <w:rPr>
                <w:rFonts w:hint="eastAsia"/>
                <w:color w:val="auto"/>
                <w:kern w:val="0"/>
                <w:sz w:val="24"/>
              </w:rPr>
              <w:t>根据表</w:t>
            </w:r>
            <w:r>
              <w:rPr>
                <w:color w:val="auto"/>
                <w:kern w:val="0"/>
                <w:sz w:val="24"/>
              </w:rPr>
              <w:t>1-</w:t>
            </w:r>
            <w:r>
              <w:rPr>
                <w:rFonts w:hint="eastAsia"/>
                <w:color w:val="auto"/>
                <w:kern w:val="0"/>
                <w:sz w:val="24"/>
              </w:rPr>
              <w:t>7可知，项目医疗废物的管理、处置符合</w:t>
            </w:r>
            <w:bookmarkStart w:id="10" w:name="_Hlk194564795"/>
            <w:r>
              <w:rPr>
                <w:rFonts w:hint="eastAsia"/>
                <w:color w:val="auto"/>
                <w:kern w:val="0"/>
                <w:sz w:val="24"/>
              </w:rPr>
              <w:t>《医疗废物管理条例》</w:t>
            </w:r>
            <w:bookmarkEnd w:id="10"/>
            <w:r>
              <w:rPr>
                <w:rFonts w:hint="eastAsia"/>
                <w:color w:val="auto"/>
                <w:kern w:val="0"/>
                <w:sz w:val="24"/>
              </w:rPr>
              <w:t>的相关要求。</w:t>
            </w:r>
          </w:p>
          <w:p w14:paraId="27B8258B">
            <w:pPr>
              <w:spacing w:line="360" w:lineRule="auto"/>
              <w:ind w:firstLine="480" w:firstLineChars="200"/>
              <w:rPr>
                <w:color w:val="auto"/>
                <w:kern w:val="0"/>
                <w:sz w:val="24"/>
              </w:rPr>
            </w:pPr>
            <w:r>
              <w:rPr>
                <w:rFonts w:hint="eastAsia"/>
                <w:color w:val="auto"/>
                <w:kern w:val="0"/>
                <w:sz w:val="24"/>
              </w:rPr>
              <w:t>（2）与</w:t>
            </w:r>
            <w:bookmarkStart w:id="11" w:name="_Hlk194564805"/>
            <w:r>
              <w:rPr>
                <w:rFonts w:hint="eastAsia"/>
                <w:color w:val="auto"/>
                <w:kern w:val="0"/>
                <w:sz w:val="24"/>
              </w:rPr>
              <w:t>《关于加快补齐医疗机构污水处理设施短板提高污染治理能力的通知》</w:t>
            </w:r>
            <w:bookmarkEnd w:id="11"/>
            <w:r>
              <w:rPr>
                <w:rFonts w:hint="eastAsia"/>
                <w:color w:val="auto"/>
                <w:kern w:val="0"/>
                <w:sz w:val="24"/>
              </w:rPr>
              <w:t>（环办水体〔</w:t>
            </w:r>
            <w:r>
              <w:rPr>
                <w:color w:val="auto"/>
                <w:kern w:val="0"/>
                <w:sz w:val="24"/>
              </w:rPr>
              <w:t>2021</w:t>
            </w:r>
            <w:r>
              <w:rPr>
                <w:rFonts w:hint="eastAsia"/>
                <w:color w:val="auto"/>
                <w:kern w:val="0"/>
                <w:sz w:val="24"/>
              </w:rPr>
              <w:t>〕</w:t>
            </w:r>
            <w:r>
              <w:rPr>
                <w:color w:val="auto"/>
                <w:kern w:val="0"/>
                <w:sz w:val="24"/>
              </w:rPr>
              <w:t>19</w:t>
            </w:r>
            <w:r>
              <w:rPr>
                <w:rFonts w:hint="eastAsia"/>
                <w:color w:val="auto"/>
                <w:kern w:val="0"/>
                <w:sz w:val="24"/>
              </w:rPr>
              <w:t>号）符合性分析</w:t>
            </w:r>
          </w:p>
          <w:p w14:paraId="5E85136C">
            <w:pPr>
              <w:widowControl/>
              <w:jc w:val="center"/>
              <w:rPr>
                <w:color w:val="auto"/>
              </w:rPr>
            </w:pPr>
            <w:r>
              <w:rPr>
                <w:rFonts w:hint="eastAsia" w:ascii="宋体" w:hAnsi="宋体" w:cs="宋体"/>
                <w:b/>
                <w:bCs/>
                <w:color w:val="auto"/>
                <w:kern w:val="0"/>
                <w:sz w:val="24"/>
                <w:lang w:bidi="ar"/>
              </w:rPr>
              <w:t>表</w:t>
            </w:r>
            <w:r>
              <w:rPr>
                <w:b/>
                <w:bCs/>
                <w:color w:val="auto"/>
                <w:kern w:val="0"/>
                <w:sz w:val="24"/>
                <w:lang w:bidi="ar"/>
              </w:rPr>
              <w:t>1-</w:t>
            </w:r>
            <w:r>
              <w:rPr>
                <w:rFonts w:hint="eastAsia"/>
                <w:b/>
                <w:bCs/>
                <w:color w:val="auto"/>
                <w:kern w:val="0"/>
                <w:sz w:val="24"/>
                <w:lang w:bidi="ar"/>
              </w:rPr>
              <w:t>8</w:t>
            </w:r>
            <w:r>
              <w:rPr>
                <w:rFonts w:hint="eastAsia" w:ascii="宋体" w:hAnsi="宋体" w:cs="宋体"/>
                <w:b/>
                <w:bCs/>
                <w:color w:val="auto"/>
                <w:kern w:val="0"/>
                <w:sz w:val="24"/>
                <w:lang w:bidi="ar"/>
              </w:rPr>
              <w:t>与“环办水体〔</w:t>
            </w:r>
            <w:r>
              <w:rPr>
                <w:b/>
                <w:bCs/>
                <w:color w:val="auto"/>
                <w:kern w:val="0"/>
                <w:sz w:val="24"/>
                <w:lang w:bidi="ar"/>
              </w:rPr>
              <w:t>2021</w:t>
            </w:r>
            <w:r>
              <w:rPr>
                <w:rFonts w:hint="eastAsia" w:ascii="宋体" w:hAnsi="宋体" w:cs="宋体"/>
                <w:b/>
                <w:bCs/>
                <w:color w:val="auto"/>
                <w:kern w:val="0"/>
                <w:sz w:val="24"/>
                <w:lang w:bidi="ar"/>
              </w:rPr>
              <w:t>〕</w:t>
            </w:r>
            <w:r>
              <w:rPr>
                <w:b/>
                <w:bCs/>
                <w:color w:val="auto"/>
                <w:kern w:val="0"/>
                <w:sz w:val="24"/>
                <w:lang w:bidi="ar"/>
              </w:rPr>
              <w:t>19</w:t>
            </w:r>
            <w:r>
              <w:rPr>
                <w:rFonts w:hint="eastAsia" w:ascii="宋体" w:hAnsi="宋体" w:cs="宋体"/>
                <w:b/>
                <w:bCs/>
                <w:color w:val="auto"/>
                <w:kern w:val="0"/>
                <w:sz w:val="24"/>
                <w:lang w:bidi="ar"/>
              </w:rPr>
              <w:t>号”符合性分析一览表</w:t>
            </w:r>
          </w:p>
          <w:tbl>
            <w:tblPr>
              <w:tblStyle w:val="33"/>
              <w:tblW w:w="7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2702"/>
              <w:gridCol w:w="947"/>
            </w:tblGrid>
            <w:tr w14:paraId="6278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0" w:type="dxa"/>
                  <w:vAlign w:val="center"/>
                </w:tcPr>
                <w:p w14:paraId="3246EC7A">
                  <w:pPr>
                    <w:widowControl/>
                    <w:jc w:val="center"/>
                    <w:rPr>
                      <w:rFonts w:hint="eastAsia" w:ascii="宋体" w:hAnsi="宋体" w:cs="宋体"/>
                      <w:b/>
                      <w:color w:val="auto"/>
                      <w:szCs w:val="21"/>
                    </w:rPr>
                  </w:pPr>
                  <w:r>
                    <w:rPr>
                      <w:rFonts w:hint="eastAsia" w:ascii="宋体" w:hAnsi="宋体" w:cs="宋体"/>
                      <w:b/>
                      <w:color w:val="auto"/>
                      <w:szCs w:val="21"/>
                    </w:rPr>
                    <w:t>通知要求</w:t>
                  </w:r>
                </w:p>
              </w:tc>
              <w:tc>
                <w:tcPr>
                  <w:tcW w:w="2702" w:type="dxa"/>
                  <w:vAlign w:val="center"/>
                </w:tcPr>
                <w:p w14:paraId="65EAE0C8">
                  <w:pPr>
                    <w:autoSpaceDE w:val="0"/>
                    <w:autoSpaceDN w:val="0"/>
                    <w:adjustRightInd w:val="0"/>
                    <w:snapToGrid w:val="0"/>
                    <w:jc w:val="center"/>
                    <w:rPr>
                      <w:rFonts w:hint="eastAsia" w:ascii="宋体" w:hAnsi="宋体" w:cs="宋体"/>
                      <w:b/>
                      <w:color w:val="auto"/>
                      <w:szCs w:val="21"/>
                    </w:rPr>
                  </w:pPr>
                  <w:r>
                    <w:rPr>
                      <w:rFonts w:hint="eastAsia" w:ascii="宋体" w:hAnsi="宋体" w:cs="宋体"/>
                      <w:b/>
                      <w:color w:val="auto"/>
                      <w:szCs w:val="21"/>
                    </w:rPr>
                    <w:t>本项目情况</w:t>
                  </w:r>
                </w:p>
              </w:tc>
              <w:tc>
                <w:tcPr>
                  <w:tcW w:w="947" w:type="dxa"/>
                  <w:vAlign w:val="center"/>
                </w:tcPr>
                <w:p w14:paraId="7EBE3809">
                  <w:pPr>
                    <w:autoSpaceDE w:val="0"/>
                    <w:autoSpaceDN w:val="0"/>
                    <w:adjustRightInd w:val="0"/>
                    <w:snapToGrid w:val="0"/>
                    <w:jc w:val="center"/>
                    <w:rPr>
                      <w:rFonts w:hint="eastAsia" w:ascii="宋体" w:hAnsi="宋体" w:cs="宋体"/>
                      <w:b/>
                      <w:color w:val="auto"/>
                      <w:szCs w:val="21"/>
                    </w:rPr>
                  </w:pPr>
                  <w:r>
                    <w:rPr>
                      <w:rFonts w:hint="eastAsia" w:ascii="宋体" w:hAnsi="宋体" w:cs="宋体"/>
                      <w:b/>
                      <w:color w:val="auto"/>
                      <w:szCs w:val="21"/>
                    </w:rPr>
                    <w:t>符合性</w:t>
                  </w:r>
                </w:p>
              </w:tc>
            </w:tr>
            <w:tr w14:paraId="196A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0" w:type="dxa"/>
                  <w:vAlign w:val="center"/>
                </w:tcPr>
                <w:p w14:paraId="4C8D917F">
                  <w:pPr>
                    <w:widowControl/>
                    <w:jc w:val="left"/>
                    <w:rPr>
                      <w:rFonts w:hint="eastAsia" w:ascii="宋体" w:hAnsi="宋体" w:cs="宋体"/>
                      <w:color w:val="auto"/>
                      <w:szCs w:val="21"/>
                    </w:rPr>
                  </w:pPr>
                  <w:r>
                    <w:rPr>
                      <w:rFonts w:hint="eastAsia" w:ascii="宋体" w:hAnsi="宋体" w:cs="宋体"/>
                      <w:color w:val="auto"/>
                      <w:kern w:val="0"/>
                      <w:szCs w:val="21"/>
                      <w:lang w:bidi="ar"/>
                    </w:rPr>
                    <w:t>传染病医疗机构、20张床位及以上的医疗机构，应按照《医疗机构水污染物排放标准》（GB18466）相关规定，并参照《卫生院污水处理工程技术规范》（HJ2029，以下简称《规范》）要求，科学确定污水处理设施的规模、工艺，确保出水达标排放。20张床位以下的医疗机构污水经消毒处理后方可排放。</w:t>
                  </w:r>
                </w:p>
              </w:tc>
              <w:tc>
                <w:tcPr>
                  <w:tcW w:w="2702" w:type="dxa"/>
                  <w:vAlign w:val="center"/>
                </w:tcPr>
                <w:p w14:paraId="01CAE2B1">
                  <w:pPr>
                    <w:widowControl/>
                    <w:jc w:val="center"/>
                    <w:rPr>
                      <w:rFonts w:hint="eastAsia" w:ascii="宋体" w:hAnsi="宋体" w:cs="宋体"/>
                      <w:b/>
                      <w:color w:val="auto"/>
                      <w:szCs w:val="21"/>
                    </w:rPr>
                  </w:pPr>
                  <w:r>
                    <w:rPr>
                      <w:rFonts w:hint="eastAsia" w:ascii="宋体" w:hAnsi="宋体" w:cs="宋体"/>
                      <w:bCs/>
                      <w:color w:val="auto"/>
                      <w:szCs w:val="21"/>
                    </w:rPr>
                    <w:t>本项目拟新建污水处理站工艺参照 《卫生院污水处理工程技术规范》(HJ2029-2013)，采用“水解酸化+生物接触氧化+消毒工艺”处理达《医疗机构水污染物排放标准》（GB18466-2005）“表2综合医疗机构和其他医疗机构水污染物排放限值（日均值）”中的预处理标准，氨氮、总磷达到《污水排入城镇下水道水质标准》（GB/T31962-2015）B等级标准后，排入市政污水管网，进入污水处理厂处理。</w:t>
                  </w:r>
                </w:p>
              </w:tc>
              <w:tc>
                <w:tcPr>
                  <w:tcW w:w="947" w:type="dxa"/>
                  <w:vAlign w:val="center"/>
                </w:tcPr>
                <w:p w14:paraId="5F674FBB">
                  <w:pPr>
                    <w:autoSpaceDE w:val="0"/>
                    <w:autoSpaceDN w:val="0"/>
                    <w:adjustRightInd w:val="0"/>
                    <w:snapToGrid w:val="0"/>
                    <w:jc w:val="center"/>
                    <w:rPr>
                      <w:rFonts w:hint="eastAsia" w:ascii="宋体" w:hAnsi="宋体" w:cs="宋体"/>
                      <w:b/>
                      <w:color w:val="auto"/>
                      <w:szCs w:val="21"/>
                    </w:rPr>
                  </w:pPr>
                  <w:r>
                    <w:rPr>
                      <w:rFonts w:hint="eastAsia" w:ascii="宋体" w:hAnsi="宋体" w:cs="宋体"/>
                      <w:color w:val="auto"/>
                      <w:szCs w:val="21"/>
                    </w:rPr>
                    <w:t>符合</w:t>
                  </w:r>
                </w:p>
              </w:tc>
            </w:tr>
            <w:tr w14:paraId="501B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0" w:type="dxa"/>
                  <w:vAlign w:val="center"/>
                </w:tcPr>
                <w:p w14:paraId="286E0007">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医疗机构应依法取得排污许可证，或填报排污登记表，并落实载明的各项生态环境管理要求。要将污水处理设施运行维护纳入医疗机构日常管理工作，依法建立健全医疗机构污水处理设施运行台账制度，落实岗位职责，规范记录进出水水量、水质、消毒药剂类型和使用量等信息。</w:t>
                  </w:r>
                </w:p>
              </w:tc>
              <w:tc>
                <w:tcPr>
                  <w:tcW w:w="2702" w:type="dxa"/>
                  <w:vAlign w:val="center"/>
                </w:tcPr>
                <w:p w14:paraId="1F03E3D6">
                  <w:pPr>
                    <w:widowControl/>
                    <w:jc w:val="left"/>
                    <w:rPr>
                      <w:rFonts w:hint="eastAsia" w:ascii="宋体" w:hAnsi="宋体" w:cs="宋体"/>
                      <w:color w:val="auto"/>
                      <w:szCs w:val="21"/>
                    </w:rPr>
                  </w:pPr>
                  <w:r>
                    <w:rPr>
                      <w:rFonts w:hint="eastAsia" w:ascii="宋体" w:hAnsi="宋体" w:cs="宋体"/>
                      <w:color w:val="auto"/>
                      <w:kern w:val="0"/>
                      <w:szCs w:val="21"/>
                      <w:lang w:bidi="ar"/>
                    </w:rPr>
                    <w:t>本项目建成后依法更新排污许可证后方可运行，污水处理设施运行维护纳入日常管理工作，建立污水处理设施运行台账制度。</w:t>
                  </w:r>
                </w:p>
                <w:p w14:paraId="734853AB">
                  <w:pPr>
                    <w:widowControl/>
                    <w:jc w:val="left"/>
                    <w:rPr>
                      <w:rFonts w:hint="eastAsia" w:ascii="宋体" w:hAnsi="宋体" w:cs="宋体"/>
                      <w:color w:val="auto"/>
                      <w:szCs w:val="21"/>
                    </w:rPr>
                  </w:pPr>
                </w:p>
                <w:p w14:paraId="38BEB98A">
                  <w:pPr>
                    <w:autoSpaceDE w:val="0"/>
                    <w:autoSpaceDN w:val="0"/>
                    <w:adjustRightInd w:val="0"/>
                    <w:snapToGrid w:val="0"/>
                    <w:jc w:val="center"/>
                    <w:rPr>
                      <w:rFonts w:hint="eastAsia" w:ascii="宋体" w:hAnsi="宋体" w:cs="宋体"/>
                      <w:b/>
                      <w:color w:val="auto"/>
                      <w:szCs w:val="21"/>
                    </w:rPr>
                  </w:pPr>
                </w:p>
              </w:tc>
              <w:tc>
                <w:tcPr>
                  <w:tcW w:w="947" w:type="dxa"/>
                  <w:vAlign w:val="center"/>
                </w:tcPr>
                <w:p w14:paraId="07E0A4B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符合</w:t>
                  </w:r>
                </w:p>
              </w:tc>
            </w:tr>
            <w:tr w14:paraId="3C03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0" w:type="dxa"/>
                  <w:vAlign w:val="center"/>
                </w:tcPr>
                <w:p w14:paraId="3A75BCCE">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医疗机构要按照排污许可证规定和有关标准规范，依法开展自行监测。属于重点排污单位的，依法安装使用自动监测设备，并与当地生态环境部门联网；鼓励有条件的非重点排污单位安装使用自动监测设备，并与当地生态环境部门联网。</w:t>
                  </w:r>
                </w:p>
              </w:tc>
              <w:tc>
                <w:tcPr>
                  <w:tcW w:w="2702" w:type="dxa"/>
                  <w:vAlign w:val="center"/>
                </w:tcPr>
                <w:p w14:paraId="51D8F2C4">
                  <w:pPr>
                    <w:widowControl/>
                    <w:adjustRightInd w:val="0"/>
                    <w:snapToGrid w:val="0"/>
                    <w:jc w:val="left"/>
                    <w:rPr>
                      <w:rFonts w:hint="eastAsia" w:ascii="宋体" w:hAnsi="宋体" w:cs="宋体"/>
                      <w:b/>
                      <w:color w:val="auto"/>
                      <w:szCs w:val="21"/>
                    </w:rPr>
                  </w:pPr>
                  <w:r>
                    <w:rPr>
                      <w:rFonts w:hint="eastAsia" w:ascii="宋体" w:hAnsi="宋体" w:cs="宋体"/>
                      <w:color w:val="auto"/>
                      <w:kern w:val="0"/>
                      <w:szCs w:val="21"/>
                      <w:lang w:val="en-US" w:eastAsia="zh-CN" w:bidi="ar"/>
                    </w:rPr>
                    <w:t>本项目涉及4个卫生院，均需</w:t>
                  </w:r>
                  <w:r>
                    <w:rPr>
                      <w:rFonts w:hint="eastAsia" w:ascii="宋体" w:hAnsi="宋体" w:cs="宋体"/>
                      <w:color w:val="auto"/>
                      <w:kern w:val="0"/>
                      <w:szCs w:val="21"/>
                      <w:lang w:bidi="ar"/>
                    </w:rPr>
                    <w:t>按要求执行排污许可，运营期根据《排污许可证申请与核发技术规范医疗机构》（HJ1105-2020）开展自行监测。</w:t>
                  </w:r>
                </w:p>
              </w:tc>
              <w:tc>
                <w:tcPr>
                  <w:tcW w:w="947" w:type="dxa"/>
                  <w:vAlign w:val="center"/>
                </w:tcPr>
                <w:p w14:paraId="0AE6316F">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符合</w:t>
                  </w:r>
                </w:p>
              </w:tc>
            </w:tr>
          </w:tbl>
          <w:p w14:paraId="5D699A84">
            <w:pPr>
              <w:spacing w:line="360" w:lineRule="auto"/>
              <w:ind w:firstLine="480" w:firstLineChars="200"/>
              <w:rPr>
                <w:color w:val="auto"/>
                <w:kern w:val="0"/>
                <w:sz w:val="24"/>
              </w:rPr>
            </w:pPr>
            <w:r>
              <w:rPr>
                <w:rFonts w:hint="eastAsia"/>
                <w:color w:val="auto"/>
                <w:kern w:val="0"/>
                <w:sz w:val="24"/>
              </w:rPr>
              <w:t>根据表</w:t>
            </w:r>
            <w:r>
              <w:rPr>
                <w:color w:val="auto"/>
                <w:kern w:val="0"/>
                <w:sz w:val="24"/>
              </w:rPr>
              <w:t>1-</w:t>
            </w:r>
            <w:r>
              <w:rPr>
                <w:rFonts w:hint="eastAsia"/>
                <w:color w:val="auto"/>
                <w:kern w:val="0"/>
                <w:sz w:val="24"/>
              </w:rPr>
              <w:t>8可知，本项目建设与《关于加快补齐医疗机构污水处理设施短板提高污染治理能力的通知》（环办水体〔</w:t>
            </w:r>
            <w:r>
              <w:rPr>
                <w:color w:val="auto"/>
                <w:kern w:val="0"/>
                <w:sz w:val="24"/>
              </w:rPr>
              <w:t>2021</w:t>
            </w:r>
            <w:r>
              <w:rPr>
                <w:rFonts w:hint="eastAsia"/>
                <w:color w:val="auto"/>
                <w:kern w:val="0"/>
                <w:sz w:val="24"/>
              </w:rPr>
              <w:t>〕</w:t>
            </w:r>
            <w:r>
              <w:rPr>
                <w:color w:val="auto"/>
                <w:kern w:val="0"/>
                <w:sz w:val="24"/>
              </w:rPr>
              <w:t>19</w:t>
            </w:r>
            <w:r>
              <w:rPr>
                <w:rFonts w:hint="eastAsia"/>
                <w:color w:val="auto"/>
                <w:kern w:val="0"/>
                <w:sz w:val="24"/>
              </w:rPr>
              <w:t>号）中的相关要求相符。</w:t>
            </w:r>
          </w:p>
          <w:p w14:paraId="3759A9BF">
            <w:pPr>
              <w:widowControl/>
              <w:spacing w:line="360" w:lineRule="auto"/>
              <w:jc w:val="left"/>
              <w:rPr>
                <w:rFonts w:hint="eastAsia" w:ascii="宋体" w:hAnsi="宋体" w:cs="宋体"/>
                <w:color w:val="auto"/>
                <w:sz w:val="24"/>
              </w:rPr>
            </w:pPr>
            <w:r>
              <w:rPr>
                <w:rFonts w:hint="eastAsia" w:ascii="宋体" w:hAnsi="宋体" w:cs="宋体"/>
                <w:b/>
                <w:bCs/>
                <w:color w:val="auto"/>
                <w:kern w:val="0"/>
                <w:sz w:val="24"/>
              </w:rPr>
              <w:t>九、</w:t>
            </w:r>
            <w:r>
              <w:rPr>
                <w:rFonts w:hint="eastAsia" w:ascii="宋体" w:hAnsi="宋体" w:cs="宋体"/>
                <w:b/>
                <w:bCs/>
                <w:color w:val="auto"/>
                <w:kern w:val="0"/>
                <w:sz w:val="24"/>
                <w:lang w:bidi="ar"/>
              </w:rPr>
              <w:t>与“水十条”相符性分析</w:t>
            </w:r>
          </w:p>
          <w:p w14:paraId="05D1DE88">
            <w:pPr>
              <w:spacing w:line="360" w:lineRule="auto"/>
              <w:ind w:firstLine="480" w:firstLineChars="200"/>
              <w:rPr>
                <w:color w:val="auto"/>
                <w:sz w:val="24"/>
              </w:rPr>
            </w:pPr>
            <w:r>
              <w:rPr>
                <w:rFonts w:hint="eastAsia"/>
                <w:color w:val="auto"/>
                <w:sz w:val="24"/>
              </w:rPr>
              <w:t>《水污染防治行动计划》简称“水十条”， 中央政治局常务委员会会议审议通过《水十条》，2015年4月16日起实施。本项目与《水污染防治行动计划》相关条款符合性分析见下表。</w:t>
            </w:r>
          </w:p>
          <w:p w14:paraId="5F52A839">
            <w:pPr>
              <w:spacing w:line="360" w:lineRule="auto"/>
              <w:jc w:val="center"/>
              <w:rPr>
                <w:b/>
                <w:bCs/>
                <w:color w:val="auto"/>
                <w:sz w:val="24"/>
              </w:rPr>
            </w:pPr>
            <w:r>
              <w:rPr>
                <w:rFonts w:hint="eastAsia" w:ascii="宋体" w:hAnsi="宋体" w:cs="宋体"/>
                <w:b/>
                <w:bCs/>
                <w:color w:val="auto"/>
                <w:sz w:val="24"/>
              </w:rPr>
              <w:t>表1-9 项目与“水十条”相符性分析</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3566"/>
              <w:gridCol w:w="2960"/>
              <w:gridCol w:w="447"/>
            </w:tblGrid>
            <w:tr w14:paraId="5C0D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010C81FB">
                  <w:pPr>
                    <w:autoSpaceDE w:val="0"/>
                    <w:autoSpaceDN w:val="0"/>
                    <w:adjustRightInd w:val="0"/>
                    <w:snapToGrid w:val="0"/>
                    <w:jc w:val="center"/>
                    <w:rPr>
                      <w:color w:val="auto"/>
                      <w:sz w:val="18"/>
                      <w:szCs w:val="18"/>
                    </w:rPr>
                  </w:pPr>
                  <w:r>
                    <w:rPr>
                      <w:rFonts w:hint="eastAsia"/>
                      <w:color w:val="auto"/>
                      <w:sz w:val="18"/>
                      <w:szCs w:val="18"/>
                    </w:rPr>
                    <w:t>序号</w:t>
                  </w:r>
                </w:p>
              </w:tc>
              <w:tc>
                <w:tcPr>
                  <w:tcW w:w="3566" w:type="dxa"/>
                  <w:vAlign w:val="center"/>
                </w:tcPr>
                <w:p w14:paraId="57E3238B">
                  <w:pPr>
                    <w:autoSpaceDE w:val="0"/>
                    <w:autoSpaceDN w:val="0"/>
                    <w:adjustRightInd w:val="0"/>
                    <w:snapToGrid w:val="0"/>
                    <w:jc w:val="center"/>
                    <w:rPr>
                      <w:color w:val="auto"/>
                      <w:sz w:val="18"/>
                      <w:szCs w:val="18"/>
                    </w:rPr>
                  </w:pPr>
                  <w:r>
                    <w:rPr>
                      <w:rFonts w:hint="eastAsia"/>
                      <w:color w:val="auto"/>
                      <w:sz w:val="18"/>
                      <w:szCs w:val="18"/>
                    </w:rPr>
                    <w:t>水污染防治行动计划</w:t>
                  </w:r>
                </w:p>
              </w:tc>
              <w:tc>
                <w:tcPr>
                  <w:tcW w:w="2960" w:type="dxa"/>
                  <w:vAlign w:val="center"/>
                </w:tcPr>
                <w:p w14:paraId="3FD76F87">
                  <w:pPr>
                    <w:autoSpaceDE w:val="0"/>
                    <w:autoSpaceDN w:val="0"/>
                    <w:adjustRightInd w:val="0"/>
                    <w:snapToGrid w:val="0"/>
                    <w:jc w:val="center"/>
                    <w:rPr>
                      <w:color w:val="auto"/>
                      <w:sz w:val="18"/>
                      <w:szCs w:val="18"/>
                    </w:rPr>
                  </w:pPr>
                  <w:r>
                    <w:rPr>
                      <w:rFonts w:hint="eastAsia"/>
                      <w:color w:val="auto"/>
                      <w:sz w:val="18"/>
                      <w:szCs w:val="18"/>
                    </w:rPr>
                    <w:t>项目情况</w:t>
                  </w:r>
                </w:p>
              </w:tc>
              <w:tc>
                <w:tcPr>
                  <w:tcW w:w="447" w:type="dxa"/>
                  <w:vAlign w:val="center"/>
                </w:tcPr>
                <w:p w14:paraId="46DE5FCA">
                  <w:pPr>
                    <w:autoSpaceDE w:val="0"/>
                    <w:autoSpaceDN w:val="0"/>
                    <w:adjustRightInd w:val="0"/>
                    <w:snapToGrid w:val="0"/>
                    <w:jc w:val="center"/>
                    <w:rPr>
                      <w:color w:val="auto"/>
                      <w:sz w:val="18"/>
                      <w:szCs w:val="18"/>
                    </w:rPr>
                  </w:pPr>
                  <w:r>
                    <w:rPr>
                      <w:rFonts w:hint="eastAsia"/>
                      <w:color w:val="auto"/>
                      <w:sz w:val="18"/>
                      <w:szCs w:val="18"/>
                    </w:rPr>
                    <w:t>符合性</w:t>
                  </w:r>
                </w:p>
              </w:tc>
            </w:tr>
            <w:tr w14:paraId="7282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130F4B21">
                  <w:pPr>
                    <w:autoSpaceDE w:val="0"/>
                    <w:autoSpaceDN w:val="0"/>
                    <w:adjustRightInd w:val="0"/>
                    <w:snapToGrid w:val="0"/>
                    <w:rPr>
                      <w:color w:val="auto"/>
                      <w:sz w:val="18"/>
                      <w:szCs w:val="18"/>
                    </w:rPr>
                  </w:pPr>
                  <w:r>
                    <w:rPr>
                      <w:rFonts w:hint="eastAsia"/>
                      <w:color w:val="auto"/>
                      <w:sz w:val="18"/>
                      <w:szCs w:val="18"/>
                    </w:rPr>
                    <w:t>1</w:t>
                  </w:r>
                </w:p>
              </w:tc>
              <w:tc>
                <w:tcPr>
                  <w:tcW w:w="3566" w:type="dxa"/>
                  <w:vAlign w:val="center"/>
                </w:tcPr>
                <w:p w14:paraId="4CC1FD1D">
                  <w:pPr>
                    <w:widowControl/>
                    <w:jc w:val="left"/>
                    <w:rPr>
                      <w:rFonts w:hint="eastAsia" w:ascii="宋体" w:hAnsi="宋体" w:cs="宋体"/>
                      <w:color w:val="auto"/>
                      <w:szCs w:val="21"/>
                    </w:rPr>
                  </w:pPr>
                  <w:r>
                    <w:rPr>
                      <w:rFonts w:hint="eastAsia" w:ascii="宋体" w:hAnsi="宋体" w:cs="宋体"/>
                      <w:color w:val="auto"/>
                      <w:kern w:val="0"/>
                      <w:szCs w:val="21"/>
                      <w:lang w:bidi="ar"/>
                    </w:rPr>
                    <w:t xml:space="preserve">全面控制污染物排放： </w:t>
                  </w:r>
                </w:p>
                <w:p w14:paraId="4918305B">
                  <w:pPr>
                    <w:widowControl/>
                    <w:jc w:val="left"/>
                    <w:rPr>
                      <w:rFonts w:hint="eastAsia" w:ascii="宋体" w:hAnsi="宋体" w:cs="宋体"/>
                      <w:color w:val="auto"/>
                      <w:szCs w:val="21"/>
                    </w:rPr>
                  </w:pPr>
                  <w:r>
                    <w:rPr>
                      <w:rFonts w:hint="eastAsia" w:ascii="宋体" w:hAnsi="宋体" w:cs="宋体"/>
                      <w:color w:val="auto"/>
                      <w:kern w:val="0"/>
                      <w:szCs w:val="21"/>
                      <w:lang w:bidi="ar"/>
                    </w:rPr>
                    <w:t xml:space="preserve">1、全部取缔不符合国家产业政策的 </w:t>
                  </w:r>
                </w:p>
                <w:p w14:paraId="4003DF56">
                  <w:pPr>
                    <w:widowControl/>
                    <w:jc w:val="left"/>
                    <w:rPr>
                      <w:rFonts w:hint="eastAsia" w:ascii="宋体" w:hAnsi="宋体" w:cs="宋体"/>
                      <w:color w:val="auto"/>
                      <w:szCs w:val="21"/>
                    </w:rPr>
                  </w:pPr>
                  <w:r>
                    <w:rPr>
                      <w:rFonts w:hint="eastAsia" w:ascii="宋体" w:hAnsi="宋体" w:cs="宋体"/>
                      <w:color w:val="auto"/>
                      <w:kern w:val="0"/>
                      <w:szCs w:val="21"/>
                      <w:lang w:bidi="ar"/>
                    </w:rPr>
                    <w:t xml:space="preserve">小型造纸、制革、印染、染料、炼焦、炼硫、炼砷、炼油、电镀、农药等严重污染水环境的生产项目。 </w:t>
                  </w:r>
                </w:p>
                <w:p w14:paraId="6F9BBCA2">
                  <w:pPr>
                    <w:widowControl/>
                    <w:jc w:val="left"/>
                    <w:rPr>
                      <w:rFonts w:hint="eastAsia" w:ascii="宋体" w:hAnsi="宋体" w:cs="宋体"/>
                      <w:color w:val="auto"/>
                      <w:szCs w:val="21"/>
                    </w:rPr>
                  </w:pPr>
                  <w:r>
                    <w:rPr>
                      <w:rFonts w:hint="eastAsia" w:ascii="宋体" w:hAnsi="宋体" w:cs="宋体"/>
                      <w:color w:val="auto"/>
                      <w:kern w:val="0"/>
                      <w:szCs w:val="21"/>
                      <w:lang w:bidi="ar"/>
                    </w:rPr>
                    <w:t xml:space="preserve">2、专项整治十大重点行业。制定造 </w:t>
                  </w:r>
                </w:p>
                <w:p w14:paraId="44A07D40">
                  <w:pPr>
                    <w:widowControl/>
                    <w:jc w:val="left"/>
                    <w:rPr>
                      <w:color w:val="auto"/>
                      <w:sz w:val="18"/>
                      <w:szCs w:val="18"/>
                    </w:rPr>
                  </w:pPr>
                  <w:r>
                    <w:rPr>
                      <w:rFonts w:hint="eastAsia" w:ascii="宋体" w:hAnsi="宋体" w:cs="宋体"/>
                      <w:color w:val="auto"/>
                      <w:kern w:val="0"/>
                      <w:szCs w:val="21"/>
                      <w:lang w:bidi="ar"/>
                    </w:rPr>
                    <w:t>纸、焦化、氮肥、有色金属、印染、农副食品加工、原料药制造、制革、农药、电镀等行业专项治理方案，实施清洁化改造。</w:t>
                  </w:r>
                </w:p>
              </w:tc>
              <w:tc>
                <w:tcPr>
                  <w:tcW w:w="2960" w:type="dxa"/>
                  <w:vAlign w:val="center"/>
                </w:tcPr>
                <w:p w14:paraId="5BF1D764">
                  <w:pPr>
                    <w:autoSpaceDE w:val="0"/>
                    <w:autoSpaceDN w:val="0"/>
                    <w:adjustRightInd w:val="0"/>
                    <w:snapToGrid w:val="0"/>
                    <w:rPr>
                      <w:color w:val="auto"/>
                      <w:szCs w:val="21"/>
                    </w:rPr>
                  </w:pPr>
                  <w:r>
                    <w:rPr>
                      <w:rFonts w:hint="eastAsia"/>
                      <w:color w:val="auto"/>
                      <w:szCs w:val="21"/>
                    </w:rPr>
                    <w:t>本项目不属于取缔及专项整治范围内的项目。</w:t>
                  </w:r>
                </w:p>
                <w:p w14:paraId="67E0FAAE">
                  <w:pPr>
                    <w:autoSpaceDE w:val="0"/>
                    <w:autoSpaceDN w:val="0"/>
                    <w:adjustRightInd w:val="0"/>
                    <w:snapToGrid w:val="0"/>
                    <w:rPr>
                      <w:color w:val="auto"/>
                      <w:sz w:val="18"/>
                      <w:szCs w:val="18"/>
                    </w:rPr>
                  </w:pPr>
                </w:p>
              </w:tc>
              <w:tc>
                <w:tcPr>
                  <w:tcW w:w="447" w:type="dxa"/>
                  <w:vAlign w:val="center"/>
                </w:tcPr>
                <w:p w14:paraId="3CFDDFDE">
                  <w:pPr>
                    <w:autoSpaceDE w:val="0"/>
                    <w:autoSpaceDN w:val="0"/>
                    <w:adjustRightInd w:val="0"/>
                    <w:snapToGrid w:val="0"/>
                    <w:jc w:val="center"/>
                    <w:rPr>
                      <w:color w:val="auto"/>
                      <w:sz w:val="18"/>
                      <w:szCs w:val="18"/>
                    </w:rPr>
                  </w:pPr>
                  <w:r>
                    <w:rPr>
                      <w:rFonts w:hint="eastAsia"/>
                      <w:color w:val="auto"/>
                      <w:sz w:val="18"/>
                      <w:szCs w:val="18"/>
                    </w:rPr>
                    <w:t>符合</w:t>
                  </w:r>
                </w:p>
              </w:tc>
            </w:tr>
            <w:tr w14:paraId="0D1D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07485332">
                  <w:pPr>
                    <w:autoSpaceDE w:val="0"/>
                    <w:autoSpaceDN w:val="0"/>
                    <w:adjustRightInd w:val="0"/>
                    <w:snapToGrid w:val="0"/>
                    <w:rPr>
                      <w:color w:val="auto"/>
                      <w:sz w:val="18"/>
                      <w:szCs w:val="18"/>
                    </w:rPr>
                  </w:pPr>
                  <w:r>
                    <w:rPr>
                      <w:rFonts w:hint="eastAsia"/>
                      <w:color w:val="auto"/>
                      <w:sz w:val="18"/>
                      <w:szCs w:val="18"/>
                    </w:rPr>
                    <w:t>2</w:t>
                  </w:r>
                </w:p>
              </w:tc>
              <w:tc>
                <w:tcPr>
                  <w:tcW w:w="3566" w:type="dxa"/>
                  <w:vAlign w:val="center"/>
                </w:tcPr>
                <w:p w14:paraId="7CAC57BD">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推动经济结构转型升级：</w:t>
                  </w:r>
                </w:p>
                <w:p w14:paraId="7AAEDECC">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1、调整产业结构。依法淘汰落后产 </w:t>
                  </w:r>
                </w:p>
                <w:p w14:paraId="21A6431B">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能。 </w:t>
                  </w:r>
                </w:p>
                <w:p w14:paraId="02691431">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2、优化空间布局。合理确定发展布 </w:t>
                  </w:r>
                </w:p>
                <w:p w14:paraId="143843D1">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局、结构和模。 </w:t>
                  </w:r>
                </w:p>
                <w:p w14:paraId="4D8E5C41">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 </w:t>
                  </w:r>
                </w:p>
                <w:p w14:paraId="69760459">
                  <w:pPr>
                    <w:widowControl/>
                    <w:jc w:val="left"/>
                    <w:rPr>
                      <w:color w:val="auto"/>
                      <w:sz w:val="18"/>
                      <w:szCs w:val="18"/>
                    </w:rPr>
                  </w:pPr>
                  <w:r>
                    <w:rPr>
                      <w:rFonts w:hint="eastAsia" w:ascii="宋体" w:hAnsi="宋体" w:cs="宋体"/>
                      <w:color w:val="auto"/>
                      <w:kern w:val="0"/>
                      <w:szCs w:val="21"/>
                      <w:lang w:bidi="ar"/>
                    </w:rPr>
                    <w:t>7、推动循环发展。加强工业水循环利用</w:t>
                  </w:r>
                  <w:r>
                    <w:rPr>
                      <w:rFonts w:hint="eastAsia"/>
                      <w:color w:val="auto"/>
                      <w:sz w:val="18"/>
                      <w:szCs w:val="18"/>
                    </w:rPr>
                    <w:t>。</w:t>
                  </w:r>
                </w:p>
              </w:tc>
              <w:tc>
                <w:tcPr>
                  <w:tcW w:w="2960" w:type="dxa"/>
                  <w:vAlign w:val="center"/>
                </w:tcPr>
                <w:p w14:paraId="6F91C942">
                  <w:pPr>
                    <w:autoSpaceDE w:val="0"/>
                    <w:autoSpaceDN w:val="0"/>
                    <w:adjustRightInd w:val="0"/>
                    <w:snapToGrid w:val="0"/>
                    <w:rPr>
                      <w:color w:val="auto"/>
                      <w:szCs w:val="21"/>
                    </w:rPr>
                  </w:pPr>
                  <w:r>
                    <w:rPr>
                      <w:rFonts w:hint="eastAsia"/>
                      <w:color w:val="auto"/>
                      <w:szCs w:val="21"/>
                    </w:rPr>
                    <w:t>本项目不属于部分工业行业淘汰落后生产工艺装备和产品指导目录淘汰类。</w:t>
                  </w:r>
                </w:p>
                <w:p w14:paraId="46E2DDA4">
                  <w:pPr>
                    <w:autoSpaceDE w:val="0"/>
                    <w:autoSpaceDN w:val="0"/>
                    <w:adjustRightInd w:val="0"/>
                    <w:snapToGrid w:val="0"/>
                    <w:jc w:val="center"/>
                    <w:rPr>
                      <w:color w:val="auto"/>
                      <w:sz w:val="18"/>
                      <w:szCs w:val="18"/>
                    </w:rPr>
                  </w:pPr>
                </w:p>
              </w:tc>
              <w:tc>
                <w:tcPr>
                  <w:tcW w:w="447" w:type="dxa"/>
                  <w:vAlign w:val="center"/>
                </w:tcPr>
                <w:p w14:paraId="085DAF61">
                  <w:pPr>
                    <w:autoSpaceDE w:val="0"/>
                    <w:autoSpaceDN w:val="0"/>
                    <w:adjustRightInd w:val="0"/>
                    <w:snapToGrid w:val="0"/>
                    <w:jc w:val="center"/>
                    <w:rPr>
                      <w:color w:val="auto"/>
                      <w:sz w:val="18"/>
                      <w:szCs w:val="18"/>
                    </w:rPr>
                  </w:pPr>
                  <w:r>
                    <w:rPr>
                      <w:rFonts w:hint="eastAsia"/>
                      <w:color w:val="auto"/>
                      <w:sz w:val="18"/>
                      <w:szCs w:val="18"/>
                    </w:rPr>
                    <w:t>符合</w:t>
                  </w:r>
                </w:p>
              </w:tc>
            </w:tr>
            <w:tr w14:paraId="5BB7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4A0FE42A">
                  <w:pPr>
                    <w:autoSpaceDE w:val="0"/>
                    <w:autoSpaceDN w:val="0"/>
                    <w:adjustRightInd w:val="0"/>
                    <w:snapToGrid w:val="0"/>
                    <w:jc w:val="center"/>
                    <w:rPr>
                      <w:color w:val="auto"/>
                      <w:sz w:val="18"/>
                      <w:szCs w:val="18"/>
                    </w:rPr>
                  </w:pPr>
                  <w:r>
                    <w:rPr>
                      <w:rFonts w:hint="eastAsia"/>
                      <w:color w:val="auto"/>
                      <w:sz w:val="18"/>
                      <w:szCs w:val="18"/>
                    </w:rPr>
                    <w:t>3</w:t>
                  </w:r>
                </w:p>
              </w:tc>
              <w:tc>
                <w:tcPr>
                  <w:tcW w:w="3566" w:type="dxa"/>
                  <w:vAlign w:val="center"/>
                </w:tcPr>
                <w:p w14:paraId="5EB0F0A1">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着力节约保护水资源：</w:t>
                  </w:r>
                </w:p>
                <w:p w14:paraId="450C345E">
                  <w:pPr>
                    <w:widowControl/>
                    <w:jc w:val="left"/>
                    <w:rPr>
                      <w:rFonts w:hint="eastAsia" w:ascii="宋体" w:hAnsi="宋体" w:cs="宋体"/>
                      <w:color w:val="auto"/>
                      <w:kern w:val="0"/>
                      <w:szCs w:val="21"/>
                      <w:lang w:bidi="ar"/>
                    </w:rPr>
                  </w:pPr>
                  <w:r>
                    <w:rPr>
                      <w:rFonts w:ascii="宋体" w:hAnsi="宋体" w:cs="宋体"/>
                      <w:color w:val="auto"/>
                      <w:kern w:val="0"/>
                      <w:szCs w:val="21"/>
                      <w:lang w:bidi="ar"/>
                    </w:rPr>
                    <w:t>1</w:t>
                  </w:r>
                  <w:r>
                    <w:rPr>
                      <w:rFonts w:hint="eastAsia" w:ascii="宋体" w:hAnsi="宋体" w:cs="宋体"/>
                      <w:color w:val="auto"/>
                      <w:kern w:val="0"/>
                      <w:szCs w:val="21"/>
                      <w:lang w:bidi="ar"/>
                    </w:rPr>
                    <w:t xml:space="preserve">、严控地下水超采。在地面沉降、 </w:t>
                  </w:r>
                </w:p>
                <w:p w14:paraId="0041D8DD">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地裂缝、岩溶塌陷等地质灾害易发区开发利用地下水，应进行地质灾害危险性评估。 </w:t>
                  </w:r>
                </w:p>
                <w:p w14:paraId="79293A2C">
                  <w:pPr>
                    <w:widowControl/>
                    <w:jc w:val="left"/>
                    <w:rPr>
                      <w:rFonts w:hint="eastAsia" w:ascii="宋体" w:hAnsi="宋体" w:cs="宋体"/>
                      <w:color w:val="auto"/>
                      <w:kern w:val="0"/>
                      <w:szCs w:val="21"/>
                      <w:lang w:bidi="ar"/>
                    </w:rPr>
                  </w:pPr>
                  <w:r>
                    <w:rPr>
                      <w:rFonts w:ascii="宋体" w:hAnsi="宋体" w:cs="宋体"/>
                      <w:color w:val="auto"/>
                      <w:kern w:val="0"/>
                      <w:szCs w:val="21"/>
                      <w:lang w:bidi="ar"/>
                    </w:rPr>
                    <w:t>2</w:t>
                  </w:r>
                  <w:r>
                    <w:rPr>
                      <w:rFonts w:hint="eastAsia" w:ascii="宋体" w:hAnsi="宋体" w:cs="宋体"/>
                      <w:color w:val="auto"/>
                      <w:kern w:val="0"/>
                      <w:szCs w:val="21"/>
                      <w:lang w:bidi="ar"/>
                    </w:rPr>
                    <w:t xml:space="preserve">、严格控制开采深层承压水，地热 </w:t>
                  </w:r>
                </w:p>
                <w:p w14:paraId="3DA9AA6A">
                  <w:pPr>
                    <w:widowControl/>
                    <w:jc w:val="left"/>
                    <w:rPr>
                      <w:color w:val="auto"/>
                      <w:sz w:val="18"/>
                      <w:szCs w:val="18"/>
                    </w:rPr>
                  </w:pPr>
                  <w:r>
                    <w:rPr>
                      <w:rFonts w:hint="eastAsia" w:ascii="宋体" w:hAnsi="宋体" w:cs="宋体"/>
                      <w:color w:val="auto"/>
                      <w:kern w:val="0"/>
                      <w:szCs w:val="21"/>
                      <w:lang w:bidi="ar"/>
                    </w:rPr>
                    <w:t>水、矿泉水开发应严格实行取水许可和采矿许可。</w:t>
                  </w:r>
                </w:p>
              </w:tc>
              <w:tc>
                <w:tcPr>
                  <w:tcW w:w="2960" w:type="dxa"/>
                  <w:vAlign w:val="center"/>
                </w:tcPr>
                <w:p w14:paraId="30FB731C">
                  <w:pPr>
                    <w:autoSpaceDE w:val="0"/>
                    <w:autoSpaceDN w:val="0"/>
                    <w:adjustRightInd w:val="0"/>
                    <w:snapToGrid w:val="0"/>
                    <w:jc w:val="center"/>
                    <w:rPr>
                      <w:color w:val="auto"/>
                      <w:sz w:val="18"/>
                      <w:szCs w:val="18"/>
                    </w:rPr>
                  </w:pPr>
                  <w:r>
                    <w:rPr>
                      <w:rFonts w:hint="eastAsia"/>
                      <w:color w:val="auto"/>
                      <w:szCs w:val="21"/>
                    </w:rPr>
                    <w:t>本项目用水引自市政供水管网，不涉及开采地下水。</w:t>
                  </w:r>
                </w:p>
              </w:tc>
              <w:tc>
                <w:tcPr>
                  <w:tcW w:w="447" w:type="dxa"/>
                  <w:vAlign w:val="center"/>
                </w:tcPr>
                <w:p w14:paraId="397BC167">
                  <w:pPr>
                    <w:autoSpaceDE w:val="0"/>
                    <w:autoSpaceDN w:val="0"/>
                    <w:adjustRightInd w:val="0"/>
                    <w:snapToGrid w:val="0"/>
                    <w:jc w:val="center"/>
                    <w:rPr>
                      <w:color w:val="auto"/>
                      <w:sz w:val="18"/>
                      <w:szCs w:val="18"/>
                    </w:rPr>
                  </w:pPr>
                  <w:r>
                    <w:rPr>
                      <w:rFonts w:hint="eastAsia"/>
                      <w:color w:val="auto"/>
                      <w:sz w:val="18"/>
                      <w:szCs w:val="18"/>
                    </w:rPr>
                    <w:t>符合</w:t>
                  </w:r>
                </w:p>
              </w:tc>
            </w:tr>
            <w:tr w14:paraId="58FF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26703CED">
                  <w:pPr>
                    <w:autoSpaceDE w:val="0"/>
                    <w:autoSpaceDN w:val="0"/>
                    <w:adjustRightInd w:val="0"/>
                    <w:snapToGrid w:val="0"/>
                    <w:jc w:val="center"/>
                    <w:rPr>
                      <w:color w:val="auto"/>
                      <w:sz w:val="18"/>
                      <w:szCs w:val="18"/>
                    </w:rPr>
                  </w:pPr>
                  <w:r>
                    <w:rPr>
                      <w:rFonts w:hint="eastAsia"/>
                      <w:color w:val="auto"/>
                      <w:sz w:val="18"/>
                      <w:szCs w:val="18"/>
                    </w:rPr>
                    <w:t>4</w:t>
                  </w:r>
                </w:p>
              </w:tc>
              <w:tc>
                <w:tcPr>
                  <w:tcW w:w="3566" w:type="dxa"/>
                  <w:vAlign w:val="center"/>
                </w:tcPr>
                <w:p w14:paraId="3ADE1302">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严格环境执法监管： </w:t>
                  </w:r>
                </w:p>
                <w:p w14:paraId="748C156E">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1、加大执法力度。所有排污单位必 </w:t>
                  </w:r>
                </w:p>
                <w:p w14:paraId="3D1F17C5">
                  <w:pPr>
                    <w:widowControl/>
                    <w:jc w:val="left"/>
                    <w:rPr>
                      <w:color w:val="auto"/>
                      <w:szCs w:val="21"/>
                    </w:rPr>
                  </w:pPr>
                  <w:r>
                    <w:rPr>
                      <w:rFonts w:hint="eastAsia" w:ascii="宋体" w:hAnsi="宋体" w:cs="宋体"/>
                      <w:color w:val="auto"/>
                      <w:kern w:val="0"/>
                      <w:szCs w:val="21"/>
                      <w:lang w:bidi="ar"/>
                    </w:rPr>
                    <w:t>须依法实现全面达标排放。逐一排查工业企业排污情况，达标企业应采取措施确保稳定达标</w:t>
                  </w:r>
                  <w:r>
                    <w:rPr>
                      <w:rFonts w:hint="eastAsia"/>
                      <w:color w:val="auto"/>
                      <w:szCs w:val="21"/>
                    </w:rPr>
                    <w:t>。</w:t>
                  </w:r>
                </w:p>
              </w:tc>
              <w:tc>
                <w:tcPr>
                  <w:tcW w:w="2960" w:type="dxa"/>
                  <w:vAlign w:val="center"/>
                </w:tcPr>
                <w:p w14:paraId="6CDFAF50">
                  <w:pPr>
                    <w:autoSpaceDE w:val="0"/>
                    <w:autoSpaceDN w:val="0"/>
                    <w:adjustRightInd w:val="0"/>
                    <w:snapToGrid w:val="0"/>
                    <w:jc w:val="left"/>
                    <w:rPr>
                      <w:color w:val="auto"/>
                      <w:szCs w:val="21"/>
                    </w:rPr>
                  </w:pPr>
                  <w:r>
                    <w:rPr>
                      <w:rFonts w:hint="eastAsia"/>
                      <w:color w:val="auto"/>
                      <w:szCs w:val="21"/>
                    </w:rPr>
                    <w:t>本项目污水等按照国家规定严格消毒，经化粪池、污水处理站处理达标准，排入市政污水管网，进入污水处理厂处理。废水均不外排。</w:t>
                  </w:r>
                </w:p>
              </w:tc>
              <w:tc>
                <w:tcPr>
                  <w:tcW w:w="447" w:type="dxa"/>
                  <w:vAlign w:val="center"/>
                </w:tcPr>
                <w:p w14:paraId="5C558C98">
                  <w:pPr>
                    <w:autoSpaceDE w:val="0"/>
                    <w:autoSpaceDN w:val="0"/>
                    <w:adjustRightInd w:val="0"/>
                    <w:snapToGrid w:val="0"/>
                    <w:jc w:val="center"/>
                    <w:rPr>
                      <w:color w:val="auto"/>
                      <w:szCs w:val="21"/>
                    </w:rPr>
                  </w:pPr>
                  <w:r>
                    <w:rPr>
                      <w:rFonts w:hint="eastAsia"/>
                      <w:color w:val="auto"/>
                      <w:szCs w:val="21"/>
                    </w:rPr>
                    <w:t>符合</w:t>
                  </w:r>
                </w:p>
              </w:tc>
            </w:tr>
            <w:tr w14:paraId="018F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5BCC815D">
                  <w:pPr>
                    <w:autoSpaceDE w:val="0"/>
                    <w:autoSpaceDN w:val="0"/>
                    <w:adjustRightInd w:val="0"/>
                    <w:snapToGrid w:val="0"/>
                    <w:jc w:val="center"/>
                    <w:rPr>
                      <w:color w:val="auto"/>
                      <w:sz w:val="18"/>
                      <w:szCs w:val="18"/>
                    </w:rPr>
                  </w:pPr>
                  <w:r>
                    <w:rPr>
                      <w:rFonts w:hint="eastAsia"/>
                      <w:color w:val="auto"/>
                      <w:sz w:val="18"/>
                      <w:szCs w:val="18"/>
                    </w:rPr>
                    <w:t>5</w:t>
                  </w:r>
                </w:p>
              </w:tc>
              <w:tc>
                <w:tcPr>
                  <w:tcW w:w="3566" w:type="dxa"/>
                  <w:vAlign w:val="center"/>
                </w:tcPr>
                <w:p w14:paraId="4F8BA6C6">
                  <w:pPr>
                    <w:autoSpaceDE w:val="0"/>
                    <w:autoSpaceDN w:val="0"/>
                    <w:adjustRightInd w:val="0"/>
                    <w:snapToGrid w:val="0"/>
                    <w:rPr>
                      <w:color w:val="auto"/>
                      <w:szCs w:val="21"/>
                    </w:rPr>
                  </w:pPr>
                  <w:r>
                    <w:rPr>
                      <w:rFonts w:hint="eastAsia"/>
                      <w:color w:val="auto"/>
                      <w:szCs w:val="21"/>
                    </w:rPr>
                    <w:t xml:space="preserve">切实加强水环境管理： </w:t>
                  </w:r>
                </w:p>
                <w:p w14:paraId="3B89D98A">
                  <w:pPr>
                    <w:autoSpaceDE w:val="0"/>
                    <w:autoSpaceDN w:val="0"/>
                    <w:adjustRightInd w:val="0"/>
                    <w:snapToGrid w:val="0"/>
                    <w:jc w:val="center"/>
                    <w:rPr>
                      <w:color w:val="auto"/>
                      <w:szCs w:val="21"/>
                    </w:rPr>
                  </w:pPr>
                  <w:r>
                    <w:rPr>
                      <w:rFonts w:hint="eastAsia"/>
                      <w:color w:val="auto"/>
                      <w:szCs w:val="21"/>
                    </w:rPr>
                    <w:t xml:space="preserve">1、全面推行排污许可。依法核发排 </w:t>
                  </w:r>
                </w:p>
                <w:p w14:paraId="326B5448">
                  <w:pPr>
                    <w:autoSpaceDE w:val="0"/>
                    <w:autoSpaceDN w:val="0"/>
                    <w:adjustRightInd w:val="0"/>
                    <w:snapToGrid w:val="0"/>
                    <w:jc w:val="left"/>
                    <w:rPr>
                      <w:color w:val="auto"/>
                      <w:szCs w:val="21"/>
                    </w:rPr>
                  </w:pPr>
                  <w:r>
                    <w:rPr>
                      <w:rFonts w:hint="eastAsia"/>
                      <w:color w:val="auto"/>
                      <w:szCs w:val="21"/>
                    </w:rPr>
                    <w:t>污许可证。</w:t>
                  </w:r>
                </w:p>
              </w:tc>
              <w:tc>
                <w:tcPr>
                  <w:tcW w:w="2960" w:type="dxa"/>
                  <w:vAlign w:val="center"/>
                </w:tcPr>
                <w:p w14:paraId="5A8D1D21">
                  <w:pPr>
                    <w:autoSpaceDE w:val="0"/>
                    <w:autoSpaceDN w:val="0"/>
                    <w:adjustRightInd w:val="0"/>
                    <w:snapToGrid w:val="0"/>
                    <w:rPr>
                      <w:color w:val="auto"/>
                      <w:szCs w:val="21"/>
                    </w:rPr>
                  </w:pPr>
                  <w:r>
                    <w:rPr>
                      <w:rFonts w:hint="eastAsia"/>
                      <w:color w:val="auto"/>
                      <w:szCs w:val="21"/>
                    </w:rPr>
                    <w:t>项目取得环评批复后，按照相关环保要求更新排污许可证。</w:t>
                  </w:r>
                </w:p>
              </w:tc>
              <w:tc>
                <w:tcPr>
                  <w:tcW w:w="447" w:type="dxa"/>
                  <w:vAlign w:val="center"/>
                </w:tcPr>
                <w:p w14:paraId="72A3660F">
                  <w:pPr>
                    <w:autoSpaceDE w:val="0"/>
                    <w:autoSpaceDN w:val="0"/>
                    <w:adjustRightInd w:val="0"/>
                    <w:snapToGrid w:val="0"/>
                    <w:jc w:val="center"/>
                    <w:rPr>
                      <w:color w:val="auto"/>
                      <w:szCs w:val="21"/>
                    </w:rPr>
                  </w:pPr>
                  <w:r>
                    <w:rPr>
                      <w:rFonts w:hint="eastAsia"/>
                      <w:color w:val="auto"/>
                      <w:szCs w:val="21"/>
                    </w:rPr>
                    <w:t>符合</w:t>
                  </w:r>
                </w:p>
              </w:tc>
            </w:tr>
            <w:tr w14:paraId="4287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6F21CE2D">
                  <w:pPr>
                    <w:autoSpaceDE w:val="0"/>
                    <w:autoSpaceDN w:val="0"/>
                    <w:adjustRightInd w:val="0"/>
                    <w:snapToGrid w:val="0"/>
                    <w:jc w:val="center"/>
                    <w:rPr>
                      <w:color w:val="auto"/>
                      <w:sz w:val="18"/>
                      <w:szCs w:val="18"/>
                    </w:rPr>
                  </w:pPr>
                  <w:r>
                    <w:rPr>
                      <w:rFonts w:hint="eastAsia"/>
                      <w:color w:val="auto"/>
                      <w:sz w:val="18"/>
                      <w:szCs w:val="18"/>
                    </w:rPr>
                    <w:t>6</w:t>
                  </w:r>
                </w:p>
              </w:tc>
              <w:tc>
                <w:tcPr>
                  <w:tcW w:w="3566" w:type="dxa"/>
                  <w:vAlign w:val="center"/>
                </w:tcPr>
                <w:p w14:paraId="7EEF9260">
                  <w:pPr>
                    <w:autoSpaceDE w:val="0"/>
                    <w:autoSpaceDN w:val="0"/>
                    <w:adjustRightInd w:val="0"/>
                    <w:snapToGrid w:val="0"/>
                    <w:rPr>
                      <w:color w:val="auto"/>
                      <w:szCs w:val="21"/>
                    </w:rPr>
                  </w:pPr>
                  <w:r>
                    <w:rPr>
                      <w:rFonts w:hint="eastAsia"/>
                      <w:color w:val="auto"/>
                      <w:szCs w:val="21"/>
                    </w:rPr>
                    <w:t>全力保障水生态环境安全 ：</w:t>
                  </w:r>
                </w:p>
                <w:p w14:paraId="47CF662F">
                  <w:pPr>
                    <w:autoSpaceDE w:val="0"/>
                    <w:autoSpaceDN w:val="0"/>
                    <w:adjustRightInd w:val="0"/>
                    <w:snapToGrid w:val="0"/>
                    <w:rPr>
                      <w:color w:val="auto"/>
                      <w:szCs w:val="21"/>
                    </w:rPr>
                  </w:pPr>
                  <w:r>
                    <w:rPr>
                      <w:rFonts w:hint="eastAsia"/>
                      <w:color w:val="auto"/>
                      <w:szCs w:val="21"/>
                    </w:rPr>
                    <w:t xml:space="preserve">1、防治地下水污染。定期调查评估 </w:t>
                  </w:r>
                </w:p>
                <w:p w14:paraId="7A8FF5E8">
                  <w:pPr>
                    <w:autoSpaceDE w:val="0"/>
                    <w:autoSpaceDN w:val="0"/>
                    <w:adjustRightInd w:val="0"/>
                    <w:snapToGrid w:val="0"/>
                    <w:rPr>
                      <w:color w:val="auto"/>
                      <w:szCs w:val="21"/>
                    </w:rPr>
                  </w:pPr>
                  <w:r>
                    <w:rPr>
                      <w:rFonts w:hint="eastAsia"/>
                      <w:color w:val="auto"/>
                      <w:szCs w:val="21"/>
                    </w:rPr>
                    <w:t>集中式地下水型饮用水水源补给区等区域环境状况。</w:t>
                  </w:r>
                </w:p>
              </w:tc>
              <w:tc>
                <w:tcPr>
                  <w:tcW w:w="2960" w:type="dxa"/>
                  <w:vAlign w:val="center"/>
                </w:tcPr>
                <w:p w14:paraId="7FD9C781">
                  <w:pPr>
                    <w:autoSpaceDE w:val="0"/>
                    <w:autoSpaceDN w:val="0"/>
                    <w:adjustRightInd w:val="0"/>
                    <w:snapToGrid w:val="0"/>
                    <w:rPr>
                      <w:color w:val="auto"/>
                      <w:szCs w:val="21"/>
                    </w:rPr>
                  </w:pPr>
                  <w:r>
                    <w:rPr>
                      <w:rFonts w:hint="eastAsia"/>
                      <w:color w:val="auto"/>
                      <w:szCs w:val="21"/>
                    </w:rPr>
                    <w:t>本项目对地下水不产生影响。</w:t>
                  </w:r>
                </w:p>
                <w:p w14:paraId="60C79460">
                  <w:pPr>
                    <w:autoSpaceDE w:val="0"/>
                    <w:autoSpaceDN w:val="0"/>
                    <w:adjustRightInd w:val="0"/>
                    <w:snapToGrid w:val="0"/>
                    <w:rPr>
                      <w:color w:val="auto"/>
                      <w:szCs w:val="21"/>
                    </w:rPr>
                  </w:pPr>
                </w:p>
              </w:tc>
              <w:tc>
                <w:tcPr>
                  <w:tcW w:w="447" w:type="dxa"/>
                  <w:vAlign w:val="center"/>
                </w:tcPr>
                <w:p w14:paraId="63941218">
                  <w:pPr>
                    <w:autoSpaceDE w:val="0"/>
                    <w:autoSpaceDN w:val="0"/>
                    <w:adjustRightInd w:val="0"/>
                    <w:snapToGrid w:val="0"/>
                    <w:jc w:val="center"/>
                    <w:rPr>
                      <w:color w:val="auto"/>
                      <w:szCs w:val="21"/>
                    </w:rPr>
                  </w:pPr>
                  <w:r>
                    <w:rPr>
                      <w:rFonts w:hint="eastAsia"/>
                      <w:color w:val="auto"/>
                      <w:szCs w:val="21"/>
                    </w:rPr>
                    <w:t>符合</w:t>
                  </w:r>
                </w:p>
              </w:tc>
            </w:tr>
          </w:tbl>
          <w:p w14:paraId="54E92E31">
            <w:pPr>
              <w:spacing w:before="120" w:beforeLines="50" w:line="360" w:lineRule="auto"/>
              <w:ind w:firstLine="480" w:firstLineChars="200"/>
              <w:rPr>
                <w:color w:val="auto"/>
                <w:sz w:val="24"/>
              </w:rPr>
            </w:pPr>
            <w:r>
              <w:rPr>
                <w:rFonts w:hint="eastAsia"/>
                <w:color w:val="auto"/>
                <w:sz w:val="24"/>
              </w:rPr>
              <w:t>由上表可知，本项目符合水污染防治行动计划中相关要求。</w:t>
            </w:r>
          </w:p>
          <w:p w14:paraId="109DE638">
            <w:pPr>
              <w:spacing w:line="360" w:lineRule="auto"/>
              <w:rPr>
                <w:b/>
                <w:bCs/>
                <w:color w:val="auto"/>
                <w:kern w:val="0"/>
                <w:sz w:val="24"/>
              </w:rPr>
            </w:pPr>
            <w:r>
              <w:rPr>
                <w:rFonts w:hint="eastAsia"/>
                <w:b/>
                <w:bCs/>
                <w:color w:val="auto"/>
                <w:kern w:val="0"/>
                <w:sz w:val="24"/>
              </w:rPr>
              <w:t>十、项目与《玉溪市“湖泊革命”实施方案》符合性分析</w:t>
            </w:r>
          </w:p>
          <w:p w14:paraId="1495B2B6">
            <w:pPr>
              <w:spacing w:line="360" w:lineRule="auto"/>
              <w:ind w:firstLine="480" w:firstLineChars="200"/>
              <w:rPr>
                <w:color w:val="auto"/>
                <w:kern w:val="0"/>
                <w:sz w:val="24"/>
              </w:rPr>
            </w:pPr>
            <w:r>
              <w:rPr>
                <w:rFonts w:hint="eastAsia"/>
                <w:color w:val="auto"/>
                <w:kern w:val="0"/>
                <w:sz w:val="24"/>
              </w:rPr>
              <w:t>根据中共玉溪市委办公室、玉溪市人民政府办公室2021年8月17日关于印发《玉溪市“湖泊革命”实施方案》的通知，其工作思路为坚持精准治湖、科学治湖、依法治湖、全民治湖、网格管理“四治一网”，落实源头严控、过程严管、末端严治“三严”要求，统筹保护和发展，着力构建控源减排、污染防治、空间管控、绿色转型、科技支撑、监管执法、法规制度、组织指挥八大体系，实现人与自然和谐共生的绿色低碳可持续发展；其重点任务为以实施“三湖”“十四五”规划、“一湖一策”、“湖泊革命”方案为统领，统筹推进突出环境问题整改，加快落实“退、减、调、治、管”重点任务，全力推动“三湖”流域常态化保护、长效化治理、绿色化发展。</w:t>
            </w:r>
          </w:p>
          <w:p w14:paraId="4DF5A4B7">
            <w:pPr>
              <w:spacing w:line="360" w:lineRule="auto"/>
              <w:ind w:firstLine="480" w:firstLineChars="200"/>
              <w:rPr>
                <w:color w:val="auto"/>
                <w:kern w:val="0"/>
                <w:sz w:val="24"/>
              </w:rPr>
            </w:pPr>
            <w:r>
              <w:rPr>
                <w:color w:val="auto"/>
                <w:kern w:val="0"/>
                <w:sz w:val="24"/>
              </w:rPr>
              <w:t>本项目位于云南省通海县九龙街道九龙分院，杨广镇杨广分院、四街镇四街分院、纳古镇纳古分院，</w:t>
            </w:r>
            <w:r>
              <w:rPr>
                <w:rFonts w:hint="eastAsia"/>
                <w:bCs/>
                <w:color w:val="auto"/>
                <w:kern w:val="0"/>
                <w:sz w:val="24"/>
              </w:rPr>
              <w:t>属于杞麓湖径流区。</w:t>
            </w:r>
            <w:r>
              <w:rPr>
                <w:color w:val="auto"/>
                <w:kern w:val="0"/>
                <w:sz w:val="24"/>
              </w:rPr>
              <w:t>项目</w:t>
            </w:r>
            <w:r>
              <w:rPr>
                <w:rFonts w:hint="eastAsia"/>
                <w:color w:val="auto"/>
                <w:kern w:val="0"/>
                <w:sz w:val="24"/>
              </w:rPr>
              <w:t>运行期产生的废水经自建的污水处理站处理达标后外排进入市政污水管网，最终进入污水处理厂处理，不直接排放，符合《玉溪市“湖泊革命”实施方案》相关要求。</w:t>
            </w:r>
          </w:p>
          <w:p w14:paraId="63BCEDF3">
            <w:pPr>
              <w:spacing w:line="360" w:lineRule="auto"/>
              <w:rPr>
                <w:color w:val="auto"/>
                <w:sz w:val="24"/>
              </w:rPr>
            </w:pPr>
            <w:r>
              <w:rPr>
                <w:rFonts w:hint="eastAsia"/>
                <w:b/>
                <w:bCs/>
                <w:color w:val="auto"/>
                <w:kern w:val="0"/>
                <w:sz w:val="24"/>
              </w:rPr>
              <w:t>十一、</w:t>
            </w:r>
            <w:r>
              <w:rPr>
                <w:rFonts w:hint="eastAsia"/>
                <w:b/>
                <w:bCs/>
                <w:color w:val="auto"/>
                <w:sz w:val="24"/>
              </w:rPr>
              <w:t>与《云南省土壤、地下水污染防治“十四五”规划》的</w:t>
            </w:r>
            <w:r>
              <w:rPr>
                <w:b/>
                <w:bCs/>
                <w:color w:val="auto"/>
                <w:sz w:val="24"/>
              </w:rPr>
              <w:t>符合性分析</w:t>
            </w:r>
          </w:p>
          <w:p w14:paraId="62016B93">
            <w:pPr>
              <w:pStyle w:val="4"/>
              <w:keepNext w:val="0"/>
              <w:keepLines w:val="0"/>
              <w:spacing w:before="0" w:after="0" w:line="360" w:lineRule="auto"/>
              <w:ind w:firstLine="482" w:firstLineChars="200"/>
              <w:rPr>
                <w:rFonts w:hint="eastAsia" w:ascii="宋体" w:hAnsi="宋体" w:cs="宋体"/>
                <w:b w:val="0"/>
                <w:bCs w:val="0"/>
                <w:color w:val="auto"/>
                <w:kern w:val="0"/>
                <w:sz w:val="24"/>
                <w:szCs w:val="24"/>
              </w:rPr>
            </w:pPr>
            <w:r>
              <w:rPr>
                <w:rFonts w:hint="eastAsia" w:ascii="宋体" w:hAnsi="宋体" w:cs="宋体"/>
                <w:color w:val="auto"/>
                <w:kern w:val="0"/>
                <w:sz w:val="24"/>
                <w:szCs w:val="24"/>
              </w:rPr>
              <w:t>①严格建设项目土壤环境影响评价制度。</w:t>
            </w:r>
            <w:r>
              <w:rPr>
                <w:rFonts w:hint="eastAsia" w:ascii="宋体" w:hAnsi="宋体" w:cs="宋体"/>
                <w:b w:val="0"/>
                <w:bCs w:val="0"/>
                <w:color w:val="auto"/>
                <w:kern w:val="0"/>
                <w:sz w:val="24"/>
                <w:szCs w:val="24"/>
              </w:rPr>
              <w:t>建设项目配套建设的土壤污染防治设施，应当与主体工程同时设计、同时施工、同时投入使用。</w:t>
            </w:r>
          </w:p>
          <w:p w14:paraId="6B88E09C">
            <w:pPr>
              <w:pStyle w:val="4"/>
              <w:keepNext w:val="0"/>
              <w:keepLines w:val="0"/>
              <w:spacing w:before="0" w:after="0" w:line="360" w:lineRule="auto"/>
              <w:ind w:firstLine="482" w:firstLineChars="200"/>
              <w:rPr>
                <w:rFonts w:hint="eastAsia" w:ascii="宋体" w:hAnsi="宋体" w:cs="宋体"/>
                <w:b w:val="0"/>
                <w:bCs w:val="0"/>
                <w:color w:val="auto"/>
                <w:kern w:val="0"/>
                <w:sz w:val="24"/>
                <w:szCs w:val="24"/>
              </w:rPr>
            </w:pPr>
            <w:r>
              <w:rPr>
                <w:rFonts w:hint="eastAsia" w:ascii="宋体" w:hAnsi="宋体" w:cs="宋体"/>
                <w:color w:val="auto"/>
                <w:kern w:val="0"/>
                <w:sz w:val="24"/>
                <w:szCs w:val="24"/>
              </w:rPr>
              <w:t>②推动实施绿色化提标改造。</w:t>
            </w:r>
            <w:r>
              <w:rPr>
                <w:rFonts w:hint="eastAsia" w:ascii="宋体" w:hAnsi="宋体" w:cs="宋体"/>
                <w:b w:val="0"/>
                <w:bCs w:val="0"/>
                <w:color w:val="auto"/>
                <w:kern w:val="0"/>
                <w:sz w:val="24"/>
                <w:szCs w:val="24"/>
              </w:rPr>
              <w:t>鼓励土壤污染重点监管单位因地制宜采用管道化、密闭化改造，重点区域、重点设施设备防腐蚀防渗漏改造，以及物料、污水、废气管线架空建设和改造。</w:t>
            </w:r>
          </w:p>
          <w:p w14:paraId="7D1DA453">
            <w:pPr>
              <w:pStyle w:val="4"/>
              <w:keepNext w:val="0"/>
              <w:keepLines w:val="0"/>
              <w:spacing w:before="0" w:after="0" w:line="360" w:lineRule="auto"/>
              <w:ind w:firstLine="482" w:firstLineChars="200"/>
              <w:rPr>
                <w:rFonts w:hint="eastAsia" w:ascii="宋体" w:hAnsi="宋体" w:cs="宋体"/>
                <w:b w:val="0"/>
                <w:bCs w:val="0"/>
                <w:color w:val="auto"/>
                <w:kern w:val="0"/>
                <w:sz w:val="24"/>
                <w:szCs w:val="24"/>
              </w:rPr>
            </w:pPr>
            <w:r>
              <w:rPr>
                <w:rFonts w:hint="eastAsia" w:ascii="宋体" w:hAnsi="宋体" w:cs="宋体"/>
                <w:color w:val="auto"/>
                <w:kern w:val="0"/>
                <w:sz w:val="24"/>
                <w:szCs w:val="24"/>
              </w:rPr>
              <w:t>③加强地下水污染防治。</w:t>
            </w:r>
            <w:r>
              <w:rPr>
                <w:rFonts w:hint="eastAsia" w:ascii="宋体" w:hAnsi="宋体" w:cs="宋体"/>
                <w:b w:val="0"/>
                <w:bCs w:val="0"/>
                <w:color w:val="auto"/>
                <w:kern w:val="0"/>
                <w:sz w:val="24"/>
                <w:szCs w:val="24"/>
              </w:rPr>
              <w:t>以保护和改善地下水环境质量为核心，建立健全地下水污染防治管理体系。统筹推进土壤和地下水污染协同防控。</w:t>
            </w:r>
          </w:p>
          <w:p w14:paraId="7535F478">
            <w:pPr>
              <w:widowControl/>
              <w:spacing w:line="360" w:lineRule="auto"/>
              <w:ind w:firstLine="480" w:firstLineChars="200"/>
              <w:jc w:val="left"/>
              <w:rPr>
                <w:b/>
                <w:bCs/>
                <w:color w:val="auto"/>
                <w:kern w:val="0"/>
                <w:sz w:val="24"/>
              </w:rPr>
            </w:pPr>
            <w:r>
              <w:rPr>
                <w:rFonts w:hint="eastAsia" w:ascii="宋体" w:hAnsi="宋体" w:cs="宋体"/>
                <w:color w:val="auto"/>
                <w:kern w:val="0"/>
                <w:sz w:val="24"/>
                <w:lang w:bidi="ar"/>
              </w:rPr>
              <w:t>本项目属于卫生院建设项目，施工和运营过程采取了有效可行的废气、废水、固废治理措施和生态恢复措施，项目将严格落实</w:t>
            </w:r>
            <w:r>
              <w:rPr>
                <w:color w:val="auto"/>
                <w:kern w:val="0"/>
                <w:sz w:val="24"/>
                <w:lang w:bidi="ar"/>
              </w:rPr>
              <w:t>“</w:t>
            </w:r>
            <w:r>
              <w:rPr>
                <w:rFonts w:hint="eastAsia" w:ascii="宋体" w:hAnsi="宋体" w:cs="宋体"/>
                <w:color w:val="auto"/>
                <w:kern w:val="0"/>
                <w:sz w:val="24"/>
                <w:lang w:bidi="ar"/>
              </w:rPr>
              <w:t>三同时</w:t>
            </w:r>
            <w:r>
              <w:rPr>
                <w:color w:val="auto"/>
                <w:kern w:val="0"/>
                <w:sz w:val="24"/>
                <w:lang w:bidi="ar"/>
              </w:rPr>
              <w:t>”</w:t>
            </w:r>
            <w:r>
              <w:rPr>
                <w:rFonts w:hint="eastAsia" w:ascii="宋体" w:hAnsi="宋体" w:cs="宋体"/>
                <w:color w:val="auto"/>
                <w:kern w:val="0"/>
                <w:sz w:val="24"/>
                <w:lang w:bidi="ar"/>
              </w:rPr>
              <w:t>制度。施工和运营对土壤和地下水的影响较小。项目与《云南省土壤、地下水污染防治</w:t>
            </w:r>
            <w:r>
              <w:rPr>
                <w:color w:val="auto"/>
                <w:kern w:val="0"/>
                <w:sz w:val="24"/>
                <w:lang w:bidi="ar"/>
              </w:rPr>
              <w:t>“</w:t>
            </w:r>
            <w:r>
              <w:rPr>
                <w:rFonts w:hint="eastAsia" w:ascii="宋体" w:hAnsi="宋体" w:cs="宋体"/>
                <w:color w:val="auto"/>
                <w:kern w:val="0"/>
                <w:sz w:val="24"/>
                <w:lang w:bidi="ar"/>
              </w:rPr>
              <w:t>十四五</w:t>
            </w:r>
            <w:r>
              <w:rPr>
                <w:color w:val="auto"/>
                <w:kern w:val="0"/>
                <w:sz w:val="24"/>
                <w:lang w:bidi="ar"/>
              </w:rPr>
              <w:t>”</w:t>
            </w:r>
            <w:r>
              <w:rPr>
                <w:rFonts w:hint="eastAsia" w:ascii="宋体" w:hAnsi="宋体" w:cs="宋体"/>
                <w:color w:val="auto"/>
                <w:kern w:val="0"/>
                <w:sz w:val="24"/>
                <w:lang w:bidi="ar"/>
              </w:rPr>
              <w:t>规划》相关要求相符。</w:t>
            </w:r>
          </w:p>
          <w:p w14:paraId="31F08439">
            <w:pPr>
              <w:adjustRightInd w:val="0"/>
              <w:snapToGrid w:val="0"/>
              <w:spacing w:line="360" w:lineRule="auto"/>
              <w:rPr>
                <w:b/>
                <w:bCs/>
                <w:color w:val="auto"/>
                <w:kern w:val="0"/>
                <w:sz w:val="24"/>
              </w:rPr>
            </w:pPr>
            <w:r>
              <w:rPr>
                <w:rFonts w:hint="eastAsia"/>
                <w:b/>
                <w:bCs/>
                <w:color w:val="auto"/>
                <w:kern w:val="0"/>
                <w:sz w:val="24"/>
              </w:rPr>
              <w:t>十二、</w:t>
            </w:r>
            <w:r>
              <w:rPr>
                <w:b/>
                <w:bCs/>
                <w:color w:val="auto"/>
                <w:kern w:val="0"/>
                <w:sz w:val="24"/>
              </w:rPr>
              <w:t>项目选址合理性分析</w:t>
            </w:r>
          </w:p>
          <w:p w14:paraId="730D5672">
            <w:pPr>
              <w:widowControl/>
              <w:spacing w:line="360" w:lineRule="auto"/>
              <w:ind w:firstLine="480" w:firstLineChars="200"/>
              <w:jc w:val="left"/>
              <w:rPr>
                <w:rFonts w:hint="eastAsia" w:ascii="宋体" w:hAnsi="宋体" w:cs="宋体"/>
                <w:color w:val="auto"/>
                <w:kern w:val="0"/>
                <w:sz w:val="24"/>
                <w:lang w:bidi="ar"/>
              </w:rPr>
            </w:pPr>
            <w:r>
              <w:rPr>
                <w:color w:val="auto"/>
                <w:sz w:val="24"/>
              </w:rPr>
              <w:t>本项目属于</w:t>
            </w:r>
            <w:r>
              <w:rPr>
                <w:rFonts w:hint="eastAsia"/>
                <w:color w:val="auto"/>
                <w:sz w:val="24"/>
              </w:rPr>
              <w:t>乡镇卫生院项目</w:t>
            </w:r>
            <w:r>
              <w:rPr>
                <w:color w:val="auto"/>
                <w:sz w:val="24"/>
              </w:rPr>
              <w:t>，选址于</w:t>
            </w:r>
            <w:r>
              <w:rPr>
                <w:rFonts w:hint="eastAsia"/>
                <w:color w:val="auto"/>
                <w:sz w:val="24"/>
              </w:rPr>
              <w:t>云南省通海县九龙街道九龙分院，杨广镇杨广分院、四街镇四街分院、纳古镇纳古分院。</w:t>
            </w:r>
            <w:r>
              <w:rPr>
                <w:rFonts w:hint="eastAsia" w:ascii="宋体" w:hAnsi="宋体" w:cs="宋体"/>
                <w:color w:val="auto"/>
                <w:kern w:val="0"/>
                <w:sz w:val="24"/>
                <w:lang w:bidi="ar"/>
              </w:rPr>
              <w:t>本项目规划用地1579.28㎡。纳古分院拟在原址内新建1幢用地面积为591.28㎡的综合楼</w:t>
            </w:r>
            <w:r>
              <w:rPr>
                <w:rFonts w:hint="eastAsia"/>
                <w:color w:val="auto"/>
                <w:sz w:val="24"/>
              </w:rPr>
              <w:t>；四街分院拟在原址内新建1幢用地面积为580.64㎡的业务用房，九龙分院拟在原址内新建1幢用地面积407.36㎡的业务用房。杨广分院拟将原门诊楼1号楼改造成住院楼，不涉及土建工程。</w:t>
            </w:r>
            <w:r>
              <w:rPr>
                <w:rFonts w:hint="eastAsia" w:ascii="宋体" w:hAnsi="宋体" w:cs="宋体"/>
                <w:color w:val="auto"/>
                <w:kern w:val="0"/>
                <w:sz w:val="24"/>
                <w:lang w:bidi="ar"/>
              </w:rPr>
              <w:t>项目用地性质医疗卫生用地。</w:t>
            </w:r>
          </w:p>
          <w:p w14:paraId="61BA4827">
            <w:pPr>
              <w:widowControl/>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本项目位于云南省通海县九龙街道九龙分院，杨广镇杨广分院、四街镇四街分院、纳古镇纳古分院。</w:t>
            </w:r>
            <w:bookmarkStart w:id="12" w:name="_Hlk194564966"/>
            <w:r>
              <w:rPr>
                <w:rFonts w:hint="eastAsia" w:ascii="宋体" w:hAnsi="宋体" w:cs="宋体"/>
                <w:color w:val="auto"/>
                <w:kern w:val="0"/>
                <w:sz w:val="24"/>
                <w:lang w:bidi="ar"/>
              </w:rPr>
              <w:t>本项目九龙分院选址已取得通海县九龙街道规划建设和环境保护中心对本项目出具的选址意见（附件3-3），同意项目选址。本项目纳古分院选址已取得通海县纳古镇人民政府对本项目出具的选址意见（附件3-1），同意项目选址。本项目四街分院选址已取得通海县四街镇人民政府对本项目出具的选址意见（附件3-2），同意项目选址。本项目杨广分院选址已取得通海县杨广镇规划建设和环境保护中心对本项目出具的选址意见（</w:t>
            </w:r>
            <w:bookmarkEnd w:id="12"/>
            <w:r>
              <w:rPr>
                <w:rFonts w:hint="eastAsia" w:ascii="宋体" w:hAnsi="宋体" w:cs="宋体"/>
                <w:color w:val="auto"/>
                <w:kern w:val="0"/>
                <w:sz w:val="24"/>
                <w:lang w:bidi="ar"/>
              </w:rPr>
              <w:t>附件3-4），同意项目选址。</w:t>
            </w:r>
          </w:p>
          <w:p w14:paraId="426EDA02">
            <w:pPr>
              <w:widowControl/>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本项目为卫生院扩建项目，新建及改造的业务用房均位于原址内，项目四街卫生院西北面和东面均为四街村、西面为四街镇，南面为农田，周边均为居民区，无大的噪声源分布，因此项目四街卫生院选址与周边环境相容。项目九龙卫生院北面、西面、东面均为九龙街道集镇居民区，南面为农田，无大的噪声源分布，因此项目九龙卫生院选址与周边环境相容。项目纳古镇卫生院东面、南面、西面、北面均为纳古镇集镇居民，无大的噪声源分布，因此项目纳古卫生院选址与周边环境相容。项目杨广镇卫生院东面、南面、西面均为杨广镇集镇居民，北面为农田，无大的噪声源分布，因此项目杨广卫生院选址与周边环境相容。</w:t>
            </w:r>
          </w:p>
          <w:p w14:paraId="31AE5066">
            <w:pPr>
              <w:widowControl/>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项目用地性质为医疗卫生用地，用地范围内不涉及生态红线。项目周边无文物保护、风景名胜等环境敏感目标；项目不在饮用水源保护区内，不存在重大环境制约因素。在正常运行情况下，本项目经采取有效污染治理，对评价区域环境质量影响很小，对关心目标影响很小，区域环境质量不会发生明显的变化，符合该地区环境功能区划的要求。</w:t>
            </w:r>
          </w:p>
          <w:p w14:paraId="074F3273">
            <w:pPr>
              <w:spacing w:line="360" w:lineRule="auto"/>
              <w:ind w:firstLine="480" w:firstLineChars="200"/>
              <w:rPr>
                <w:color w:val="auto"/>
                <w:kern w:val="0"/>
                <w:sz w:val="24"/>
              </w:rPr>
            </w:pPr>
            <w:r>
              <w:rPr>
                <w:rFonts w:hint="eastAsia"/>
                <w:color w:val="auto"/>
                <w:kern w:val="0"/>
                <w:sz w:val="24"/>
              </w:rPr>
              <w:t>综上所述，项目选址合理。</w:t>
            </w:r>
          </w:p>
          <w:p w14:paraId="044F0DA5">
            <w:pPr>
              <w:autoSpaceDE w:val="0"/>
              <w:autoSpaceDN w:val="0"/>
              <w:adjustRightInd w:val="0"/>
              <w:snapToGrid w:val="0"/>
              <w:spacing w:line="360" w:lineRule="auto"/>
              <w:jc w:val="left"/>
              <w:rPr>
                <w:bCs/>
                <w:color w:val="auto"/>
                <w:sz w:val="24"/>
              </w:rPr>
            </w:pPr>
            <w:r>
              <w:rPr>
                <w:rFonts w:hint="eastAsia"/>
                <w:b/>
                <w:bCs/>
                <w:color w:val="auto"/>
                <w:kern w:val="0"/>
                <w:sz w:val="24"/>
              </w:rPr>
              <w:t>十三</w:t>
            </w:r>
            <w:r>
              <w:rPr>
                <w:b/>
                <w:bCs/>
                <w:color w:val="auto"/>
                <w:kern w:val="0"/>
                <w:sz w:val="24"/>
              </w:rPr>
              <w:t>、</w:t>
            </w:r>
            <w:r>
              <w:rPr>
                <w:rFonts w:hint="eastAsia"/>
                <w:b/>
                <w:bCs/>
                <w:color w:val="auto"/>
                <w:kern w:val="0"/>
                <w:sz w:val="24"/>
              </w:rPr>
              <w:t>平面布置的合理性分析</w:t>
            </w:r>
          </w:p>
          <w:p w14:paraId="67CB1854">
            <w:pPr>
              <w:spacing w:line="360" w:lineRule="auto"/>
              <w:ind w:firstLine="480" w:firstLineChars="200"/>
              <w:rPr>
                <w:color w:val="auto"/>
                <w:sz w:val="24"/>
              </w:rPr>
            </w:pPr>
            <w:bookmarkStart w:id="13" w:name="6996765-7219644-3"/>
            <w:bookmarkEnd w:id="13"/>
            <w:r>
              <w:rPr>
                <w:color w:val="auto"/>
                <w:sz w:val="24"/>
              </w:rPr>
              <w:t>本次</w:t>
            </w:r>
            <w:r>
              <w:rPr>
                <w:rFonts w:hint="eastAsia"/>
                <w:color w:val="auto"/>
                <w:sz w:val="24"/>
              </w:rPr>
              <w:t>卫生院新建的建筑物均位于原卫生院内</w:t>
            </w:r>
            <w:r>
              <w:rPr>
                <w:color w:val="auto"/>
                <w:sz w:val="24"/>
              </w:rPr>
              <w:t>，</w:t>
            </w:r>
            <w:r>
              <w:rPr>
                <w:rFonts w:hint="eastAsia" w:ascii="宋体" w:hAnsi="宋体"/>
                <w:color w:val="auto"/>
                <w:sz w:val="24"/>
              </w:rPr>
              <w:t>不改变厂区内其他构筑物的空间布局。</w:t>
            </w:r>
            <w:r>
              <w:rPr>
                <w:color w:val="auto"/>
                <w:sz w:val="24"/>
              </w:rPr>
              <w:t>项目总平面布置中，充分考虑安全和各区功能的基础上尽量节约用地，合理布局，交通便捷，道路顺畅</w:t>
            </w:r>
            <w:r>
              <w:rPr>
                <w:rFonts w:hint="eastAsia"/>
                <w:color w:val="auto"/>
                <w:sz w:val="24"/>
              </w:rPr>
              <w:t>的原则</w:t>
            </w:r>
            <w:r>
              <w:rPr>
                <w:color w:val="auto"/>
                <w:sz w:val="24"/>
              </w:rPr>
              <w:t>。</w:t>
            </w:r>
            <w:r>
              <w:rPr>
                <w:rFonts w:hint="eastAsia"/>
                <w:color w:val="auto"/>
                <w:sz w:val="24"/>
              </w:rPr>
              <w:t>项目的建设</w:t>
            </w:r>
            <w:r>
              <w:rPr>
                <w:color w:val="auto"/>
                <w:sz w:val="24"/>
              </w:rPr>
              <w:t>能满足病人的转诊、物资和设备的运送等所需的交通条件和相对较近的交通距离。</w:t>
            </w:r>
          </w:p>
          <w:p w14:paraId="757140DA">
            <w:pPr>
              <w:spacing w:line="360" w:lineRule="auto"/>
              <w:ind w:firstLine="480" w:firstLineChars="200"/>
              <w:rPr>
                <w:color w:val="auto"/>
                <w:sz w:val="24"/>
              </w:rPr>
            </w:pPr>
            <w:r>
              <w:rPr>
                <w:rFonts w:hint="eastAsia"/>
                <w:color w:val="auto"/>
                <w:sz w:val="24"/>
              </w:rPr>
              <w:t>本次新建的纳古卫生院综合楼选址位于原卫生院内，项目总平面布置中，充分考虑安全和各区功能的基础上尽量节约用地，合理布局，综合楼位于卫生院北面，各建筑设施间有绿化带隔离，且各功能区分布明确，总体布设疏密有秩，便于患者就医。能满足病人的转诊、物资和设备的运送等所需的交通条件和相对较近的交通距离。综合楼</w:t>
            </w:r>
            <w:r>
              <w:rPr>
                <w:color w:val="auto"/>
                <w:sz w:val="24"/>
              </w:rPr>
              <w:t>一层设置大厅、中心药房、收费室、药房、门诊、检查室、B超室、DR室、读片室、办公室、心电室、消防控制室、清洗间，方便患者寻医问诊</w:t>
            </w:r>
            <w:r>
              <w:rPr>
                <w:rFonts w:hint="eastAsia"/>
                <w:color w:val="auto"/>
                <w:sz w:val="24"/>
              </w:rPr>
              <w:t>；</w:t>
            </w:r>
            <w:r>
              <w:rPr>
                <w:color w:val="auto"/>
                <w:sz w:val="24"/>
              </w:rPr>
              <w:t>二层为妇幼保健科</w:t>
            </w:r>
            <w:r>
              <w:rPr>
                <w:rFonts w:hint="eastAsia"/>
                <w:color w:val="auto"/>
                <w:sz w:val="24"/>
              </w:rPr>
              <w:t>；</w:t>
            </w:r>
            <w:r>
              <w:rPr>
                <w:color w:val="auto"/>
                <w:sz w:val="24"/>
              </w:rPr>
              <w:t>三层为口腔科和检验科，四层</w:t>
            </w:r>
            <w:r>
              <w:rPr>
                <w:rFonts w:hint="eastAsia"/>
                <w:color w:val="auto"/>
                <w:sz w:val="24"/>
              </w:rPr>
              <w:t>~五层</w:t>
            </w:r>
            <w:r>
              <w:rPr>
                <w:color w:val="auto"/>
                <w:sz w:val="24"/>
              </w:rPr>
              <w:t>为</w:t>
            </w:r>
            <w:r>
              <w:rPr>
                <w:rFonts w:hint="eastAsia"/>
                <w:color w:val="auto"/>
                <w:sz w:val="24"/>
              </w:rPr>
              <w:t>住院部；</w:t>
            </w:r>
            <w:r>
              <w:rPr>
                <w:color w:val="auto"/>
                <w:sz w:val="24"/>
              </w:rPr>
              <w:t>六层布置办公室、会议室、手术室。</w:t>
            </w:r>
            <w:r>
              <w:rPr>
                <w:rFonts w:hint="eastAsia"/>
                <w:color w:val="auto"/>
                <w:sz w:val="24"/>
              </w:rPr>
              <w:t>新建污水处理站位于东北角绿化带处，距离住院楼较远，可减少异味对其影响；</w:t>
            </w:r>
            <w:r>
              <w:rPr>
                <w:rStyle w:val="126"/>
                <w:rFonts w:hint="eastAsia"/>
                <w:color w:val="auto"/>
                <w:sz w:val="24"/>
              </w:rPr>
              <w:t>项目区西南角设置了医疗固废暂存间，建筑面积10m</w:t>
            </w:r>
            <w:r>
              <w:rPr>
                <w:rStyle w:val="126"/>
                <w:rFonts w:hint="eastAsia"/>
                <w:color w:val="auto"/>
                <w:sz w:val="24"/>
                <w:vertAlign w:val="superscript"/>
              </w:rPr>
              <w:t>2</w:t>
            </w:r>
            <w:r>
              <w:rPr>
                <w:rStyle w:val="126"/>
                <w:rFonts w:hint="eastAsia"/>
                <w:color w:val="auto"/>
                <w:sz w:val="24"/>
              </w:rPr>
              <w:t>，设标牌标识，</w:t>
            </w:r>
            <w:r>
              <w:rPr>
                <w:rFonts w:hint="eastAsia"/>
                <w:color w:val="auto"/>
                <w:sz w:val="24"/>
              </w:rPr>
              <w:t>方便医废的收集和转移运输；各科室均设置专用</w:t>
            </w:r>
            <w:r>
              <w:rPr>
                <w:color w:val="auto"/>
                <w:sz w:val="24"/>
              </w:rPr>
              <w:t>医疗</w:t>
            </w:r>
            <w:r>
              <w:rPr>
                <w:rFonts w:hint="eastAsia"/>
                <w:color w:val="auto"/>
                <w:sz w:val="24"/>
              </w:rPr>
              <w:t>废物</w:t>
            </w:r>
            <w:r>
              <w:rPr>
                <w:color w:val="auto"/>
                <w:sz w:val="24"/>
              </w:rPr>
              <w:t>收集桶</w:t>
            </w:r>
            <w:r>
              <w:rPr>
                <w:rFonts w:hint="eastAsia"/>
                <w:color w:val="auto"/>
                <w:sz w:val="24"/>
              </w:rPr>
              <w:t>和</w:t>
            </w:r>
            <w:r>
              <w:rPr>
                <w:color w:val="auto"/>
                <w:sz w:val="24"/>
              </w:rPr>
              <w:t>密闭式垃圾收集桶</w:t>
            </w:r>
            <w:r>
              <w:rPr>
                <w:rFonts w:hint="eastAsia"/>
                <w:color w:val="auto"/>
                <w:sz w:val="24"/>
              </w:rPr>
              <w:t>，便于</w:t>
            </w:r>
            <w:r>
              <w:rPr>
                <w:color w:val="auto"/>
                <w:sz w:val="24"/>
              </w:rPr>
              <w:t>医疗废物</w:t>
            </w:r>
            <w:r>
              <w:rPr>
                <w:rFonts w:hint="eastAsia"/>
                <w:color w:val="auto"/>
                <w:sz w:val="24"/>
              </w:rPr>
              <w:t>及生活</w:t>
            </w:r>
            <w:r>
              <w:rPr>
                <w:color w:val="auto"/>
                <w:sz w:val="24"/>
              </w:rPr>
              <w:t>垃圾</w:t>
            </w:r>
            <w:r>
              <w:rPr>
                <w:rFonts w:hint="eastAsia"/>
                <w:color w:val="auto"/>
                <w:sz w:val="24"/>
              </w:rPr>
              <w:t>的收集。</w:t>
            </w:r>
          </w:p>
          <w:p w14:paraId="14D1F272">
            <w:pPr>
              <w:spacing w:line="360" w:lineRule="auto"/>
              <w:ind w:firstLine="480" w:firstLineChars="200"/>
              <w:rPr>
                <w:color w:val="auto"/>
                <w:sz w:val="24"/>
              </w:rPr>
            </w:pPr>
            <w:r>
              <w:rPr>
                <w:rFonts w:hint="eastAsia"/>
                <w:color w:val="auto"/>
                <w:sz w:val="24"/>
              </w:rPr>
              <w:t>本次新建的四街卫生院业务用房选址位于原卫生院内，项目总平面布置中，充分考虑安全和各区功能的基础上尽量节约用地，合理布局，业务用房位于卫生院西面，各建筑设施间有绿化带隔离，且各功能区分布明确，总体布设疏密有秩，便于患者就医。能满足病人的转诊、物资和设备的运送等所需的交通条件和相对较近的交通距离。业务用房</w:t>
            </w:r>
            <w:r>
              <w:rPr>
                <w:color w:val="auto"/>
                <w:sz w:val="24"/>
              </w:rPr>
              <w:t>一层设置大厅、中医科、检验科、办公室，方便患者寻医问诊</w:t>
            </w:r>
            <w:r>
              <w:rPr>
                <w:rFonts w:hint="eastAsia"/>
                <w:color w:val="auto"/>
                <w:sz w:val="24"/>
              </w:rPr>
              <w:t>；二层~四层</w:t>
            </w:r>
            <w:r>
              <w:rPr>
                <w:color w:val="auto"/>
                <w:sz w:val="24"/>
              </w:rPr>
              <w:t>为</w:t>
            </w:r>
            <w:r>
              <w:rPr>
                <w:rFonts w:hint="eastAsia"/>
                <w:color w:val="auto"/>
                <w:sz w:val="24"/>
              </w:rPr>
              <w:t>住院部；五</w:t>
            </w:r>
            <w:r>
              <w:rPr>
                <w:color w:val="auto"/>
                <w:sz w:val="24"/>
              </w:rPr>
              <w:t>层布置办公室、手术室。</w:t>
            </w:r>
            <w:r>
              <w:rPr>
                <w:rFonts w:hint="eastAsia"/>
                <w:color w:val="auto"/>
                <w:sz w:val="24"/>
              </w:rPr>
              <w:t>新建污水处理站位于综合楼后的绿化带处，距离住院楼及食堂距离较远，可减少异味对</w:t>
            </w:r>
            <w:r>
              <w:rPr>
                <w:rFonts w:hint="eastAsia"/>
                <w:color w:val="auto"/>
                <w:sz w:val="24"/>
                <w:lang w:eastAsia="zh-CN"/>
              </w:rPr>
              <w:t>其影响</w:t>
            </w:r>
            <w:r>
              <w:rPr>
                <w:rFonts w:hint="eastAsia"/>
                <w:color w:val="auto"/>
                <w:sz w:val="24"/>
              </w:rPr>
              <w:t>；</w:t>
            </w:r>
            <w:r>
              <w:rPr>
                <w:rStyle w:val="126"/>
                <w:rFonts w:hint="eastAsia"/>
                <w:color w:val="auto"/>
                <w:sz w:val="24"/>
              </w:rPr>
              <w:t>项目区东侧设置总医疗固废暂存间，建筑面积15m</w:t>
            </w:r>
            <w:r>
              <w:rPr>
                <w:rStyle w:val="126"/>
                <w:rFonts w:hint="eastAsia"/>
                <w:color w:val="auto"/>
                <w:sz w:val="24"/>
                <w:vertAlign w:val="superscript"/>
              </w:rPr>
              <w:t>2</w:t>
            </w:r>
            <w:r>
              <w:rPr>
                <w:rStyle w:val="126"/>
                <w:rFonts w:hint="eastAsia"/>
                <w:color w:val="auto"/>
                <w:sz w:val="24"/>
              </w:rPr>
              <w:t>，设标牌标识，</w:t>
            </w:r>
            <w:r>
              <w:rPr>
                <w:rFonts w:hint="eastAsia"/>
                <w:color w:val="auto"/>
                <w:sz w:val="24"/>
              </w:rPr>
              <w:t>方便医废的收集和转移运输；各科室均设置专用</w:t>
            </w:r>
            <w:r>
              <w:rPr>
                <w:color w:val="auto"/>
                <w:sz w:val="24"/>
              </w:rPr>
              <w:t>医疗</w:t>
            </w:r>
            <w:r>
              <w:rPr>
                <w:rFonts w:hint="eastAsia"/>
                <w:color w:val="auto"/>
                <w:sz w:val="24"/>
              </w:rPr>
              <w:t>废物</w:t>
            </w:r>
            <w:r>
              <w:rPr>
                <w:color w:val="auto"/>
                <w:sz w:val="24"/>
              </w:rPr>
              <w:t>收集桶</w:t>
            </w:r>
            <w:r>
              <w:rPr>
                <w:rFonts w:hint="eastAsia"/>
                <w:color w:val="auto"/>
                <w:sz w:val="24"/>
              </w:rPr>
              <w:t>和</w:t>
            </w:r>
            <w:r>
              <w:rPr>
                <w:color w:val="auto"/>
                <w:sz w:val="24"/>
              </w:rPr>
              <w:t>密闭式垃圾收集桶</w:t>
            </w:r>
            <w:r>
              <w:rPr>
                <w:rFonts w:hint="eastAsia"/>
                <w:color w:val="auto"/>
                <w:sz w:val="24"/>
              </w:rPr>
              <w:t>，便于</w:t>
            </w:r>
            <w:r>
              <w:rPr>
                <w:color w:val="auto"/>
                <w:sz w:val="24"/>
              </w:rPr>
              <w:t>医疗废物</w:t>
            </w:r>
            <w:r>
              <w:rPr>
                <w:rFonts w:hint="eastAsia"/>
                <w:color w:val="auto"/>
                <w:sz w:val="24"/>
              </w:rPr>
              <w:t>及生活</w:t>
            </w:r>
            <w:r>
              <w:rPr>
                <w:color w:val="auto"/>
                <w:sz w:val="24"/>
              </w:rPr>
              <w:t>垃圾</w:t>
            </w:r>
            <w:r>
              <w:rPr>
                <w:rFonts w:hint="eastAsia"/>
                <w:color w:val="auto"/>
                <w:sz w:val="24"/>
              </w:rPr>
              <w:t>的收集。</w:t>
            </w:r>
          </w:p>
          <w:p w14:paraId="554EADA5">
            <w:pPr>
              <w:spacing w:line="360" w:lineRule="auto"/>
              <w:ind w:firstLine="480" w:firstLineChars="200"/>
              <w:rPr>
                <w:color w:val="auto"/>
                <w:sz w:val="24"/>
              </w:rPr>
            </w:pPr>
            <w:r>
              <w:rPr>
                <w:rFonts w:hint="eastAsia"/>
                <w:color w:val="auto"/>
                <w:sz w:val="24"/>
              </w:rPr>
              <w:t>本次新建的九龙卫生院业务用房选址位于原卫生院内，项目总平面布置中，充分考虑安全和各区功能的基础上尽量节约用地，合理布局，业务用房位于卫生院西面，各建筑设施间有绿化带隔离，且各功能区分布明确，总体布设疏密有秩，便于患者就医。能满足病人的转诊、物资和设备的运送等所需的交通条件和相对较近的交通距离。业务用房</w:t>
            </w:r>
            <w:r>
              <w:rPr>
                <w:color w:val="auto"/>
                <w:sz w:val="24"/>
              </w:rPr>
              <w:t>一层设置预防接种科、输液区、理疗诊疗室</w:t>
            </w:r>
            <w:r>
              <w:rPr>
                <w:rFonts w:hint="eastAsia"/>
                <w:color w:val="auto"/>
                <w:sz w:val="24"/>
              </w:rPr>
              <w:t>；二层</w:t>
            </w:r>
            <w:r>
              <w:rPr>
                <w:color w:val="auto"/>
                <w:sz w:val="24"/>
              </w:rPr>
              <w:t>为</w:t>
            </w:r>
            <w:r>
              <w:rPr>
                <w:rFonts w:hint="eastAsia"/>
                <w:color w:val="auto"/>
                <w:sz w:val="24"/>
              </w:rPr>
              <w:t>妇幼保健科；三</w:t>
            </w:r>
            <w:r>
              <w:rPr>
                <w:color w:val="auto"/>
                <w:sz w:val="24"/>
              </w:rPr>
              <w:t>层</w:t>
            </w:r>
            <w:r>
              <w:rPr>
                <w:rFonts w:hint="eastAsia"/>
                <w:color w:val="auto"/>
                <w:sz w:val="24"/>
              </w:rPr>
              <w:t>为住院部，四</w:t>
            </w:r>
            <w:r>
              <w:rPr>
                <w:color w:val="auto"/>
                <w:sz w:val="24"/>
              </w:rPr>
              <w:t>层布置办公室</w:t>
            </w:r>
            <w:r>
              <w:rPr>
                <w:rFonts w:hint="eastAsia"/>
                <w:color w:val="auto"/>
                <w:sz w:val="24"/>
              </w:rPr>
              <w:t>和会议室</w:t>
            </w:r>
            <w:r>
              <w:rPr>
                <w:color w:val="auto"/>
                <w:sz w:val="24"/>
              </w:rPr>
              <w:t>。</w:t>
            </w:r>
            <w:r>
              <w:rPr>
                <w:rFonts w:hint="eastAsia"/>
                <w:color w:val="auto"/>
                <w:sz w:val="24"/>
              </w:rPr>
              <w:t>新建污水处理站位于西侧紧邻厕所的的绿化带处，距离住院楼及食堂距离较远，可减少异味对</w:t>
            </w:r>
            <w:r>
              <w:rPr>
                <w:rFonts w:hint="eastAsia"/>
                <w:color w:val="auto"/>
                <w:sz w:val="24"/>
                <w:lang w:eastAsia="zh-CN"/>
              </w:rPr>
              <w:t>其影响</w:t>
            </w:r>
            <w:r>
              <w:rPr>
                <w:rFonts w:hint="eastAsia"/>
                <w:color w:val="auto"/>
                <w:sz w:val="24"/>
              </w:rPr>
              <w:t>；</w:t>
            </w:r>
            <w:r>
              <w:rPr>
                <w:rStyle w:val="126"/>
                <w:rFonts w:hint="eastAsia"/>
                <w:color w:val="auto"/>
                <w:sz w:val="24"/>
              </w:rPr>
              <w:t>项目区西北侧设置总医疗固废暂存间，建筑面积10m</w:t>
            </w:r>
            <w:r>
              <w:rPr>
                <w:rStyle w:val="126"/>
                <w:rFonts w:hint="eastAsia"/>
                <w:color w:val="auto"/>
                <w:sz w:val="24"/>
                <w:vertAlign w:val="superscript"/>
              </w:rPr>
              <w:t>2</w:t>
            </w:r>
            <w:r>
              <w:rPr>
                <w:rStyle w:val="126"/>
                <w:rFonts w:hint="eastAsia"/>
                <w:color w:val="auto"/>
                <w:sz w:val="24"/>
              </w:rPr>
              <w:t>，与厕所相连且分隔，设标牌标识，</w:t>
            </w:r>
            <w:r>
              <w:rPr>
                <w:rFonts w:hint="eastAsia"/>
                <w:color w:val="auto"/>
                <w:sz w:val="24"/>
              </w:rPr>
              <w:t>方便医废的收集和转移运输；各科室均设置专用</w:t>
            </w:r>
            <w:r>
              <w:rPr>
                <w:color w:val="auto"/>
                <w:sz w:val="24"/>
              </w:rPr>
              <w:t>医疗</w:t>
            </w:r>
            <w:r>
              <w:rPr>
                <w:rFonts w:hint="eastAsia"/>
                <w:color w:val="auto"/>
                <w:sz w:val="24"/>
              </w:rPr>
              <w:t>废物</w:t>
            </w:r>
            <w:r>
              <w:rPr>
                <w:color w:val="auto"/>
                <w:sz w:val="24"/>
              </w:rPr>
              <w:t>收集桶</w:t>
            </w:r>
            <w:r>
              <w:rPr>
                <w:rFonts w:hint="eastAsia"/>
                <w:color w:val="auto"/>
                <w:sz w:val="24"/>
              </w:rPr>
              <w:t>和</w:t>
            </w:r>
            <w:r>
              <w:rPr>
                <w:color w:val="auto"/>
                <w:sz w:val="24"/>
              </w:rPr>
              <w:t>密闭式垃圾收集桶</w:t>
            </w:r>
            <w:r>
              <w:rPr>
                <w:rFonts w:hint="eastAsia"/>
                <w:color w:val="auto"/>
                <w:sz w:val="24"/>
              </w:rPr>
              <w:t>，便于</w:t>
            </w:r>
            <w:r>
              <w:rPr>
                <w:color w:val="auto"/>
                <w:sz w:val="24"/>
              </w:rPr>
              <w:t>医疗废物</w:t>
            </w:r>
            <w:r>
              <w:rPr>
                <w:rFonts w:hint="eastAsia"/>
                <w:color w:val="auto"/>
                <w:sz w:val="24"/>
              </w:rPr>
              <w:t>及生活</w:t>
            </w:r>
            <w:r>
              <w:rPr>
                <w:color w:val="auto"/>
                <w:sz w:val="24"/>
              </w:rPr>
              <w:t>垃圾</w:t>
            </w:r>
            <w:r>
              <w:rPr>
                <w:rFonts w:hint="eastAsia"/>
                <w:color w:val="auto"/>
                <w:sz w:val="24"/>
              </w:rPr>
              <w:t>的收集。</w:t>
            </w:r>
          </w:p>
          <w:p w14:paraId="46686F8D">
            <w:pPr>
              <w:spacing w:line="360" w:lineRule="auto"/>
              <w:ind w:firstLine="480" w:firstLineChars="200"/>
              <w:rPr>
                <w:color w:val="auto"/>
                <w:sz w:val="24"/>
              </w:rPr>
            </w:pPr>
            <w:r>
              <w:rPr>
                <w:rFonts w:hint="eastAsia"/>
                <w:color w:val="auto"/>
                <w:sz w:val="24"/>
              </w:rPr>
              <w:t>本次改造的杨广卫生院1号楼位于杨广卫生院内，不新增占地。本次改造项目部改变卫生院已有的建筑物布局。项目总平面布置中，充分考虑安全和各区功能的基础上尽量节约用地，合理布局，各建筑设施间有绿化带隔离，且各功能区分布明确，总体布设疏密有秩，便于患者就医。能满足病人的转诊、物资和设备的运送等所需的交通条件和相对较近的交通距离。医疗废物暂存间依托已有的设施。新建污水处理站位于卫生院西侧，距离食堂距离较远且有建筑物阻隔，可减少异味对</w:t>
            </w:r>
            <w:r>
              <w:rPr>
                <w:rFonts w:hint="eastAsia"/>
                <w:color w:val="auto"/>
                <w:sz w:val="24"/>
                <w:lang w:eastAsia="zh-CN"/>
              </w:rPr>
              <w:t>其影响</w:t>
            </w:r>
            <w:r>
              <w:rPr>
                <w:rFonts w:hint="eastAsia"/>
                <w:color w:val="auto"/>
                <w:sz w:val="24"/>
              </w:rPr>
              <w:t>；</w:t>
            </w:r>
            <w:r>
              <w:rPr>
                <w:rStyle w:val="126"/>
                <w:rFonts w:hint="eastAsia"/>
                <w:color w:val="auto"/>
                <w:sz w:val="24"/>
              </w:rPr>
              <w:t>项目区中央位置停车场北侧设置总医疗固废暂存间，建筑面积10m</w:t>
            </w:r>
            <w:r>
              <w:rPr>
                <w:rStyle w:val="126"/>
                <w:rFonts w:hint="eastAsia"/>
                <w:color w:val="auto"/>
                <w:sz w:val="24"/>
                <w:vertAlign w:val="superscript"/>
              </w:rPr>
              <w:t>2</w:t>
            </w:r>
            <w:r>
              <w:rPr>
                <w:rStyle w:val="126"/>
                <w:rFonts w:hint="eastAsia"/>
                <w:color w:val="auto"/>
                <w:sz w:val="24"/>
              </w:rPr>
              <w:t>，与垃圾收集房相连且分隔，设标牌标识，</w:t>
            </w:r>
            <w:r>
              <w:rPr>
                <w:rFonts w:hint="eastAsia"/>
                <w:color w:val="auto"/>
                <w:sz w:val="24"/>
              </w:rPr>
              <w:t>方便医废的收集和转移运输；各科室均设置专用</w:t>
            </w:r>
            <w:r>
              <w:rPr>
                <w:color w:val="auto"/>
                <w:sz w:val="24"/>
              </w:rPr>
              <w:t>医疗</w:t>
            </w:r>
            <w:r>
              <w:rPr>
                <w:rFonts w:hint="eastAsia"/>
                <w:color w:val="auto"/>
                <w:sz w:val="24"/>
              </w:rPr>
              <w:t>废物</w:t>
            </w:r>
            <w:r>
              <w:rPr>
                <w:color w:val="auto"/>
                <w:sz w:val="24"/>
              </w:rPr>
              <w:t>收集桶</w:t>
            </w:r>
            <w:r>
              <w:rPr>
                <w:rFonts w:hint="eastAsia"/>
                <w:color w:val="auto"/>
                <w:sz w:val="24"/>
              </w:rPr>
              <w:t>和</w:t>
            </w:r>
            <w:r>
              <w:rPr>
                <w:color w:val="auto"/>
                <w:sz w:val="24"/>
              </w:rPr>
              <w:t>密闭式垃圾收集桶</w:t>
            </w:r>
            <w:r>
              <w:rPr>
                <w:rFonts w:hint="eastAsia"/>
                <w:color w:val="auto"/>
                <w:sz w:val="24"/>
              </w:rPr>
              <w:t>，便于</w:t>
            </w:r>
            <w:r>
              <w:rPr>
                <w:color w:val="auto"/>
                <w:sz w:val="24"/>
              </w:rPr>
              <w:t>医疗废物</w:t>
            </w:r>
            <w:r>
              <w:rPr>
                <w:rFonts w:hint="eastAsia"/>
                <w:color w:val="auto"/>
                <w:sz w:val="24"/>
              </w:rPr>
              <w:t>及生活</w:t>
            </w:r>
            <w:r>
              <w:rPr>
                <w:color w:val="auto"/>
                <w:sz w:val="24"/>
              </w:rPr>
              <w:t>垃圾</w:t>
            </w:r>
            <w:r>
              <w:rPr>
                <w:rFonts w:hint="eastAsia"/>
                <w:color w:val="auto"/>
                <w:sz w:val="24"/>
              </w:rPr>
              <w:t>的收集。</w:t>
            </w:r>
          </w:p>
          <w:p w14:paraId="2F8C618B">
            <w:pPr>
              <w:spacing w:line="360" w:lineRule="auto"/>
              <w:ind w:firstLine="480" w:firstLineChars="200"/>
              <w:rPr>
                <w:color w:val="auto"/>
                <w:sz w:val="24"/>
              </w:rPr>
            </w:pPr>
            <w:r>
              <w:rPr>
                <w:rFonts w:hint="eastAsia"/>
                <w:color w:val="auto"/>
                <w:sz w:val="24"/>
              </w:rPr>
              <w:t>综上，各卫生院</w:t>
            </w:r>
            <w:r>
              <w:rPr>
                <w:color w:val="auto"/>
                <w:sz w:val="24"/>
              </w:rPr>
              <w:t>建筑物布局合理，不会相互影响</w:t>
            </w:r>
            <w:r>
              <w:rPr>
                <w:rFonts w:hint="eastAsia"/>
                <w:color w:val="auto"/>
                <w:sz w:val="24"/>
              </w:rPr>
              <w:t>，</w:t>
            </w:r>
            <w:r>
              <w:rPr>
                <w:color w:val="auto"/>
                <w:sz w:val="24"/>
              </w:rPr>
              <w:t>环保设施布置相对合理，能有效</w:t>
            </w:r>
            <w:r>
              <w:rPr>
                <w:rFonts w:hint="eastAsia"/>
                <w:color w:val="auto"/>
                <w:sz w:val="24"/>
              </w:rPr>
              <w:t>收集</w:t>
            </w:r>
            <w:r>
              <w:rPr>
                <w:color w:val="auto"/>
                <w:sz w:val="24"/>
              </w:rPr>
              <w:t>相关污染物的同时降低了对自身及周围环境的影响</w:t>
            </w:r>
            <w:r>
              <w:rPr>
                <w:rFonts w:hint="eastAsia"/>
                <w:color w:val="auto"/>
                <w:sz w:val="24"/>
              </w:rPr>
              <w:t>，</w:t>
            </w:r>
            <w:r>
              <w:rPr>
                <w:color w:val="auto"/>
                <w:sz w:val="24"/>
              </w:rPr>
              <w:t>总体布局合理可行。</w:t>
            </w:r>
          </w:p>
          <w:p w14:paraId="3786EBDC">
            <w:pPr>
              <w:spacing w:line="360" w:lineRule="auto"/>
              <w:ind w:firstLine="480" w:firstLineChars="200"/>
              <w:rPr>
                <w:bCs/>
                <w:color w:val="auto"/>
                <w:sz w:val="24"/>
              </w:rPr>
            </w:pPr>
            <w:r>
              <w:rPr>
                <w:rFonts w:hint="eastAsia"/>
                <w:color w:val="auto"/>
                <w:sz w:val="24"/>
              </w:rPr>
              <w:t>项目四街卫生院总平面布置图见附图2-1，纳古卫生院总平面布置图见附图2-2，九龙卫生院总平面布置图见附图2-3，杨广卫生院总平面布置图见附图2-4</w:t>
            </w:r>
            <w:r>
              <w:rPr>
                <w:color w:val="auto"/>
                <w:sz w:val="24"/>
              </w:rPr>
              <w:t>。</w:t>
            </w:r>
          </w:p>
          <w:p w14:paraId="4E133302">
            <w:pPr>
              <w:autoSpaceDE w:val="0"/>
              <w:autoSpaceDN w:val="0"/>
              <w:adjustRightInd w:val="0"/>
              <w:snapToGrid w:val="0"/>
              <w:spacing w:line="360" w:lineRule="auto"/>
              <w:jc w:val="left"/>
              <w:rPr>
                <w:bCs/>
                <w:color w:val="auto"/>
                <w:sz w:val="24"/>
              </w:rPr>
            </w:pPr>
          </w:p>
          <w:p w14:paraId="5198B6A2">
            <w:pPr>
              <w:autoSpaceDE w:val="0"/>
              <w:autoSpaceDN w:val="0"/>
              <w:adjustRightInd w:val="0"/>
              <w:snapToGrid w:val="0"/>
              <w:spacing w:line="360" w:lineRule="auto"/>
              <w:jc w:val="left"/>
              <w:rPr>
                <w:bCs/>
                <w:color w:val="auto"/>
                <w:sz w:val="24"/>
              </w:rPr>
            </w:pPr>
          </w:p>
          <w:p w14:paraId="6AA335B2">
            <w:pPr>
              <w:autoSpaceDE w:val="0"/>
              <w:autoSpaceDN w:val="0"/>
              <w:adjustRightInd w:val="0"/>
              <w:snapToGrid w:val="0"/>
              <w:spacing w:line="360" w:lineRule="auto"/>
              <w:jc w:val="left"/>
              <w:rPr>
                <w:bCs/>
                <w:color w:val="auto"/>
                <w:sz w:val="24"/>
              </w:rPr>
            </w:pPr>
          </w:p>
        </w:tc>
      </w:tr>
    </w:tbl>
    <w:p w14:paraId="75FAB2B2">
      <w:pPr>
        <w:spacing w:line="360" w:lineRule="auto"/>
        <w:rPr>
          <w:rFonts w:eastAsia="黑体"/>
          <w:color w:val="auto"/>
          <w:sz w:val="30"/>
        </w:rPr>
        <w:sectPr>
          <w:footerReference r:id="rId6" w:type="default"/>
          <w:pgSz w:w="11906" w:h="16838"/>
          <w:pgMar w:top="1701" w:right="1531" w:bottom="1701" w:left="1531" w:header="851" w:footer="1077" w:gutter="0"/>
          <w:pgNumType w:start="1"/>
          <w:cols w:space="720" w:num="1"/>
          <w:docGrid w:linePitch="312" w:charSpace="0"/>
        </w:sectPr>
      </w:pPr>
    </w:p>
    <w:p w14:paraId="607524B9">
      <w:pPr>
        <w:pStyle w:val="29"/>
        <w:numPr>
          <w:ilvl w:val="0"/>
          <w:numId w:val="7"/>
        </w:numPr>
        <w:jc w:val="center"/>
        <w:outlineLvl w:val="0"/>
        <w:rPr>
          <w:rFonts w:ascii="Times New Roman" w:hAnsi="Times New Roman" w:eastAsia="黑体"/>
          <w:snapToGrid w:val="0"/>
          <w:color w:val="auto"/>
          <w:sz w:val="30"/>
          <w:szCs w:val="30"/>
        </w:rPr>
      </w:pPr>
      <w:bookmarkStart w:id="14" w:name="_Toc17172"/>
      <w:r>
        <w:rPr>
          <w:rFonts w:ascii="Times New Roman" w:hAnsi="Times New Roman" w:eastAsia="黑体"/>
          <w:snapToGrid w:val="0"/>
          <w:color w:val="auto"/>
          <w:sz w:val="30"/>
          <w:szCs w:val="30"/>
        </w:rPr>
        <w:t>建设项目工程分析</w:t>
      </w:r>
      <w:bookmarkEnd w:id="14"/>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246"/>
      </w:tblGrid>
      <w:tr w14:paraId="1FDA8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814" w:type="dxa"/>
            <w:vAlign w:val="center"/>
          </w:tcPr>
          <w:p w14:paraId="090EBFED">
            <w:pPr>
              <w:pStyle w:val="2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246" w:type="dxa"/>
          </w:tcPr>
          <w:p w14:paraId="15E59E19">
            <w:pPr>
              <w:adjustRightInd w:val="0"/>
              <w:snapToGrid w:val="0"/>
              <w:spacing w:line="360" w:lineRule="auto"/>
              <w:rPr>
                <w:b/>
                <w:bCs/>
                <w:color w:val="auto"/>
                <w:sz w:val="24"/>
              </w:rPr>
            </w:pPr>
            <w:r>
              <w:rPr>
                <w:b/>
                <w:bCs/>
                <w:color w:val="auto"/>
                <w:sz w:val="24"/>
              </w:rPr>
              <w:t>一、项目由来</w:t>
            </w:r>
          </w:p>
          <w:p w14:paraId="24EEE4FF">
            <w:pPr>
              <w:adjustRightInd w:val="0"/>
              <w:snapToGrid w:val="0"/>
              <w:spacing w:line="360" w:lineRule="auto"/>
              <w:ind w:firstLine="480" w:firstLineChars="200"/>
              <w:rPr>
                <w:color w:val="auto"/>
                <w:sz w:val="24"/>
              </w:rPr>
            </w:pPr>
            <w:r>
              <w:rPr>
                <w:rFonts w:hint="eastAsia"/>
                <w:color w:val="auto"/>
                <w:sz w:val="24"/>
              </w:rPr>
              <w:t>近年来，通海县重视和加强对医疗卫生事业上的建设和管理，医疗机构发展迅速，服务能力显著提高，现有医疗卫生机构虽然从数量上基本能满足人民群众的基本医疗需求，为维护人民群众身体健康，促进全市经济和社会发展做出了应有的贡献。但仍存在重点卫生院看病难的问题，二、三级甲等卫生院主要集中在市区、城区，农村医疗条件相对较落后、简陋，导致农民医疗服务需求部分向县城、市区转移，造成城市看病难，在大卫生院更难。医疗水平的差距加上受传统的诊疗观念影响，存在患者大病小病都往大卫生院挤，大卫生院不堪重负的现象。</w:t>
            </w:r>
          </w:p>
          <w:p w14:paraId="7BD3E226">
            <w:pPr>
              <w:adjustRightInd w:val="0"/>
              <w:snapToGrid w:val="0"/>
              <w:spacing w:line="360" w:lineRule="auto"/>
              <w:ind w:firstLine="480" w:firstLineChars="200"/>
              <w:rPr>
                <w:color w:val="auto"/>
                <w:sz w:val="24"/>
              </w:rPr>
            </w:pPr>
            <w:r>
              <w:rPr>
                <w:rFonts w:hint="eastAsia"/>
                <w:color w:val="auto"/>
                <w:sz w:val="24"/>
              </w:rPr>
              <w:t>《通海县国民经济和社会发展第十四个五年规划和二〇三五年远景目标纲要》指出：加快完善公共卫生体系，构建平战结合的公共卫生体系，完善应对突发公共卫生事件监测预警处置机制，落实医疗机构公共卫生责任，创新医防协同机制，推动公共卫生服务与医疗服务高效协同。加强医学重点学科、重点实验室等平台建设。全面提升卫生健康数字化水平。健全疾病预防控制体系，推进各级疾控中心标准化建设。推动医疗资源均衡发展，加快医疗基础设施建设，大力引进高水平、规模化的大型医疗机构，完成一批公立卫生院扩建、改造、提升，开展紧密型县域医疗卫生共同体试点建设。</w:t>
            </w:r>
          </w:p>
          <w:p w14:paraId="0A97D201">
            <w:pPr>
              <w:adjustRightInd w:val="0"/>
              <w:snapToGrid w:val="0"/>
              <w:spacing w:line="360" w:lineRule="auto"/>
              <w:ind w:firstLine="480" w:firstLineChars="200"/>
              <w:rPr>
                <w:color w:val="auto"/>
                <w:sz w:val="24"/>
              </w:rPr>
            </w:pPr>
            <w:r>
              <w:rPr>
                <w:rFonts w:hint="eastAsia"/>
                <w:color w:val="auto"/>
                <w:sz w:val="24"/>
              </w:rPr>
              <w:t>通海县紧密型医共体乡镇医疗卫生服务能力提升项目的提出，响应了、地方相关政策精神，对促进医疗卫生相结合起到积极的作用，能够极大的缓解本市医疗和康复服务供给方式运转，项目建设的意义十分重大。</w:t>
            </w:r>
          </w:p>
          <w:p w14:paraId="7D603020">
            <w:pPr>
              <w:adjustRightInd w:val="0"/>
              <w:snapToGrid w:val="0"/>
              <w:spacing w:line="360" w:lineRule="auto"/>
              <w:ind w:firstLine="480" w:firstLineChars="200"/>
              <w:rPr>
                <w:color w:val="auto"/>
                <w:sz w:val="24"/>
              </w:rPr>
            </w:pPr>
            <w:r>
              <w:rPr>
                <w:rFonts w:hint="eastAsia"/>
                <w:color w:val="auto"/>
                <w:sz w:val="24"/>
              </w:rPr>
              <w:t>通海县九龙卫生院原（通海县九街卫生院）始建于1969年6月，卫生院建设年代较早，始建以来仅“通海县九街卫生院廉租房项目”办理过环保手续，“通海县九街卫生院廉租房项目”中建设的廉租房为通海县九龙卫生院职工住宿区。通海县九龙卫生院由于建设年代较早，其余项目未办理过环评手续。通海县四街卫生院始建于1956年，卫生院建设年代较早，始建以来仅“通海县四街中心卫生院建设综合楼项目”办理过环保手续。通海县杨广镇中心卫生院始建于1954年，卫生院建设年代较早，始建以来仅“通海县杨广卫生院门诊楼及附属工程建设项目”办理过环保手续。纳古卫生院始建于1991年，纳古卫生院建设年限较早，后期未建设过，未办理过任何环保手续。</w:t>
            </w:r>
          </w:p>
          <w:p w14:paraId="6E232B91">
            <w:pPr>
              <w:adjustRightInd w:val="0"/>
              <w:snapToGrid w:val="0"/>
              <w:spacing w:line="360" w:lineRule="auto"/>
              <w:ind w:firstLine="480" w:firstLineChars="200"/>
              <w:rPr>
                <w:color w:val="auto"/>
                <w:sz w:val="24"/>
              </w:rPr>
            </w:pPr>
            <w:r>
              <w:rPr>
                <w:rFonts w:hint="eastAsia"/>
                <w:color w:val="auto"/>
                <w:sz w:val="24"/>
              </w:rPr>
              <w:t>本</w:t>
            </w:r>
            <w:r>
              <w:rPr>
                <w:color w:val="auto"/>
                <w:sz w:val="24"/>
              </w:rPr>
              <w:t>项目于20</w:t>
            </w:r>
            <w:r>
              <w:rPr>
                <w:rFonts w:hint="eastAsia"/>
                <w:color w:val="auto"/>
                <w:sz w:val="24"/>
              </w:rPr>
              <w:t>24</w:t>
            </w:r>
            <w:r>
              <w:rPr>
                <w:color w:val="auto"/>
                <w:sz w:val="24"/>
              </w:rPr>
              <w:t>年</w:t>
            </w:r>
            <w:r>
              <w:rPr>
                <w:rFonts w:hint="eastAsia"/>
                <w:color w:val="auto"/>
                <w:sz w:val="24"/>
              </w:rPr>
              <w:t>8</w:t>
            </w:r>
            <w:r>
              <w:rPr>
                <w:color w:val="auto"/>
                <w:sz w:val="24"/>
              </w:rPr>
              <w:t>月</w:t>
            </w:r>
            <w:r>
              <w:rPr>
                <w:rFonts w:hint="eastAsia"/>
                <w:color w:val="auto"/>
                <w:sz w:val="24"/>
              </w:rPr>
              <w:t>20</w:t>
            </w:r>
            <w:r>
              <w:rPr>
                <w:color w:val="auto"/>
                <w:sz w:val="24"/>
              </w:rPr>
              <w:t>日</w:t>
            </w:r>
            <w:r>
              <w:rPr>
                <w:rFonts w:hint="eastAsia"/>
                <w:color w:val="auto"/>
                <w:sz w:val="24"/>
              </w:rPr>
              <w:t>，</w:t>
            </w:r>
            <w:r>
              <w:rPr>
                <w:color w:val="auto"/>
                <w:sz w:val="24"/>
              </w:rPr>
              <w:t>取得了</w:t>
            </w:r>
            <w:r>
              <w:rPr>
                <w:rFonts w:hint="eastAsia"/>
                <w:color w:val="auto"/>
                <w:sz w:val="24"/>
              </w:rPr>
              <w:t>通海县发展和改革局出具的《关于通海县紧密型医共体乡镇医疗卫生服务能力提升项目可行性研究报告的批复》（项目代码：2403-530423-04-01-828908）</w:t>
            </w:r>
            <w:r>
              <w:rPr>
                <w:color w:val="auto"/>
                <w:sz w:val="24"/>
              </w:rPr>
              <w:t>。</w:t>
            </w:r>
          </w:p>
          <w:p w14:paraId="564B41E6">
            <w:pPr>
              <w:pStyle w:val="18"/>
              <w:spacing w:line="360" w:lineRule="auto"/>
              <w:ind w:firstLine="480" w:firstLineChars="200"/>
              <w:rPr>
                <w:rFonts w:hAnsi="Times New Roman" w:eastAsia="宋体"/>
                <w:color w:val="auto"/>
                <w:sz w:val="24"/>
              </w:rPr>
            </w:pPr>
            <w:r>
              <w:rPr>
                <w:rFonts w:hAnsi="Times New Roman" w:eastAsia="宋体"/>
                <w:color w:val="auto"/>
                <w:sz w:val="24"/>
              </w:rPr>
              <w:t>依据《中华人民共和国环境影响评价法》及《建设项目环境保护管理条例》（国务院682号令），建设项目应执行环境影响评价制度。根据《建设项目环境影响评价分类管理名录》（2021年版），本项目属于</w:t>
            </w:r>
            <w:r>
              <w:rPr>
                <w:rFonts w:hint="eastAsia" w:hAnsi="Times New Roman" w:eastAsia="宋体"/>
                <w:color w:val="auto"/>
                <w:sz w:val="24"/>
              </w:rPr>
              <w:t>“四十九、卫生84-108基层医疗卫生服务842，其他（住院床位20张以下的除外）”</w:t>
            </w:r>
            <w:r>
              <w:rPr>
                <w:rFonts w:hAnsi="Times New Roman" w:eastAsia="宋体"/>
                <w:color w:val="auto"/>
                <w:sz w:val="24"/>
              </w:rPr>
              <w:t>，应编制环境影响报告表。受</w:t>
            </w:r>
            <w:r>
              <w:rPr>
                <w:rFonts w:hint="eastAsia" w:hAnsi="Times New Roman" w:eastAsia="宋体"/>
                <w:color w:val="auto"/>
                <w:sz w:val="24"/>
                <w:lang w:eastAsia="zh-CN"/>
              </w:rPr>
              <w:t>通海县紧密型医共体总医院</w:t>
            </w:r>
            <w:r>
              <w:rPr>
                <w:rFonts w:hAnsi="Times New Roman" w:eastAsia="宋体"/>
                <w:color w:val="auto"/>
                <w:sz w:val="24"/>
              </w:rPr>
              <w:t>的委托，我公司承担该项目环境影响报告表的编制工作。接受委托后，我公司组成环评项目组，对项目场地及周边环境进行了现状调查、实地踏勘和调研工作，对项目进行资料收集，</w:t>
            </w:r>
            <w:r>
              <w:rPr>
                <w:rFonts w:hint="eastAsia" w:hAnsi="Times New Roman" w:eastAsia="宋体"/>
                <w:color w:val="auto"/>
                <w:sz w:val="24"/>
              </w:rPr>
              <w:t>再</w:t>
            </w:r>
            <w:r>
              <w:rPr>
                <w:rFonts w:hAnsi="Times New Roman" w:eastAsia="宋体"/>
                <w:color w:val="auto"/>
                <w:sz w:val="24"/>
              </w:rPr>
              <w:t>对</w:t>
            </w:r>
            <w:r>
              <w:rPr>
                <w:rFonts w:hint="eastAsia" w:hAnsi="Times New Roman" w:eastAsia="宋体"/>
                <w:color w:val="auto"/>
                <w:sz w:val="24"/>
              </w:rPr>
              <w:t>项目</w:t>
            </w:r>
            <w:r>
              <w:rPr>
                <w:rFonts w:hAnsi="Times New Roman" w:eastAsia="宋体"/>
                <w:color w:val="auto"/>
                <w:sz w:val="24"/>
              </w:rPr>
              <w:t>有关环境现状和可能造成的环境影响进行分析后，依据《建设项目环境影响报告表编制技术指南》（污染影响类）（试行），编制了《</w:t>
            </w:r>
            <w:r>
              <w:rPr>
                <w:rFonts w:hint="eastAsia" w:hAnsi="Times New Roman" w:eastAsia="宋体"/>
                <w:color w:val="auto"/>
                <w:sz w:val="24"/>
              </w:rPr>
              <w:t>通海县紧密型医共体乡镇医疗卫生服务能力提升项目</w:t>
            </w:r>
            <w:r>
              <w:rPr>
                <w:rFonts w:hAnsi="Times New Roman" w:eastAsia="宋体"/>
                <w:color w:val="auto"/>
                <w:sz w:val="24"/>
              </w:rPr>
              <w:t>环境影响报告表》，供建设单位上报审批。项目</w:t>
            </w:r>
            <w:r>
              <w:rPr>
                <w:rFonts w:hint="eastAsia" w:hAnsi="Times New Roman" w:eastAsia="宋体"/>
                <w:color w:val="auto"/>
                <w:sz w:val="24"/>
              </w:rPr>
              <w:t>检验科设备（如</w:t>
            </w:r>
            <w:r>
              <w:rPr>
                <w:rFonts w:hAnsi="Times New Roman" w:eastAsia="宋体"/>
                <w:color w:val="auto"/>
                <w:sz w:val="24"/>
              </w:rPr>
              <w:t>CT</w:t>
            </w:r>
            <w:r>
              <w:rPr>
                <w:rFonts w:hint="eastAsia" w:hAnsi="Times New Roman" w:eastAsia="宋体"/>
                <w:color w:val="auto"/>
                <w:sz w:val="24"/>
              </w:rPr>
              <w:t>、</w:t>
            </w:r>
            <w:r>
              <w:rPr>
                <w:rFonts w:hAnsi="Times New Roman" w:eastAsia="宋体"/>
                <w:color w:val="auto"/>
                <w:sz w:val="24"/>
              </w:rPr>
              <w:t>X射线计算机体层摄影设备（CT）</w:t>
            </w:r>
            <w:r>
              <w:rPr>
                <w:rFonts w:hint="eastAsia" w:hAnsi="Times New Roman" w:eastAsia="宋体"/>
                <w:color w:val="auto"/>
                <w:sz w:val="24"/>
              </w:rPr>
              <w:t>等）</w:t>
            </w:r>
            <w:r>
              <w:rPr>
                <w:rFonts w:hAnsi="Times New Roman" w:eastAsia="宋体"/>
                <w:color w:val="auto"/>
                <w:sz w:val="24"/>
              </w:rPr>
              <w:t>涉及辐射</w:t>
            </w:r>
            <w:r>
              <w:rPr>
                <w:rFonts w:hint="eastAsia" w:hAnsi="Times New Roman" w:eastAsia="宋体"/>
                <w:color w:val="auto"/>
                <w:sz w:val="24"/>
              </w:rPr>
              <w:t>，</w:t>
            </w:r>
            <w:r>
              <w:rPr>
                <w:rFonts w:hAnsi="Times New Roman" w:eastAsia="宋体"/>
                <w:color w:val="auto"/>
                <w:sz w:val="24"/>
              </w:rPr>
              <w:t>本次环评</w:t>
            </w:r>
            <w:bookmarkStart w:id="15" w:name="_Hlk192499622"/>
            <w:r>
              <w:rPr>
                <w:rFonts w:hAnsi="Times New Roman" w:eastAsia="宋体"/>
                <w:color w:val="auto"/>
                <w:sz w:val="24"/>
              </w:rPr>
              <w:t>不包括辐射类污染源的评价，</w:t>
            </w:r>
            <w:bookmarkEnd w:id="15"/>
            <w:r>
              <w:rPr>
                <w:rFonts w:hAnsi="Times New Roman" w:eastAsia="宋体"/>
                <w:color w:val="auto"/>
                <w:sz w:val="24"/>
              </w:rPr>
              <w:t>辐射影响评价按照</w:t>
            </w:r>
            <w:r>
              <w:rPr>
                <w:rFonts w:hint="eastAsia" w:hAnsi="Times New Roman" w:eastAsia="宋体"/>
                <w:color w:val="auto"/>
                <w:sz w:val="24"/>
              </w:rPr>
              <w:t>《建设项目环境影响评价分类管理名录（2021年版）》（2021年1月1日）</w:t>
            </w:r>
            <w:r>
              <w:rPr>
                <w:rFonts w:hAnsi="Times New Roman" w:eastAsia="宋体"/>
                <w:color w:val="auto"/>
                <w:sz w:val="24"/>
              </w:rPr>
              <w:t>中的有关规定另行办理相应的环保手续，按照相关要求进行建设</w:t>
            </w:r>
            <w:r>
              <w:rPr>
                <w:rFonts w:hint="eastAsia" w:hAnsi="Times New Roman" w:eastAsia="宋体"/>
                <w:color w:val="auto"/>
                <w:sz w:val="24"/>
              </w:rPr>
              <w:t>。</w:t>
            </w:r>
          </w:p>
          <w:p w14:paraId="202C07DF">
            <w:pPr>
              <w:tabs>
                <w:tab w:val="left" w:pos="5460"/>
              </w:tabs>
              <w:adjustRightInd w:val="0"/>
              <w:snapToGrid w:val="0"/>
              <w:spacing w:line="360" w:lineRule="auto"/>
              <w:rPr>
                <w:b/>
                <w:bCs/>
                <w:color w:val="auto"/>
                <w:sz w:val="24"/>
              </w:rPr>
            </w:pPr>
            <w:r>
              <w:rPr>
                <w:b/>
                <w:bCs/>
                <w:color w:val="auto"/>
                <w:sz w:val="24"/>
              </w:rPr>
              <w:t>二、建设内容及规模</w:t>
            </w:r>
          </w:p>
          <w:p w14:paraId="5436BE64">
            <w:pPr>
              <w:tabs>
                <w:tab w:val="left" w:pos="3990"/>
              </w:tabs>
              <w:spacing w:line="360" w:lineRule="auto"/>
              <w:ind w:firstLine="480" w:firstLineChars="200"/>
              <w:rPr>
                <w:color w:val="auto"/>
                <w:sz w:val="24"/>
              </w:rPr>
            </w:pPr>
            <w:bookmarkStart w:id="16" w:name="_Hlk192498058"/>
            <w:r>
              <w:rPr>
                <w:color w:val="auto"/>
                <w:sz w:val="24"/>
              </w:rPr>
              <w:t>项目涉及4个乡镇卫生院，</w:t>
            </w:r>
            <w:r>
              <w:rPr>
                <w:rFonts w:hint="eastAsia"/>
                <w:color w:val="auto"/>
                <w:sz w:val="24"/>
              </w:rPr>
              <w:t>项目新建建筑物，用地面积157</w:t>
            </w:r>
            <w:r>
              <w:rPr>
                <w:rFonts w:hint="eastAsia"/>
                <w:color w:val="auto"/>
                <w:sz w:val="24"/>
                <w:lang w:val="en-US" w:eastAsia="zh-CN"/>
              </w:rPr>
              <w:t>9</w:t>
            </w:r>
            <w:r>
              <w:rPr>
                <w:rFonts w:hint="eastAsia"/>
                <w:color w:val="auto"/>
                <w:sz w:val="24"/>
              </w:rPr>
              <w:t>.28㎡，建筑面积为9271.01㎡。</w:t>
            </w:r>
            <w:bookmarkStart w:id="17" w:name="_Hlk192498100"/>
            <w:r>
              <w:rPr>
                <w:rFonts w:hint="eastAsia"/>
                <w:color w:val="auto"/>
                <w:sz w:val="24"/>
              </w:rPr>
              <w:t>改造现有建筑物，建筑面积为1978.57㎡，</w:t>
            </w:r>
            <w:r>
              <w:rPr>
                <w:color w:val="auto"/>
                <w:sz w:val="24"/>
              </w:rPr>
              <w:t>投资估算：</w:t>
            </w:r>
            <w:r>
              <w:rPr>
                <w:rFonts w:hint="eastAsia"/>
                <w:color w:val="auto"/>
                <w:sz w:val="24"/>
              </w:rPr>
              <w:t>5747.99</w:t>
            </w:r>
            <w:r>
              <w:rPr>
                <w:color w:val="auto"/>
                <w:sz w:val="24"/>
              </w:rPr>
              <w:t>万元。其中：纳古卫生院新建综合楼一幢（6层），建筑占地面积591.28㎡，建筑面积3993.83㎡；四街卫生院新建业务用房一幢（五层），建筑占地面积580.64㎡，建筑面积3352.58㎡；九龙分院新建业务用房一幢（四层），建筑占地面积407.36㎡，建筑面积1925.40</w:t>
            </w:r>
            <w:r>
              <w:rPr>
                <w:rFonts w:hint="eastAsia"/>
                <w:color w:val="auto"/>
                <w:sz w:val="24"/>
              </w:rPr>
              <w:t>㎡</w:t>
            </w:r>
            <w:r>
              <w:rPr>
                <w:color w:val="auto"/>
                <w:sz w:val="24"/>
              </w:rPr>
              <w:t>；杨广分院</w:t>
            </w:r>
            <w:r>
              <w:rPr>
                <w:rFonts w:hint="eastAsia"/>
                <w:color w:val="auto"/>
                <w:sz w:val="24"/>
              </w:rPr>
              <w:t>原门诊楼改造成住院楼，改造</w:t>
            </w:r>
            <w:r>
              <w:rPr>
                <w:color w:val="auto"/>
                <w:sz w:val="24"/>
              </w:rPr>
              <w:t>建筑面积1978.57</w:t>
            </w:r>
            <w:r>
              <w:rPr>
                <w:rFonts w:hint="eastAsia"/>
                <w:color w:val="auto"/>
                <w:sz w:val="24"/>
              </w:rPr>
              <w:t>㎡</w:t>
            </w:r>
            <w:r>
              <w:rPr>
                <w:color w:val="auto"/>
                <w:sz w:val="24"/>
              </w:rPr>
              <w:t>。</w:t>
            </w:r>
            <w:bookmarkEnd w:id="16"/>
            <w:bookmarkEnd w:id="17"/>
            <w:r>
              <w:rPr>
                <w:color w:val="auto"/>
                <w:sz w:val="24"/>
              </w:rPr>
              <w:t>项目将采用先进的医疗设备和技术，提升</w:t>
            </w:r>
            <w:r>
              <w:rPr>
                <w:rFonts w:hint="eastAsia"/>
                <w:color w:val="auto"/>
                <w:sz w:val="24"/>
              </w:rPr>
              <w:t>卫生院</w:t>
            </w:r>
            <w:r>
              <w:rPr>
                <w:color w:val="auto"/>
                <w:sz w:val="24"/>
              </w:rPr>
              <w:t>的诊疗能力和服务质量。</w:t>
            </w:r>
          </w:p>
          <w:p w14:paraId="5332EE00">
            <w:pPr>
              <w:tabs>
                <w:tab w:val="left" w:pos="3990"/>
              </w:tabs>
              <w:spacing w:line="360" w:lineRule="auto"/>
              <w:ind w:firstLine="480" w:firstLineChars="200"/>
              <w:rPr>
                <w:bCs/>
                <w:color w:val="auto"/>
                <w:sz w:val="24"/>
              </w:rPr>
            </w:pPr>
            <w:r>
              <w:rPr>
                <w:bCs/>
                <w:color w:val="auto"/>
                <w:sz w:val="24"/>
              </w:rPr>
              <w:t>项目具体组成见表</w:t>
            </w:r>
            <w:r>
              <w:rPr>
                <w:rFonts w:hint="eastAsia"/>
                <w:bCs/>
                <w:color w:val="auto"/>
                <w:sz w:val="24"/>
              </w:rPr>
              <w:t>2</w:t>
            </w:r>
            <w:r>
              <w:rPr>
                <w:bCs/>
                <w:color w:val="auto"/>
                <w:sz w:val="24"/>
              </w:rPr>
              <w:t>-1</w:t>
            </w:r>
            <w:r>
              <w:rPr>
                <w:rFonts w:hint="eastAsia"/>
                <w:bCs/>
                <w:color w:val="auto"/>
                <w:sz w:val="24"/>
              </w:rPr>
              <w:t>~2-4，项目依托工程见表2-5</w:t>
            </w:r>
            <w:r>
              <w:rPr>
                <w:bCs/>
                <w:color w:val="auto"/>
                <w:sz w:val="24"/>
              </w:rPr>
              <w:t>。</w:t>
            </w:r>
          </w:p>
          <w:p w14:paraId="63E15083">
            <w:pPr>
              <w:jc w:val="center"/>
              <w:rPr>
                <w:rFonts w:hint="eastAsia" w:ascii="宋体" w:hAnsi="宋体" w:cs="宋体"/>
                <w:b/>
                <w:color w:val="auto"/>
                <w:sz w:val="24"/>
              </w:rPr>
            </w:pPr>
            <w:bookmarkStart w:id="18" w:name="_Hlk194483000"/>
            <w:r>
              <w:rPr>
                <w:rFonts w:hint="eastAsia" w:ascii="宋体" w:hAnsi="宋体" w:cs="宋体"/>
                <w:b/>
                <w:color w:val="auto"/>
                <w:sz w:val="24"/>
              </w:rPr>
              <w:t>表</w:t>
            </w:r>
            <w:r>
              <w:rPr>
                <w:rFonts w:hint="eastAsia" w:cs="宋体"/>
                <w:b/>
                <w:color w:val="auto"/>
                <w:sz w:val="24"/>
              </w:rPr>
              <w:t>2</w:t>
            </w:r>
            <w:r>
              <w:rPr>
                <w:rFonts w:hint="eastAsia" w:ascii="宋体" w:hAnsi="宋体" w:cs="宋体"/>
                <w:b/>
                <w:color w:val="auto"/>
                <w:sz w:val="24"/>
              </w:rPr>
              <w:t>-1本项目纳古卫生院工程组成一览表</w:t>
            </w:r>
          </w:p>
          <w:tbl>
            <w:tblPr>
              <w:tblStyle w:val="33"/>
              <w:tblW w:w="81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473"/>
              <w:gridCol w:w="474"/>
              <w:gridCol w:w="1486"/>
              <w:gridCol w:w="4281"/>
              <w:gridCol w:w="738"/>
            </w:tblGrid>
            <w:tr w14:paraId="202045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726" w:type="dxa"/>
                  <w:shd w:val="clear" w:color="auto" w:fill="D7D7D7"/>
                  <w:vAlign w:val="center"/>
                </w:tcPr>
                <w:p w14:paraId="55DA9B9D">
                  <w:pPr>
                    <w:pStyle w:val="53"/>
                    <w:ind w:left="0" w:leftChars="0"/>
                    <w:rPr>
                      <w:rStyle w:val="126"/>
                      <w:color w:val="auto"/>
                    </w:rPr>
                  </w:pPr>
                  <w:bookmarkStart w:id="19" w:name="_Hlk194482757"/>
                  <w:r>
                    <w:rPr>
                      <w:rStyle w:val="126"/>
                      <w:color w:val="auto"/>
                    </w:rPr>
                    <w:t>工程</w:t>
                  </w:r>
                </w:p>
                <w:p w14:paraId="3E90B0B3">
                  <w:pPr>
                    <w:pStyle w:val="53"/>
                    <w:ind w:left="0" w:leftChars="0"/>
                    <w:rPr>
                      <w:rStyle w:val="126"/>
                      <w:color w:val="auto"/>
                    </w:rPr>
                  </w:pPr>
                  <w:r>
                    <w:rPr>
                      <w:rStyle w:val="126"/>
                      <w:color w:val="auto"/>
                    </w:rPr>
                    <w:t>内容</w:t>
                  </w:r>
                </w:p>
              </w:tc>
              <w:tc>
                <w:tcPr>
                  <w:tcW w:w="947" w:type="dxa"/>
                  <w:gridSpan w:val="2"/>
                  <w:shd w:val="clear" w:color="auto" w:fill="D7D7D7"/>
                  <w:vAlign w:val="center"/>
                </w:tcPr>
                <w:p w14:paraId="4FD794A0">
                  <w:pPr>
                    <w:pStyle w:val="53"/>
                    <w:ind w:left="0" w:leftChars="0"/>
                    <w:rPr>
                      <w:rStyle w:val="126"/>
                      <w:color w:val="auto"/>
                    </w:rPr>
                  </w:pPr>
                  <w:r>
                    <w:rPr>
                      <w:rStyle w:val="126"/>
                      <w:color w:val="auto"/>
                    </w:rPr>
                    <w:t>名称</w:t>
                  </w:r>
                </w:p>
              </w:tc>
              <w:tc>
                <w:tcPr>
                  <w:tcW w:w="5767" w:type="dxa"/>
                  <w:gridSpan w:val="2"/>
                  <w:shd w:val="clear" w:color="auto" w:fill="D7D7D7"/>
                  <w:vAlign w:val="center"/>
                </w:tcPr>
                <w:p w14:paraId="1C6D908C">
                  <w:pPr>
                    <w:pStyle w:val="53"/>
                    <w:ind w:left="0" w:leftChars="0"/>
                    <w:rPr>
                      <w:rStyle w:val="126"/>
                      <w:color w:val="auto"/>
                    </w:rPr>
                  </w:pPr>
                  <w:r>
                    <w:rPr>
                      <w:rStyle w:val="126"/>
                      <w:color w:val="auto"/>
                    </w:rPr>
                    <w:t>工程内容</w:t>
                  </w:r>
                </w:p>
              </w:tc>
              <w:tc>
                <w:tcPr>
                  <w:tcW w:w="738" w:type="dxa"/>
                  <w:shd w:val="clear" w:color="auto" w:fill="D7D7D7"/>
                  <w:vAlign w:val="center"/>
                </w:tcPr>
                <w:p w14:paraId="324F1D35">
                  <w:pPr>
                    <w:pStyle w:val="53"/>
                    <w:ind w:left="0" w:leftChars="0"/>
                    <w:rPr>
                      <w:rStyle w:val="126"/>
                      <w:color w:val="auto"/>
                    </w:rPr>
                  </w:pPr>
                  <w:r>
                    <w:rPr>
                      <w:rStyle w:val="126"/>
                      <w:color w:val="auto"/>
                    </w:rPr>
                    <w:t>备注</w:t>
                  </w:r>
                </w:p>
              </w:tc>
            </w:tr>
            <w:tr w14:paraId="788888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6" w:type="dxa"/>
                  <w:vMerge w:val="restart"/>
                  <w:vAlign w:val="center"/>
                </w:tcPr>
                <w:p w14:paraId="111C275B">
                  <w:pPr>
                    <w:pStyle w:val="53"/>
                    <w:ind w:left="0" w:leftChars="0"/>
                    <w:rPr>
                      <w:rStyle w:val="126"/>
                      <w:color w:val="auto"/>
                    </w:rPr>
                  </w:pPr>
                  <w:r>
                    <w:rPr>
                      <w:rStyle w:val="126"/>
                      <w:color w:val="auto"/>
                    </w:rPr>
                    <w:t>主体</w:t>
                  </w:r>
                </w:p>
                <w:p w14:paraId="001E76D3">
                  <w:pPr>
                    <w:pStyle w:val="53"/>
                    <w:ind w:left="0" w:leftChars="0"/>
                    <w:rPr>
                      <w:rStyle w:val="126"/>
                      <w:color w:val="auto"/>
                    </w:rPr>
                  </w:pPr>
                  <w:r>
                    <w:rPr>
                      <w:rStyle w:val="126"/>
                      <w:color w:val="auto"/>
                    </w:rPr>
                    <w:t>工程</w:t>
                  </w:r>
                </w:p>
              </w:tc>
              <w:tc>
                <w:tcPr>
                  <w:tcW w:w="947" w:type="dxa"/>
                  <w:gridSpan w:val="2"/>
                  <w:vMerge w:val="restart"/>
                  <w:vAlign w:val="center"/>
                </w:tcPr>
                <w:p w14:paraId="2BC128F0">
                  <w:pPr>
                    <w:pStyle w:val="53"/>
                    <w:ind w:left="0" w:leftChars="0"/>
                    <w:rPr>
                      <w:rStyle w:val="126"/>
                      <w:color w:val="auto"/>
                    </w:rPr>
                  </w:pPr>
                  <w:r>
                    <w:rPr>
                      <w:rStyle w:val="126"/>
                      <w:rFonts w:hint="eastAsia"/>
                      <w:color w:val="auto"/>
                    </w:rPr>
                    <w:t>综合楼，1幢</w:t>
                  </w:r>
                </w:p>
              </w:tc>
              <w:tc>
                <w:tcPr>
                  <w:tcW w:w="1486" w:type="dxa"/>
                  <w:vMerge w:val="restart"/>
                  <w:tcBorders>
                    <w:right w:val="single" w:color="auto" w:sz="4" w:space="0"/>
                  </w:tcBorders>
                  <w:vAlign w:val="center"/>
                </w:tcPr>
                <w:p w14:paraId="2C4C4014">
                  <w:pPr>
                    <w:pStyle w:val="53"/>
                    <w:ind w:left="0" w:leftChars="0"/>
                    <w:rPr>
                      <w:rStyle w:val="126"/>
                      <w:color w:val="auto"/>
                    </w:rPr>
                  </w:pPr>
                  <w:r>
                    <w:rPr>
                      <w:rStyle w:val="126"/>
                      <w:rFonts w:hint="eastAsia"/>
                      <w:color w:val="auto"/>
                    </w:rPr>
                    <w:t>6层框架结构，</w:t>
                  </w:r>
                  <w:r>
                    <w:rPr>
                      <w:rStyle w:val="126"/>
                      <w:color w:val="auto"/>
                    </w:rPr>
                    <w:t>建筑高度</w:t>
                  </w:r>
                  <w:r>
                    <w:rPr>
                      <w:rStyle w:val="126"/>
                      <w:rFonts w:hint="eastAsia"/>
                      <w:color w:val="auto"/>
                    </w:rPr>
                    <w:t>40.2</w:t>
                  </w:r>
                  <w:r>
                    <w:rPr>
                      <w:rStyle w:val="126"/>
                      <w:color w:val="auto"/>
                    </w:rPr>
                    <w:t>m，</w:t>
                  </w:r>
                  <w:r>
                    <w:rPr>
                      <w:rStyle w:val="126"/>
                      <w:rFonts w:hint="eastAsia"/>
                      <w:color w:val="auto"/>
                    </w:rPr>
                    <w:t>一层为3.9</w:t>
                  </w:r>
                  <w:r>
                    <w:rPr>
                      <w:rStyle w:val="126"/>
                      <w:color w:val="auto"/>
                    </w:rPr>
                    <w:t>m</w:t>
                  </w:r>
                  <w:r>
                    <w:rPr>
                      <w:rStyle w:val="126"/>
                      <w:rFonts w:hint="eastAsia"/>
                      <w:color w:val="auto"/>
                    </w:rPr>
                    <w:t>，其余层均为每层3.3</w:t>
                  </w:r>
                  <w:r>
                    <w:rPr>
                      <w:rStyle w:val="126"/>
                      <w:color w:val="auto"/>
                    </w:rPr>
                    <w:t>m</w:t>
                  </w:r>
                  <w:r>
                    <w:rPr>
                      <w:rStyle w:val="126"/>
                      <w:rFonts w:hint="eastAsia"/>
                      <w:color w:val="auto"/>
                    </w:rPr>
                    <w:t>。占地面积591.28m</w:t>
                  </w:r>
                  <w:r>
                    <w:rPr>
                      <w:rStyle w:val="126"/>
                      <w:rFonts w:hint="eastAsia"/>
                      <w:color w:val="auto"/>
                      <w:vertAlign w:val="superscript"/>
                    </w:rPr>
                    <w:t>2</w:t>
                  </w:r>
                  <w:r>
                    <w:rPr>
                      <w:rStyle w:val="126"/>
                      <w:rFonts w:hint="eastAsia"/>
                      <w:color w:val="auto"/>
                    </w:rPr>
                    <w:t>，总建筑面积3993.83m</w:t>
                  </w:r>
                  <w:r>
                    <w:rPr>
                      <w:rStyle w:val="126"/>
                      <w:rFonts w:hint="eastAsia"/>
                      <w:color w:val="auto"/>
                      <w:vertAlign w:val="superscript"/>
                    </w:rPr>
                    <w:t>2</w:t>
                  </w:r>
                  <w:r>
                    <w:rPr>
                      <w:rStyle w:val="126"/>
                      <w:rFonts w:hint="eastAsia"/>
                      <w:color w:val="auto"/>
                    </w:rPr>
                    <w:t>，投资</w:t>
                  </w:r>
                  <w:r>
                    <w:rPr>
                      <w:rStyle w:val="126"/>
                      <w:rFonts w:hint="eastAsia"/>
                      <w:color w:val="auto"/>
                      <w:lang w:val="en-US" w:eastAsia="zh-CN"/>
                    </w:rPr>
                    <w:t>1989.98</w:t>
                  </w:r>
                  <w:r>
                    <w:rPr>
                      <w:rStyle w:val="126"/>
                      <w:rFonts w:hint="eastAsia"/>
                      <w:color w:val="auto"/>
                    </w:rPr>
                    <w:t>万元</w:t>
                  </w:r>
                </w:p>
              </w:tc>
              <w:tc>
                <w:tcPr>
                  <w:tcW w:w="4281" w:type="dxa"/>
                  <w:tcBorders>
                    <w:left w:val="single" w:color="auto" w:sz="4" w:space="0"/>
                  </w:tcBorders>
                  <w:vAlign w:val="center"/>
                </w:tcPr>
                <w:p w14:paraId="04430CAC">
                  <w:pPr>
                    <w:pStyle w:val="53"/>
                    <w:ind w:left="0" w:leftChars="0"/>
                    <w:rPr>
                      <w:rStyle w:val="126"/>
                      <w:color w:val="auto"/>
                    </w:rPr>
                  </w:pPr>
                  <w:r>
                    <w:rPr>
                      <w:rStyle w:val="126"/>
                      <w:rFonts w:hint="eastAsia"/>
                      <w:color w:val="auto"/>
                    </w:rPr>
                    <w:t>1层：</w:t>
                  </w:r>
                  <w:r>
                    <w:rPr>
                      <w:rStyle w:val="126"/>
                      <w:color w:val="auto"/>
                    </w:rPr>
                    <w:t>建筑面积</w:t>
                  </w:r>
                  <w:r>
                    <w:rPr>
                      <w:rStyle w:val="126"/>
                      <w:rFonts w:hint="eastAsia"/>
                      <w:color w:val="auto"/>
                    </w:rPr>
                    <w:t>591.28</w:t>
                  </w:r>
                  <w:r>
                    <w:rPr>
                      <w:rStyle w:val="126"/>
                      <w:color w:val="auto"/>
                    </w:rPr>
                    <w:t>m</w:t>
                  </w:r>
                  <w:r>
                    <w:rPr>
                      <w:rStyle w:val="126"/>
                      <w:color w:val="auto"/>
                      <w:vertAlign w:val="superscript"/>
                    </w:rPr>
                    <w:t>2</w:t>
                  </w:r>
                  <w:r>
                    <w:rPr>
                      <w:rStyle w:val="126"/>
                      <w:rFonts w:hint="eastAsia"/>
                      <w:color w:val="auto"/>
                    </w:rPr>
                    <w:t>，</w:t>
                  </w:r>
                  <w:r>
                    <w:rPr>
                      <w:rStyle w:val="126"/>
                      <w:color w:val="auto"/>
                    </w:rPr>
                    <w:t>主要设置</w:t>
                  </w:r>
                  <w:r>
                    <w:rPr>
                      <w:rStyle w:val="126"/>
                      <w:rFonts w:hint="eastAsia"/>
                      <w:color w:val="auto"/>
                    </w:rPr>
                    <w:t>大厅、中心药房、收费室、药房、门诊、检查室、B超室、DR室、读片室、办公室、心电室、消防控制室、清洗间。</w:t>
                  </w:r>
                </w:p>
              </w:tc>
              <w:tc>
                <w:tcPr>
                  <w:tcW w:w="738" w:type="dxa"/>
                  <w:vMerge w:val="restart"/>
                  <w:vAlign w:val="center"/>
                </w:tcPr>
                <w:p w14:paraId="1B49C7F3">
                  <w:pPr>
                    <w:pStyle w:val="53"/>
                    <w:ind w:left="0" w:leftChars="0"/>
                    <w:rPr>
                      <w:rStyle w:val="126"/>
                      <w:color w:val="auto"/>
                    </w:rPr>
                  </w:pPr>
                  <w:r>
                    <w:rPr>
                      <w:rStyle w:val="126"/>
                      <w:rFonts w:hint="eastAsia"/>
                      <w:color w:val="auto"/>
                    </w:rPr>
                    <w:t>新建</w:t>
                  </w:r>
                </w:p>
              </w:tc>
            </w:tr>
            <w:tr w14:paraId="79D402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28DECF78">
                  <w:pPr>
                    <w:pStyle w:val="53"/>
                    <w:ind w:left="0" w:leftChars="0"/>
                    <w:rPr>
                      <w:rStyle w:val="126"/>
                      <w:color w:val="auto"/>
                    </w:rPr>
                  </w:pPr>
                </w:p>
              </w:tc>
              <w:tc>
                <w:tcPr>
                  <w:tcW w:w="947" w:type="dxa"/>
                  <w:gridSpan w:val="2"/>
                  <w:vMerge w:val="continue"/>
                  <w:vAlign w:val="center"/>
                </w:tcPr>
                <w:p w14:paraId="06CA03A4">
                  <w:pPr>
                    <w:pStyle w:val="53"/>
                    <w:ind w:left="0" w:leftChars="0"/>
                    <w:rPr>
                      <w:rStyle w:val="126"/>
                      <w:color w:val="auto"/>
                    </w:rPr>
                  </w:pPr>
                </w:p>
              </w:tc>
              <w:tc>
                <w:tcPr>
                  <w:tcW w:w="1486" w:type="dxa"/>
                  <w:vMerge w:val="continue"/>
                  <w:tcBorders>
                    <w:right w:val="single" w:color="auto" w:sz="4" w:space="0"/>
                  </w:tcBorders>
                  <w:vAlign w:val="center"/>
                </w:tcPr>
                <w:p w14:paraId="0EFA6447">
                  <w:pPr>
                    <w:pStyle w:val="53"/>
                    <w:ind w:left="0" w:leftChars="0"/>
                    <w:rPr>
                      <w:rStyle w:val="126"/>
                      <w:color w:val="auto"/>
                    </w:rPr>
                  </w:pPr>
                </w:p>
              </w:tc>
              <w:tc>
                <w:tcPr>
                  <w:tcW w:w="4281" w:type="dxa"/>
                  <w:tcBorders>
                    <w:left w:val="single" w:color="auto" w:sz="4" w:space="0"/>
                  </w:tcBorders>
                  <w:vAlign w:val="center"/>
                </w:tcPr>
                <w:p w14:paraId="36E5A606">
                  <w:pPr>
                    <w:pStyle w:val="53"/>
                    <w:ind w:left="0" w:leftChars="0"/>
                    <w:rPr>
                      <w:rStyle w:val="126"/>
                      <w:color w:val="auto"/>
                    </w:rPr>
                  </w:pPr>
                  <w:r>
                    <w:rPr>
                      <w:rStyle w:val="126"/>
                      <w:rFonts w:hint="eastAsia"/>
                      <w:color w:val="auto"/>
                    </w:rPr>
                    <w:t>2层：建筑面积591.28m</w:t>
                  </w:r>
                  <w:r>
                    <w:rPr>
                      <w:rStyle w:val="126"/>
                      <w:rFonts w:hint="eastAsia"/>
                      <w:color w:val="auto"/>
                      <w:vertAlign w:val="superscript"/>
                    </w:rPr>
                    <w:t>2</w:t>
                  </w:r>
                  <w:r>
                    <w:rPr>
                      <w:rStyle w:val="126"/>
                      <w:rFonts w:hint="eastAsia"/>
                      <w:color w:val="auto"/>
                    </w:rPr>
                    <w:t>，主要设置妇幼保健科。</w:t>
                  </w:r>
                </w:p>
              </w:tc>
              <w:tc>
                <w:tcPr>
                  <w:tcW w:w="738" w:type="dxa"/>
                  <w:vMerge w:val="continue"/>
                  <w:vAlign w:val="center"/>
                </w:tcPr>
                <w:p w14:paraId="231F10CB">
                  <w:pPr>
                    <w:pStyle w:val="53"/>
                    <w:ind w:left="0" w:leftChars="0"/>
                    <w:rPr>
                      <w:rStyle w:val="126"/>
                      <w:color w:val="auto"/>
                    </w:rPr>
                  </w:pPr>
                </w:p>
              </w:tc>
            </w:tr>
            <w:tr w14:paraId="06D86B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6" w:type="dxa"/>
                  <w:vMerge w:val="continue"/>
                  <w:vAlign w:val="center"/>
                </w:tcPr>
                <w:p w14:paraId="55788DC1">
                  <w:pPr>
                    <w:pStyle w:val="53"/>
                    <w:ind w:left="0" w:leftChars="0"/>
                    <w:rPr>
                      <w:rStyle w:val="126"/>
                      <w:color w:val="auto"/>
                    </w:rPr>
                  </w:pPr>
                </w:p>
              </w:tc>
              <w:tc>
                <w:tcPr>
                  <w:tcW w:w="947" w:type="dxa"/>
                  <w:gridSpan w:val="2"/>
                  <w:vMerge w:val="continue"/>
                  <w:vAlign w:val="center"/>
                </w:tcPr>
                <w:p w14:paraId="0CE3015A">
                  <w:pPr>
                    <w:pStyle w:val="53"/>
                    <w:ind w:left="0" w:leftChars="0"/>
                    <w:rPr>
                      <w:rStyle w:val="126"/>
                      <w:color w:val="auto"/>
                    </w:rPr>
                  </w:pPr>
                </w:p>
              </w:tc>
              <w:tc>
                <w:tcPr>
                  <w:tcW w:w="1486" w:type="dxa"/>
                  <w:vMerge w:val="continue"/>
                  <w:tcBorders>
                    <w:right w:val="single" w:color="auto" w:sz="4" w:space="0"/>
                  </w:tcBorders>
                  <w:vAlign w:val="center"/>
                </w:tcPr>
                <w:p w14:paraId="7BB7A42C">
                  <w:pPr>
                    <w:pStyle w:val="53"/>
                    <w:ind w:left="0" w:leftChars="0"/>
                    <w:rPr>
                      <w:rStyle w:val="126"/>
                      <w:color w:val="auto"/>
                    </w:rPr>
                  </w:pPr>
                </w:p>
              </w:tc>
              <w:tc>
                <w:tcPr>
                  <w:tcW w:w="4281" w:type="dxa"/>
                  <w:tcBorders>
                    <w:left w:val="single" w:color="auto" w:sz="4" w:space="0"/>
                  </w:tcBorders>
                  <w:vAlign w:val="center"/>
                </w:tcPr>
                <w:p w14:paraId="4F221AF4">
                  <w:pPr>
                    <w:pStyle w:val="53"/>
                    <w:ind w:left="0" w:leftChars="0"/>
                    <w:rPr>
                      <w:rStyle w:val="126"/>
                      <w:color w:val="auto"/>
                    </w:rPr>
                  </w:pPr>
                  <w:r>
                    <w:rPr>
                      <w:rStyle w:val="126"/>
                      <w:rFonts w:hint="eastAsia"/>
                      <w:color w:val="auto"/>
                    </w:rPr>
                    <w:t>3层：建筑面积591.28m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口腔科和检验科。</w:t>
                  </w:r>
                </w:p>
              </w:tc>
              <w:tc>
                <w:tcPr>
                  <w:tcW w:w="738" w:type="dxa"/>
                  <w:vMerge w:val="continue"/>
                  <w:vAlign w:val="center"/>
                </w:tcPr>
                <w:p w14:paraId="6A70DCED">
                  <w:pPr>
                    <w:pStyle w:val="53"/>
                    <w:ind w:left="0" w:leftChars="0"/>
                    <w:rPr>
                      <w:rStyle w:val="126"/>
                      <w:color w:val="auto"/>
                    </w:rPr>
                  </w:pPr>
                </w:p>
              </w:tc>
            </w:tr>
            <w:tr w14:paraId="1C1A46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37A3F3CB">
                  <w:pPr>
                    <w:pStyle w:val="53"/>
                    <w:ind w:left="0" w:leftChars="0"/>
                    <w:rPr>
                      <w:rStyle w:val="126"/>
                      <w:color w:val="auto"/>
                    </w:rPr>
                  </w:pPr>
                </w:p>
              </w:tc>
              <w:tc>
                <w:tcPr>
                  <w:tcW w:w="947" w:type="dxa"/>
                  <w:gridSpan w:val="2"/>
                  <w:vMerge w:val="continue"/>
                  <w:vAlign w:val="center"/>
                </w:tcPr>
                <w:p w14:paraId="27CC8339">
                  <w:pPr>
                    <w:pStyle w:val="53"/>
                    <w:ind w:left="0" w:leftChars="0"/>
                    <w:rPr>
                      <w:rStyle w:val="126"/>
                      <w:color w:val="auto"/>
                    </w:rPr>
                  </w:pPr>
                </w:p>
              </w:tc>
              <w:tc>
                <w:tcPr>
                  <w:tcW w:w="1486" w:type="dxa"/>
                  <w:vMerge w:val="continue"/>
                  <w:tcBorders>
                    <w:right w:val="single" w:color="auto" w:sz="4" w:space="0"/>
                  </w:tcBorders>
                  <w:vAlign w:val="center"/>
                </w:tcPr>
                <w:p w14:paraId="6BD2D854">
                  <w:pPr>
                    <w:pStyle w:val="53"/>
                    <w:ind w:left="0" w:leftChars="0"/>
                    <w:rPr>
                      <w:rStyle w:val="126"/>
                      <w:color w:val="auto"/>
                    </w:rPr>
                  </w:pPr>
                </w:p>
              </w:tc>
              <w:tc>
                <w:tcPr>
                  <w:tcW w:w="4281" w:type="dxa"/>
                  <w:tcBorders>
                    <w:left w:val="single" w:color="auto" w:sz="4" w:space="0"/>
                  </w:tcBorders>
                  <w:vAlign w:val="center"/>
                </w:tcPr>
                <w:p w14:paraId="12C1F851">
                  <w:pPr>
                    <w:pStyle w:val="53"/>
                    <w:ind w:left="0" w:leftChars="0"/>
                    <w:rPr>
                      <w:rStyle w:val="126"/>
                      <w:color w:val="auto"/>
                    </w:rPr>
                  </w:pPr>
                  <w:r>
                    <w:rPr>
                      <w:rStyle w:val="126"/>
                      <w:rFonts w:hint="eastAsia"/>
                      <w:color w:val="auto"/>
                    </w:rPr>
                    <w:t>4层～5层：建筑面积1182.56m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住院部，新增26个床位。</w:t>
                  </w:r>
                </w:p>
              </w:tc>
              <w:tc>
                <w:tcPr>
                  <w:tcW w:w="738" w:type="dxa"/>
                  <w:vMerge w:val="continue"/>
                  <w:vAlign w:val="center"/>
                </w:tcPr>
                <w:p w14:paraId="3660012F">
                  <w:pPr>
                    <w:pStyle w:val="53"/>
                    <w:ind w:left="0" w:leftChars="0"/>
                    <w:rPr>
                      <w:rStyle w:val="126"/>
                      <w:color w:val="auto"/>
                    </w:rPr>
                  </w:pPr>
                </w:p>
              </w:tc>
            </w:tr>
            <w:tr w14:paraId="67F8E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726" w:type="dxa"/>
                  <w:vMerge w:val="continue"/>
                  <w:vAlign w:val="center"/>
                </w:tcPr>
                <w:p w14:paraId="36FD9891">
                  <w:pPr>
                    <w:pStyle w:val="53"/>
                    <w:ind w:left="0" w:leftChars="0"/>
                    <w:rPr>
                      <w:rStyle w:val="126"/>
                      <w:color w:val="auto"/>
                    </w:rPr>
                  </w:pPr>
                </w:p>
              </w:tc>
              <w:tc>
                <w:tcPr>
                  <w:tcW w:w="947" w:type="dxa"/>
                  <w:gridSpan w:val="2"/>
                  <w:vMerge w:val="continue"/>
                  <w:vAlign w:val="center"/>
                </w:tcPr>
                <w:p w14:paraId="39D2CF96">
                  <w:pPr>
                    <w:pStyle w:val="53"/>
                    <w:ind w:left="0" w:leftChars="0"/>
                    <w:rPr>
                      <w:rStyle w:val="126"/>
                      <w:color w:val="auto"/>
                    </w:rPr>
                  </w:pPr>
                </w:p>
              </w:tc>
              <w:tc>
                <w:tcPr>
                  <w:tcW w:w="1486" w:type="dxa"/>
                  <w:vMerge w:val="continue"/>
                  <w:tcBorders>
                    <w:right w:val="single" w:color="auto" w:sz="4" w:space="0"/>
                  </w:tcBorders>
                  <w:vAlign w:val="center"/>
                </w:tcPr>
                <w:p w14:paraId="67729052">
                  <w:pPr>
                    <w:pStyle w:val="53"/>
                    <w:ind w:left="0" w:leftChars="0"/>
                    <w:rPr>
                      <w:rStyle w:val="126"/>
                      <w:color w:val="auto"/>
                    </w:rPr>
                  </w:pPr>
                </w:p>
              </w:tc>
              <w:tc>
                <w:tcPr>
                  <w:tcW w:w="4281" w:type="dxa"/>
                  <w:tcBorders>
                    <w:left w:val="single" w:color="auto" w:sz="4" w:space="0"/>
                  </w:tcBorders>
                  <w:vAlign w:val="center"/>
                </w:tcPr>
                <w:p w14:paraId="31178A08">
                  <w:pPr>
                    <w:pStyle w:val="53"/>
                    <w:ind w:left="0" w:leftChars="0"/>
                    <w:rPr>
                      <w:rStyle w:val="126"/>
                      <w:color w:val="auto"/>
                    </w:rPr>
                  </w:pPr>
                  <w:r>
                    <w:rPr>
                      <w:rStyle w:val="126"/>
                      <w:rFonts w:hint="eastAsia"/>
                      <w:color w:val="auto"/>
                    </w:rPr>
                    <w:t>6层：建筑面积591.28m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办公室、会议室、手术室。</w:t>
                  </w:r>
                </w:p>
              </w:tc>
              <w:tc>
                <w:tcPr>
                  <w:tcW w:w="738" w:type="dxa"/>
                  <w:vMerge w:val="continue"/>
                  <w:vAlign w:val="center"/>
                </w:tcPr>
                <w:p w14:paraId="6F17327D">
                  <w:pPr>
                    <w:pStyle w:val="53"/>
                    <w:ind w:left="0" w:leftChars="0"/>
                    <w:rPr>
                      <w:rStyle w:val="126"/>
                      <w:color w:val="auto"/>
                    </w:rPr>
                  </w:pPr>
                </w:p>
              </w:tc>
            </w:tr>
            <w:tr w14:paraId="3DD3BA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restart"/>
                  <w:vAlign w:val="center"/>
                </w:tcPr>
                <w:p w14:paraId="51CCF25F">
                  <w:pPr>
                    <w:pStyle w:val="53"/>
                    <w:ind w:left="0" w:leftChars="0"/>
                    <w:rPr>
                      <w:rStyle w:val="126"/>
                      <w:color w:val="auto"/>
                    </w:rPr>
                  </w:pPr>
                  <w:r>
                    <w:rPr>
                      <w:rStyle w:val="126"/>
                      <w:color w:val="auto"/>
                    </w:rPr>
                    <w:t>公用</w:t>
                  </w:r>
                </w:p>
                <w:p w14:paraId="3E7B0778">
                  <w:pPr>
                    <w:pStyle w:val="53"/>
                    <w:ind w:left="0" w:leftChars="0"/>
                    <w:rPr>
                      <w:rStyle w:val="126"/>
                      <w:color w:val="auto"/>
                    </w:rPr>
                  </w:pPr>
                  <w:r>
                    <w:rPr>
                      <w:rStyle w:val="126"/>
                      <w:color w:val="auto"/>
                    </w:rPr>
                    <w:t>工程</w:t>
                  </w:r>
                </w:p>
              </w:tc>
              <w:tc>
                <w:tcPr>
                  <w:tcW w:w="947" w:type="dxa"/>
                  <w:gridSpan w:val="2"/>
                  <w:vAlign w:val="center"/>
                </w:tcPr>
                <w:p w14:paraId="10DA6216">
                  <w:pPr>
                    <w:pStyle w:val="53"/>
                    <w:ind w:left="0" w:leftChars="0"/>
                    <w:rPr>
                      <w:rStyle w:val="126"/>
                      <w:color w:val="auto"/>
                    </w:rPr>
                  </w:pPr>
                  <w:r>
                    <w:rPr>
                      <w:rStyle w:val="126"/>
                      <w:color w:val="auto"/>
                    </w:rPr>
                    <w:t>供电</w:t>
                  </w:r>
                </w:p>
              </w:tc>
              <w:tc>
                <w:tcPr>
                  <w:tcW w:w="5767" w:type="dxa"/>
                  <w:gridSpan w:val="2"/>
                  <w:vAlign w:val="center"/>
                </w:tcPr>
                <w:p w14:paraId="24F19127">
                  <w:pPr>
                    <w:pStyle w:val="53"/>
                    <w:ind w:left="0" w:leftChars="0"/>
                    <w:rPr>
                      <w:rStyle w:val="126"/>
                      <w:color w:val="auto"/>
                    </w:rPr>
                  </w:pPr>
                  <w:r>
                    <w:rPr>
                      <w:rStyle w:val="126"/>
                      <w:rFonts w:hint="eastAsia"/>
                      <w:color w:val="auto"/>
                    </w:rPr>
                    <w:t>电源来源于市政电网接入，</w:t>
                  </w:r>
                  <w:bookmarkStart w:id="20" w:name="_Hlk194486453"/>
                  <w:r>
                    <w:rPr>
                      <w:rStyle w:val="126"/>
                      <w:rFonts w:hint="eastAsia"/>
                      <w:color w:val="auto"/>
                    </w:rPr>
                    <w:t>新增1</w:t>
                  </w:r>
                  <w:r>
                    <w:rPr>
                      <w:rStyle w:val="126"/>
                      <w:color w:val="auto"/>
                    </w:rPr>
                    <w:t>台</w:t>
                  </w:r>
                  <w:r>
                    <w:rPr>
                      <w:rStyle w:val="126"/>
                      <w:rFonts w:hint="eastAsia"/>
                      <w:color w:val="auto"/>
                    </w:rPr>
                    <w:t>5</w:t>
                  </w:r>
                  <w:r>
                    <w:rPr>
                      <w:rStyle w:val="126"/>
                      <w:color w:val="auto"/>
                    </w:rPr>
                    <w:t>0kW的柴油发电机作为备用电源</w:t>
                  </w:r>
                  <w:bookmarkEnd w:id="20"/>
                  <w:r>
                    <w:rPr>
                      <w:rStyle w:val="126"/>
                      <w:color w:val="auto"/>
                    </w:rPr>
                    <w:t>。</w:t>
                  </w:r>
                </w:p>
              </w:tc>
              <w:tc>
                <w:tcPr>
                  <w:tcW w:w="738" w:type="dxa"/>
                  <w:vAlign w:val="center"/>
                </w:tcPr>
                <w:p w14:paraId="625A509E">
                  <w:pPr>
                    <w:pStyle w:val="53"/>
                    <w:ind w:left="0" w:leftChars="0"/>
                    <w:rPr>
                      <w:rStyle w:val="126"/>
                      <w:color w:val="auto"/>
                    </w:rPr>
                  </w:pPr>
                  <w:r>
                    <w:rPr>
                      <w:rStyle w:val="126"/>
                      <w:rFonts w:hint="eastAsia"/>
                      <w:color w:val="auto"/>
                    </w:rPr>
                    <w:t>新建</w:t>
                  </w:r>
                </w:p>
              </w:tc>
            </w:tr>
            <w:tr w14:paraId="5851D1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7E9C346F">
                  <w:pPr>
                    <w:pStyle w:val="53"/>
                    <w:ind w:left="0" w:leftChars="0"/>
                    <w:rPr>
                      <w:rStyle w:val="126"/>
                      <w:color w:val="auto"/>
                    </w:rPr>
                  </w:pPr>
                </w:p>
              </w:tc>
              <w:tc>
                <w:tcPr>
                  <w:tcW w:w="947" w:type="dxa"/>
                  <w:gridSpan w:val="2"/>
                  <w:vAlign w:val="center"/>
                </w:tcPr>
                <w:p w14:paraId="49947FB5">
                  <w:pPr>
                    <w:pStyle w:val="53"/>
                    <w:ind w:left="0" w:leftChars="0"/>
                    <w:rPr>
                      <w:rStyle w:val="126"/>
                      <w:color w:val="auto"/>
                    </w:rPr>
                  </w:pPr>
                  <w:r>
                    <w:rPr>
                      <w:rStyle w:val="126"/>
                      <w:color w:val="auto"/>
                    </w:rPr>
                    <w:t>供水</w:t>
                  </w:r>
                </w:p>
              </w:tc>
              <w:tc>
                <w:tcPr>
                  <w:tcW w:w="5767" w:type="dxa"/>
                  <w:gridSpan w:val="2"/>
                  <w:vAlign w:val="center"/>
                </w:tcPr>
                <w:p w14:paraId="60F4267B">
                  <w:pPr>
                    <w:pStyle w:val="53"/>
                    <w:ind w:left="0" w:leftChars="0"/>
                    <w:rPr>
                      <w:rStyle w:val="126"/>
                      <w:color w:val="auto"/>
                    </w:rPr>
                  </w:pPr>
                  <w:r>
                    <w:rPr>
                      <w:rStyle w:val="126"/>
                      <w:color w:val="auto"/>
                    </w:rPr>
                    <w:t>由市政供水管网引入，水质水量满足供水要求。</w:t>
                  </w:r>
                </w:p>
              </w:tc>
              <w:tc>
                <w:tcPr>
                  <w:tcW w:w="738" w:type="dxa"/>
                  <w:vAlign w:val="center"/>
                </w:tcPr>
                <w:p w14:paraId="117533D3">
                  <w:pPr>
                    <w:pStyle w:val="53"/>
                    <w:ind w:left="0" w:leftChars="0"/>
                    <w:rPr>
                      <w:rStyle w:val="126"/>
                      <w:color w:val="auto"/>
                    </w:rPr>
                  </w:pPr>
                  <w:r>
                    <w:rPr>
                      <w:rStyle w:val="126"/>
                      <w:color w:val="auto"/>
                    </w:rPr>
                    <w:t>依托现有</w:t>
                  </w:r>
                </w:p>
              </w:tc>
            </w:tr>
            <w:tr w14:paraId="2E28A2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26" w:hRule="atLeast"/>
                <w:jc w:val="center"/>
              </w:trPr>
              <w:tc>
                <w:tcPr>
                  <w:tcW w:w="726" w:type="dxa"/>
                  <w:vMerge w:val="restart"/>
                  <w:vAlign w:val="center"/>
                </w:tcPr>
                <w:p w14:paraId="55E9E555">
                  <w:pPr>
                    <w:pStyle w:val="53"/>
                    <w:ind w:left="0" w:leftChars="0"/>
                    <w:rPr>
                      <w:rStyle w:val="126"/>
                      <w:color w:val="auto"/>
                    </w:rPr>
                  </w:pPr>
                </w:p>
                <w:p w14:paraId="090FDB81">
                  <w:pPr>
                    <w:pStyle w:val="53"/>
                    <w:ind w:left="0" w:leftChars="0"/>
                    <w:rPr>
                      <w:rStyle w:val="126"/>
                      <w:color w:val="auto"/>
                    </w:rPr>
                  </w:pPr>
                </w:p>
                <w:p w14:paraId="40648D60">
                  <w:pPr>
                    <w:pStyle w:val="53"/>
                    <w:ind w:left="0" w:leftChars="0"/>
                    <w:rPr>
                      <w:rStyle w:val="126"/>
                      <w:color w:val="auto"/>
                    </w:rPr>
                  </w:pPr>
                </w:p>
                <w:p w14:paraId="6C90677A">
                  <w:pPr>
                    <w:pStyle w:val="53"/>
                    <w:ind w:left="0" w:leftChars="0"/>
                    <w:rPr>
                      <w:rStyle w:val="126"/>
                      <w:color w:val="auto"/>
                    </w:rPr>
                  </w:pPr>
                </w:p>
                <w:p w14:paraId="7ADE97B9">
                  <w:pPr>
                    <w:pStyle w:val="53"/>
                    <w:ind w:left="0" w:leftChars="0"/>
                    <w:rPr>
                      <w:rStyle w:val="126"/>
                      <w:color w:val="auto"/>
                    </w:rPr>
                  </w:pPr>
                  <w:r>
                    <w:rPr>
                      <w:rStyle w:val="126"/>
                      <w:color w:val="auto"/>
                    </w:rPr>
                    <w:t>环保工程</w:t>
                  </w:r>
                </w:p>
                <w:p w14:paraId="486F7D55">
                  <w:pPr>
                    <w:pStyle w:val="53"/>
                    <w:ind w:left="0" w:leftChars="0"/>
                    <w:rPr>
                      <w:rStyle w:val="126"/>
                      <w:color w:val="auto"/>
                    </w:rPr>
                  </w:pPr>
                </w:p>
              </w:tc>
              <w:tc>
                <w:tcPr>
                  <w:tcW w:w="473" w:type="dxa"/>
                  <w:vMerge w:val="restart"/>
                  <w:vAlign w:val="center"/>
                </w:tcPr>
                <w:p w14:paraId="7827F9B8">
                  <w:pPr>
                    <w:pStyle w:val="53"/>
                    <w:ind w:left="0" w:leftChars="0"/>
                    <w:rPr>
                      <w:color w:val="auto"/>
                    </w:rPr>
                  </w:pPr>
                  <w:r>
                    <w:rPr>
                      <w:rStyle w:val="126"/>
                      <w:color w:val="auto"/>
                    </w:rPr>
                    <w:t>废水</w:t>
                  </w:r>
                </w:p>
              </w:tc>
              <w:tc>
                <w:tcPr>
                  <w:tcW w:w="474" w:type="dxa"/>
                  <w:vAlign w:val="center"/>
                </w:tcPr>
                <w:p w14:paraId="30A411DD">
                  <w:pPr>
                    <w:pStyle w:val="53"/>
                    <w:ind w:left="0" w:leftChars="0"/>
                    <w:rPr>
                      <w:rStyle w:val="126"/>
                      <w:color w:val="auto"/>
                    </w:rPr>
                  </w:pPr>
                  <w:r>
                    <w:rPr>
                      <w:rStyle w:val="126"/>
                      <w:rFonts w:hint="eastAsia"/>
                      <w:color w:val="auto"/>
                    </w:rPr>
                    <w:t>检验科废水</w:t>
                  </w:r>
                </w:p>
              </w:tc>
              <w:tc>
                <w:tcPr>
                  <w:tcW w:w="5767" w:type="dxa"/>
                  <w:gridSpan w:val="2"/>
                  <w:vAlign w:val="center"/>
                </w:tcPr>
                <w:p w14:paraId="214E153E">
                  <w:pPr>
                    <w:pStyle w:val="53"/>
                    <w:ind w:left="0" w:leftChars="0"/>
                    <w:rPr>
                      <w:rStyle w:val="126"/>
                      <w:color w:val="auto"/>
                    </w:rPr>
                  </w:pPr>
                  <w:r>
                    <w:rPr>
                      <w:rFonts w:hint="eastAsia" w:ascii="宋体" w:hAnsi="宋体" w:cs="宋体"/>
                      <w:color w:val="auto"/>
                      <w:kern w:val="0"/>
                      <w:szCs w:val="21"/>
                      <w:lang w:bidi="ar"/>
                    </w:rPr>
                    <w:t>依托纳古卫生院现有的预处理设施2个50L的收集桶收集酸性废水（两备两用），采取酸碱预处理后排入化粪池处理后再进入本次新建的污水处理站。</w:t>
                  </w:r>
                </w:p>
              </w:tc>
              <w:tc>
                <w:tcPr>
                  <w:tcW w:w="738" w:type="dxa"/>
                  <w:vAlign w:val="center"/>
                </w:tcPr>
                <w:p w14:paraId="4B91A9B7">
                  <w:pPr>
                    <w:pStyle w:val="53"/>
                    <w:ind w:left="0" w:leftChars="0"/>
                    <w:rPr>
                      <w:rStyle w:val="126"/>
                      <w:color w:val="auto"/>
                    </w:rPr>
                  </w:pPr>
                  <w:r>
                    <w:rPr>
                      <w:rStyle w:val="126"/>
                      <w:rFonts w:hint="eastAsia"/>
                      <w:color w:val="auto"/>
                    </w:rPr>
                    <w:t>依托</w:t>
                  </w:r>
                </w:p>
              </w:tc>
            </w:tr>
            <w:tr w14:paraId="474484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4" w:hRule="atLeast"/>
                <w:jc w:val="center"/>
              </w:trPr>
              <w:tc>
                <w:tcPr>
                  <w:tcW w:w="726" w:type="dxa"/>
                  <w:vMerge w:val="continue"/>
                  <w:vAlign w:val="center"/>
                </w:tcPr>
                <w:p w14:paraId="67E28A3D">
                  <w:pPr>
                    <w:pStyle w:val="53"/>
                    <w:ind w:left="0" w:leftChars="0"/>
                    <w:rPr>
                      <w:rStyle w:val="126"/>
                      <w:color w:val="auto"/>
                    </w:rPr>
                  </w:pPr>
                </w:p>
              </w:tc>
              <w:tc>
                <w:tcPr>
                  <w:tcW w:w="473" w:type="dxa"/>
                  <w:vMerge w:val="continue"/>
                  <w:vAlign w:val="center"/>
                </w:tcPr>
                <w:p w14:paraId="78DE2398">
                  <w:pPr>
                    <w:pStyle w:val="53"/>
                    <w:ind w:left="0" w:leftChars="0"/>
                    <w:rPr>
                      <w:color w:val="auto"/>
                    </w:rPr>
                  </w:pPr>
                </w:p>
              </w:tc>
              <w:tc>
                <w:tcPr>
                  <w:tcW w:w="474" w:type="dxa"/>
                  <w:vAlign w:val="center"/>
                </w:tcPr>
                <w:p w14:paraId="7D086B76">
                  <w:pPr>
                    <w:pStyle w:val="53"/>
                    <w:ind w:left="0" w:leftChars="0"/>
                    <w:rPr>
                      <w:color w:val="auto"/>
                    </w:rPr>
                  </w:pPr>
                  <w:r>
                    <w:rPr>
                      <w:rStyle w:val="126"/>
                      <w:rFonts w:hint="eastAsia"/>
                      <w:color w:val="auto"/>
                    </w:rPr>
                    <w:t>医疗废水</w:t>
                  </w:r>
                </w:p>
              </w:tc>
              <w:tc>
                <w:tcPr>
                  <w:tcW w:w="5767" w:type="dxa"/>
                  <w:gridSpan w:val="2"/>
                  <w:vAlign w:val="center"/>
                </w:tcPr>
                <w:p w14:paraId="470F87C7">
                  <w:pPr>
                    <w:widowControl/>
                    <w:adjustRightInd w:val="0"/>
                    <w:snapToGrid w:val="0"/>
                    <w:jc w:val="center"/>
                    <w:rPr>
                      <w:rStyle w:val="126"/>
                      <w:color w:val="auto"/>
                    </w:rPr>
                  </w:pPr>
                  <w:r>
                    <w:rPr>
                      <w:rFonts w:hint="eastAsia"/>
                      <w:color w:val="auto"/>
                      <w:szCs w:val="21"/>
                    </w:rPr>
                    <w:t>新建一座容积不小于9m</w:t>
                  </w:r>
                  <w:r>
                    <w:rPr>
                      <w:rFonts w:hint="eastAsia"/>
                      <w:color w:val="auto"/>
                      <w:szCs w:val="21"/>
                      <w:vertAlign w:val="superscript"/>
                    </w:rPr>
                    <w:t>3</w:t>
                  </w:r>
                  <w:r>
                    <w:rPr>
                      <w:rFonts w:hint="eastAsia"/>
                      <w:color w:val="auto"/>
                      <w:szCs w:val="21"/>
                    </w:rPr>
                    <w:t>的综合废水化粪池</w:t>
                  </w:r>
                  <w:r>
                    <w:rPr>
                      <w:rFonts w:hint="eastAsia"/>
                      <w:color w:val="auto"/>
                      <w:szCs w:val="21"/>
                      <w:lang w:val="en-US" w:eastAsia="zh-CN"/>
                    </w:rPr>
                    <w:t>和一座容积不小于6m³的事故应急池</w:t>
                  </w:r>
                  <w:r>
                    <w:rPr>
                      <w:rFonts w:hint="eastAsia"/>
                      <w:color w:val="auto"/>
                      <w:szCs w:val="21"/>
                    </w:rPr>
                    <w:t>；新建一座10m</w:t>
                  </w:r>
                  <w:r>
                    <w:rPr>
                      <w:rFonts w:hint="eastAsia"/>
                      <w:color w:val="auto"/>
                      <w:szCs w:val="21"/>
                      <w:vertAlign w:val="superscript"/>
                    </w:rPr>
                    <w:t>3</w:t>
                  </w:r>
                  <w:r>
                    <w:rPr>
                      <w:rFonts w:hint="eastAsia"/>
                      <w:color w:val="auto"/>
                      <w:szCs w:val="21"/>
                    </w:rPr>
                    <w:t>/d的污水处理站。</w:t>
                  </w:r>
                </w:p>
              </w:tc>
              <w:tc>
                <w:tcPr>
                  <w:tcW w:w="738" w:type="dxa"/>
                  <w:vAlign w:val="center"/>
                </w:tcPr>
                <w:p w14:paraId="39D8A526">
                  <w:pPr>
                    <w:pStyle w:val="53"/>
                    <w:ind w:left="0" w:leftChars="0"/>
                    <w:rPr>
                      <w:rStyle w:val="126"/>
                      <w:color w:val="auto"/>
                    </w:rPr>
                  </w:pPr>
                  <w:r>
                    <w:rPr>
                      <w:rStyle w:val="126"/>
                      <w:rFonts w:hint="eastAsia"/>
                      <w:color w:val="auto"/>
                    </w:rPr>
                    <w:t>新建</w:t>
                  </w:r>
                </w:p>
              </w:tc>
            </w:tr>
            <w:tr w14:paraId="3FFE65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26" w:type="dxa"/>
                  <w:vMerge w:val="continue"/>
                  <w:vAlign w:val="center"/>
                </w:tcPr>
                <w:p w14:paraId="2A8B2AD0">
                  <w:pPr>
                    <w:pStyle w:val="53"/>
                    <w:ind w:left="0" w:leftChars="0"/>
                    <w:rPr>
                      <w:rStyle w:val="126"/>
                      <w:color w:val="auto"/>
                    </w:rPr>
                  </w:pPr>
                </w:p>
              </w:tc>
              <w:tc>
                <w:tcPr>
                  <w:tcW w:w="947" w:type="dxa"/>
                  <w:gridSpan w:val="2"/>
                  <w:vMerge w:val="restart"/>
                  <w:vAlign w:val="center"/>
                </w:tcPr>
                <w:p w14:paraId="37F62E9A">
                  <w:pPr>
                    <w:pStyle w:val="53"/>
                    <w:ind w:left="0" w:leftChars="0"/>
                    <w:rPr>
                      <w:rStyle w:val="126"/>
                      <w:color w:val="auto"/>
                    </w:rPr>
                  </w:pPr>
                  <w:r>
                    <w:rPr>
                      <w:rStyle w:val="126"/>
                      <w:color w:val="auto"/>
                    </w:rPr>
                    <w:t>废气</w:t>
                  </w:r>
                </w:p>
              </w:tc>
              <w:tc>
                <w:tcPr>
                  <w:tcW w:w="5767" w:type="dxa"/>
                  <w:gridSpan w:val="2"/>
                  <w:vAlign w:val="center"/>
                </w:tcPr>
                <w:p w14:paraId="7A6696E5">
                  <w:pPr>
                    <w:pStyle w:val="53"/>
                    <w:ind w:left="0" w:leftChars="0"/>
                    <w:rPr>
                      <w:color w:val="auto"/>
                      <w:kern w:val="0"/>
                      <w:szCs w:val="21"/>
                    </w:rPr>
                  </w:pPr>
                  <w:r>
                    <w:rPr>
                      <w:rFonts w:hint="eastAsia"/>
                      <w:color w:val="auto"/>
                      <w:kern w:val="0"/>
                      <w:szCs w:val="21"/>
                    </w:rPr>
                    <w:t>备用发电机设置专用排烟管道</w:t>
                  </w:r>
                </w:p>
              </w:tc>
              <w:tc>
                <w:tcPr>
                  <w:tcW w:w="738" w:type="dxa"/>
                  <w:vAlign w:val="center"/>
                </w:tcPr>
                <w:p w14:paraId="4CB7BDEF">
                  <w:pPr>
                    <w:pStyle w:val="53"/>
                    <w:ind w:left="0" w:leftChars="0"/>
                    <w:rPr>
                      <w:rStyle w:val="126"/>
                      <w:color w:val="auto"/>
                    </w:rPr>
                  </w:pPr>
                  <w:r>
                    <w:rPr>
                      <w:rStyle w:val="126"/>
                      <w:rFonts w:hint="eastAsia"/>
                      <w:color w:val="auto"/>
                    </w:rPr>
                    <w:t>新建</w:t>
                  </w:r>
                </w:p>
              </w:tc>
            </w:tr>
            <w:tr w14:paraId="48AAFA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26" w:type="dxa"/>
                  <w:vMerge w:val="continue"/>
                  <w:vAlign w:val="center"/>
                </w:tcPr>
                <w:p w14:paraId="1D8E5365">
                  <w:pPr>
                    <w:pStyle w:val="53"/>
                    <w:ind w:left="0" w:leftChars="0"/>
                    <w:rPr>
                      <w:rStyle w:val="126"/>
                      <w:color w:val="auto"/>
                    </w:rPr>
                  </w:pPr>
                </w:p>
              </w:tc>
              <w:tc>
                <w:tcPr>
                  <w:tcW w:w="947" w:type="dxa"/>
                  <w:gridSpan w:val="2"/>
                  <w:vMerge w:val="continue"/>
                  <w:vAlign w:val="center"/>
                </w:tcPr>
                <w:p w14:paraId="7822051B">
                  <w:pPr>
                    <w:pStyle w:val="53"/>
                    <w:ind w:left="0" w:leftChars="0"/>
                    <w:rPr>
                      <w:rStyle w:val="126"/>
                      <w:color w:val="auto"/>
                    </w:rPr>
                  </w:pPr>
                </w:p>
              </w:tc>
              <w:tc>
                <w:tcPr>
                  <w:tcW w:w="5767" w:type="dxa"/>
                  <w:gridSpan w:val="2"/>
                  <w:vAlign w:val="center"/>
                </w:tcPr>
                <w:p w14:paraId="4C2ADE95">
                  <w:pPr>
                    <w:pStyle w:val="53"/>
                    <w:ind w:left="0" w:leftChars="0"/>
                    <w:rPr>
                      <w:color w:val="auto"/>
                      <w:kern w:val="0"/>
                      <w:szCs w:val="21"/>
                    </w:rPr>
                  </w:pPr>
                  <w:r>
                    <w:rPr>
                      <w:rStyle w:val="126"/>
                      <w:rFonts w:hint="eastAsia"/>
                      <w:color w:val="auto"/>
                    </w:rPr>
                    <w:t>污水处理站臭气：</w:t>
                  </w:r>
                  <w:r>
                    <w:rPr>
                      <w:rFonts w:hint="eastAsia" w:ascii="宋体" w:hAnsi="宋体" w:cs="宋体"/>
                      <w:color w:val="auto"/>
                      <w:szCs w:val="21"/>
                    </w:rPr>
                    <w:t>投放除臭剂</w:t>
                  </w:r>
                </w:p>
              </w:tc>
              <w:tc>
                <w:tcPr>
                  <w:tcW w:w="738" w:type="dxa"/>
                  <w:vAlign w:val="center"/>
                </w:tcPr>
                <w:p w14:paraId="23A9EB0C">
                  <w:pPr>
                    <w:pStyle w:val="53"/>
                    <w:ind w:left="0" w:leftChars="0"/>
                    <w:rPr>
                      <w:rStyle w:val="126"/>
                      <w:color w:val="auto"/>
                    </w:rPr>
                  </w:pPr>
                  <w:r>
                    <w:rPr>
                      <w:rStyle w:val="126"/>
                      <w:rFonts w:hint="eastAsia"/>
                      <w:color w:val="auto"/>
                    </w:rPr>
                    <w:t>/</w:t>
                  </w:r>
                </w:p>
              </w:tc>
            </w:tr>
            <w:tr w14:paraId="787182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26" w:type="dxa"/>
                  <w:vMerge w:val="continue"/>
                  <w:vAlign w:val="center"/>
                </w:tcPr>
                <w:p w14:paraId="626978EA">
                  <w:pPr>
                    <w:pStyle w:val="53"/>
                    <w:ind w:left="0" w:leftChars="0"/>
                    <w:rPr>
                      <w:rStyle w:val="126"/>
                      <w:color w:val="auto"/>
                    </w:rPr>
                  </w:pPr>
                </w:p>
              </w:tc>
              <w:tc>
                <w:tcPr>
                  <w:tcW w:w="947" w:type="dxa"/>
                  <w:gridSpan w:val="2"/>
                  <w:vMerge w:val="restart"/>
                  <w:vAlign w:val="center"/>
                </w:tcPr>
                <w:p w14:paraId="03509DE6">
                  <w:pPr>
                    <w:pStyle w:val="53"/>
                    <w:ind w:left="0" w:leftChars="0"/>
                    <w:rPr>
                      <w:rStyle w:val="126"/>
                      <w:color w:val="auto"/>
                    </w:rPr>
                  </w:pPr>
                  <w:r>
                    <w:rPr>
                      <w:rStyle w:val="126"/>
                      <w:color w:val="auto"/>
                    </w:rPr>
                    <w:t>固废</w:t>
                  </w:r>
                </w:p>
              </w:tc>
              <w:tc>
                <w:tcPr>
                  <w:tcW w:w="5767" w:type="dxa"/>
                  <w:gridSpan w:val="2"/>
                  <w:vAlign w:val="center"/>
                </w:tcPr>
                <w:p w14:paraId="46C641D1">
                  <w:pPr>
                    <w:pStyle w:val="53"/>
                    <w:ind w:left="0" w:leftChars="0"/>
                    <w:jc w:val="left"/>
                    <w:rPr>
                      <w:color w:val="auto"/>
                    </w:rPr>
                  </w:pPr>
                  <w:r>
                    <w:rPr>
                      <w:rStyle w:val="126"/>
                      <w:rFonts w:hint="eastAsia"/>
                      <w:color w:val="auto"/>
                    </w:rPr>
                    <w:t>纳古卫生院危废/医废暂存间（1间，10㎡）；位于卫生院东侧，设置了标牌标识；</w:t>
                  </w:r>
                  <w:r>
                    <w:rPr>
                      <w:rStyle w:val="126"/>
                      <w:color w:val="auto"/>
                    </w:rPr>
                    <w:t>病房及医护人员办公室放置</w:t>
                  </w:r>
                  <w:r>
                    <w:rPr>
                      <w:rStyle w:val="126"/>
                      <w:rFonts w:hint="eastAsia"/>
                      <w:color w:val="auto"/>
                    </w:rPr>
                    <w:t>医废</w:t>
                  </w:r>
                  <w:r>
                    <w:rPr>
                      <w:rStyle w:val="126"/>
                      <w:color w:val="auto"/>
                    </w:rPr>
                    <w:t>桶。</w:t>
                  </w:r>
                  <w:r>
                    <w:rPr>
                      <w:rStyle w:val="126"/>
                      <w:rFonts w:hint="eastAsia"/>
                      <w:color w:val="auto"/>
                    </w:rPr>
                    <w:t>危废暂存间采取重点防渗措施：地面及裙角均</w:t>
                  </w:r>
                  <w:r>
                    <w:rPr>
                      <w:rStyle w:val="126"/>
                      <w:rFonts w:hint="eastAsia"/>
                      <w:color w:val="auto"/>
                      <w:lang w:val="zh-CN"/>
                    </w:rPr>
                    <w:t>采用水泥+2mm厚HDPE+环氧树脂</w:t>
                  </w:r>
                  <w:r>
                    <w:rPr>
                      <w:rStyle w:val="126"/>
                      <w:rFonts w:hint="eastAsia"/>
                      <w:color w:val="auto"/>
                    </w:rPr>
                    <w:t>，渗透系数≤10</w:t>
                  </w:r>
                  <w:r>
                    <w:rPr>
                      <w:rStyle w:val="126"/>
                      <w:rFonts w:hint="eastAsia"/>
                      <w:color w:val="auto"/>
                      <w:vertAlign w:val="superscript"/>
                    </w:rPr>
                    <w:t>-10</w:t>
                  </w:r>
                  <w:r>
                    <w:rPr>
                      <w:rStyle w:val="126"/>
                      <w:rFonts w:hint="eastAsia"/>
                      <w:color w:val="auto"/>
                    </w:rPr>
                    <w:t>cm/s</w:t>
                  </w:r>
                </w:p>
              </w:tc>
              <w:tc>
                <w:tcPr>
                  <w:tcW w:w="738" w:type="dxa"/>
                  <w:vAlign w:val="center"/>
                </w:tcPr>
                <w:p w14:paraId="3ED7D0C9">
                  <w:pPr>
                    <w:pStyle w:val="53"/>
                    <w:ind w:left="0" w:leftChars="0"/>
                    <w:rPr>
                      <w:rStyle w:val="126"/>
                      <w:color w:val="auto"/>
                    </w:rPr>
                  </w:pPr>
                  <w:r>
                    <w:rPr>
                      <w:rStyle w:val="126"/>
                      <w:rFonts w:hint="eastAsia"/>
                      <w:color w:val="auto"/>
                    </w:rPr>
                    <w:t>依托</w:t>
                  </w:r>
                </w:p>
              </w:tc>
            </w:tr>
            <w:tr w14:paraId="677980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26" w:type="dxa"/>
                  <w:vMerge w:val="continue"/>
                  <w:vAlign w:val="center"/>
                </w:tcPr>
                <w:p w14:paraId="35969D5D">
                  <w:pPr>
                    <w:pStyle w:val="53"/>
                    <w:ind w:left="0" w:leftChars="0"/>
                    <w:rPr>
                      <w:rStyle w:val="126"/>
                      <w:color w:val="auto"/>
                    </w:rPr>
                  </w:pPr>
                </w:p>
              </w:tc>
              <w:tc>
                <w:tcPr>
                  <w:tcW w:w="947" w:type="dxa"/>
                  <w:gridSpan w:val="2"/>
                  <w:vMerge w:val="continue"/>
                  <w:vAlign w:val="center"/>
                </w:tcPr>
                <w:p w14:paraId="6E1FC9A1">
                  <w:pPr>
                    <w:pStyle w:val="53"/>
                    <w:ind w:left="0" w:leftChars="0"/>
                    <w:rPr>
                      <w:rStyle w:val="126"/>
                      <w:color w:val="auto"/>
                    </w:rPr>
                  </w:pPr>
                </w:p>
              </w:tc>
              <w:tc>
                <w:tcPr>
                  <w:tcW w:w="5767" w:type="dxa"/>
                  <w:gridSpan w:val="2"/>
                  <w:vAlign w:val="center"/>
                </w:tcPr>
                <w:p w14:paraId="54872551">
                  <w:pPr>
                    <w:pStyle w:val="53"/>
                    <w:ind w:left="0" w:leftChars="0"/>
                    <w:rPr>
                      <w:rStyle w:val="126"/>
                      <w:color w:val="auto"/>
                    </w:rPr>
                  </w:pPr>
                  <w:r>
                    <w:rPr>
                      <w:rStyle w:val="126"/>
                      <w:rFonts w:hint="eastAsia"/>
                      <w:color w:val="auto"/>
                    </w:rPr>
                    <w:t>垃圾桶若干</w:t>
                  </w:r>
                </w:p>
              </w:tc>
              <w:tc>
                <w:tcPr>
                  <w:tcW w:w="738" w:type="dxa"/>
                  <w:vAlign w:val="center"/>
                </w:tcPr>
                <w:p w14:paraId="5FAF69C4">
                  <w:pPr>
                    <w:pStyle w:val="53"/>
                    <w:ind w:left="0" w:leftChars="0"/>
                    <w:rPr>
                      <w:rStyle w:val="126"/>
                      <w:color w:val="auto"/>
                    </w:rPr>
                  </w:pPr>
                  <w:r>
                    <w:rPr>
                      <w:rStyle w:val="126"/>
                      <w:rFonts w:hint="eastAsia"/>
                      <w:color w:val="auto"/>
                    </w:rPr>
                    <w:t>新建</w:t>
                  </w:r>
                </w:p>
              </w:tc>
            </w:tr>
            <w:tr w14:paraId="2E0303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6" w:type="dxa"/>
                  <w:vMerge w:val="continue"/>
                  <w:vAlign w:val="center"/>
                </w:tcPr>
                <w:p w14:paraId="3B3582D3">
                  <w:pPr>
                    <w:pStyle w:val="53"/>
                    <w:ind w:left="0" w:leftChars="0"/>
                    <w:rPr>
                      <w:rStyle w:val="126"/>
                      <w:color w:val="auto"/>
                    </w:rPr>
                  </w:pPr>
                </w:p>
              </w:tc>
              <w:tc>
                <w:tcPr>
                  <w:tcW w:w="947" w:type="dxa"/>
                  <w:gridSpan w:val="2"/>
                  <w:vAlign w:val="center"/>
                </w:tcPr>
                <w:p w14:paraId="0EE8B6C4">
                  <w:pPr>
                    <w:pStyle w:val="53"/>
                    <w:ind w:left="0" w:leftChars="0"/>
                    <w:rPr>
                      <w:rStyle w:val="126"/>
                      <w:color w:val="auto"/>
                    </w:rPr>
                  </w:pPr>
                  <w:r>
                    <w:rPr>
                      <w:rStyle w:val="126"/>
                      <w:color w:val="auto"/>
                    </w:rPr>
                    <w:t>噪声</w:t>
                  </w:r>
                </w:p>
              </w:tc>
              <w:tc>
                <w:tcPr>
                  <w:tcW w:w="5767" w:type="dxa"/>
                  <w:gridSpan w:val="2"/>
                  <w:vAlign w:val="center"/>
                </w:tcPr>
                <w:p w14:paraId="10B83614">
                  <w:pPr>
                    <w:pStyle w:val="53"/>
                    <w:ind w:left="0" w:leftChars="0"/>
                    <w:rPr>
                      <w:color w:val="auto"/>
                    </w:rPr>
                  </w:pPr>
                  <w:r>
                    <w:rPr>
                      <w:rStyle w:val="126"/>
                      <w:rFonts w:hint="eastAsia"/>
                      <w:color w:val="auto"/>
                    </w:rPr>
                    <w:t>纳古卫生院：污水处理系统水泵减</w:t>
                  </w:r>
                  <w:r>
                    <w:rPr>
                      <w:rFonts w:hint="eastAsia"/>
                      <w:color w:val="auto"/>
                      <w:szCs w:val="21"/>
                    </w:rPr>
                    <w:t>振</w:t>
                  </w:r>
                  <w:r>
                    <w:rPr>
                      <w:rStyle w:val="126"/>
                      <w:rFonts w:hint="eastAsia"/>
                      <w:color w:val="auto"/>
                    </w:rPr>
                    <w:t>、</w:t>
                  </w:r>
                  <w:r>
                    <w:rPr>
                      <w:rFonts w:hint="eastAsia" w:ascii="宋体" w:hAnsi="宋体" w:cs="宋体"/>
                      <w:color w:val="auto"/>
                      <w:szCs w:val="21"/>
                    </w:rPr>
                    <w:t>风机安装消声器、</w:t>
                  </w:r>
                  <w:r>
                    <w:rPr>
                      <w:rStyle w:val="126"/>
                      <w:rFonts w:hint="eastAsia"/>
                      <w:color w:val="auto"/>
                    </w:rPr>
                    <w:t>建筑隔声</w:t>
                  </w:r>
                  <w:r>
                    <w:rPr>
                      <w:rFonts w:hint="eastAsia"/>
                      <w:color w:val="auto"/>
                      <w:szCs w:val="21"/>
                    </w:rPr>
                    <w:t>、柴油发电机设置于独立的设备房</w:t>
                  </w:r>
                </w:p>
              </w:tc>
              <w:tc>
                <w:tcPr>
                  <w:tcW w:w="738" w:type="dxa"/>
                  <w:vAlign w:val="center"/>
                </w:tcPr>
                <w:p w14:paraId="05FF4B93">
                  <w:pPr>
                    <w:pStyle w:val="53"/>
                    <w:ind w:left="0" w:leftChars="0"/>
                    <w:rPr>
                      <w:rStyle w:val="126"/>
                      <w:color w:val="auto"/>
                    </w:rPr>
                  </w:pPr>
                  <w:r>
                    <w:rPr>
                      <w:rStyle w:val="126"/>
                      <w:rFonts w:hint="eastAsia"/>
                      <w:color w:val="auto"/>
                    </w:rPr>
                    <w:t>新建</w:t>
                  </w:r>
                </w:p>
              </w:tc>
            </w:tr>
            <w:bookmarkEnd w:id="19"/>
          </w:tbl>
          <w:p w14:paraId="44AEAD99">
            <w:pPr>
              <w:jc w:val="center"/>
              <w:rPr>
                <w:rFonts w:hint="eastAsia" w:ascii="宋体" w:hAnsi="宋体" w:cs="宋体"/>
                <w:b/>
                <w:color w:val="auto"/>
                <w:sz w:val="24"/>
              </w:rPr>
            </w:pPr>
          </w:p>
          <w:p w14:paraId="7C46A151">
            <w:pPr>
              <w:jc w:val="center"/>
              <w:rPr>
                <w:rFonts w:hint="eastAsia" w:ascii="宋体" w:hAnsi="宋体" w:cs="宋体"/>
                <w:b/>
                <w:color w:val="auto"/>
                <w:sz w:val="24"/>
              </w:rPr>
            </w:pPr>
            <w:r>
              <w:rPr>
                <w:rFonts w:hint="eastAsia" w:ascii="宋体" w:hAnsi="宋体" w:cs="宋体"/>
                <w:b/>
                <w:color w:val="auto"/>
                <w:sz w:val="24"/>
              </w:rPr>
              <w:t>表</w:t>
            </w:r>
            <w:r>
              <w:rPr>
                <w:rFonts w:hint="eastAsia" w:cs="宋体"/>
                <w:b/>
                <w:color w:val="auto"/>
                <w:sz w:val="24"/>
              </w:rPr>
              <w:t>2</w:t>
            </w:r>
            <w:r>
              <w:rPr>
                <w:rFonts w:hint="eastAsia" w:ascii="宋体" w:hAnsi="宋体" w:cs="宋体"/>
                <w:b/>
                <w:color w:val="auto"/>
                <w:sz w:val="24"/>
              </w:rPr>
              <w:t>-2本项目四街卫生院工程组成一览表</w:t>
            </w:r>
          </w:p>
          <w:tbl>
            <w:tblPr>
              <w:tblStyle w:val="33"/>
              <w:tblW w:w="81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473"/>
              <w:gridCol w:w="805"/>
              <w:gridCol w:w="1346"/>
              <w:gridCol w:w="4090"/>
              <w:gridCol w:w="738"/>
            </w:tblGrid>
            <w:tr w14:paraId="6B6723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726" w:type="dxa"/>
                  <w:shd w:val="clear" w:color="auto" w:fill="D7D7D7"/>
                  <w:vAlign w:val="center"/>
                </w:tcPr>
                <w:p w14:paraId="3CA79F5B">
                  <w:pPr>
                    <w:pStyle w:val="53"/>
                    <w:ind w:left="0" w:leftChars="0"/>
                    <w:rPr>
                      <w:rStyle w:val="126"/>
                      <w:color w:val="auto"/>
                    </w:rPr>
                  </w:pPr>
                  <w:r>
                    <w:rPr>
                      <w:rStyle w:val="126"/>
                      <w:color w:val="auto"/>
                    </w:rPr>
                    <w:t>工程</w:t>
                  </w:r>
                </w:p>
                <w:p w14:paraId="05993483">
                  <w:pPr>
                    <w:pStyle w:val="53"/>
                    <w:ind w:left="0" w:leftChars="0"/>
                    <w:rPr>
                      <w:rStyle w:val="126"/>
                      <w:color w:val="auto"/>
                    </w:rPr>
                  </w:pPr>
                  <w:r>
                    <w:rPr>
                      <w:rStyle w:val="126"/>
                      <w:color w:val="auto"/>
                    </w:rPr>
                    <w:t>内容</w:t>
                  </w:r>
                </w:p>
              </w:tc>
              <w:tc>
                <w:tcPr>
                  <w:tcW w:w="1278" w:type="dxa"/>
                  <w:gridSpan w:val="2"/>
                  <w:shd w:val="clear" w:color="auto" w:fill="D7D7D7"/>
                  <w:vAlign w:val="center"/>
                </w:tcPr>
                <w:p w14:paraId="61803FE2">
                  <w:pPr>
                    <w:pStyle w:val="53"/>
                    <w:ind w:left="0" w:leftChars="0"/>
                    <w:rPr>
                      <w:rStyle w:val="126"/>
                      <w:color w:val="auto"/>
                    </w:rPr>
                  </w:pPr>
                  <w:r>
                    <w:rPr>
                      <w:rStyle w:val="126"/>
                      <w:color w:val="auto"/>
                    </w:rPr>
                    <w:t>名称</w:t>
                  </w:r>
                </w:p>
              </w:tc>
              <w:tc>
                <w:tcPr>
                  <w:tcW w:w="5436" w:type="dxa"/>
                  <w:gridSpan w:val="2"/>
                  <w:shd w:val="clear" w:color="auto" w:fill="D7D7D7"/>
                  <w:vAlign w:val="center"/>
                </w:tcPr>
                <w:p w14:paraId="101FA715">
                  <w:pPr>
                    <w:pStyle w:val="53"/>
                    <w:ind w:left="0" w:leftChars="0"/>
                    <w:rPr>
                      <w:rStyle w:val="126"/>
                      <w:color w:val="auto"/>
                    </w:rPr>
                  </w:pPr>
                  <w:r>
                    <w:rPr>
                      <w:rStyle w:val="126"/>
                      <w:color w:val="auto"/>
                    </w:rPr>
                    <w:t>工程内容</w:t>
                  </w:r>
                </w:p>
              </w:tc>
              <w:tc>
                <w:tcPr>
                  <w:tcW w:w="738" w:type="dxa"/>
                  <w:shd w:val="clear" w:color="auto" w:fill="D7D7D7"/>
                  <w:vAlign w:val="center"/>
                </w:tcPr>
                <w:p w14:paraId="29598C46">
                  <w:pPr>
                    <w:pStyle w:val="53"/>
                    <w:ind w:left="0" w:leftChars="0"/>
                    <w:rPr>
                      <w:rStyle w:val="126"/>
                      <w:color w:val="auto"/>
                    </w:rPr>
                  </w:pPr>
                  <w:r>
                    <w:rPr>
                      <w:rStyle w:val="126"/>
                      <w:color w:val="auto"/>
                    </w:rPr>
                    <w:t>备注</w:t>
                  </w:r>
                </w:p>
              </w:tc>
            </w:tr>
            <w:tr w14:paraId="49D91A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26" w:type="dxa"/>
                  <w:vMerge w:val="restart"/>
                  <w:vAlign w:val="center"/>
                </w:tcPr>
                <w:p w14:paraId="6EC54B27">
                  <w:pPr>
                    <w:pStyle w:val="53"/>
                    <w:ind w:left="0" w:leftChars="0"/>
                    <w:rPr>
                      <w:rStyle w:val="126"/>
                      <w:color w:val="auto"/>
                    </w:rPr>
                  </w:pPr>
                  <w:r>
                    <w:rPr>
                      <w:rStyle w:val="126"/>
                      <w:color w:val="auto"/>
                    </w:rPr>
                    <w:t>主体</w:t>
                  </w:r>
                </w:p>
                <w:p w14:paraId="21E10E62">
                  <w:pPr>
                    <w:pStyle w:val="53"/>
                    <w:ind w:left="0" w:leftChars="0"/>
                    <w:rPr>
                      <w:rStyle w:val="126"/>
                      <w:color w:val="auto"/>
                    </w:rPr>
                  </w:pPr>
                  <w:r>
                    <w:rPr>
                      <w:rStyle w:val="126"/>
                      <w:color w:val="auto"/>
                    </w:rPr>
                    <w:t>工程</w:t>
                  </w:r>
                </w:p>
              </w:tc>
              <w:tc>
                <w:tcPr>
                  <w:tcW w:w="1278" w:type="dxa"/>
                  <w:gridSpan w:val="2"/>
                  <w:vMerge w:val="restart"/>
                  <w:vAlign w:val="center"/>
                </w:tcPr>
                <w:p w14:paraId="51F178C7">
                  <w:pPr>
                    <w:pStyle w:val="53"/>
                    <w:ind w:left="0" w:leftChars="0"/>
                    <w:rPr>
                      <w:rStyle w:val="126"/>
                      <w:color w:val="auto"/>
                    </w:rPr>
                  </w:pPr>
                  <w:r>
                    <w:rPr>
                      <w:rStyle w:val="126"/>
                      <w:color w:val="auto"/>
                    </w:rPr>
                    <w:t>业务用房</w:t>
                  </w:r>
                  <w:r>
                    <w:rPr>
                      <w:rStyle w:val="126"/>
                      <w:rFonts w:hint="eastAsia"/>
                      <w:color w:val="auto"/>
                    </w:rPr>
                    <w:t>，1幢</w:t>
                  </w:r>
                </w:p>
              </w:tc>
              <w:tc>
                <w:tcPr>
                  <w:tcW w:w="1346" w:type="dxa"/>
                  <w:vMerge w:val="restart"/>
                  <w:tcBorders>
                    <w:right w:val="single" w:color="auto" w:sz="4" w:space="0"/>
                  </w:tcBorders>
                  <w:vAlign w:val="center"/>
                </w:tcPr>
                <w:p w14:paraId="37B34675">
                  <w:pPr>
                    <w:pStyle w:val="53"/>
                    <w:ind w:left="0" w:leftChars="0"/>
                    <w:rPr>
                      <w:rStyle w:val="126"/>
                      <w:color w:val="auto"/>
                    </w:rPr>
                  </w:pPr>
                  <w:r>
                    <w:rPr>
                      <w:rStyle w:val="126"/>
                      <w:rFonts w:hint="eastAsia"/>
                      <w:color w:val="auto"/>
                    </w:rPr>
                    <w:t>5层，建筑占地面积580.64m</w:t>
                  </w:r>
                  <w:r>
                    <w:rPr>
                      <w:rStyle w:val="126"/>
                      <w:rFonts w:hint="eastAsia"/>
                      <w:color w:val="auto"/>
                      <w:vertAlign w:val="superscript"/>
                    </w:rPr>
                    <w:t>2</w:t>
                  </w:r>
                  <w:r>
                    <w:rPr>
                      <w:rStyle w:val="126"/>
                      <w:rFonts w:hint="eastAsia"/>
                      <w:color w:val="auto"/>
                    </w:rPr>
                    <w:t>，建筑面积3352.58m</w:t>
                  </w:r>
                  <w:r>
                    <w:rPr>
                      <w:rStyle w:val="126"/>
                      <w:rFonts w:hint="eastAsia"/>
                      <w:color w:val="auto"/>
                      <w:vertAlign w:val="superscript"/>
                    </w:rPr>
                    <w:t>2</w:t>
                  </w:r>
                  <w:r>
                    <w:rPr>
                      <w:rStyle w:val="126"/>
                      <w:rFonts w:hint="eastAsia"/>
                      <w:color w:val="auto"/>
                    </w:rPr>
                    <w:t>，投资估算1865.25万元</w:t>
                  </w:r>
                </w:p>
              </w:tc>
              <w:tc>
                <w:tcPr>
                  <w:tcW w:w="4090" w:type="dxa"/>
                  <w:tcBorders>
                    <w:left w:val="single" w:color="auto" w:sz="4" w:space="0"/>
                  </w:tcBorders>
                  <w:vAlign w:val="center"/>
                </w:tcPr>
                <w:p w14:paraId="73A2BA03">
                  <w:pPr>
                    <w:pStyle w:val="53"/>
                    <w:ind w:left="0" w:leftChars="0"/>
                    <w:rPr>
                      <w:rStyle w:val="126"/>
                      <w:color w:val="auto"/>
                    </w:rPr>
                  </w:pPr>
                  <w:r>
                    <w:rPr>
                      <w:rStyle w:val="126"/>
                      <w:rFonts w:hint="eastAsia"/>
                      <w:color w:val="auto"/>
                    </w:rPr>
                    <w:t>1层：建筑面积580.64m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大厅、中医科、检验科、办公室。</w:t>
                  </w:r>
                </w:p>
              </w:tc>
              <w:tc>
                <w:tcPr>
                  <w:tcW w:w="738" w:type="dxa"/>
                  <w:vMerge w:val="restart"/>
                  <w:vAlign w:val="center"/>
                </w:tcPr>
                <w:p w14:paraId="44C6F82E">
                  <w:pPr>
                    <w:pStyle w:val="53"/>
                    <w:ind w:left="0" w:leftChars="0"/>
                    <w:rPr>
                      <w:rStyle w:val="126"/>
                      <w:color w:val="auto"/>
                    </w:rPr>
                  </w:pPr>
                </w:p>
                <w:p w14:paraId="202BD68D">
                  <w:pPr>
                    <w:pStyle w:val="53"/>
                    <w:ind w:left="0" w:leftChars="0"/>
                    <w:rPr>
                      <w:rStyle w:val="126"/>
                      <w:color w:val="auto"/>
                    </w:rPr>
                  </w:pPr>
                </w:p>
                <w:p w14:paraId="4CD2B0E5">
                  <w:pPr>
                    <w:pStyle w:val="53"/>
                    <w:ind w:left="0" w:leftChars="0"/>
                    <w:jc w:val="both"/>
                    <w:rPr>
                      <w:rStyle w:val="126"/>
                      <w:color w:val="auto"/>
                    </w:rPr>
                  </w:pPr>
                  <w:r>
                    <w:rPr>
                      <w:rStyle w:val="126"/>
                      <w:rFonts w:hint="eastAsia"/>
                      <w:color w:val="auto"/>
                    </w:rPr>
                    <w:t>新建</w:t>
                  </w:r>
                </w:p>
              </w:tc>
            </w:tr>
            <w:tr w14:paraId="50AB8A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6" w:type="dxa"/>
                  <w:vMerge w:val="continue"/>
                  <w:vAlign w:val="center"/>
                </w:tcPr>
                <w:p w14:paraId="28DD945B">
                  <w:pPr>
                    <w:pStyle w:val="53"/>
                    <w:ind w:left="0" w:leftChars="0"/>
                    <w:rPr>
                      <w:rStyle w:val="126"/>
                      <w:color w:val="auto"/>
                    </w:rPr>
                  </w:pPr>
                </w:p>
              </w:tc>
              <w:tc>
                <w:tcPr>
                  <w:tcW w:w="1278" w:type="dxa"/>
                  <w:gridSpan w:val="2"/>
                  <w:vMerge w:val="continue"/>
                  <w:vAlign w:val="center"/>
                </w:tcPr>
                <w:p w14:paraId="579132CF">
                  <w:pPr>
                    <w:pStyle w:val="53"/>
                    <w:ind w:left="0" w:leftChars="0"/>
                    <w:rPr>
                      <w:rStyle w:val="126"/>
                      <w:color w:val="auto"/>
                    </w:rPr>
                  </w:pPr>
                </w:p>
              </w:tc>
              <w:tc>
                <w:tcPr>
                  <w:tcW w:w="1346" w:type="dxa"/>
                  <w:vMerge w:val="continue"/>
                  <w:tcBorders>
                    <w:right w:val="single" w:color="auto" w:sz="4" w:space="0"/>
                  </w:tcBorders>
                  <w:vAlign w:val="center"/>
                </w:tcPr>
                <w:p w14:paraId="78572189">
                  <w:pPr>
                    <w:pStyle w:val="53"/>
                    <w:ind w:left="0" w:leftChars="0"/>
                    <w:rPr>
                      <w:rStyle w:val="126"/>
                      <w:color w:val="auto"/>
                    </w:rPr>
                  </w:pPr>
                </w:p>
              </w:tc>
              <w:tc>
                <w:tcPr>
                  <w:tcW w:w="4090" w:type="dxa"/>
                  <w:tcBorders>
                    <w:left w:val="single" w:color="auto" w:sz="4" w:space="0"/>
                  </w:tcBorders>
                  <w:vAlign w:val="center"/>
                </w:tcPr>
                <w:p w14:paraId="41AE8C04">
                  <w:pPr>
                    <w:pStyle w:val="53"/>
                    <w:ind w:left="0" w:leftChars="0"/>
                    <w:rPr>
                      <w:rStyle w:val="126"/>
                      <w:color w:val="auto"/>
                    </w:rPr>
                  </w:pPr>
                  <w:r>
                    <w:rPr>
                      <w:rStyle w:val="126"/>
                      <w:rFonts w:hint="eastAsia"/>
                      <w:color w:val="auto"/>
                    </w:rPr>
                    <w:t>2层～4层：建筑面积1741.92m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住院部，新增25个床位。</w:t>
                  </w:r>
                </w:p>
              </w:tc>
              <w:tc>
                <w:tcPr>
                  <w:tcW w:w="738" w:type="dxa"/>
                  <w:vMerge w:val="continue"/>
                  <w:vAlign w:val="center"/>
                </w:tcPr>
                <w:p w14:paraId="603E4A0C">
                  <w:pPr>
                    <w:pStyle w:val="53"/>
                    <w:ind w:left="0" w:leftChars="0"/>
                    <w:rPr>
                      <w:rStyle w:val="126"/>
                      <w:color w:val="auto"/>
                    </w:rPr>
                  </w:pPr>
                </w:p>
              </w:tc>
            </w:tr>
            <w:tr w14:paraId="1BBB8A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5FFF396A">
                  <w:pPr>
                    <w:pStyle w:val="53"/>
                    <w:ind w:left="0" w:leftChars="0"/>
                    <w:rPr>
                      <w:rStyle w:val="126"/>
                      <w:color w:val="auto"/>
                    </w:rPr>
                  </w:pPr>
                </w:p>
              </w:tc>
              <w:tc>
                <w:tcPr>
                  <w:tcW w:w="1278" w:type="dxa"/>
                  <w:gridSpan w:val="2"/>
                  <w:vMerge w:val="continue"/>
                  <w:vAlign w:val="center"/>
                </w:tcPr>
                <w:p w14:paraId="5D4A71DF">
                  <w:pPr>
                    <w:pStyle w:val="53"/>
                    <w:ind w:left="0" w:leftChars="0"/>
                    <w:rPr>
                      <w:rStyle w:val="126"/>
                      <w:color w:val="auto"/>
                    </w:rPr>
                  </w:pPr>
                </w:p>
              </w:tc>
              <w:tc>
                <w:tcPr>
                  <w:tcW w:w="1346" w:type="dxa"/>
                  <w:vMerge w:val="continue"/>
                  <w:tcBorders>
                    <w:right w:val="single" w:color="auto" w:sz="4" w:space="0"/>
                  </w:tcBorders>
                  <w:vAlign w:val="center"/>
                </w:tcPr>
                <w:p w14:paraId="0BFF541A">
                  <w:pPr>
                    <w:pStyle w:val="53"/>
                    <w:ind w:left="0" w:leftChars="0"/>
                    <w:rPr>
                      <w:rStyle w:val="126"/>
                      <w:color w:val="auto"/>
                    </w:rPr>
                  </w:pPr>
                </w:p>
              </w:tc>
              <w:tc>
                <w:tcPr>
                  <w:tcW w:w="4090" w:type="dxa"/>
                  <w:tcBorders>
                    <w:left w:val="single" w:color="auto" w:sz="4" w:space="0"/>
                  </w:tcBorders>
                  <w:vAlign w:val="center"/>
                </w:tcPr>
                <w:p w14:paraId="5D4A25FC">
                  <w:pPr>
                    <w:pStyle w:val="53"/>
                    <w:ind w:left="0" w:leftChars="0"/>
                    <w:rPr>
                      <w:rStyle w:val="126"/>
                      <w:color w:val="auto"/>
                    </w:rPr>
                  </w:pPr>
                  <w:r>
                    <w:rPr>
                      <w:rStyle w:val="126"/>
                      <w:rFonts w:hint="eastAsia"/>
                      <w:color w:val="auto"/>
                    </w:rPr>
                    <w:t>5层：建筑面积580.64m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手术室、办公室等。</w:t>
                  </w:r>
                </w:p>
              </w:tc>
              <w:tc>
                <w:tcPr>
                  <w:tcW w:w="738" w:type="dxa"/>
                  <w:vMerge w:val="continue"/>
                  <w:vAlign w:val="center"/>
                </w:tcPr>
                <w:p w14:paraId="00A02BC3">
                  <w:pPr>
                    <w:pStyle w:val="53"/>
                    <w:ind w:left="0" w:leftChars="0"/>
                    <w:rPr>
                      <w:rStyle w:val="126"/>
                      <w:color w:val="auto"/>
                    </w:rPr>
                  </w:pPr>
                </w:p>
              </w:tc>
            </w:tr>
            <w:tr w14:paraId="66E054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restart"/>
                  <w:vAlign w:val="center"/>
                </w:tcPr>
                <w:p w14:paraId="04CE14C0">
                  <w:pPr>
                    <w:pStyle w:val="53"/>
                    <w:ind w:left="0" w:leftChars="0"/>
                    <w:rPr>
                      <w:rStyle w:val="126"/>
                      <w:color w:val="auto"/>
                    </w:rPr>
                  </w:pPr>
                  <w:r>
                    <w:rPr>
                      <w:rStyle w:val="126"/>
                      <w:color w:val="auto"/>
                    </w:rPr>
                    <w:t>公用</w:t>
                  </w:r>
                </w:p>
                <w:p w14:paraId="70FEB684">
                  <w:pPr>
                    <w:pStyle w:val="53"/>
                    <w:ind w:left="0" w:leftChars="0"/>
                    <w:rPr>
                      <w:rStyle w:val="126"/>
                      <w:color w:val="auto"/>
                    </w:rPr>
                  </w:pPr>
                  <w:r>
                    <w:rPr>
                      <w:rStyle w:val="126"/>
                      <w:color w:val="auto"/>
                    </w:rPr>
                    <w:t>工程</w:t>
                  </w:r>
                </w:p>
              </w:tc>
              <w:tc>
                <w:tcPr>
                  <w:tcW w:w="1278" w:type="dxa"/>
                  <w:gridSpan w:val="2"/>
                  <w:vAlign w:val="center"/>
                </w:tcPr>
                <w:p w14:paraId="76ACE750">
                  <w:pPr>
                    <w:pStyle w:val="53"/>
                    <w:ind w:left="0" w:leftChars="0"/>
                    <w:rPr>
                      <w:rStyle w:val="126"/>
                      <w:color w:val="auto"/>
                    </w:rPr>
                  </w:pPr>
                  <w:r>
                    <w:rPr>
                      <w:rStyle w:val="126"/>
                      <w:color w:val="auto"/>
                    </w:rPr>
                    <w:t>供电</w:t>
                  </w:r>
                </w:p>
              </w:tc>
              <w:tc>
                <w:tcPr>
                  <w:tcW w:w="5436" w:type="dxa"/>
                  <w:gridSpan w:val="2"/>
                  <w:vAlign w:val="center"/>
                </w:tcPr>
                <w:p w14:paraId="6232EC4F">
                  <w:pPr>
                    <w:pStyle w:val="53"/>
                    <w:ind w:left="0" w:leftChars="0"/>
                    <w:rPr>
                      <w:rStyle w:val="126"/>
                      <w:color w:val="auto"/>
                    </w:rPr>
                  </w:pPr>
                  <w:r>
                    <w:rPr>
                      <w:rStyle w:val="126"/>
                      <w:rFonts w:hint="eastAsia"/>
                      <w:color w:val="auto"/>
                    </w:rPr>
                    <w:t>电源来源于市政电网接入，本次不新增备用柴油发电机</w:t>
                  </w:r>
                </w:p>
              </w:tc>
              <w:tc>
                <w:tcPr>
                  <w:tcW w:w="738" w:type="dxa"/>
                  <w:vAlign w:val="center"/>
                </w:tcPr>
                <w:p w14:paraId="56A08377">
                  <w:pPr>
                    <w:pStyle w:val="53"/>
                    <w:ind w:left="0" w:leftChars="0"/>
                    <w:rPr>
                      <w:rStyle w:val="126"/>
                      <w:color w:val="auto"/>
                    </w:rPr>
                  </w:pPr>
                  <w:r>
                    <w:rPr>
                      <w:rStyle w:val="126"/>
                      <w:color w:val="auto"/>
                    </w:rPr>
                    <w:t>依托现有</w:t>
                  </w:r>
                </w:p>
              </w:tc>
            </w:tr>
            <w:tr w14:paraId="742D70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470C39C5">
                  <w:pPr>
                    <w:pStyle w:val="53"/>
                    <w:ind w:left="0" w:leftChars="0"/>
                    <w:rPr>
                      <w:rStyle w:val="126"/>
                      <w:color w:val="auto"/>
                    </w:rPr>
                  </w:pPr>
                </w:p>
              </w:tc>
              <w:tc>
                <w:tcPr>
                  <w:tcW w:w="1278" w:type="dxa"/>
                  <w:gridSpan w:val="2"/>
                  <w:vAlign w:val="center"/>
                </w:tcPr>
                <w:p w14:paraId="3B110858">
                  <w:pPr>
                    <w:pStyle w:val="53"/>
                    <w:ind w:left="0" w:leftChars="0"/>
                    <w:rPr>
                      <w:rStyle w:val="126"/>
                      <w:color w:val="auto"/>
                    </w:rPr>
                  </w:pPr>
                  <w:r>
                    <w:rPr>
                      <w:rStyle w:val="126"/>
                      <w:color w:val="auto"/>
                    </w:rPr>
                    <w:t>供水</w:t>
                  </w:r>
                </w:p>
              </w:tc>
              <w:tc>
                <w:tcPr>
                  <w:tcW w:w="5436" w:type="dxa"/>
                  <w:gridSpan w:val="2"/>
                  <w:vAlign w:val="center"/>
                </w:tcPr>
                <w:p w14:paraId="1779E047">
                  <w:pPr>
                    <w:pStyle w:val="53"/>
                    <w:ind w:left="0" w:leftChars="0"/>
                    <w:rPr>
                      <w:rStyle w:val="126"/>
                      <w:color w:val="auto"/>
                    </w:rPr>
                  </w:pPr>
                  <w:r>
                    <w:rPr>
                      <w:rStyle w:val="126"/>
                      <w:color w:val="auto"/>
                    </w:rPr>
                    <w:t>由市政供水管网引入，水质水量满足供水要求。</w:t>
                  </w:r>
                </w:p>
              </w:tc>
              <w:tc>
                <w:tcPr>
                  <w:tcW w:w="738" w:type="dxa"/>
                  <w:vAlign w:val="center"/>
                </w:tcPr>
                <w:p w14:paraId="399DC222">
                  <w:pPr>
                    <w:pStyle w:val="53"/>
                    <w:ind w:left="0" w:leftChars="0"/>
                    <w:rPr>
                      <w:rStyle w:val="126"/>
                      <w:color w:val="auto"/>
                    </w:rPr>
                  </w:pPr>
                  <w:r>
                    <w:rPr>
                      <w:rStyle w:val="126"/>
                      <w:color w:val="auto"/>
                    </w:rPr>
                    <w:t>依托现有</w:t>
                  </w:r>
                </w:p>
              </w:tc>
            </w:tr>
            <w:tr w14:paraId="001121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26" w:type="dxa"/>
                  <w:vMerge w:val="continue"/>
                  <w:vAlign w:val="center"/>
                </w:tcPr>
                <w:p w14:paraId="0E545D33">
                  <w:pPr>
                    <w:pStyle w:val="53"/>
                    <w:ind w:left="0" w:leftChars="0"/>
                    <w:rPr>
                      <w:rStyle w:val="126"/>
                      <w:color w:val="auto"/>
                    </w:rPr>
                  </w:pPr>
                </w:p>
              </w:tc>
              <w:tc>
                <w:tcPr>
                  <w:tcW w:w="473" w:type="dxa"/>
                  <w:vMerge w:val="restart"/>
                  <w:vAlign w:val="center"/>
                </w:tcPr>
                <w:p w14:paraId="5588257F">
                  <w:pPr>
                    <w:pStyle w:val="53"/>
                    <w:ind w:left="0" w:leftChars="0"/>
                    <w:rPr>
                      <w:rStyle w:val="126"/>
                      <w:color w:val="auto"/>
                    </w:rPr>
                  </w:pPr>
                  <w:r>
                    <w:rPr>
                      <w:rStyle w:val="126"/>
                      <w:rFonts w:hint="eastAsia"/>
                      <w:color w:val="auto"/>
                    </w:rPr>
                    <w:t>废水</w:t>
                  </w:r>
                </w:p>
              </w:tc>
              <w:tc>
                <w:tcPr>
                  <w:tcW w:w="805" w:type="dxa"/>
                  <w:vAlign w:val="center"/>
                </w:tcPr>
                <w:p w14:paraId="63136D46">
                  <w:pPr>
                    <w:pStyle w:val="53"/>
                    <w:ind w:left="0" w:leftChars="0"/>
                    <w:rPr>
                      <w:rStyle w:val="126"/>
                      <w:color w:val="auto"/>
                    </w:rPr>
                  </w:pPr>
                  <w:r>
                    <w:rPr>
                      <w:rFonts w:hint="eastAsia" w:ascii="宋体" w:hAnsi="宋体" w:cs="宋体"/>
                      <w:color w:val="auto"/>
                      <w:kern w:val="0"/>
                      <w:szCs w:val="21"/>
                      <w:lang w:bidi="ar"/>
                    </w:rPr>
                    <w:t>检验科废水</w:t>
                  </w:r>
                </w:p>
              </w:tc>
              <w:tc>
                <w:tcPr>
                  <w:tcW w:w="5436" w:type="dxa"/>
                  <w:gridSpan w:val="2"/>
                  <w:vAlign w:val="center"/>
                </w:tcPr>
                <w:p w14:paraId="7B540518">
                  <w:pPr>
                    <w:pStyle w:val="53"/>
                    <w:ind w:left="0" w:leftChars="0"/>
                    <w:rPr>
                      <w:rFonts w:hint="eastAsia" w:ascii="宋体" w:hAnsi="宋体" w:cs="宋体"/>
                      <w:color w:val="auto"/>
                      <w:kern w:val="0"/>
                      <w:szCs w:val="21"/>
                      <w:lang w:bidi="ar"/>
                    </w:rPr>
                  </w:pPr>
                  <w:r>
                    <w:rPr>
                      <w:rFonts w:hint="eastAsia" w:ascii="宋体" w:hAnsi="宋体" w:cs="宋体"/>
                      <w:color w:val="auto"/>
                      <w:kern w:val="0"/>
                      <w:szCs w:val="21"/>
                      <w:lang w:bidi="ar"/>
                    </w:rPr>
                    <w:t>依托四街卫生院现有的预处理设施4个50L的收集桶收集酸性废水（两备两用），采取酸碱预处理后排入综合废水化粪池处理后再进入本次新建的污水处理站。</w:t>
                  </w:r>
                </w:p>
              </w:tc>
              <w:tc>
                <w:tcPr>
                  <w:tcW w:w="738" w:type="dxa"/>
                  <w:vAlign w:val="center"/>
                </w:tcPr>
                <w:p w14:paraId="615474C9">
                  <w:pPr>
                    <w:pStyle w:val="53"/>
                    <w:ind w:left="0" w:leftChars="0"/>
                    <w:rPr>
                      <w:rStyle w:val="126"/>
                      <w:color w:val="auto"/>
                    </w:rPr>
                  </w:pPr>
                  <w:r>
                    <w:rPr>
                      <w:rStyle w:val="126"/>
                      <w:rFonts w:hint="eastAsia"/>
                      <w:color w:val="auto"/>
                    </w:rPr>
                    <w:t>依托</w:t>
                  </w:r>
                </w:p>
              </w:tc>
            </w:tr>
            <w:tr w14:paraId="5D3B7C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26" w:type="dxa"/>
                  <w:vMerge w:val="continue"/>
                  <w:vAlign w:val="center"/>
                </w:tcPr>
                <w:p w14:paraId="2C44ED52">
                  <w:pPr>
                    <w:pStyle w:val="53"/>
                    <w:ind w:left="0" w:leftChars="0"/>
                    <w:rPr>
                      <w:rStyle w:val="126"/>
                      <w:color w:val="auto"/>
                    </w:rPr>
                  </w:pPr>
                </w:p>
              </w:tc>
              <w:tc>
                <w:tcPr>
                  <w:tcW w:w="473" w:type="dxa"/>
                  <w:vMerge w:val="continue"/>
                  <w:vAlign w:val="center"/>
                </w:tcPr>
                <w:p w14:paraId="6B511A9C">
                  <w:pPr>
                    <w:pStyle w:val="53"/>
                    <w:ind w:left="0" w:leftChars="0"/>
                    <w:rPr>
                      <w:rStyle w:val="126"/>
                      <w:color w:val="auto"/>
                    </w:rPr>
                  </w:pPr>
                </w:p>
              </w:tc>
              <w:tc>
                <w:tcPr>
                  <w:tcW w:w="805" w:type="dxa"/>
                  <w:vAlign w:val="center"/>
                </w:tcPr>
                <w:p w14:paraId="2176C683">
                  <w:pPr>
                    <w:pStyle w:val="53"/>
                    <w:ind w:left="0" w:leftChars="0"/>
                    <w:rPr>
                      <w:rStyle w:val="126"/>
                      <w:color w:val="auto"/>
                    </w:rPr>
                  </w:pPr>
                  <w:r>
                    <w:rPr>
                      <w:rFonts w:hint="eastAsia" w:ascii="宋体" w:hAnsi="宋体" w:cs="宋体"/>
                      <w:color w:val="auto"/>
                      <w:kern w:val="0"/>
                      <w:szCs w:val="21"/>
                      <w:lang w:bidi="ar"/>
                    </w:rPr>
                    <w:t>现有项目医疗废水+本项目医疗废水</w:t>
                  </w:r>
                </w:p>
              </w:tc>
              <w:tc>
                <w:tcPr>
                  <w:tcW w:w="5436" w:type="dxa"/>
                  <w:gridSpan w:val="2"/>
                  <w:vAlign w:val="center"/>
                </w:tcPr>
                <w:p w14:paraId="64AA6289">
                  <w:pPr>
                    <w:widowControl/>
                    <w:adjustRightInd w:val="0"/>
                    <w:snapToGrid w:val="0"/>
                    <w:jc w:val="center"/>
                    <w:rPr>
                      <w:rFonts w:hint="eastAsia" w:ascii="宋体" w:hAnsi="宋体" w:cs="宋体"/>
                      <w:color w:val="auto"/>
                      <w:kern w:val="0"/>
                      <w:szCs w:val="21"/>
                      <w:lang w:bidi="ar"/>
                    </w:rPr>
                  </w:pPr>
                  <w:r>
                    <w:rPr>
                      <w:rFonts w:hint="eastAsia"/>
                      <w:color w:val="auto"/>
                      <w:szCs w:val="21"/>
                    </w:rPr>
                    <w:t>新建一座容积不小于9m</w:t>
                  </w:r>
                  <w:r>
                    <w:rPr>
                      <w:rFonts w:hint="eastAsia"/>
                      <w:color w:val="auto"/>
                      <w:szCs w:val="21"/>
                      <w:vertAlign w:val="superscript"/>
                    </w:rPr>
                    <w:t>3</w:t>
                  </w:r>
                  <w:r>
                    <w:rPr>
                      <w:rFonts w:hint="eastAsia"/>
                      <w:color w:val="auto"/>
                      <w:szCs w:val="21"/>
                    </w:rPr>
                    <w:t>的综合废水化粪池</w:t>
                  </w:r>
                  <w:r>
                    <w:rPr>
                      <w:rFonts w:hint="eastAsia"/>
                      <w:color w:val="auto"/>
                      <w:szCs w:val="21"/>
                      <w:lang w:val="en-US" w:eastAsia="zh-CN"/>
                    </w:rPr>
                    <w:t>和一座容积不小于6m³的事故应急池，</w:t>
                  </w:r>
                  <w:r>
                    <w:rPr>
                      <w:rFonts w:hint="eastAsia"/>
                      <w:color w:val="auto"/>
                      <w:szCs w:val="21"/>
                    </w:rPr>
                    <w:t>拆除现有污水处理站，</w:t>
                  </w:r>
                  <w:r>
                    <w:rPr>
                      <w:rFonts w:hint="eastAsia"/>
                      <w:color w:val="auto"/>
                      <w:szCs w:val="21"/>
                      <w:lang w:val="en-US" w:eastAsia="zh-CN"/>
                    </w:rPr>
                    <w:t>新建</w:t>
                  </w:r>
                  <w:r>
                    <w:rPr>
                      <w:rFonts w:hint="eastAsia"/>
                      <w:color w:val="auto"/>
                      <w:szCs w:val="21"/>
                    </w:rPr>
                    <w:t>一座17m</w:t>
                  </w:r>
                  <w:r>
                    <w:rPr>
                      <w:rFonts w:hint="eastAsia"/>
                      <w:color w:val="auto"/>
                      <w:szCs w:val="21"/>
                      <w:vertAlign w:val="superscript"/>
                    </w:rPr>
                    <w:t>3</w:t>
                  </w:r>
                  <w:r>
                    <w:rPr>
                      <w:rFonts w:hint="eastAsia"/>
                      <w:color w:val="auto"/>
                      <w:szCs w:val="21"/>
                    </w:rPr>
                    <w:t>/d的污水处理站。</w:t>
                  </w:r>
                </w:p>
              </w:tc>
              <w:tc>
                <w:tcPr>
                  <w:tcW w:w="738" w:type="dxa"/>
                  <w:vAlign w:val="center"/>
                </w:tcPr>
                <w:p w14:paraId="7792FE87">
                  <w:pPr>
                    <w:pStyle w:val="53"/>
                    <w:ind w:left="0" w:leftChars="0"/>
                    <w:rPr>
                      <w:rStyle w:val="126"/>
                      <w:color w:val="auto"/>
                    </w:rPr>
                  </w:pPr>
                  <w:r>
                    <w:rPr>
                      <w:rStyle w:val="126"/>
                      <w:rFonts w:hint="eastAsia"/>
                      <w:color w:val="auto"/>
                    </w:rPr>
                    <w:t>拆除重建</w:t>
                  </w:r>
                </w:p>
              </w:tc>
            </w:tr>
            <w:tr w14:paraId="066D90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26" w:type="dxa"/>
                  <w:vMerge w:val="continue"/>
                  <w:vAlign w:val="center"/>
                </w:tcPr>
                <w:p w14:paraId="4E1C682B">
                  <w:pPr>
                    <w:pStyle w:val="53"/>
                    <w:ind w:left="0" w:leftChars="0"/>
                    <w:rPr>
                      <w:rStyle w:val="126"/>
                      <w:color w:val="auto"/>
                    </w:rPr>
                  </w:pPr>
                </w:p>
              </w:tc>
              <w:tc>
                <w:tcPr>
                  <w:tcW w:w="473" w:type="dxa"/>
                  <w:vMerge w:val="continue"/>
                  <w:vAlign w:val="center"/>
                </w:tcPr>
                <w:p w14:paraId="32D51D6D">
                  <w:pPr>
                    <w:pStyle w:val="53"/>
                    <w:ind w:left="0" w:leftChars="0"/>
                    <w:rPr>
                      <w:rStyle w:val="126"/>
                      <w:color w:val="auto"/>
                    </w:rPr>
                  </w:pPr>
                </w:p>
              </w:tc>
              <w:tc>
                <w:tcPr>
                  <w:tcW w:w="805" w:type="dxa"/>
                  <w:vAlign w:val="center"/>
                </w:tcPr>
                <w:p w14:paraId="34D6B657">
                  <w:pPr>
                    <w:pStyle w:val="53"/>
                    <w:ind w:left="0" w:leftChars="0"/>
                    <w:rPr>
                      <w:rStyle w:val="126"/>
                      <w:color w:val="auto"/>
                    </w:rPr>
                  </w:pPr>
                  <w:r>
                    <w:rPr>
                      <w:rFonts w:hint="eastAsia" w:ascii="宋体" w:hAnsi="宋体" w:cs="宋体"/>
                      <w:color w:val="auto"/>
                      <w:kern w:val="0"/>
                      <w:szCs w:val="21"/>
                      <w:lang w:bidi="ar"/>
                    </w:rPr>
                    <w:t>生活污水</w:t>
                  </w:r>
                </w:p>
              </w:tc>
              <w:tc>
                <w:tcPr>
                  <w:tcW w:w="5436" w:type="dxa"/>
                  <w:gridSpan w:val="2"/>
                  <w:vAlign w:val="center"/>
                </w:tcPr>
                <w:p w14:paraId="2C1DF5FB">
                  <w:pPr>
                    <w:widowControl/>
                    <w:adjustRightInd w:val="0"/>
                    <w:snapToGrid w:val="0"/>
                    <w:jc w:val="center"/>
                    <w:rPr>
                      <w:rFonts w:hint="eastAsia" w:ascii="宋体" w:hAnsi="宋体" w:cs="宋体"/>
                      <w:color w:val="auto"/>
                      <w:kern w:val="0"/>
                      <w:szCs w:val="21"/>
                      <w:lang w:bidi="ar"/>
                    </w:rPr>
                  </w:pPr>
                  <w:r>
                    <w:rPr>
                      <w:color w:val="auto"/>
                      <w:szCs w:val="21"/>
                    </w:rPr>
                    <w:t>隔油池依托现有的1m³的隔油池</w:t>
                  </w:r>
                  <w:r>
                    <w:rPr>
                      <w:rFonts w:hint="eastAsia"/>
                      <w:color w:val="auto"/>
                      <w:szCs w:val="21"/>
                    </w:rPr>
                    <w:t>，生活污水化粪池依托现有的2个生活污水化粪池，</w:t>
                  </w:r>
                  <w:r>
                    <w:rPr>
                      <w:color w:val="auto"/>
                      <w:szCs w:val="21"/>
                    </w:rPr>
                    <w:t>容积分别为11.5m³、6.9m³</w:t>
                  </w:r>
                  <w:r>
                    <w:rPr>
                      <w:rFonts w:hint="eastAsia"/>
                      <w:color w:val="auto"/>
                      <w:szCs w:val="21"/>
                    </w:rPr>
                    <w:t>。</w:t>
                  </w:r>
                </w:p>
              </w:tc>
              <w:tc>
                <w:tcPr>
                  <w:tcW w:w="738" w:type="dxa"/>
                  <w:vAlign w:val="center"/>
                </w:tcPr>
                <w:p w14:paraId="147277E0">
                  <w:pPr>
                    <w:pStyle w:val="53"/>
                    <w:ind w:left="0" w:leftChars="0"/>
                    <w:rPr>
                      <w:rStyle w:val="126"/>
                      <w:color w:val="auto"/>
                    </w:rPr>
                  </w:pPr>
                  <w:r>
                    <w:rPr>
                      <w:rStyle w:val="126"/>
                      <w:rFonts w:hint="eastAsia"/>
                      <w:color w:val="auto"/>
                    </w:rPr>
                    <w:t>依托</w:t>
                  </w:r>
                </w:p>
              </w:tc>
            </w:tr>
            <w:tr w14:paraId="597A20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343E63CE">
                  <w:pPr>
                    <w:pStyle w:val="53"/>
                    <w:ind w:left="0" w:leftChars="0"/>
                    <w:rPr>
                      <w:rStyle w:val="126"/>
                      <w:color w:val="auto"/>
                    </w:rPr>
                  </w:pPr>
                </w:p>
              </w:tc>
              <w:tc>
                <w:tcPr>
                  <w:tcW w:w="1278" w:type="dxa"/>
                  <w:gridSpan w:val="2"/>
                  <w:vMerge w:val="restart"/>
                  <w:vAlign w:val="center"/>
                </w:tcPr>
                <w:p w14:paraId="5887A350">
                  <w:pPr>
                    <w:pStyle w:val="53"/>
                    <w:ind w:left="0" w:leftChars="0"/>
                    <w:rPr>
                      <w:rStyle w:val="126"/>
                      <w:color w:val="auto"/>
                    </w:rPr>
                  </w:pPr>
                  <w:r>
                    <w:rPr>
                      <w:rStyle w:val="126"/>
                      <w:color w:val="auto"/>
                    </w:rPr>
                    <w:t>废气</w:t>
                  </w:r>
                </w:p>
              </w:tc>
              <w:tc>
                <w:tcPr>
                  <w:tcW w:w="5436" w:type="dxa"/>
                  <w:gridSpan w:val="2"/>
                  <w:vAlign w:val="center"/>
                </w:tcPr>
                <w:p w14:paraId="669106DB">
                  <w:pPr>
                    <w:pStyle w:val="53"/>
                    <w:ind w:left="0" w:leftChars="0"/>
                    <w:rPr>
                      <w:rStyle w:val="126"/>
                      <w:color w:val="auto"/>
                    </w:rPr>
                  </w:pPr>
                  <w:r>
                    <w:rPr>
                      <w:color w:val="auto"/>
                      <w:kern w:val="0"/>
                      <w:szCs w:val="21"/>
                    </w:rPr>
                    <w:t>对煎药房</w:t>
                  </w:r>
                  <w:r>
                    <w:rPr>
                      <w:rFonts w:hint="eastAsia"/>
                      <w:color w:val="auto"/>
                      <w:kern w:val="0"/>
                      <w:szCs w:val="21"/>
                    </w:rPr>
                    <w:t>安装抽风装置</w:t>
                  </w:r>
                  <w:r>
                    <w:rPr>
                      <w:color w:val="auto"/>
                      <w:kern w:val="0"/>
                      <w:szCs w:val="21"/>
                    </w:rPr>
                    <w:t>，</w:t>
                  </w:r>
                  <w:r>
                    <w:rPr>
                      <w:rFonts w:hint="eastAsia"/>
                      <w:color w:val="auto"/>
                      <w:kern w:val="0"/>
                      <w:szCs w:val="21"/>
                    </w:rPr>
                    <w:t>抽吸后的废气经管道连接综合楼排烟井于屋顶排放</w:t>
                  </w:r>
                </w:p>
              </w:tc>
              <w:tc>
                <w:tcPr>
                  <w:tcW w:w="738" w:type="dxa"/>
                  <w:vAlign w:val="center"/>
                </w:tcPr>
                <w:p w14:paraId="64C0F4BF">
                  <w:pPr>
                    <w:pStyle w:val="53"/>
                    <w:ind w:left="0" w:leftChars="0"/>
                    <w:rPr>
                      <w:rStyle w:val="126"/>
                      <w:color w:val="auto"/>
                    </w:rPr>
                  </w:pPr>
                  <w:r>
                    <w:rPr>
                      <w:rStyle w:val="126"/>
                      <w:rFonts w:hint="eastAsia"/>
                      <w:color w:val="auto"/>
                    </w:rPr>
                    <w:t>新建</w:t>
                  </w:r>
                </w:p>
              </w:tc>
            </w:tr>
            <w:tr w14:paraId="69DF1B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3D3E860D">
                  <w:pPr>
                    <w:pStyle w:val="53"/>
                    <w:ind w:left="0" w:leftChars="0"/>
                    <w:rPr>
                      <w:rStyle w:val="126"/>
                      <w:color w:val="auto"/>
                    </w:rPr>
                  </w:pPr>
                </w:p>
              </w:tc>
              <w:tc>
                <w:tcPr>
                  <w:tcW w:w="1278" w:type="dxa"/>
                  <w:gridSpan w:val="2"/>
                  <w:vMerge w:val="continue"/>
                  <w:vAlign w:val="center"/>
                </w:tcPr>
                <w:p w14:paraId="22A9849B">
                  <w:pPr>
                    <w:pStyle w:val="53"/>
                    <w:ind w:left="0" w:leftChars="0"/>
                    <w:rPr>
                      <w:rStyle w:val="126"/>
                      <w:color w:val="auto"/>
                    </w:rPr>
                  </w:pPr>
                </w:p>
              </w:tc>
              <w:tc>
                <w:tcPr>
                  <w:tcW w:w="5436" w:type="dxa"/>
                  <w:gridSpan w:val="2"/>
                  <w:vAlign w:val="center"/>
                </w:tcPr>
                <w:p w14:paraId="5C50E6A7">
                  <w:pPr>
                    <w:pStyle w:val="53"/>
                    <w:ind w:left="0" w:leftChars="0"/>
                    <w:rPr>
                      <w:color w:val="auto"/>
                      <w:kern w:val="0"/>
                      <w:szCs w:val="21"/>
                    </w:rPr>
                  </w:pPr>
                  <w:r>
                    <w:rPr>
                      <w:rStyle w:val="126"/>
                      <w:rFonts w:hint="eastAsia"/>
                      <w:color w:val="auto"/>
                    </w:rPr>
                    <w:t>污水处理站臭气：</w:t>
                  </w:r>
                  <w:r>
                    <w:rPr>
                      <w:rFonts w:hint="eastAsia" w:ascii="宋体" w:hAnsi="宋体" w:cs="宋体"/>
                      <w:color w:val="auto"/>
                      <w:szCs w:val="21"/>
                    </w:rPr>
                    <w:t>投放除臭剂</w:t>
                  </w:r>
                </w:p>
              </w:tc>
              <w:tc>
                <w:tcPr>
                  <w:tcW w:w="738" w:type="dxa"/>
                  <w:vAlign w:val="center"/>
                </w:tcPr>
                <w:p w14:paraId="26AD8549">
                  <w:pPr>
                    <w:pStyle w:val="53"/>
                    <w:ind w:left="0" w:leftChars="0"/>
                    <w:rPr>
                      <w:rStyle w:val="126"/>
                      <w:color w:val="auto"/>
                    </w:rPr>
                  </w:pPr>
                  <w:r>
                    <w:rPr>
                      <w:rStyle w:val="126"/>
                      <w:rFonts w:hint="eastAsia"/>
                      <w:color w:val="auto"/>
                    </w:rPr>
                    <w:t>/</w:t>
                  </w:r>
                </w:p>
              </w:tc>
            </w:tr>
            <w:tr w14:paraId="06BAA1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26" w:type="dxa"/>
                  <w:vMerge w:val="continue"/>
                  <w:vAlign w:val="center"/>
                </w:tcPr>
                <w:p w14:paraId="2F3209B5">
                  <w:pPr>
                    <w:pStyle w:val="53"/>
                    <w:ind w:left="0" w:leftChars="0"/>
                    <w:rPr>
                      <w:rStyle w:val="126"/>
                      <w:color w:val="auto"/>
                    </w:rPr>
                  </w:pPr>
                </w:p>
              </w:tc>
              <w:tc>
                <w:tcPr>
                  <w:tcW w:w="1278" w:type="dxa"/>
                  <w:gridSpan w:val="2"/>
                  <w:vMerge w:val="restart"/>
                  <w:vAlign w:val="center"/>
                </w:tcPr>
                <w:p w14:paraId="2DAB31C8">
                  <w:pPr>
                    <w:pStyle w:val="53"/>
                    <w:ind w:left="0" w:leftChars="0"/>
                    <w:rPr>
                      <w:rStyle w:val="126"/>
                      <w:color w:val="auto"/>
                    </w:rPr>
                  </w:pPr>
                  <w:r>
                    <w:rPr>
                      <w:rStyle w:val="126"/>
                      <w:color w:val="auto"/>
                    </w:rPr>
                    <w:t>固废</w:t>
                  </w:r>
                </w:p>
              </w:tc>
              <w:tc>
                <w:tcPr>
                  <w:tcW w:w="5436" w:type="dxa"/>
                  <w:gridSpan w:val="2"/>
                  <w:vAlign w:val="center"/>
                </w:tcPr>
                <w:p w14:paraId="1BA19502">
                  <w:pPr>
                    <w:pStyle w:val="53"/>
                    <w:ind w:left="0" w:leftChars="0"/>
                    <w:jc w:val="left"/>
                    <w:rPr>
                      <w:color w:val="auto"/>
                    </w:rPr>
                  </w:pPr>
                  <w:r>
                    <w:rPr>
                      <w:rStyle w:val="126"/>
                      <w:rFonts w:hint="eastAsia"/>
                      <w:color w:val="auto"/>
                    </w:rPr>
                    <w:t>医疗固废暂存间（1间，15㎡）；位于卫生院东北侧，设置了标牌标识。</w:t>
                  </w:r>
                  <w:r>
                    <w:rPr>
                      <w:rStyle w:val="126"/>
                      <w:color w:val="auto"/>
                    </w:rPr>
                    <w:t>病房及医护人员办公室放置</w:t>
                  </w:r>
                  <w:r>
                    <w:rPr>
                      <w:rStyle w:val="126"/>
                      <w:rFonts w:hint="eastAsia"/>
                      <w:color w:val="auto"/>
                    </w:rPr>
                    <w:t>医废</w:t>
                  </w:r>
                  <w:r>
                    <w:rPr>
                      <w:rStyle w:val="126"/>
                      <w:color w:val="auto"/>
                    </w:rPr>
                    <w:t>桶。</w:t>
                  </w:r>
                  <w:r>
                    <w:rPr>
                      <w:rStyle w:val="126"/>
                      <w:rFonts w:hint="eastAsia"/>
                      <w:color w:val="auto"/>
                    </w:rPr>
                    <w:t>危废暂存间采取重点防渗措施：地面及裙角均</w:t>
                  </w:r>
                  <w:r>
                    <w:rPr>
                      <w:rStyle w:val="126"/>
                      <w:rFonts w:hint="eastAsia"/>
                      <w:color w:val="auto"/>
                      <w:lang w:val="zh-CN"/>
                    </w:rPr>
                    <w:t>采用水泥+2mm厚HDPE+环氧树脂</w:t>
                  </w:r>
                  <w:r>
                    <w:rPr>
                      <w:rStyle w:val="126"/>
                      <w:rFonts w:hint="eastAsia"/>
                      <w:color w:val="auto"/>
                    </w:rPr>
                    <w:t>，渗透系数≤10</w:t>
                  </w:r>
                  <w:r>
                    <w:rPr>
                      <w:rStyle w:val="126"/>
                      <w:rFonts w:hint="eastAsia"/>
                      <w:color w:val="auto"/>
                      <w:vertAlign w:val="superscript"/>
                    </w:rPr>
                    <w:t>-10</w:t>
                  </w:r>
                  <w:r>
                    <w:rPr>
                      <w:rStyle w:val="126"/>
                      <w:rFonts w:hint="eastAsia"/>
                      <w:color w:val="auto"/>
                    </w:rPr>
                    <w:t>cm/s</w:t>
                  </w:r>
                </w:p>
              </w:tc>
              <w:tc>
                <w:tcPr>
                  <w:tcW w:w="738" w:type="dxa"/>
                  <w:vAlign w:val="center"/>
                </w:tcPr>
                <w:p w14:paraId="20DE2EEB">
                  <w:pPr>
                    <w:pStyle w:val="53"/>
                    <w:ind w:left="0" w:leftChars="0"/>
                    <w:rPr>
                      <w:rStyle w:val="126"/>
                      <w:color w:val="auto"/>
                    </w:rPr>
                  </w:pPr>
                  <w:r>
                    <w:rPr>
                      <w:rStyle w:val="126"/>
                      <w:rFonts w:hint="eastAsia"/>
                      <w:color w:val="auto"/>
                    </w:rPr>
                    <w:t>依托</w:t>
                  </w:r>
                </w:p>
              </w:tc>
            </w:tr>
            <w:tr w14:paraId="0857E2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26" w:type="dxa"/>
                  <w:vMerge w:val="continue"/>
                  <w:vAlign w:val="center"/>
                </w:tcPr>
                <w:p w14:paraId="40E1B4B2">
                  <w:pPr>
                    <w:pStyle w:val="53"/>
                    <w:ind w:left="0" w:leftChars="0"/>
                    <w:rPr>
                      <w:rStyle w:val="126"/>
                      <w:color w:val="auto"/>
                    </w:rPr>
                  </w:pPr>
                </w:p>
              </w:tc>
              <w:tc>
                <w:tcPr>
                  <w:tcW w:w="1278" w:type="dxa"/>
                  <w:gridSpan w:val="2"/>
                  <w:vMerge w:val="continue"/>
                  <w:vAlign w:val="center"/>
                </w:tcPr>
                <w:p w14:paraId="2DDDD6B9">
                  <w:pPr>
                    <w:pStyle w:val="53"/>
                    <w:ind w:left="0" w:leftChars="0"/>
                    <w:rPr>
                      <w:rStyle w:val="126"/>
                      <w:color w:val="auto"/>
                    </w:rPr>
                  </w:pPr>
                </w:p>
              </w:tc>
              <w:tc>
                <w:tcPr>
                  <w:tcW w:w="5436" w:type="dxa"/>
                  <w:gridSpan w:val="2"/>
                  <w:vAlign w:val="center"/>
                </w:tcPr>
                <w:p w14:paraId="32834AAE">
                  <w:pPr>
                    <w:pStyle w:val="53"/>
                    <w:ind w:left="0" w:leftChars="0"/>
                    <w:rPr>
                      <w:rStyle w:val="126"/>
                      <w:color w:val="auto"/>
                    </w:rPr>
                  </w:pPr>
                  <w:r>
                    <w:rPr>
                      <w:rStyle w:val="126"/>
                      <w:rFonts w:hint="eastAsia"/>
                      <w:color w:val="auto"/>
                    </w:rPr>
                    <w:t>垃圾桶若干</w:t>
                  </w:r>
                </w:p>
              </w:tc>
              <w:tc>
                <w:tcPr>
                  <w:tcW w:w="738" w:type="dxa"/>
                  <w:vAlign w:val="center"/>
                </w:tcPr>
                <w:p w14:paraId="71D4B605">
                  <w:pPr>
                    <w:pStyle w:val="53"/>
                    <w:ind w:left="0" w:leftChars="0"/>
                    <w:rPr>
                      <w:rStyle w:val="126"/>
                      <w:color w:val="auto"/>
                    </w:rPr>
                  </w:pPr>
                  <w:r>
                    <w:rPr>
                      <w:rStyle w:val="126"/>
                      <w:rFonts w:hint="eastAsia"/>
                      <w:color w:val="auto"/>
                    </w:rPr>
                    <w:t>新建</w:t>
                  </w:r>
                </w:p>
              </w:tc>
            </w:tr>
            <w:tr w14:paraId="0A841C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26" w:type="dxa"/>
                  <w:vMerge w:val="continue"/>
                  <w:vAlign w:val="center"/>
                </w:tcPr>
                <w:p w14:paraId="2E9C8F9A">
                  <w:pPr>
                    <w:pStyle w:val="53"/>
                    <w:ind w:left="0" w:leftChars="0"/>
                    <w:rPr>
                      <w:rStyle w:val="126"/>
                      <w:color w:val="auto"/>
                    </w:rPr>
                  </w:pPr>
                </w:p>
              </w:tc>
              <w:tc>
                <w:tcPr>
                  <w:tcW w:w="1278" w:type="dxa"/>
                  <w:gridSpan w:val="2"/>
                  <w:vAlign w:val="center"/>
                </w:tcPr>
                <w:p w14:paraId="473DCB21">
                  <w:pPr>
                    <w:pStyle w:val="53"/>
                    <w:ind w:left="0" w:leftChars="0"/>
                    <w:rPr>
                      <w:rStyle w:val="126"/>
                      <w:color w:val="auto"/>
                    </w:rPr>
                  </w:pPr>
                  <w:r>
                    <w:rPr>
                      <w:rStyle w:val="126"/>
                      <w:color w:val="auto"/>
                    </w:rPr>
                    <w:t>噪声</w:t>
                  </w:r>
                </w:p>
              </w:tc>
              <w:tc>
                <w:tcPr>
                  <w:tcW w:w="5436" w:type="dxa"/>
                  <w:gridSpan w:val="2"/>
                  <w:vAlign w:val="center"/>
                </w:tcPr>
                <w:p w14:paraId="28A69611">
                  <w:pPr>
                    <w:pStyle w:val="53"/>
                    <w:ind w:left="0" w:leftChars="0"/>
                    <w:rPr>
                      <w:rStyle w:val="126"/>
                      <w:color w:val="auto"/>
                    </w:rPr>
                  </w:pPr>
                  <w:r>
                    <w:rPr>
                      <w:rStyle w:val="126"/>
                      <w:rFonts w:hint="eastAsia"/>
                      <w:color w:val="auto"/>
                    </w:rPr>
                    <w:t>污水处理系统水泵</w:t>
                  </w:r>
                  <w:r>
                    <w:rPr>
                      <w:rFonts w:hint="eastAsia"/>
                      <w:color w:val="auto"/>
                      <w:szCs w:val="21"/>
                    </w:rPr>
                    <w:t>设备减振、</w:t>
                  </w:r>
                  <w:r>
                    <w:rPr>
                      <w:rFonts w:hint="eastAsia" w:ascii="宋体" w:hAnsi="宋体" w:cs="宋体"/>
                      <w:color w:val="auto"/>
                      <w:szCs w:val="21"/>
                    </w:rPr>
                    <w:t>风机安装消声器、</w:t>
                  </w:r>
                  <w:r>
                    <w:rPr>
                      <w:rFonts w:hint="eastAsia"/>
                      <w:color w:val="auto"/>
                      <w:szCs w:val="21"/>
                    </w:rPr>
                    <w:t>建筑隔声</w:t>
                  </w:r>
                </w:p>
              </w:tc>
              <w:tc>
                <w:tcPr>
                  <w:tcW w:w="738" w:type="dxa"/>
                  <w:vAlign w:val="center"/>
                </w:tcPr>
                <w:p w14:paraId="19D7E54B">
                  <w:pPr>
                    <w:pStyle w:val="53"/>
                    <w:ind w:left="0" w:leftChars="0"/>
                    <w:rPr>
                      <w:rStyle w:val="126"/>
                      <w:color w:val="auto"/>
                    </w:rPr>
                  </w:pPr>
                  <w:r>
                    <w:rPr>
                      <w:rStyle w:val="126"/>
                      <w:rFonts w:hint="eastAsia"/>
                      <w:color w:val="auto"/>
                    </w:rPr>
                    <w:t>新建</w:t>
                  </w:r>
                </w:p>
              </w:tc>
            </w:tr>
          </w:tbl>
          <w:p w14:paraId="09569029">
            <w:pPr>
              <w:jc w:val="center"/>
              <w:rPr>
                <w:rFonts w:hint="eastAsia" w:ascii="宋体" w:hAnsi="宋体" w:cs="宋体"/>
                <w:b/>
                <w:color w:val="auto"/>
                <w:sz w:val="24"/>
              </w:rPr>
            </w:pPr>
          </w:p>
          <w:p w14:paraId="58E52320">
            <w:pPr>
              <w:jc w:val="center"/>
              <w:rPr>
                <w:rFonts w:hint="eastAsia" w:ascii="宋体" w:hAnsi="宋体" w:cs="宋体"/>
                <w:b/>
                <w:color w:val="auto"/>
                <w:sz w:val="24"/>
              </w:rPr>
            </w:pPr>
            <w:r>
              <w:rPr>
                <w:rFonts w:hint="eastAsia" w:ascii="宋体" w:hAnsi="宋体" w:cs="宋体"/>
                <w:b/>
                <w:color w:val="auto"/>
                <w:sz w:val="24"/>
              </w:rPr>
              <w:t>表</w:t>
            </w:r>
            <w:r>
              <w:rPr>
                <w:rFonts w:hint="eastAsia" w:cs="宋体"/>
                <w:b/>
                <w:color w:val="auto"/>
                <w:sz w:val="24"/>
              </w:rPr>
              <w:t>2</w:t>
            </w:r>
            <w:r>
              <w:rPr>
                <w:rFonts w:hint="eastAsia" w:ascii="宋体" w:hAnsi="宋体" w:cs="宋体"/>
                <w:b/>
                <w:color w:val="auto"/>
                <w:sz w:val="24"/>
              </w:rPr>
              <w:t>-3本项目九龙卫生院工程组成一览表</w:t>
            </w:r>
          </w:p>
          <w:tbl>
            <w:tblPr>
              <w:tblStyle w:val="33"/>
              <w:tblW w:w="81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473"/>
              <w:gridCol w:w="850"/>
              <w:gridCol w:w="1301"/>
              <w:gridCol w:w="4090"/>
              <w:gridCol w:w="738"/>
            </w:tblGrid>
            <w:tr w14:paraId="10B27E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726" w:type="dxa"/>
                  <w:shd w:val="clear" w:color="auto" w:fill="D7D7D7"/>
                  <w:vAlign w:val="center"/>
                </w:tcPr>
                <w:p w14:paraId="69815F3C">
                  <w:pPr>
                    <w:pStyle w:val="53"/>
                    <w:ind w:left="0" w:leftChars="0"/>
                    <w:rPr>
                      <w:rStyle w:val="126"/>
                      <w:color w:val="auto"/>
                    </w:rPr>
                  </w:pPr>
                  <w:r>
                    <w:rPr>
                      <w:rStyle w:val="126"/>
                      <w:color w:val="auto"/>
                    </w:rPr>
                    <w:t>工程</w:t>
                  </w:r>
                </w:p>
                <w:p w14:paraId="232F6E1F">
                  <w:pPr>
                    <w:pStyle w:val="53"/>
                    <w:ind w:left="0" w:leftChars="0"/>
                    <w:rPr>
                      <w:rStyle w:val="126"/>
                      <w:color w:val="auto"/>
                    </w:rPr>
                  </w:pPr>
                  <w:r>
                    <w:rPr>
                      <w:rStyle w:val="126"/>
                      <w:color w:val="auto"/>
                    </w:rPr>
                    <w:t>内容</w:t>
                  </w:r>
                </w:p>
              </w:tc>
              <w:tc>
                <w:tcPr>
                  <w:tcW w:w="1323" w:type="dxa"/>
                  <w:gridSpan w:val="2"/>
                  <w:shd w:val="clear" w:color="auto" w:fill="D7D7D7"/>
                  <w:vAlign w:val="center"/>
                </w:tcPr>
                <w:p w14:paraId="6DA04F42">
                  <w:pPr>
                    <w:pStyle w:val="53"/>
                    <w:ind w:left="0" w:leftChars="0"/>
                    <w:rPr>
                      <w:rStyle w:val="126"/>
                      <w:color w:val="auto"/>
                    </w:rPr>
                  </w:pPr>
                  <w:r>
                    <w:rPr>
                      <w:rStyle w:val="126"/>
                      <w:color w:val="auto"/>
                    </w:rPr>
                    <w:t>名称</w:t>
                  </w:r>
                </w:p>
              </w:tc>
              <w:tc>
                <w:tcPr>
                  <w:tcW w:w="5391" w:type="dxa"/>
                  <w:gridSpan w:val="2"/>
                  <w:shd w:val="clear" w:color="auto" w:fill="D7D7D7"/>
                  <w:vAlign w:val="center"/>
                </w:tcPr>
                <w:p w14:paraId="3A0D996D">
                  <w:pPr>
                    <w:pStyle w:val="53"/>
                    <w:ind w:left="0" w:leftChars="0"/>
                    <w:rPr>
                      <w:rStyle w:val="126"/>
                      <w:color w:val="auto"/>
                    </w:rPr>
                  </w:pPr>
                  <w:r>
                    <w:rPr>
                      <w:rStyle w:val="126"/>
                      <w:color w:val="auto"/>
                    </w:rPr>
                    <w:t>工程内容</w:t>
                  </w:r>
                </w:p>
              </w:tc>
              <w:tc>
                <w:tcPr>
                  <w:tcW w:w="738" w:type="dxa"/>
                  <w:shd w:val="clear" w:color="auto" w:fill="D7D7D7"/>
                  <w:vAlign w:val="center"/>
                </w:tcPr>
                <w:p w14:paraId="36C3CD94">
                  <w:pPr>
                    <w:pStyle w:val="53"/>
                    <w:ind w:left="0" w:leftChars="0"/>
                    <w:rPr>
                      <w:rStyle w:val="126"/>
                      <w:color w:val="auto"/>
                    </w:rPr>
                  </w:pPr>
                  <w:r>
                    <w:rPr>
                      <w:rStyle w:val="126"/>
                      <w:color w:val="auto"/>
                    </w:rPr>
                    <w:t>备注</w:t>
                  </w:r>
                </w:p>
              </w:tc>
            </w:tr>
            <w:tr w14:paraId="041D52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26" w:type="dxa"/>
                  <w:vMerge w:val="restart"/>
                  <w:vAlign w:val="center"/>
                </w:tcPr>
                <w:p w14:paraId="2AAEEF79">
                  <w:pPr>
                    <w:pStyle w:val="53"/>
                    <w:ind w:left="0" w:leftChars="0"/>
                    <w:rPr>
                      <w:rStyle w:val="126"/>
                      <w:color w:val="auto"/>
                    </w:rPr>
                  </w:pPr>
                  <w:r>
                    <w:rPr>
                      <w:rStyle w:val="126"/>
                      <w:color w:val="auto"/>
                    </w:rPr>
                    <w:t>主体</w:t>
                  </w:r>
                </w:p>
                <w:p w14:paraId="1425CA87">
                  <w:pPr>
                    <w:pStyle w:val="53"/>
                    <w:ind w:left="0" w:leftChars="0"/>
                    <w:rPr>
                      <w:rStyle w:val="126"/>
                      <w:color w:val="auto"/>
                    </w:rPr>
                  </w:pPr>
                  <w:r>
                    <w:rPr>
                      <w:rStyle w:val="126"/>
                      <w:color w:val="auto"/>
                    </w:rPr>
                    <w:t>工程</w:t>
                  </w:r>
                </w:p>
              </w:tc>
              <w:tc>
                <w:tcPr>
                  <w:tcW w:w="1323" w:type="dxa"/>
                  <w:gridSpan w:val="2"/>
                  <w:vMerge w:val="restart"/>
                  <w:vAlign w:val="center"/>
                </w:tcPr>
                <w:p w14:paraId="08D76128">
                  <w:pPr>
                    <w:pStyle w:val="53"/>
                    <w:ind w:left="0" w:leftChars="0"/>
                    <w:rPr>
                      <w:rStyle w:val="126"/>
                      <w:color w:val="auto"/>
                    </w:rPr>
                  </w:pPr>
                  <w:r>
                    <w:rPr>
                      <w:rStyle w:val="126"/>
                      <w:color w:val="auto"/>
                    </w:rPr>
                    <w:t>业务用房</w:t>
                  </w:r>
                  <w:r>
                    <w:rPr>
                      <w:rStyle w:val="126"/>
                      <w:rFonts w:hint="eastAsia"/>
                      <w:color w:val="auto"/>
                    </w:rPr>
                    <w:t>，1幢</w:t>
                  </w:r>
                </w:p>
              </w:tc>
              <w:tc>
                <w:tcPr>
                  <w:tcW w:w="1301" w:type="dxa"/>
                  <w:vMerge w:val="restart"/>
                  <w:tcBorders>
                    <w:right w:val="single" w:color="auto" w:sz="4" w:space="0"/>
                  </w:tcBorders>
                  <w:vAlign w:val="center"/>
                </w:tcPr>
                <w:p w14:paraId="49B6F347">
                  <w:pPr>
                    <w:pStyle w:val="53"/>
                    <w:ind w:left="0" w:leftChars="0"/>
                    <w:rPr>
                      <w:rStyle w:val="126"/>
                      <w:color w:val="auto"/>
                    </w:rPr>
                  </w:pPr>
                  <w:r>
                    <w:rPr>
                      <w:rStyle w:val="126"/>
                      <w:color w:val="auto"/>
                    </w:rPr>
                    <w:t>4层，建筑占地面积407.36</w:t>
                  </w:r>
                  <w:r>
                    <w:rPr>
                      <w:rStyle w:val="126"/>
                      <w:rFonts w:hint="eastAsia"/>
                      <w:color w:val="auto"/>
                    </w:rPr>
                    <w:t>m</w:t>
                  </w:r>
                  <w:r>
                    <w:rPr>
                      <w:rStyle w:val="126"/>
                      <w:rFonts w:hint="eastAsia"/>
                      <w:color w:val="auto"/>
                      <w:vertAlign w:val="superscript"/>
                    </w:rPr>
                    <w:t>2</w:t>
                  </w:r>
                  <w:r>
                    <w:rPr>
                      <w:rStyle w:val="126"/>
                      <w:color w:val="auto"/>
                    </w:rPr>
                    <w:t>，建筑面积1925.40</w:t>
                  </w:r>
                  <w:r>
                    <w:rPr>
                      <w:rStyle w:val="126"/>
                      <w:rFonts w:hint="eastAsia"/>
                      <w:color w:val="auto"/>
                    </w:rPr>
                    <w:t>m</w:t>
                  </w:r>
                  <w:r>
                    <w:rPr>
                      <w:rStyle w:val="126"/>
                      <w:rFonts w:hint="eastAsia"/>
                      <w:color w:val="auto"/>
                      <w:vertAlign w:val="superscript"/>
                    </w:rPr>
                    <w:t>2</w:t>
                  </w:r>
                  <w:r>
                    <w:rPr>
                      <w:rStyle w:val="126"/>
                      <w:color w:val="auto"/>
                    </w:rPr>
                    <w:t>，投资估算1046.67万元</w:t>
                  </w:r>
                </w:p>
              </w:tc>
              <w:tc>
                <w:tcPr>
                  <w:tcW w:w="4090" w:type="dxa"/>
                  <w:tcBorders>
                    <w:left w:val="single" w:color="auto" w:sz="4" w:space="0"/>
                  </w:tcBorders>
                  <w:vAlign w:val="center"/>
                </w:tcPr>
                <w:p w14:paraId="0A9FCA08">
                  <w:pPr>
                    <w:pStyle w:val="53"/>
                    <w:ind w:left="0" w:leftChars="0"/>
                    <w:rPr>
                      <w:rStyle w:val="126"/>
                      <w:color w:val="auto"/>
                    </w:rPr>
                  </w:pPr>
                  <w:r>
                    <w:rPr>
                      <w:rStyle w:val="126"/>
                      <w:rFonts w:hint="eastAsia"/>
                      <w:color w:val="auto"/>
                    </w:rPr>
                    <w:t>1层：建筑面积</w:t>
                  </w:r>
                  <w:r>
                    <w:rPr>
                      <w:rStyle w:val="126"/>
                      <w:color w:val="auto"/>
                    </w:rPr>
                    <w:t>407.36</w:t>
                  </w:r>
                  <w:r>
                    <w:rPr>
                      <w:rStyle w:val="126"/>
                      <w:rFonts w:hint="eastAsia"/>
                      <w:color w:val="auto"/>
                    </w:rPr>
                    <w:t>m</w:t>
                  </w:r>
                  <w:r>
                    <w:rPr>
                      <w:rStyle w:val="126"/>
                      <w:rFonts w:hint="eastAsia"/>
                      <w:color w:val="auto"/>
                      <w:vertAlign w:val="superscript"/>
                    </w:rPr>
                    <w:t>2</w:t>
                  </w:r>
                  <w:r>
                    <w:rPr>
                      <w:rStyle w:val="126"/>
                      <w:rFonts w:hint="eastAsia"/>
                      <w:color w:val="auto"/>
                    </w:rPr>
                    <w:t>，</w:t>
                  </w:r>
                  <w:r>
                    <w:rPr>
                      <w:rStyle w:val="126"/>
                      <w:color w:val="auto"/>
                    </w:rPr>
                    <w:t>主要设置预防接种</w:t>
                  </w:r>
                  <w:r>
                    <w:rPr>
                      <w:rStyle w:val="126"/>
                      <w:rFonts w:hint="eastAsia"/>
                      <w:color w:val="auto"/>
                    </w:rPr>
                    <w:t>科、输液区、理疗诊疗室。</w:t>
                  </w:r>
                </w:p>
              </w:tc>
              <w:tc>
                <w:tcPr>
                  <w:tcW w:w="738" w:type="dxa"/>
                  <w:vMerge w:val="restart"/>
                  <w:vAlign w:val="center"/>
                </w:tcPr>
                <w:p w14:paraId="2F164337">
                  <w:pPr>
                    <w:pStyle w:val="53"/>
                    <w:ind w:left="0" w:leftChars="0"/>
                    <w:rPr>
                      <w:rStyle w:val="126"/>
                      <w:color w:val="auto"/>
                    </w:rPr>
                  </w:pPr>
                  <w:r>
                    <w:rPr>
                      <w:rStyle w:val="126"/>
                      <w:rFonts w:hint="eastAsia"/>
                      <w:color w:val="auto"/>
                    </w:rPr>
                    <w:t>新建</w:t>
                  </w:r>
                </w:p>
              </w:tc>
            </w:tr>
            <w:tr w14:paraId="422D0F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9" w:hRule="atLeast"/>
                <w:jc w:val="center"/>
              </w:trPr>
              <w:tc>
                <w:tcPr>
                  <w:tcW w:w="726" w:type="dxa"/>
                  <w:vMerge w:val="continue"/>
                  <w:vAlign w:val="center"/>
                </w:tcPr>
                <w:p w14:paraId="73E7315C">
                  <w:pPr>
                    <w:pStyle w:val="53"/>
                    <w:ind w:left="0" w:leftChars="0"/>
                    <w:rPr>
                      <w:rStyle w:val="126"/>
                      <w:color w:val="auto"/>
                    </w:rPr>
                  </w:pPr>
                </w:p>
              </w:tc>
              <w:tc>
                <w:tcPr>
                  <w:tcW w:w="1323" w:type="dxa"/>
                  <w:gridSpan w:val="2"/>
                  <w:vMerge w:val="continue"/>
                  <w:vAlign w:val="center"/>
                </w:tcPr>
                <w:p w14:paraId="075D9787">
                  <w:pPr>
                    <w:pStyle w:val="53"/>
                    <w:ind w:left="0" w:leftChars="0"/>
                    <w:rPr>
                      <w:rStyle w:val="126"/>
                      <w:color w:val="auto"/>
                    </w:rPr>
                  </w:pPr>
                </w:p>
              </w:tc>
              <w:tc>
                <w:tcPr>
                  <w:tcW w:w="1301" w:type="dxa"/>
                  <w:vMerge w:val="continue"/>
                  <w:tcBorders>
                    <w:right w:val="single" w:color="auto" w:sz="4" w:space="0"/>
                  </w:tcBorders>
                  <w:vAlign w:val="center"/>
                </w:tcPr>
                <w:p w14:paraId="2C8AC852">
                  <w:pPr>
                    <w:pStyle w:val="53"/>
                    <w:ind w:left="0" w:leftChars="0"/>
                    <w:rPr>
                      <w:rStyle w:val="126"/>
                      <w:color w:val="auto"/>
                    </w:rPr>
                  </w:pPr>
                </w:p>
              </w:tc>
              <w:tc>
                <w:tcPr>
                  <w:tcW w:w="4090" w:type="dxa"/>
                  <w:tcBorders>
                    <w:left w:val="single" w:color="auto" w:sz="4" w:space="0"/>
                  </w:tcBorders>
                  <w:vAlign w:val="center"/>
                </w:tcPr>
                <w:p w14:paraId="6333C70E">
                  <w:pPr>
                    <w:pStyle w:val="53"/>
                    <w:ind w:left="0" w:leftChars="0"/>
                    <w:rPr>
                      <w:rStyle w:val="126"/>
                      <w:color w:val="auto"/>
                    </w:rPr>
                  </w:pPr>
                  <w:r>
                    <w:rPr>
                      <w:rStyle w:val="126"/>
                      <w:rFonts w:hint="eastAsia"/>
                      <w:color w:val="auto"/>
                    </w:rPr>
                    <w:t>2层：建筑面积</w:t>
                  </w:r>
                  <w:r>
                    <w:rPr>
                      <w:rStyle w:val="126"/>
                      <w:color w:val="auto"/>
                    </w:rPr>
                    <w:t>407.36</w:t>
                  </w:r>
                  <w:r>
                    <w:rPr>
                      <w:rStyle w:val="126"/>
                      <w:rFonts w:hint="eastAsia"/>
                      <w:color w:val="auto"/>
                    </w:rPr>
                    <w:t>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妇幼保健科。</w:t>
                  </w:r>
                </w:p>
              </w:tc>
              <w:tc>
                <w:tcPr>
                  <w:tcW w:w="738" w:type="dxa"/>
                  <w:vMerge w:val="continue"/>
                  <w:vAlign w:val="center"/>
                </w:tcPr>
                <w:p w14:paraId="5468590C">
                  <w:pPr>
                    <w:pStyle w:val="53"/>
                    <w:ind w:left="0" w:leftChars="0"/>
                    <w:rPr>
                      <w:rStyle w:val="126"/>
                      <w:color w:val="auto"/>
                    </w:rPr>
                  </w:pPr>
                </w:p>
              </w:tc>
            </w:tr>
            <w:tr w14:paraId="0143EB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55C9E160">
                  <w:pPr>
                    <w:pStyle w:val="53"/>
                    <w:ind w:left="0" w:leftChars="0"/>
                    <w:rPr>
                      <w:rStyle w:val="126"/>
                      <w:color w:val="auto"/>
                    </w:rPr>
                  </w:pPr>
                </w:p>
              </w:tc>
              <w:tc>
                <w:tcPr>
                  <w:tcW w:w="1323" w:type="dxa"/>
                  <w:gridSpan w:val="2"/>
                  <w:vMerge w:val="continue"/>
                  <w:vAlign w:val="center"/>
                </w:tcPr>
                <w:p w14:paraId="3CD802A2">
                  <w:pPr>
                    <w:pStyle w:val="53"/>
                    <w:ind w:left="0" w:leftChars="0"/>
                    <w:rPr>
                      <w:rStyle w:val="126"/>
                      <w:color w:val="auto"/>
                    </w:rPr>
                  </w:pPr>
                </w:p>
              </w:tc>
              <w:tc>
                <w:tcPr>
                  <w:tcW w:w="1301" w:type="dxa"/>
                  <w:vMerge w:val="continue"/>
                  <w:tcBorders>
                    <w:right w:val="single" w:color="auto" w:sz="4" w:space="0"/>
                  </w:tcBorders>
                  <w:vAlign w:val="center"/>
                </w:tcPr>
                <w:p w14:paraId="45E9C3C3">
                  <w:pPr>
                    <w:pStyle w:val="53"/>
                    <w:ind w:left="0" w:leftChars="0"/>
                    <w:rPr>
                      <w:rStyle w:val="126"/>
                      <w:color w:val="auto"/>
                    </w:rPr>
                  </w:pPr>
                </w:p>
              </w:tc>
              <w:tc>
                <w:tcPr>
                  <w:tcW w:w="4090" w:type="dxa"/>
                  <w:tcBorders>
                    <w:left w:val="single" w:color="auto" w:sz="4" w:space="0"/>
                  </w:tcBorders>
                  <w:vAlign w:val="center"/>
                </w:tcPr>
                <w:p w14:paraId="3407F18C">
                  <w:pPr>
                    <w:pStyle w:val="53"/>
                    <w:ind w:left="0" w:leftChars="0"/>
                    <w:rPr>
                      <w:rStyle w:val="126"/>
                      <w:color w:val="auto"/>
                    </w:rPr>
                  </w:pPr>
                  <w:r>
                    <w:rPr>
                      <w:rStyle w:val="126"/>
                      <w:rFonts w:hint="eastAsia"/>
                      <w:color w:val="auto"/>
                    </w:rPr>
                    <w:t>3层：建筑面积</w:t>
                  </w:r>
                  <w:r>
                    <w:rPr>
                      <w:rStyle w:val="126"/>
                      <w:color w:val="auto"/>
                    </w:rPr>
                    <w:t>407.36</w:t>
                  </w:r>
                  <w:r>
                    <w:rPr>
                      <w:rStyle w:val="126"/>
                      <w:rFonts w:hint="eastAsia"/>
                      <w:color w:val="auto"/>
                    </w:rPr>
                    <w:t>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住院部，新增27张床位。</w:t>
                  </w:r>
                </w:p>
              </w:tc>
              <w:tc>
                <w:tcPr>
                  <w:tcW w:w="738" w:type="dxa"/>
                  <w:vMerge w:val="continue"/>
                  <w:vAlign w:val="center"/>
                </w:tcPr>
                <w:p w14:paraId="2FCA5C4E">
                  <w:pPr>
                    <w:pStyle w:val="53"/>
                    <w:ind w:left="0" w:leftChars="0"/>
                    <w:rPr>
                      <w:rStyle w:val="126"/>
                      <w:color w:val="auto"/>
                    </w:rPr>
                  </w:pPr>
                </w:p>
              </w:tc>
            </w:tr>
            <w:tr w14:paraId="132D17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259BA14A">
                  <w:pPr>
                    <w:pStyle w:val="53"/>
                    <w:ind w:left="0" w:leftChars="0"/>
                    <w:rPr>
                      <w:rStyle w:val="126"/>
                      <w:color w:val="auto"/>
                    </w:rPr>
                  </w:pPr>
                </w:p>
              </w:tc>
              <w:tc>
                <w:tcPr>
                  <w:tcW w:w="1323" w:type="dxa"/>
                  <w:gridSpan w:val="2"/>
                  <w:vMerge w:val="continue"/>
                  <w:vAlign w:val="center"/>
                </w:tcPr>
                <w:p w14:paraId="5E876D7F">
                  <w:pPr>
                    <w:pStyle w:val="53"/>
                    <w:ind w:left="0" w:leftChars="0"/>
                    <w:rPr>
                      <w:rStyle w:val="126"/>
                      <w:color w:val="auto"/>
                    </w:rPr>
                  </w:pPr>
                </w:p>
              </w:tc>
              <w:tc>
                <w:tcPr>
                  <w:tcW w:w="1301" w:type="dxa"/>
                  <w:vMerge w:val="continue"/>
                  <w:tcBorders>
                    <w:right w:val="single" w:color="auto" w:sz="4" w:space="0"/>
                  </w:tcBorders>
                  <w:vAlign w:val="center"/>
                </w:tcPr>
                <w:p w14:paraId="0C808FC6">
                  <w:pPr>
                    <w:pStyle w:val="53"/>
                    <w:ind w:left="0" w:leftChars="0"/>
                    <w:rPr>
                      <w:rStyle w:val="126"/>
                      <w:color w:val="auto"/>
                    </w:rPr>
                  </w:pPr>
                </w:p>
              </w:tc>
              <w:tc>
                <w:tcPr>
                  <w:tcW w:w="4090" w:type="dxa"/>
                  <w:tcBorders>
                    <w:left w:val="single" w:color="auto" w:sz="4" w:space="0"/>
                  </w:tcBorders>
                  <w:vAlign w:val="center"/>
                </w:tcPr>
                <w:p w14:paraId="3B1846A4">
                  <w:pPr>
                    <w:pStyle w:val="53"/>
                    <w:ind w:left="0" w:leftChars="0"/>
                    <w:rPr>
                      <w:rStyle w:val="126"/>
                      <w:color w:val="auto"/>
                    </w:rPr>
                  </w:pPr>
                  <w:r>
                    <w:rPr>
                      <w:rStyle w:val="126"/>
                      <w:rFonts w:hint="eastAsia"/>
                      <w:color w:val="auto"/>
                    </w:rPr>
                    <w:t>4层：建筑面积</w:t>
                  </w:r>
                  <w:r>
                    <w:rPr>
                      <w:rStyle w:val="126"/>
                      <w:color w:val="auto"/>
                    </w:rPr>
                    <w:t>407.36</w:t>
                  </w:r>
                  <w:r>
                    <w:rPr>
                      <w:rStyle w:val="126"/>
                      <w:rFonts w:hint="eastAsia"/>
                      <w:color w:val="auto"/>
                    </w:rPr>
                    <w:t>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办公室及会议室。</w:t>
                  </w:r>
                </w:p>
              </w:tc>
              <w:tc>
                <w:tcPr>
                  <w:tcW w:w="738" w:type="dxa"/>
                  <w:vMerge w:val="continue"/>
                  <w:vAlign w:val="center"/>
                </w:tcPr>
                <w:p w14:paraId="2D5AE5C2">
                  <w:pPr>
                    <w:pStyle w:val="53"/>
                    <w:ind w:left="0" w:leftChars="0"/>
                    <w:rPr>
                      <w:rStyle w:val="126"/>
                      <w:color w:val="auto"/>
                    </w:rPr>
                  </w:pPr>
                </w:p>
              </w:tc>
            </w:tr>
            <w:tr w14:paraId="6B0D69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726" w:type="dxa"/>
                  <w:vMerge w:val="restart"/>
                  <w:vAlign w:val="center"/>
                </w:tcPr>
                <w:p w14:paraId="43F2E7CC">
                  <w:pPr>
                    <w:pStyle w:val="53"/>
                    <w:ind w:left="0" w:leftChars="0"/>
                    <w:rPr>
                      <w:rStyle w:val="126"/>
                      <w:color w:val="auto"/>
                    </w:rPr>
                  </w:pPr>
                  <w:r>
                    <w:rPr>
                      <w:rStyle w:val="126"/>
                      <w:color w:val="auto"/>
                    </w:rPr>
                    <w:t>公用</w:t>
                  </w:r>
                </w:p>
                <w:p w14:paraId="58B358AC">
                  <w:pPr>
                    <w:pStyle w:val="53"/>
                    <w:ind w:left="0" w:leftChars="0"/>
                    <w:rPr>
                      <w:rStyle w:val="126"/>
                      <w:color w:val="auto"/>
                    </w:rPr>
                  </w:pPr>
                  <w:r>
                    <w:rPr>
                      <w:rStyle w:val="126"/>
                      <w:color w:val="auto"/>
                    </w:rPr>
                    <w:t>工程</w:t>
                  </w:r>
                </w:p>
              </w:tc>
              <w:tc>
                <w:tcPr>
                  <w:tcW w:w="1323" w:type="dxa"/>
                  <w:gridSpan w:val="2"/>
                  <w:vAlign w:val="center"/>
                </w:tcPr>
                <w:p w14:paraId="735D96F9">
                  <w:pPr>
                    <w:pStyle w:val="53"/>
                    <w:ind w:left="0" w:leftChars="0"/>
                    <w:rPr>
                      <w:rStyle w:val="126"/>
                      <w:color w:val="auto"/>
                    </w:rPr>
                  </w:pPr>
                  <w:r>
                    <w:rPr>
                      <w:rStyle w:val="126"/>
                      <w:color w:val="auto"/>
                    </w:rPr>
                    <w:t>供电</w:t>
                  </w:r>
                </w:p>
              </w:tc>
              <w:tc>
                <w:tcPr>
                  <w:tcW w:w="5391" w:type="dxa"/>
                  <w:gridSpan w:val="2"/>
                  <w:vAlign w:val="center"/>
                </w:tcPr>
                <w:p w14:paraId="6875BC26">
                  <w:pPr>
                    <w:pStyle w:val="53"/>
                    <w:ind w:left="0" w:leftChars="0"/>
                    <w:rPr>
                      <w:rStyle w:val="126"/>
                      <w:color w:val="auto"/>
                    </w:rPr>
                  </w:pPr>
                  <w:r>
                    <w:rPr>
                      <w:rStyle w:val="126"/>
                      <w:rFonts w:hint="eastAsia"/>
                      <w:color w:val="auto"/>
                    </w:rPr>
                    <w:t>电源来源于市政电网接入，本次不新增备用柴油发电机</w:t>
                  </w:r>
                </w:p>
              </w:tc>
              <w:tc>
                <w:tcPr>
                  <w:tcW w:w="738" w:type="dxa"/>
                  <w:vAlign w:val="center"/>
                </w:tcPr>
                <w:p w14:paraId="07BFFB03">
                  <w:pPr>
                    <w:pStyle w:val="53"/>
                    <w:ind w:left="0" w:leftChars="0"/>
                    <w:rPr>
                      <w:rStyle w:val="126"/>
                      <w:color w:val="auto"/>
                    </w:rPr>
                  </w:pPr>
                  <w:r>
                    <w:rPr>
                      <w:rStyle w:val="126"/>
                      <w:color w:val="auto"/>
                    </w:rPr>
                    <w:t>依托现有</w:t>
                  </w:r>
                </w:p>
              </w:tc>
            </w:tr>
            <w:tr w14:paraId="31560A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7C97EAD0">
                  <w:pPr>
                    <w:pStyle w:val="53"/>
                    <w:ind w:left="0" w:leftChars="0"/>
                    <w:rPr>
                      <w:rStyle w:val="126"/>
                      <w:color w:val="auto"/>
                    </w:rPr>
                  </w:pPr>
                </w:p>
              </w:tc>
              <w:tc>
                <w:tcPr>
                  <w:tcW w:w="1323" w:type="dxa"/>
                  <w:gridSpan w:val="2"/>
                  <w:vAlign w:val="center"/>
                </w:tcPr>
                <w:p w14:paraId="6B18399A">
                  <w:pPr>
                    <w:pStyle w:val="53"/>
                    <w:ind w:left="0" w:leftChars="0"/>
                    <w:rPr>
                      <w:rStyle w:val="126"/>
                      <w:color w:val="auto"/>
                    </w:rPr>
                  </w:pPr>
                  <w:r>
                    <w:rPr>
                      <w:rStyle w:val="126"/>
                      <w:color w:val="auto"/>
                    </w:rPr>
                    <w:t>供水</w:t>
                  </w:r>
                </w:p>
              </w:tc>
              <w:tc>
                <w:tcPr>
                  <w:tcW w:w="5391" w:type="dxa"/>
                  <w:gridSpan w:val="2"/>
                  <w:vAlign w:val="center"/>
                </w:tcPr>
                <w:p w14:paraId="1B66B585">
                  <w:pPr>
                    <w:pStyle w:val="53"/>
                    <w:ind w:left="0" w:leftChars="0"/>
                    <w:rPr>
                      <w:rStyle w:val="126"/>
                      <w:color w:val="auto"/>
                    </w:rPr>
                  </w:pPr>
                  <w:r>
                    <w:rPr>
                      <w:rStyle w:val="126"/>
                      <w:color w:val="auto"/>
                    </w:rPr>
                    <w:t>由市政供水管网引入，水质水量满足供水要求。</w:t>
                  </w:r>
                </w:p>
              </w:tc>
              <w:tc>
                <w:tcPr>
                  <w:tcW w:w="738" w:type="dxa"/>
                  <w:vAlign w:val="center"/>
                </w:tcPr>
                <w:p w14:paraId="4E4E6A6F">
                  <w:pPr>
                    <w:pStyle w:val="53"/>
                    <w:ind w:left="0" w:leftChars="0"/>
                    <w:rPr>
                      <w:rStyle w:val="126"/>
                      <w:color w:val="auto"/>
                    </w:rPr>
                  </w:pPr>
                  <w:r>
                    <w:rPr>
                      <w:rStyle w:val="126"/>
                      <w:color w:val="auto"/>
                    </w:rPr>
                    <w:t>依托现有</w:t>
                  </w:r>
                </w:p>
              </w:tc>
            </w:tr>
            <w:tr w14:paraId="4799EA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19" w:hRule="atLeast"/>
                <w:jc w:val="center"/>
              </w:trPr>
              <w:tc>
                <w:tcPr>
                  <w:tcW w:w="726" w:type="dxa"/>
                  <w:vMerge w:val="continue"/>
                  <w:vAlign w:val="center"/>
                </w:tcPr>
                <w:p w14:paraId="4CD32E1C">
                  <w:pPr>
                    <w:pStyle w:val="53"/>
                    <w:ind w:left="0" w:leftChars="0"/>
                    <w:rPr>
                      <w:rStyle w:val="126"/>
                      <w:color w:val="auto"/>
                    </w:rPr>
                  </w:pPr>
                </w:p>
              </w:tc>
              <w:tc>
                <w:tcPr>
                  <w:tcW w:w="473" w:type="dxa"/>
                  <w:vMerge w:val="restart"/>
                  <w:vAlign w:val="center"/>
                </w:tcPr>
                <w:p w14:paraId="5C9CB63F">
                  <w:pPr>
                    <w:pStyle w:val="53"/>
                    <w:ind w:left="0" w:leftChars="0"/>
                    <w:rPr>
                      <w:rStyle w:val="126"/>
                      <w:color w:val="auto"/>
                    </w:rPr>
                  </w:pPr>
                  <w:r>
                    <w:rPr>
                      <w:rStyle w:val="126"/>
                      <w:rFonts w:hint="eastAsia"/>
                      <w:color w:val="auto"/>
                    </w:rPr>
                    <w:t>废水</w:t>
                  </w:r>
                </w:p>
              </w:tc>
              <w:tc>
                <w:tcPr>
                  <w:tcW w:w="850" w:type="dxa"/>
                  <w:vAlign w:val="center"/>
                </w:tcPr>
                <w:p w14:paraId="03087312">
                  <w:pPr>
                    <w:pStyle w:val="53"/>
                    <w:ind w:left="0" w:leftChars="0"/>
                    <w:rPr>
                      <w:rStyle w:val="126"/>
                      <w:color w:val="auto"/>
                    </w:rPr>
                  </w:pPr>
                  <w:r>
                    <w:rPr>
                      <w:rFonts w:hint="eastAsia" w:ascii="宋体" w:hAnsi="宋体" w:cs="宋体"/>
                      <w:color w:val="auto"/>
                      <w:kern w:val="0"/>
                      <w:szCs w:val="21"/>
                      <w:lang w:bidi="ar"/>
                    </w:rPr>
                    <w:t>现有项目医疗废水+本项目医疗废水</w:t>
                  </w:r>
                </w:p>
              </w:tc>
              <w:tc>
                <w:tcPr>
                  <w:tcW w:w="5391" w:type="dxa"/>
                  <w:gridSpan w:val="2"/>
                  <w:vAlign w:val="center"/>
                </w:tcPr>
                <w:p w14:paraId="76332764">
                  <w:pPr>
                    <w:pStyle w:val="53"/>
                    <w:ind w:left="0" w:leftChars="0"/>
                    <w:rPr>
                      <w:color w:val="auto"/>
                      <w:szCs w:val="21"/>
                    </w:rPr>
                  </w:pPr>
                  <w:r>
                    <w:rPr>
                      <w:rFonts w:hint="eastAsia"/>
                      <w:color w:val="auto"/>
                      <w:szCs w:val="21"/>
                    </w:rPr>
                    <w:t>新建一座容积不小于9m</w:t>
                  </w:r>
                  <w:r>
                    <w:rPr>
                      <w:rFonts w:hint="eastAsia"/>
                      <w:color w:val="auto"/>
                      <w:szCs w:val="21"/>
                      <w:vertAlign w:val="superscript"/>
                    </w:rPr>
                    <w:t>3</w:t>
                  </w:r>
                  <w:r>
                    <w:rPr>
                      <w:rFonts w:hint="eastAsia"/>
                      <w:color w:val="auto"/>
                      <w:szCs w:val="21"/>
                    </w:rPr>
                    <w:t>的综合废水化粪池</w:t>
                  </w:r>
                  <w:r>
                    <w:rPr>
                      <w:rFonts w:hint="eastAsia"/>
                      <w:color w:val="auto"/>
                      <w:szCs w:val="21"/>
                      <w:lang w:val="en-US" w:eastAsia="zh-CN"/>
                    </w:rPr>
                    <w:t>和一座容积不小于6m³的事故应急池</w:t>
                  </w:r>
                  <w:r>
                    <w:rPr>
                      <w:rFonts w:hint="eastAsia"/>
                      <w:color w:val="auto"/>
                      <w:szCs w:val="21"/>
                    </w:rPr>
                    <w:t>；拆除现有污水处理站</w:t>
                  </w:r>
                  <w:r>
                    <w:rPr>
                      <w:rFonts w:hint="eastAsia"/>
                      <w:color w:val="auto"/>
                      <w:szCs w:val="21"/>
                      <w:lang w:val="en-US" w:eastAsia="zh-CN"/>
                    </w:rPr>
                    <w:t>新建</w:t>
                  </w:r>
                  <w:r>
                    <w:rPr>
                      <w:rFonts w:hint="eastAsia"/>
                      <w:color w:val="auto"/>
                      <w:szCs w:val="21"/>
                    </w:rPr>
                    <w:t>一座20m</w:t>
                  </w:r>
                  <w:r>
                    <w:rPr>
                      <w:rFonts w:hint="eastAsia"/>
                      <w:color w:val="auto"/>
                      <w:szCs w:val="21"/>
                      <w:vertAlign w:val="superscript"/>
                    </w:rPr>
                    <w:t>3</w:t>
                  </w:r>
                  <w:r>
                    <w:rPr>
                      <w:rFonts w:hint="eastAsia"/>
                      <w:color w:val="auto"/>
                      <w:szCs w:val="21"/>
                    </w:rPr>
                    <w:t>/d的污水处理站。</w:t>
                  </w:r>
                </w:p>
              </w:tc>
              <w:tc>
                <w:tcPr>
                  <w:tcW w:w="738" w:type="dxa"/>
                  <w:vAlign w:val="center"/>
                </w:tcPr>
                <w:p w14:paraId="237B2DD4">
                  <w:pPr>
                    <w:pStyle w:val="53"/>
                    <w:ind w:left="0" w:leftChars="0"/>
                    <w:rPr>
                      <w:color w:val="auto"/>
                    </w:rPr>
                  </w:pPr>
                  <w:r>
                    <w:rPr>
                      <w:rStyle w:val="126"/>
                      <w:rFonts w:hint="eastAsia"/>
                      <w:color w:val="auto"/>
                    </w:rPr>
                    <w:t>拆除重建</w:t>
                  </w:r>
                </w:p>
              </w:tc>
            </w:tr>
            <w:tr w14:paraId="0E90E0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726" w:type="dxa"/>
                  <w:vMerge w:val="continue"/>
                  <w:vAlign w:val="center"/>
                </w:tcPr>
                <w:p w14:paraId="76BB35C4">
                  <w:pPr>
                    <w:pStyle w:val="53"/>
                    <w:ind w:left="0" w:leftChars="0"/>
                    <w:rPr>
                      <w:rStyle w:val="126"/>
                      <w:color w:val="auto"/>
                    </w:rPr>
                  </w:pPr>
                </w:p>
              </w:tc>
              <w:tc>
                <w:tcPr>
                  <w:tcW w:w="473" w:type="dxa"/>
                  <w:vMerge w:val="continue"/>
                  <w:vAlign w:val="center"/>
                </w:tcPr>
                <w:p w14:paraId="070A8EBA">
                  <w:pPr>
                    <w:pStyle w:val="53"/>
                    <w:ind w:left="0" w:leftChars="0"/>
                    <w:rPr>
                      <w:rStyle w:val="126"/>
                      <w:color w:val="auto"/>
                    </w:rPr>
                  </w:pPr>
                </w:p>
              </w:tc>
              <w:tc>
                <w:tcPr>
                  <w:tcW w:w="850" w:type="dxa"/>
                  <w:vAlign w:val="center"/>
                </w:tcPr>
                <w:p w14:paraId="3B12260D">
                  <w:pPr>
                    <w:pStyle w:val="53"/>
                    <w:ind w:left="0" w:leftChars="0"/>
                    <w:rPr>
                      <w:rStyle w:val="126"/>
                      <w:color w:val="auto"/>
                    </w:rPr>
                  </w:pPr>
                  <w:r>
                    <w:rPr>
                      <w:rFonts w:hint="eastAsia" w:ascii="宋体" w:hAnsi="宋体" w:cs="宋体"/>
                      <w:color w:val="auto"/>
                      <w:kern w:val="0"/>
                      <w:szCs w:val="21"/>
                      <w:lang w:bidi="ar"/>
                    </w:rPr>
                    <w:t>生活污水</w:t>
                  </w:r>
                </w:p>
              </w:tc>
              <w:tc>
                <w:tcPr>
                  <w:tcW w:w="5391" w:type="dxa"/>
                  <w:gridSpan w:val="2"/>
                  <w:vAlign w:val="center"/>
                </w:tcPr>
                <w:p w14:paraId="424A8834">
                  <w:pPr>
                    <w:pStyle w:val="53"/>
                    <w:ind w:left="0" w:leftChars="0"/>
                    <w:rPr>
                      <w:rStyle w:val="126"/>
                      <w:color w:val="auto"/>
                    </w:rPr>
                  </w:pPr>
                  <w:r>
                    <w:rPr>
                      <w:bCs/>
                      <w:color w:val="auto"/>
                      <w:szCs w:val="21"/>
                    </w:rPr>
                    <w:t>隔油池</w:t>
                  </w:r>
                  <w:r>
                    <w:rPr>
                      <w:color w:val="auto"/>
                      <w:szCs w:val="21"/>
                    </w:rPr>
                    <w:t>依托现有的1m³的隔油池</w:t>
                  </w:r>
                  <w:r>
                    <w:rPr>
                      <w:rFonts w:hint="eastAsia"/>
                      <w:color w:val="auto"/>
                      <w:szCs w:val="21"/>
                    </w:rPr>
                    <w:t>，生活污水化粪池依托现有的2个生活污水化粪池，</w:t>
                  </w:r>
                  <w:r>
                    <w:rPr>
                      <w:color w:val="auto"/>
                      <w:szCs w:val="21"/>
                    </w:rPr>
                    <w:t>容积分别为</w:t>
                  </w:r>
                  <w:r>
                    <w:rPr>
                      <w:rFonts w:hint="eastAsia"/>
                      <w:color w:val="auto"/>
                      <w:szCs w:val="21"/>
                    </w:rPr>
                    <w:t>16</w:t>
                  </w:r>
                  <w:r>
                    <w:rPr>
                      <w:color w:val="auto"/>
                      <w:szCs w:val="21"/>
                    </w:rPr>
                    <w:t>m³、</w:t>
                  </w:r>
                  <w:r>
                    <w:rPr>
                      <w:rFonts w:hint="eastAsia"/>
                      <w:color w:val="auto"/>
                      <w:szCs w:val="21"/>
                    </w:rPr>
                    <w:t>4</w:t>
                  </w:r>
                  <w:r>
                    <w:rPr>
                      <w:color w:val="auto"/>
                      <w:szCs w:val="21"/>
                    </w:rPr>
                    <w:t>m³</w:t>
                  </w:r>
                  <w:r>
                    <w:rPr>
                      <w:rFonts w:hint="eastAsia"/>
                      <w:color w:val="auto"/>
                      <w:szCs w:val="21"/>
                    </w:rPr>
                    <w:t>。</w:t>
                  </w:r>
                </w:p>
              </w:tc>
              <w:tc>
                <w:tcPr>
                  <w:tcW w:w="738" w:type="dxa"/>
                  <w:vAlign w:val="center"/>
                </w:tcPr>
                <w:p w14:paraId="405817AB">
                  <w:pPr>
                    <w:pStyle w:val="53"/>
                    <w:ind w:left="0" w:leftChars="0"/>
                    <w:rPr>
                      <w:rStyle w:val="126"/>
                      <w:color w:val="auto"/>
                    </w:rPr>
                  </w:pPr>
                  <w:r>
                    <w:rPr>
                      <w:rStyle w:val="126"/>
                      <w:rFonts w:hint="eastAsia"/>
                      <w:color w:val="auto"/>
                    </w:rPr>
                    <w:t>依托</w:t>
                  </w:r>
                </w:p>
              </w:tc>
            </w:tr>
            <w:tr w14:paraId="51C0CD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6709FEBC">
                  <w:pPr>
                    <w:pStyle w:val="53"/>
                    <w:ind w:left="0" w:leftChars="0"/>
                    <w:rPr>
                      <w:rStyle w:val="126"/>
                      <w:color w:val="auto"/>
                    </w:rPr>
                  </w:pPr>
                </w:p>
              </w:tc>
              <w:tc>
                <w:tcPr>
                  <w:tcW w:w="1323" w:type="dxa"/>
                  <w:gridSpan w:val="2"/>
                  <w:vAlign w:val="center"/>
                </w:tcPr>
                <w:p w14:paraId="057E50DC">
                  <w:pPr>
                    <w:pStyle w:val="53"/>
                    <w:ind w:left="0" w:leftChars="0"/>
                    <w:rPr>
                      <w:rStyle w:val="126"/>
                      <w:color w:val="auto"/>
                    </w:rPr>
                  </w:pPr>
                  <w:r>
                    <w:rPr>
                      <w:rStyle w:val="126"/>
                      <w:color w:val="auto"/>
                    </w:rPr>
                    <w:t>废气</w:t>
                  </w:r>
                </w:p>
              </w:tc>
              <w:tc>
                <w:tcPr>
                  <w:tcW w:w="5391" w:type="dxa"/>
                  <w:gridSpan w:val="2"/>
                  <w:vAlign w:val="center"/>
                </w:tcPr>
                <w:p w14:paraId="59F0C43D">
                  <w:pPr>
                    <w:pStyle w:val="53"/>
                    <w:ind w:left="0" w:leftChars="0"/>
                    <w:rPr>
                      <w:rStyle w:val="126"/>
                      <w:color w:val="auto"/>
                    </w:rPr>
                  </w:pPr>
                  <w:r>
                    <w:rPr>
                      <w:rStyle w:val="126"/>
                      <w:rFonts w:hint="eastAsia"/>
                      <w:color w:val="auto"/>
                    </w:rPr>
                    <w:t>污水处理站臭气：</w:t>
                  </w:r>
                  <w:r>
                    <w:rPr>
                      <w:rFonts w:hint="eastAsia" w:ascii="宋体" w:hAnsi="宋体" w:cs="宋体"/>
                      <w:color w:val="auto"/>
                      <w:szCs w:val="21"/>
                    </w:rPr>
                    <w:t>投放除臭剂</w:t>
                  </w:r>
                </w:p>
              </w:tc>
              <w:tc>
                <w:tcPr>
                  <w:tcW w:w="738" w:type="dxa"/>
                  <w:vAlign w:val="center"/>
                </w:tcPr>
                <w:p w14:paraId="04A53A78">
                  <w:pPr>
                    <w:pStyle w:val="53"/>
                    <w:ind w:left="0" w:leftChars="0"/>
                    <w:rPr>
                      <w:rStyle w:val="126"/>
                      <w:color w:val="auto"/>
                    </w:rPr>
                  </w:pPr>
                  <w:r>
                    <w:rPr>
                      <w:rStyle w:val="126"/>
                      <w:rFonts w:hint="eastAsia"/>
                      <w:color w:val="auto"/>
                    </w:rPr>
                    <w:t>/</w:t>
                  </w:r>
                </w:p>
              </w:tc>
            </w:tr>
            <w:tr w14:paraId="150425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26" w:type="dxa"/>
                  <w:vMerge w:val="continue"/>
                  <w:vAlign w:val="center"/>
                </w:tcPr>
                <w:p w14:paraId="6C878C84">
                  <w:pPr>
                    <w:pStyle w:val="53"/>
                    <w:ind w:left="0" w:leftChars="0"/>
                    <w:rPr>
                      <w:rStyle w:val="126"/>
                      <w:color w:val="auto"/>
                    </w:rPr>
                  </w:pPr>
                </w:p>
              </w:tc>
              <w:tc>
                <w:tcPr>
                  <w:tcW w:w="1323" w:type="dxa"/>
                  <w:gridSpan w:val="2"/>
                  <w:vMerge w:val="restart"/>
                  <w:vAlign w:val="center"/>
                </w:tcPr>
                <w:p w14:paraId="27269C84">
                  <w:pPr>
                    <w:pStyle w:val="53"/>
                    <w:ind w:left="0" w:leftChars="0"/>
                    <w:rPr>
                      <w:rStyle w:val="126"/>
                      <w:color w:val="auto"/>
                    </w:rPr>
                  </w:pPr>
                  <w:r>
                    <w:rPr>
                      <w:rStyle w:val="126"/>
                      <w:color w:val="auto"/>
                    </w:rPr>
                    <w:t>固废</w:t>
                  </w:r>
                </w:p>
              </w:tc>
              <w:tc>
                <w:tcPr>
                  <w:tcW w:w="5391" w:type="dxa"/>
                  <w:gridSpan w:val="2"/>
                  <w:vAlign w:val="center"/>
                </w:tcPr>
                <w:p w14:paraId="0F4F3179">
                  <w:pPr>
                    <w:pStyle w:val="53"/>
                    <w:ind w:left="0" w:leftChars="0"/>
                    <w:jc w:val="left"/>
                    <w:rPr>
                      <w:color w:val="auto"/>
                    </w:rPr>
                  </w:pPr>
                  <w:r>
                    <w:rPr>
                      <w:rStyle w:val="126"/>
                      <w:rFonts w:hint="eastAsia"/>
                      <w:color w:val="auto"/>
                    </w:rPr>
                    <w:t>九龙卫生院医疗固废暂存间（1间，10㎡）；位于卫生院西北侧，设置了标牌标识；</w:t>
                  </w:r>
                  <w:r>
                    <w:rPr>
                      <w:rStyle w:val="126"/>
                      <w:color w:val="auto"/>
                    </w:rPr>
                    <w:t>病房及医护人员办公室放置</w:t>
                  </w:r>
                  <w:r>
                    <w:rPr>
                      <w:rStyle w:val="126"/>
                      <w:rFonts w:hint="eastAsia"/>
                      <w:color w:val="auto"/>
                    </w:rPr>
                    <w:t>医废</w:t>
                  </w:r>
                  <w:r>
                    <w:rPr>
                      <w:rStyle w:val="126"/>
                      <w:color w:val="auto"/>
                    </w:rPr>
                    <w:t>桶。</w:t>
                  </w:r>
                  <w:r>
                    <w:rPr>
                      <w:rStyle w:val="126"/>
                      <w:rFonts w:hint="eastAsia"/>
                      <w:color w:val="auto"/>
                    </w:rPr>
                    <w:t>危废暂存间采取重点防渗措施：地面及裙角均</w:t>
                  </w:r>
                  <w:r>
                    <w:rPr>
                      <w:rStyle w:val="126"/>
                      <w:rFonts w:hint="eastAsia"/>
                      <w:color w:val="auto"/>
                      <w:lang w:val="zh-CN"/>
                    </w:rPr>
                    <w:t>采用水泥+2mm厚HDPE+环氧树脂</w:t>
                  </w:r>
                  <w:r>
                    <w:rPr>
                      <w:rStyle w:val="126"/>
                      <w:rFonts w:hint="eastAsia"/>
                      <w:color w:val="auto"/>
                    </w:rPr>
                    <w:t>，渗透系数≤10</w:t>
                  </w:r>
                  <w:r>
                    <w:rPr>
                      <w:rStyle w:val="126"/>
                      <w:rFonts w:hint="eastAsia"/>
                      <w:color w:val="auto"/>
                      <w:vertAlign w:val="superscript"/>
                    </w:rPr>
                    <w:t>-10</w:t>
                  </w:r>
                  <w:r>
                    <w:rPr>
                      <w:rStyle w:val="126"/>
                      <w:rFonts w:hint="eastAsia"/>
                      <w:color w:val="auto"/>
                    </w:rPr>
                    <w:t>cm/s</w:t>
                  </w:r>
                </w:p>
              </w:tc>
              <w:tc>
                <w:tcPr>
                  <w:tcW w:w="738" w:type="dxa"/>
                  <w:vAlign w:val="center"/>
                </w:tcPr>
                <w:p w14:paraId="6C29A74D">
                  <w:pPr>
                    <w:pStyle w:val="53"/>
                    <w:ind w:left="0" w:leftChars="0"/>
                    <w:rPr>
                      <w:rStyle w:val="126"/>
                      <w:color w:val="auto"/>
                    </w:rPr>
                  </w:pPr>
                  <w:r>
                    <w:rPr>
                      <w:rStyle w:val="126"/>
                      <w:rFonts w:hint="eastAsia"/>
                      <w:color w:val="auto"/>
                    </w:rPr>
                    <w:t>依托</w:t>
                  </w:r>
                </w:p>
              </w:tc>
            </w:tr>
            <w:tr w14:paraId="2E6EB6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26" w:type="dxa"/>
                  <w:vMerge w:val="continue"/>
                  <w:vAlign w:val="center"/>
                </w:tcPr>
                <w:p w14:paraId="5B22EBFE">
                  <w:pPr>
                    <w:pStyle w:val="53"/>
                    <w:ind w:left="0" w:leftChars="0"/>
                    <w:rPr>
                      <w:rStyle w:val="126"/>
                      <w:color w:val="auto"/>
                    </w:rPr>
                  </w:pPr>
                </w:p>
              </w:tc>
              <w:tc>
                <w:tcPr>
                  <w:tcW w:w="1323" w:type="dxa"/>
                  <w:gridSpan w:val="2"/>
                  <w:vMerge w:val="continue"/>
                  <w:vAlign w:val="center"/>
                </w:tcPr>
                <w:p w14:paraId="65C45CD1">
                  <w:pPr>
                    <w:pStyle w:val="53"/>
                    <w:ind w:left="0" w:leftChars="0"/>
                    <w:rPr>
                      <w:rStyle w:val="126"/>
                      <w:color w:val="auto"/>
                    </w:rPr>
                  </w:pPr>
                </w:p>
              </w:tc>
              <w:tc>
                <w:tcPr>
                  <w:tcW w:w="5391" w:type="dxa"/>
                  <w:gridSpan w:val="2"/>
                  <w:vAlign w:val="center"/>
                </w:tcPr>
                <w:p w14:paraId="3929AD32">
                  <w:pPr>
                    <w:pStyle w:val="53"/>
                    <w:ind w:left="0" w:leftChars="0"/>
                    <w:rPr>
                      <w:rStyle w:val="126"/>
                      <w:color w:val="auto"/>
                    </w:rPr>
                  </w:pPr>
                  <w:r>
                    <w:rPr>
                      <w:rStyle w:val="126"/>
                      <w:rFonts w:hint="eastAsia"/>
                      <w:color w:val="auto"/>
                    </w:rPr>
                    <w:t>垃圾桶若干</w:t>
                  </w:r>
                </w:p>
              </w:tc>
              <w:tc>
                <w:tcPr>
                  <w:tcW w:w="738" w:type="dxa"/>
                  <w:vAlign w:val="center"/>
                </w:tcPr>
                <w:p w14:paraId="0EE626E4">
                  <w:pPr>
                    <w:pStyle w:val="53"/>
                    <w:ind w:left="0" w:leftChars="0"/>
                    <w:rPr>
                      <w:rStyle w:val="126"/>
                      <w:color w:val="auto"/>
                    </w:rPr>
                  </w:pPr>
                  <w:r>
                    <w:rPr>
                      <w:rStyle w:val="126"/>
                      <w:rFonts w:hint="eastAsia"/>
                      <w:color w:val="auto"/>
                    </w:rPr>
                    <w:t>新建</w:t>
                  </w:r>
                </w:p>
              </w:tc>
            </w:tr>
            <w:tr w14:paraId="01B24C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726" w:type="dxa"/>
                  <w:vMerge w:val="continue"/>
                  <w:vAlign w:val="center"/>
                </w:tcPr>
                <w:p w14:paraId="685BEC6B">
                  <w:pPr>
                    <w:pStyle w:val="53"/>
                    <w:ind w:left="0" w:leftChars="0"/>
                    <w:rPr>
                      <w:rStyle w:val="126"/>
                      <w:color w:val="auto"/>
                    </w:rPr>
                  </w:pPr>
                </w:p>
              </w:tc>
              <w:tc>
                <w:tcPr>
                  <w:tcW w:w="1323" w:type="dxa"/>
                  <w:gridSpan w:val="2"/>
                  <w:vAlign w:val="center"/>
                </w:tcPr>
                <w:p w14:paraId="2989AD3F">
                  <w:pPr>
                    <w:pStyle w:val="53"/>
                    <w:ind w:left="0" w:leftChars="0"/>
                    <w:rPr>
                      <w:rStyle w:val="126"/>
                      <w:color w:val="auto"/>
                    </w:rPr>
                  </w:pPr>
                  <w:r>
                    <w:rPr>
                      <w:rStyle w:val="126"/>
                      <w:color w:val="auto"/>
                    </w:rPr>
                    <w:t>噪声</w:t>
                  </w:r>
                </w:p>
              </w:tc>
              <w:tc>
                <w:tcPr>
                  <w:tcW w:w="5391" w:type="dxa"/>
                  <w:gridSpan w:val="2"/>
                  <w:vAlign w:val="center"/>
                </w:tcPr>
                <w:p w14:paraId="21C824B4">
                  <w:pPr>
                    <w:pStyle w:val="53"/>
                    <w:ind w:left="0" w:leftChars="0"/>
                    <w:rPr>
                      <w:rStyle w:val="126"/>
                      <w:color w:val="auto"/>
                    </w:rPr>
                  </w:pPr>
                  <w:r>
                    <w:rPr>
                      <w:rStyle w:val="126"/>
                      <w:rFonts w:hint="eastAsia"/>
                      <w:color w:val="auto"/>
                    </w:rPr>
                    <w:t>污水处理系统水泵</w:t>
                  </w:r>
                  <w:r>
                    <w:rPr>
                      <w:rFonts w:hint="eastAsia"/>
                      <w:color w:val="auto"/>
                      <w:szCs w:val="21"/>
                    </w:rPr>
                    <w:t>设备减振、</w:t>
                  </w:r>
                  <w:r>
                    <w:rPr>
                      <w:rFonts w:hint="eastAsia" w:ascii="宋体" w:hAnsi="宋体" w:cs="宋体"/>
                      <w:color w:val="auto"/>
                      <w:szCs w:val="21"/>
                    </w:rPr>
                    <w:t>风机安装消声器、</w:t>
                  </w:r>
                  <w:r>
                    <w:rPr>
                      <w:rFonts w:hint="eastAsia"/>
                      <w:color w:val="auto"/>
                      <w:szCs w:val="21"/>
                    </w:rPr>
                    <w:t>建筑隔声</w:t>
                  </w:r>
                </w:p>
              </w:tc>
              <w:tc>
                <w:tcPr>
                  <w:tcW w:w="738" w:type="dxa"/>
                  <w:vAlign w:val="center"/>
                </w:tcPr>
                <w:p w14:paraId="1634C690">
                  <w:pPr>
                    <w:pStyle w:val="53"/>
                    <w:ind w:left="0" w:leftChars="0"/>
                    <w:rPr>
                      <w:rStyle w:val="126"/>
                      <w:color w:val="auto"/>
                    </w:rPr>
                  </w:pPr>
                  <w:r>
                    <w:rPr>
                      <w:rStyle w:val="126"/>
                      <w:rFonts w:hint="eastAsia"/>
                      <w:color w:val="auto"/>
                    </w:rPr>
                    <w:t>新建</w:t>
                  </w:r>
                </w:p>
              </w:tc>
            </w:tr>
          </w:tbl>
          <w:p w14:paraId="302D50DF">
            <w:pPr>
              <w:jc w:val="center"/>
              <w:rPr>
                <w:rFonts w:hint="eastAsia" w:ascii="宋体" w:hAnsi="宋体" w:cs="宋体"/>
                <w:b/>
                <w:color w:val="auto"/>
                <w:sz w:val="24"/>
              </w:rPr>
            </w:pPr>
          </w:p>
          <w:p w14:paraId="55843F59">
            <w:pPr>
              <w:jc w:val="center"/>
              <w:rPr>
                <w:rFonts w:hint="eastAsia" w:ascii="宋体" w:hAnsi="宋体" w:cs="宋体"/>
                <w:b/>
                <w:color w:val="auto"/>
                <w:sz w:val="24"/>
              </w:rPr>
            </w:pPr>
            <w:r>
              <w:rPr>
                <w:rFonts w:hint="eastAsia" w:ascii="宋体" w:hAnsi="宋体" w:cs="宋体"/>
                <w:b/>
                <w:color w:val="auto"/>
                <w:sz w:val="24"/>
              </w:rPr>
              <w:t>表</w:t>
            </w:r>
            <w:r>
              <w:rPr>
                <w:rFonts w:hint="eastAsia" w:cs="宋体"/>
                <w:b/>
                <w:color w:val="auto"/>
                <w:sz w:val="24"/>
              </w:rPr>
              <w:t>2</w:t>
            </w:r>
            <w:r>
              <w:rPr>
                <w:rFonts w:hint="eastAsia" w:ascii="宋体" w:hAnsi="宋体" w:cs="宋体"/>
                <w:b/>
                <w:color w:val="auto"/>
                <w:sz w:val="24"/>
              </w:rPr>
              <w:t>-4本项目杨广卫生院工程组成一览表</w:t>
            </w:r>
          </w:p>
          <w:tbl>
            <w:tblPr>
              <w:tblStyle w:val="33"/>
              <w:tblW w:w="81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473"/>
              <w:gridCol w:w="474"/>
              <w:gridCol w:w="1677"/>
              <w:gridCol w:w="4090"/>
              <w:gridCol w:w="738"/>
            </w:tblGrid>
            <w:tr w14:paraId="2E5141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726" w:type="dxa"/>
                  <w:shd w:val="clear" w:color="auto" w:fill="D7D7D7"/>
                  <w:vAlign w:val="center"/>
                </w:tcPr>
                <w:p w14:paraId="4D7F1CFC">
                  <w:pPr>
                    <w:pStyle w:val="53"/>
                    <w:ind w:left="0" w:leftChars="0"/>
                    <w:rPr>
                      <w:rStyle w:val="126"/>
                      <w:color w:val="auto"/>
                    </w:rPr>
                  </w:pPr>
                  <w:bookmarkStart w:id="21" w:name="_Hlk192498198"/>
                  <w:r>
                    <w:rPr>
                      <w:rStyle w:val="126"/>
                      <w:color w:val="auto"/>
                    </w:rPr>
                    <w:t>工程</w:t>
                  </w:r>
                </w:p>
                <w:p w14:paraId="2087DFB7">
                  <w:pPr>
                    <w:pStyle w:val="53"/>
                    <w:ind w:left="0" w:leftChars="0"/>
                    <w:rPr>
                      <w:rStyle w:val="126"/>
                      <w:color w:val="auto"/>
                    </w:rPr>
                  </w:pPr>
                  <w:r>
                    <w:rPr>
                      <w:rStyle w:val="126"/>
                      <w:color w:val="auto"/>
                    </w:rPr>
                    <w:t>内容</w:t>
                  </w:r>
                </w:p>
              </w:tc>
              <w:tc>
                <w:tcPr>
                  <w:tcW w:w="947" w:type="dxa"/>
                  <w:gridSpan w:val="2"/>
                  <w:shd w:val="clear" w:color="auto" w:fill="D7D7D7"/>
                  <w:vAlign w:val="center"/>
                </w:tcPr>
                <w:p w14:paraId="179E461A">
                  <w:pPr>
                    <w:pStyle w:val="53"/>
                    <w:ind w:left="0" w:leftChars="0"/>
                    <w:rPr>
                      <w:rStyle w:val="126"/>
                      <w:color w:val="auto"/>
                    </w:rPr>
                  </w:pPr>
                  <w:r>
                    <w:rPr>
                      <w:rStyle w:val="126"/>
                      <w:color w:val="auto"/>
                    </w:rPr>
                    <w:t>名称</w:t>
                  </w:r>
                </w:p>
              </w:tc>
              <w:tc>
                <w:tcPr>
                  <w:tcW w:w="5767" w:type="dxa"/>
                  <w:gridSpan w:val="2"/>
                  <w:shd w:val="clear" w:color="auto" w:fill="D7D7D7"/>
                  <w:vAlign w:val="center"/>
                </w:tcPr>
                <w:p w14:paraId="2DF40606">
                  <w:pPr>
                    <w:pStyle w:val="53"/>
                    <w:ind w:left="0" w:leftChars="0"/>
                    <w:rPr>
                      <w:rStyle w:val="126"/>
                      <w:color w:val="auto"/>
                    </w:rPr>
                  </w:pPr>
                  <w:r>
                    <w:rPr>
                      <w:rStyle w:val="126"/>
                      <w:color w:val="auto"/>
                    </w:rPr>
                    <w:t>工程内容</w:t>
                  </w:r>
                </w:p>
              </w:tc>
              <w:tc>
                <w:tcPr>
                  <w:tcW w:w="738" w:type="dxa"/>
                  <w:shd w:val="clear" w:color="auto" w:fill="D7D7D7"/>
                  <w:vAlign w:val="center"/>
                </w:tcPr>
                <w:p w14:paraId="0597DEF6">
                  <w:pPr>
                    <w:pStyle w:val="53"/>
                    <w:ind w:left="0" w:leftChars="0"/>
                    <w:rPr>
                      <w:rStyle w:val="126"/>
                      <w:color w:val="auto"/>
                    </w:rPr>
                  </w:pPr>
                  <w:r>
                    <w:rPr>
                      <w:rStyle w:val="126"/>
                      <w:color w:val="auto"/>
                    </w:rPr>
                    <w:t>备注</w:t>
                  </w:r>
                </w:p>
              </w:tc>
            </w:tr>
            <w:tr w14:paraId="672567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79" w:hRule="atLeast"/>
                <w:jc w:val="center"/>
              </w:trPr>
              <w:tc>
                <w:tcPr>
                  <w:tcW w:w="726" w:type="dxa"/>
                  <w:vAlign w:val="center"/>
                </w:tcPr>
                <w:p w14:paraId="7E49FBC6">
                  <w:pPr>
                    <w:pStyle w:val="53"/>
                    <w:ind w:left="0" w:leftChars="0"/>
                    <w:rPr>
                      <w:rStyle w:val="126"/>
                      <w:color w:val="auto"/>
                    </w:rPr>
                  </w:pPr>
                  <w:r>
                    <w:rPr>
                      <w:rStyle w:val="126"/>
                      <w:color w:val="auto"/>
                    </w:rPr>
                    <w:t>主体</w:t>
                  </w:r>
                </w:p>
                <w:p w14:paraId="774CD0F0">
                  <w:pPr>
                    <w:pStyle w:val="53"/>
                    <w:ind w:left="0" w:leftChars="0"/>
                    <w:rPr>
                      <w:rStyle w:val="126"/>
                      <w:color w:val="auto"/>
                    </w:rPr>
                  </w:pPr>
                  <w:r>
                    <w:rPr>
                      <w:rStyle w:val="126"/>
                      <w:color w:val="auto"/>
                    </w:rPr>
                    <w:t>工程</w:t>
                  </w:r>
                </w:p>
              </w:tc>
              <w:tc>
                <w:tcPr>
                  <w:tcW w:w="947" w:type="dxa"/>
                  <w:gridSpan w:val="2"/>
                  <w:vAlign w:val="center"/>
                </w:tcPr>
                <w:p w14:paraId="58F88AAF">
                  <w:pPr>
                    <w:pStyle w:val="53"/>
                    <w:ind w:left="0" w:leftChars="0"/>
                    <w:rPr>
                      <w:rStyle w:val="126"/>
                      <w:color w:val="auto"/>
                    </w:rPr>
                  </w:pPr>
                  <w:r>
                    <w:rPr>
                      <w:rFonts w:hint="eastAsia"/>
                      <w:color w:val="auto"/>
                    </w:rPr>
                    <w:t>门诊楼1号楼改造成住院楼</w:t>
                  </w:r>
                </w:p>
              </w:tc>
              <w:tc>
                <w:tcPr>
                  <w:tcW w:w="1677" w:type="dxa"/>
                  <w:tcBorders>
                    <w:right w:val="single" w:color="auto" w:sz="4" w:space="0"/>
                  </w:tcBorders>
                  <w:vAlign w:val="center"/>
                </w:tcPr>
                <w:p w14:paraId="51ED5362">
                  <w:pPr>
                    <w:pStyle w:val="53"/>
                    <w:ind w:left="0" w:leftChars="0"/>
                    <w:rPr>
                      <w:rStyle w:val="126"/>
                      <w:color w:val="auto"/>
                    </w:rPr>
                  </w:pPr>
                  <w:r>
                    <w:rPr>
                      <w:rStyle w:val="126"/>
                      <w:color w:val="auto"/>
                    </w:rPr>
                    <w:t>建筑面积1978.57</w:t>
                  </w:r>
                  <w:r>
                    <w:rPr>
                      <w:rStyle w:val="126"/>
                      <w:rFonts w:hint="eastAsia"/>
                      <w:color w:val="auto"/>
                    </w:rPr>
                    <w:t>m</w:t>
                  </w:r>
                  <w:r>
                    <w:rPr>
                      <w:rStyle w:val="126"/>
                      <w:rFonts w:hint="eastAsia"/>
                      <w:color w:val="auto"/>
                      <w:vertAlign w:val="superscript"/>
                    </w:rPr>
                    <w:t>2</w:t>
                  </w:r>
                  <w:r>
                    <w:rPr>
                      <w:rStyle w:val="126"/>
                      <w:color w:val="auto"/>
                    </w:rPr>
                    <w:t>，投资估算846.09万元。</w:t>
                  </w:r>
                </w:p>
              </w:tc>
              <w:tc>
                <w:tcPr>
                  <w:tcW w:w="4090" w:type="dxa"/>
                  <w:tcBorders>
                    <w:left w:val="single" w:color="auto" w:sz="4" w:space="0"/>
                  </w:tcBorders>
                  <w:vAlign w:val="center"/>
                </w:tcPr>
                <w:p w14:paraId="18A4C174">
                  <w:pPr>
                    <w:pStyle w:val="53"/>
                    <w:ind w:left="0" w:leftChars="0"/>
                    <w:rPr>
                      <w:rStyle w:val="126"/>
                      <w:color w:val="auto"/>
                    </w:rPr>
                  </w:pPr>
                  <w:r>
                    <w:rPr>
                      <w:rStyle w:val="126"/>
                      <w:rFonts w:hint="eastAsia"/>
                      <w:color w:val="auto"/>
                    </w:rPr>
                    <w:t>1层：翻新后改造成门诊和输液大厅；2层：翻新后改造成住院病房；3层：翻新后改造成住院病房；4层：翻新后改造成住院病房、办公区以及洗衣房，新增25个床位。</w:t>
                  </w:r>
                </w:p>
              </w:tc>
              <w:tc>
                <w:tcPr>
                  <w:tcW w:w="738" w:type="dxa"/>
                  <w:vAlign w:val="center"/>
                </w:tcPr>
                <w:p w14:paraId="039E335F">
                  <w:pPr>
                    <w:pStyle w:val="53"/>
                    <w:ind w:left="0" w:leftChars="0"/>
                    <w:rPr>
                      <w:rStyle w:val="126"/>
                      <w:color w:val="auto"/>
                    </w:rPr>
                  </w:pPr>
                  <w:r>
                    <w:rPr>
                      <w:rStyle w:val="126"/>
                      <w:rFonts w:hint="eastAsia"/>
                      <w:color w:val="auto"/>
                    </w:rPr>
                    <w:t>改造</w:t>
                  </w:r>
                </w:p>
              </w:tc>
            </w:tr>
            <w:tr w14:paraId="0325D7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726" w:type="dxa"/>
                  <w:vMerge w:val="restart"/>
                  <w:vAlign w:val="center"/>
                </w:tcPr>
                <w:p w14:paraId="210B13D6">
                  <w:pPr>
                    <w:pStyle w:val="53"/>
                    <w:ind w:left="0" w:leftChars="0"/>
                    <w:rPr>
                      <w:rStyle w:val="126"/>
                      <w:color w:val="auto"/>
                    </w:rPr>
                  </w:pPr>
                  <w:r>
                    <w:rPr>
                      <w:rStyle w:val="126"/>
                      <w:color w:val="auto"/>
                    </w:rPr>
                    <w:t>公用</w:t>
                  </w:r>
                </w:p>
                <w:p w14:paraId="4104CAB7">
                  <w:pPr>
                    <w:pStyle w:val="53"/>
                    <w:ind w:left="0" w:leftChars="0"/>
                    <w:rPr>
                      <w:rStyle w:val="126"/>
                      <w:color w:val="auto"/>
                    </w:rPr>
                  </w:pPr>
                  <w:r>
                    <w:rPr>
                      <w:rStyle w:val="126"/>
                      <w:color w:val="auto"/>
                    </w:rPr>
                    <w:t>工程</w:t>
                  </w:r>
                </w:p>
              </w:tc>
              <w:tc>
                <w:tcPr>
                  <w:tcW w:w="947" w:type="dxa"/>
                  <w:gridSpan w:val="2"/>
                  <w:vAlign w:val="center"/>
                </w:tcPr>
                <w:p w14:paraId="6FE19D61">
                  <w:pPr>
                    <w:pStyle w:val="53"/>
                    <w:ind w:left="0" w:leftChars="0"/>
                    <w:rPr>
                      <w:rStyle w:val="126"/>
                      <w:color w:val="auto"/>
                    </w:rPr>
                  </w:pPr>
                  <w:r>
                    <w:rPr>
                      <w:rStyle w:val="126"/>
                      <w:color w:val="auto"/>
                    </w:rPr>
                    <w:t>供电</w:t>
                  </w:r>
                </w:p>
              </w:tc>
              <w:tc>
                <w:tcPr>
                  <w:tcW w:w="5767" w:type="dxa"/>
                  <w:gridSpan w:val="2"/>
                  <w:vAlign w:val="center"/>
                </w:tcPr>
                <w:p w14:paraId="3D5F7658">
                  <w:pPr>
                    <w:pStyle w:val="53"/>
                    <w:ind w:left="0" w:leftChars="0"/>
                    <w:rPr>
                      <w:rStyle w:val="126"/>
                      <w:color w:val="auto"/>
                    </w:rPr>
                  </w:pPr>
                  <w:r>
                    <w:rPr>
                      <w:rStyle w:val="126"/>
                      <w:rFonts w:hint="eastAsia"/>
                      <w:color w:val="auto"/>
                    </w:rPr>
                    <w:t>电源来源于市政电网接入，本次不新增备用柴油发电机</w:t>
                  </w:r>
                </w:p>
              </w:tc>
              <w:tc>
                <w:tcPr>
                  <w:tcW w:w="738" w:type="dxa"/>
                  <w:vAlign w:val="center"/>
                </w:tcPr>
                <w:p w14:paraId="124BDB39">
                  <w:pPr>
                    <w:pStyle w:val="53"/>
                    <w:ind w:left="0" w:leftChars="0"/>
                    <w:rPr>
                      <w:rStyle w:val="126"/>
                      <w:color w:val="auto"/>
                    </w:rPr>
                  </w:pPr>
                  <w:r>
                    <w:rPr>
                      <w:rStyle w:val="126"/>
                      <w:color w:val="auto"/>
                    </w:rPr>
                    <w:t>依托现有</w:t>
                  </w:r>
                </w:p>
              </w:tc>
            </w:tr>
            <w:tr w14:paraId="7CF2BD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5DCCE3C5">
                  <w:pPr>
                    <w:pStyle w:val="53"/>
                    <w:ind w:left="0" w:leftChars="0"/>
                    <w:rPr>
                      <w:rStyle w:val="126"/>
                      <w:color w:val="auto"/>
                    </w:rPr>
                  </w:pPr>
                </w:p>
              </w:tc>
              <w:tc>
                <w:tcPr>
                  <w:tcW w:w="947" w:type="dxa"/>
                  <w:gridSpan w:val="2"/>
                  <w:vAlign w:val="center"/>
                </w:tcPr>
                <w:p w14:paraId="184AD895">
                  <w:pPr>
                    <w:pStyle w:val="53"/>
                    <w:ind w:left="0" w:leftChars="0"/>
                    <w:rPr>
                      <w:rStyle w:val="126"/>
                      <w:color w:val="auto"/>
                    </w:rPr>
                  </w:pPr>
                  <w:r>
                    <w:rPr>
                      <w:rStyle w:val="126"/>
                      <w:color w:val="auto"/>
                    </w:rPr>
                    <w:t>供水</w:t>
                  </w:r>
                </w:p>
              </w:tc>
              <w:tc>
                <w:tcPr>
                  <w:tcW w:w="5767" w:type="dxa"/>
                  <w:gridSpan w:val="2"/>
                  <w:vAlign w:val="center"/>
                </w:tcPr>
                <w:p w14:paraId="0A6398B6">
                  <w:pPr>
                    <w:pStyle w:val="53"/>
                    <w:ind w:left="0" w:leftChars="0"/>
                    <w:rPr>
                      <w:rStyle w:val="126"/>
                      <w:color w:val="auto"/>
                    </w:rPr>
                  </w:pPr>
                  <w:r>
                    <w:rPr>
                      <w:rStyle w:val="126"/>
                      <w:color w:val="auto"/>
                    </w:rPr>
                    <w:t>由市政供水管网引入，水质水量满足供水要求。</w:t>
                  </w:r>
                </w:p>
              </w:tc>
              <w:tc>
                <w:tcPr>
                  <w:tcW w:w="738" w:type="dxa"/>
                  <w:vAlign w:val="center"/>
                </w:tcPr>
                <w:p w14:paraId="29E623A8">
                  <w:pPr>
                    <w:pStyle w:val="53"/>
                    <w:ind w:left="0" w:leftChars="0"/>
                    <w:rPr>
                      <w:rStyle w:val="126"/>
                      <w:color w:val="auto"/>
                    </w:rPr>
                  </w:pPr>
                  <w:r>
                    <w:rPr>
                      <w:rStyle w:val="126"/>
                      <w:color w:val="auto"/>
                    </w:rPr>
                    <w:t>依托现有</w:t>
                  </w:r>
                </w:p>
              </w:tc>
            </w:tr>
            <w:tr w14:paraId="3CC18E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6" w:type="dxa"/>
                  <w:vMerge w:val="restart"/>
                  <w:vAlign w:val="center"/>
                </w:tcPr>
                <w:p w14:paraId="076DC58F">
                  <w:pPr>
                    <w:pStyle w:val="53"/>
                    <w:ind w:left="0" w:leftChars="0"/>
                    <w:rPr>
                      <w:rStyle w:val="126"/>
                      <w:color w:val="auto"/>
                    </w:rPr>
                  </w:pPr>
                </w:p>
                <w:p w14:paraId="1940ADEF">
                  <w:pPr>
                    <w:pStyle w:val="53"/>
                    <w:ind w:left="0" w:leftChars="0"/>
                    <w:rPr>
                      <w:rStyle w:val="126"/>
                      <w:color w:val="auto"/>
                    </w:rPr>
                  </w:pPr>
                </w:p>
                <w:p w14:paraId="615D5907">
                  <w:pPr>
                    <w:pStyle w:val="53"/>
                    <w:ind w:left="0" w:leftChars="0"/>
                    <w:rPr>
                      <w:rStyle w:val="126"/>
                      <w:color w:val="auto"/>
                    </w:rPr>
                  </w:pPr>
                </w:p>
                <w:p w14:paraId="552D4C04">
                  <w:pPr>
                    <w:pStyle w:val="53"/>
                    <w:ind w:left="0" w:leftChars="0"/>
                    <w:rPr>
                      <w:rStyle w:val="126"/>
                      <w:color w:val="auto"/>
                    </w:rPr>
                  </w:pPr>
                </w:p>
                <w:p w14:paraId="45CA1390">
                  <w:pPr>
                    <w:pStyle w:val="53"/>
                    <w:ind w:left="0" w:leftChars="0"/>
                    <w:rPr>
                      <w:rStyle w:val="126"/>
                      <w:color w:val="auto"/>
                    </w:rPr>
                  </w:pPr>
                </w:p>
                <w:p w14:paraId="745D5A8B">
                  <w:pPr>
                    <w:pStyle w:val="53"/>
                    <w:ind w:left="0" w:leftChars="0"/>
                    <w:rPr>
                      <w:rStyle w:val="126"/>
                      <w:color w:val="auto"/>
                    </w:rPr>
                  </w:pPr>
                </w:p>
                <w:p w14:paraId="3C678187">
                  <w:pPr>
                    <w:pStyle w:val="53"/>
                    <w:ind w:left="0" w:leftChars="0"/>
                    <w:rPr>
                      <w:rStyle w:val="126"/>
                      <w:color w:val="auto"/>
                    </w:rPr>
                  </w:pPr>
                </w:p>
                <w:p w14:paraId="69E0FBC5">
                  <w:pPr>
                    <w:pStyle w:val="53"/>
                    <w:ind w:left="0" w:leftChars="0"/>
                    <w:rPr>
                      <w:rStyle w:val="126"/>
                      <w:color w:val="auto"/>
                    </w:rPr>
                  </w:pPr>
                </w:p>
                <w:p w14:paraId="7727ABB3">
                  <w:pPr>
                    <w:pStyle w:val="53"/>
                    <w:ind w:left="0" w:leftChars="0"/>
                    <w:rPr>
                      <w:rStyle w:val="126"/>
                      <w:color w:val="auto"/>
                    </w:rPr>
                  </w:pPr>
                </w:p>
                <w:p w14:paraId="47F2EAE3">
                  <w:pPr>
                    <w:pStyle w:val="53"/>
                    <w:ind w:left="0" w:leftChars="0"/>
                    <w:rPr>
                      <w:rStyle w:val="126"/>
                      <w:color w:val="auto"/>
                    </w:rPr>
                  </w:pPr>
                </w:p>
                <w:p w14:paraId="4D29DFDB">
                  <w:pPr>
                    <w:pStyle w:val="53"/>
                    <w:ind w:left="0" w:leftChars="0"/>
                    <w:rPr>
                      <w:rStyle w:val="126"/>
                      <w:color w:val="auto"/>
                    </w:rPr>
                  </w:pPr>
                </w:p>
                <w:p w14:paraId="5A7DA2C8">
                  <w:pPr>
                    <w:pStyle w:val="53"/>
                    <w:ind w:left="0" w:leftChars="0"/>
                    <w:rPr>
                      <w:rStyle w:val="126"/>
                      <w:color w:val="auto"/>
                    </w:rPr>
                  </w:pPr>
                </w:p>
                <w:p w14:paraId="20DAC4C6">
                  <w:pPr>
                    <w:pStyle w:val="53"/>
                    <w:ind w:left="0" w:leftChars="0"/>
                    <w:rPr>
                      <w:rStyle w:val="126"/>
                      <w:color w:val="auto"/>
                    </w:rPr>
                  </w:pPr>
                </w:p>
                <w:p w14:paraId="03BBABE9">
                  <w:pPr>
                    <w:pStyle w:val="53"/>
                    <w:ind w:left="0" w:leftChars="0"/>
                    <w:rPr>
                      <w:rStyle w:val="126"/>
                      <w:color w:val="auto"/>
                    </w:rPr>
                  </w:pPr>
                </w:p>
                <w:p w14:paraId="51BEC42A">
                  <w:pPr>
                    <w:pStyle w:val="53"/>
                    <w:ind w:left="0" w:leftChars="0"/>
                    <w:rPr>
                      <w:rStyle w:val="126"/>
                      <w:color w:val="auto"/>
                    </w:rPr>
                  </w:pPr>
                </w:p>
                <w:p w14:paraId="1E7853C8">
                  <w:pPr>
                    <w:pStyle w:val="53"/>
                    <w:ind w:left="0" w:leftChars="0"/>
                    <w:rPr>
                      <w:rStyle w:val="126"/>
                      <w:color w:val="auto"/>
                    </w:rPr>
                  </w:pPr>
                </w:p>
                <w:p w14:paraId="0932CEF1">
                  <w:pPr>
                    <w:pStyle w:val="53"/>
                    <w:ind w:left="0" w:leftChars="0"/>
                    <w:rPr>
                      <w:rStyle w:val="126"/>
                      <w:color w:val="auto"/>
                    </w:rPr>
                  </w:pPr>
                  <w:r>
                    <w:rPr>
                      <w:rStyle w:val="126"/>
                      <w:color w:val="auto"/>
                    </w:rPr>
                    <w:t>环保工程</w:t>
                  </w:r>
                </w:p>
                <w:p w14:paraId="7D399843">
                  <w:pPr>
                    <w:pStyle w:val="53"/>
                    <w:ind w:left="0" w:leftChars="0"/>
                    <w:rPr>
                      <w:rStyle w:val="126"/>
                      <w:color w:val="auto"/>
                    </w:rPr>
                  </w:pPr>
                </w:p>
              </w:tc>
              <w:tc>
                <w:tcPr>
                  <w:tcW w:w="473" w:type="dxa"/>
                  <w:vMerge w:val="restart"/>
                  <w:vAlign w:val="center"/>
                </w:tcPr>
                <w:p w14:paraId="259342B2">
                  <w:pPr>
                    <w:pStyle w:val="53"/>
                    <w:ind w:left="0" w:leftChars="0"/>
                    <w:rPr>
                      <w:rStyle w:val="126"/>
                      <w:color w:val="auto"/>
                    </w:rPr>
                  </w:pPr>
                  <w:r>
                    <w:rPr>
                      <w:rStyle w:val="126"/>
                      <w:rFonts w:hint="eastAsia"/>
                      <w:color w:val="auto"/>
                    </w:rPr>
                    <w:t>废水</w:t>
                  </w:r>
                </w:p>
              </w:tc>
              <w:tc>
                <w:tcPr>
                  <w:tcW w:w="474" w:type="dxa"/>
                  <w:vAlign w:val="center"/>
                </w:tcPr>
                <w:p w14:paraId="1D725FFD">
                  <w:pPr>
                    <w:pStyle w:val="53"/>
                    <w:ind w:left="0" w:leftChars="0"/>
                    <w:rPr>
                      <w:rStyle w:val="126"/>
                      <w:color w:val="auto"/>
                    </w:rPr>
                  </w:pPr>
                  <w:r>
                    <w:rPr>
                      <w:rStyle w:val="126"/>
                      <w:rFonts w:hint="eastAsia"/>
                      <w:color w:val="auto"/>
                    </w:rPr>
                    <w:t>医疗废水</w:t>
                  </w:r>
                </w:p>
              </w:tc>
              <w:tc>
                <w:tcPr>
                  <w:tcW w:w="5767" w:type="dxa"/>
                  <w:gridSpan w:val="2"/>
                  <w:vAlign w:val="center"/>
                </w:tcPr>
                <w:p w14:paraId="47D91EAA">
                  <w:pPr>
                    <w:pStyle w:val="53"/>
                    <w:ind w:left="0" w:leftChars="0"/>
                    <w:rPr>
                      <w:rStyle w:val="126"/>
                      <w:color w:val="auto"/>
                    </w:rPr>
                  </w:pPr>
                  <w:r>
                    <w:rPr>
                      <w:rFonts w:hint="eastAsia"/>
                      <w:color w:val="auto"/>
                      <w:szCs w:val="21"/>
                    </w:rPr>
                    <w:t>新建一座容积不小于9m</w:t>
                  </w:r>
                  <w:r>
                    <w:rPr>
                      <w:rFonts w:hint="eastAsia"/>
                      <w:color w:val="auto"/>
                      <w:szCs w:val="21"/>
                      <w:vertAlign w:val="superscript"/>
                    </w:rPr>
                    <w:t>3</w:t>
                  </w:r>
                  <w:r>
                    <w:rPr>
                      <w:rFonts w:hint="eastAsia"/>
                      <w:color w:val="auto"/>
                      <w:szCs w:val="21"/>
                    </w:rPr>
                    <w:t>的综合废水化粪池</w:t>
                  </w:r>
                  <w:r>
                    <w:rPr>
                      <w:rFonts w:hint="eastAsia"/>
                      <w:color w:val="auto"/>
                      <w:szCs w:val="21"/>
                      <w:lang w:val="en-US" w:eastAsia="zh-CN"/>
                    </w:rPr>
                    <w:t>和一座容积不小于6m³的事故应急池</w:t>
                  </w:r>
                  <w:r>
                    <w:rPr>
                      <w:rFonts w:hint="eastAsia"/>
                      <w:color w:val="auto"/>
                      <w:szCs w:val="21"/>
                    </w:rPr>
                    <w:t>；</w:t>
                  </w:r>
                  <w:r>
                    <w:rPr>
                      <w:rFonts w:hint="eastAsia"/>
                      <w:color w:val="auto"/>
                      <w:szCs w:val="21"/>
                      <w:lang w:val="en-US" w:eastAsia="zh-CN"/>
                    </w:rPr>
                    <w:t>新建</w:t>
                  </w:r>
                  <w:r>
                    <w:rPr>
                      <w:rFonts w:hint="eastAsia"/>
                      <w:color w:val="auto"/>
                      <w:szCs w:val="21"/>
                    </w:rPr>
                    <w:t>一座10m</w:t>
                  </w:r>
                  <w:r>
                    <w:rPr>
                      <w:rFonts w:hint="eastAsia"/>
                      <w:color w:val="auto"/>
                      <w:szCs w:val="21"/>
                      <w:vertAlign w:val="superscript"/>
                    </w:rPr>
                    <w:t>3</w:t>
                  </w:r>
                  <w:r>
                    <w:rPr>
                      <w:rFonts w:hint="eastAsia"/>
                      <w:color w:val="auto"/>
                      <w:szCs w:val="21"/>
                    </w:rPr>
                    <w:t>/d的污水处理站</w:t>
                  </w:r>
                </w:p>
              </w:tc>
              <w:tc>
                <w:tcPr>
                  <w:tcW w:w="738" w:type="dxa"/>
                  <w:vAlign w:val="center"/>
                </w:tcPr>
                <w:p w14:paraId="6F7A2A9C">
                  <w:pPr>
                    <w:pStyle w:val="53"/>
                    <w:ind w:left="0" w:leftChars="0"/>
                    <w:rPr>
                      <w:rStyle w:val="126"/>
                      <w:color w:val="auto"/>
                    </w:rPr>
                  </w:pPr>
                  <w:r>
                    <w:rPr>
                      <w:rStyle w:val="126"/>
                      <w:rFonts w:hint="eastAsia"/>
                      <w:color w:val="auto"/>
                    </w:rPr>
                    <w:t>新建</w:t>
                  </w:r>
                </w:p>
              </w:tc>
            </w:tr>
            <w:tr w14:paraId="70CA8B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11" w:hRule="atLeast"/>
                <w:jc w:val="center"/>
              </w:trPr>
              <w:tc>
                <w:tcPr>
                  <w:tcW w:w="726" w:type="dxa"/>
                  <w:vMerge w:val="continue"/>
                  <w:vAlign w:val="center"/>
                </w:tcPr>
                <w:p w14:paraId="68760105">
                  <w:pPr>
                    <w:pStyle w:val="53"/>
                    <w:ind w:left="0" w:leftChars="0"/>
                    <w:rPr>
                      <w:rStyle w:val="126"/>
                      <w:color w:val="auto"/>
                    </w:rPr>
                  </w:pPr>
                </w:p>
              </w:tc>
              <w:tc>
                <w:tcPr>
                  <w:tcW w:w="473" w:type="dxa"/>
                  <w:vMerge w:val="continue"/>
                  <w:vAlign w:val="center"/>
                </w:tcPr>
                <w:p w14:paraId="1211FAC8">
                  <w:pPr>
                    <w:pStyle w:val="53"/>
                    <w:ind w:left="0" w:leftChars="0"/>
                    <w:rPr>
                      <w:rStyle w:val="126"/>
                      <w:color w:val="auto"/>
                    </w:rPr>
                  </w:pPr>
                </w:p>
              </w:tc>
              <w:tc>
                <w:tcPr>
                  <w:tcW w:w="474" w:type="dxa"/>
                  <w:vAlign w:val="center"/>
                </w:tcPr>
                <w:p w14:paraId="56CE7597">
                  <w:pPr>
                    <w:pStyle w:val="53"/>
                    <w:ind w:left="0" w:leftChars="0"/>
                    <w:rPr>
                      <w:rStyle w:val="126"/>
                      <w:color w:val="auto"/>
                    </w:rPr>
                  </w:pPr>
                  <w:r>
                    <w:rPr>
                      <w:rFonts w:hint="eastAsia" w:ascii="宋体" w:hAnsi="宋体" w:cs="宋体"/>
                      <w:color w:val="auto"/>
                      <w:kern w:val="0"/>
                      <w:szCs w:val="21"/>
                      <w:lang w:bidi="ar"/>
                    </w:rPr>
                    <w:t>生活污水</w:t>
                  </w:r>
                </w:p>
              </w:tc>
              <w:tc>
                <w:tcPr>
                  <w:tcW w:w="5767" w:type="dxa"/>
                  <w:gridSpan w:val="2"/>
                  <w:vAlign w:val="center"/>
                </w:tcPr>
                <w:p w14:paraId="4981FEC4">
                  <w:pPr>
                    <w:pStyle w:val="53"/>
                    <w:ind w:left="0" w:leftChars="0"/>
                    <w:rPr>
                      <w:rStyle w:val="126"/>
                      <w:color w:val="auto"/>
                    </w:rPr>
                  </w:pPr>
                  <w:r>
                    <w:rPr>
                      <w:bCs/>
                      <w:color w:val="auto"/>
                      <w:szCs w:val="21"/>
                    </w:rPr>
                    <w:t>隔油池</w:t>
                  </w:r>
                  <w:r>
                    <w:rPr>
                      <w:color w:val="auto"/>
                      <w:szCs w:val="21"/>
                    </w:rPr>
                    <w:t>依托现有的1m³的隔油池</w:t>
                  </w:r>
                  <w:r>
                    <w:rPr>
                      <w:rFonts w:hint="eastAsia"/>
                      <w:color w:val="auto"/>
                      <w:szCs w:val="21"/>
                    </w:rPr>
                    <w:t>，生活污水化粪池依托现有的2个生活污水化粪池，</w:t>
                  </w:r>
                  <w:r>
                    <w:rPr>
                      <w:color w:val="auto"/>
                      <w:szCs w:val="21"/>
                    </w:rPr>
                    <w:t>容积</w:t>
                  </w:r>
                  <w:r>
                    <w:rPr>
                      <w:rFonts w:hint="eastAsia"/>
                      <w:color w:val="auto"/>
                      <w:szCs w:val="21"/>
                    </w:rPr>
                    <w:t>共计为13m³。</w:t>
                  </w:r>
                </w:p>
              </w:tc>
              <w:tc>
                <w:tcPr>
                  <w:tcW w:w="738" w:type="dxa"/>
                  <w:vAlign w:val="center"/>
                </w:tcPr>
                <w:p w14:paraId="1B178809">
                  <w:pPr>
                    <w:pStyle w:val="53"/>
                    <w:ind w:left="0" w:leftChars="0"/>
                    <w:rPr>
                      <w:rStyle w:val="126"/>
                      <w:color w:val="auto"/>
                    </w:rPr>
                  </w:pPr>
                  <w:r>
                    <w:rPr>
                      <w:rStyle w:val="126"/>
                      <w:rFonts w:hint="eastAsia"/>
                      <w:color w:val="auto"/>
                    </w:rPr>
                    <w:t>依托</w:t>
                  </w:r>
                </w:p>
              </w:tc>
            </w:tr>
            <w:tr w14:paraId="6214C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25490E64">
                  <w:pPr>
                    <w:pStyle w:val="53"/>
                    <w:ind w:left="0" w:leftChars="0"/>
                    <w:rPr>
                      <w:rStyle w:val="126"/>
                      <w:color w:val="auto"/>
                    </w:rPr>
                  </w:pPr>
                </w:p>
              </w:tc>
              <w:tc>
                <w:tcPr>
                  <w:tcW w:w="947" w:type="dxa"/>
                  <w:gridSpan w:val="2"/>
                  <w:vAlign w:val="center"/>
                </w:tcPr>
                <w:p w14:paraId="7EB9E738">
                  <w:pPr>
                    <w:pStyle w:val="53"/>
                    <w:ind w:left="0" w:leftChars="0"/>
                    <w:rPr>
                      <w:rStyle w:val="126"/>
                      <w:color w:val="auto"/>
                    </w:rPr>
                  </w:pPr>
                  <w:r>
                    <w:rPr>
                      <w:rStyle w:val="126"/>
                      <w:color w:val="auto"/>
                    </w:rPr>
                    <w:t>废气</w:t>
                  </w:r>
                </w:p>
              </w:tc>
              <w:tc>
                <w:tcPr>
                  <w:tcW w:w="5767" w:type="dxa"/>
                  <w:gridSpan w:val="2"/>
                  <w:vAlign w:val="center"/>
                </w:tcPr>
                <w:p w14:paraId="3CE847D4">
                  <w:pPr>
                    <w:pStyle w:val="53"/>
                    <w:ind w:left="0" w:leftChars="0"/>
                    <w:rPr>
                      <w:rStyle w:val="126"/>
                      <w:color w:val="auto"/>
                    </w:rPr>
                  </w:pPr>
                  <w:r>
                    <w:rPr>
                      <w:rStyle w:val="126"/>
                      <w:rFonts w:hint="eastAsia"/>
                      <w:color w:val="auto"/>
                    </w:rPr>
                    <w:t>污水处理站臭气：</w:t>
                  </w:r>
                  <w:r>
                    <w:rPr>
                      <w:rFonts w:hint="eastAsia" w:ascii="宋体" w:hAnsi="宋体" w:cs="宋体"/>
                      <w:color w:val="auto"/>
                      <w:szCs w:val="21"/>
                    </w:rPr>
                    <w:t>投放除臭剂</w:t>
                  </w:r>
                </w:p>
              </w:tc>
              <w:tc>
                <w:tcPr>
                  <w:tcW w:w="738" w:type="dxa"/>
                  <w:vAlign w:val="center"/>
                </w:tcPr>
                <w:p w14:paraId="36186CDA">
                  <w:pPr>
                    <w:pStyle w:val="53"/>
                    <w:ind w:left="0" w:leftChars="0"/>
                    <w:rPr>
                      <w:rStyle w:val="126"/>
                      <w:color w:val="auto"/>
                    </w:rPr>
                  </w:pPr>
                  <w:r>
                    <w:rPr>
                      <w:rStyle w:val="126"/>
                      <w:rFonts w:hint="eastAsia"/>
                      <w:color w:val="auto"/>
                    </w:rPr>
                    <w:t>/</w:t>
                  </w:r>
                </w:p>
              </w:tc>
            </w:tr>
            <w:tr w14:paraId="083F34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26" w:type="dxa"/>
                  <w:vMerge w:val="continue"/>
                  <w:vAlign w:val="center"/>
                </w:tcPr>
                <w:p w14:paraId="518BE473">
                  <w:pPr>
                    <w:pStyle w:val="53"/>
                    <w:ind w:left="0" w:leftChars="0"/>
                    <w:rPr>
                      <w:rStyle w:val="126"/>
                      <w:color w:val="auto"/>
                    </w:rPr>
                  </w:pPr>
                </w:p>
              </w:tc>
              <w:tc>
                <w:tcPr>
                  <w:tcW w:w="947" w:type="dxa"/>
                  <w:gridSpan w:val="2"/>
                  <w:vMerge w:val="restart"/>
                  <w:vAlign w:val="center"/>
                </w:tcPr>
                <w:p w14:paraId="7EC7ECFC">
                  <w:pPr>
                    <w:pStyle w:val="53"/>
                    <w:ind w:left="0" w:leftChars="0"/>
                    <w:rPr>
                      <w:rStyle w:val="126"/>
                      <w:color w:val="auto"/>
                    </w:rPr>
                  </w:pPr>
                  <w:r>
                    <w:rPr>
                      <w:rStyle w:val="126"/>
                      <w:color w:val="auto"/>
                    </w:rPr>
                    <w:t>固废</w:t>
                  </w:r>
                </w:p>
              </w:tc>
              <w:tc>
                <w:tcPr>
                  <w:tcW w:w="5767" w:type="dxa"/>
                  <w:gridSpan w:val="2"/>
                  <w:vAlign w:val="center"/>
                </w:tcPr>
                <w:p w14:paraId="56DB7E40">
                  <w:pPr>
                    <w:pStyle w:val="53"/>
                    <w:ind w:left="0" w:leftChars="0"/>
                    <w:jc w:val="left"/>
                    <w:rPr>
                      <w:color w:val="auto"/>
                    </w:rPr>
                  </w:pPr>
                  <w:r>
                    <w:rPr>
                      <w:rStyle w:val="126"/>
                      <w:rFonts w:hint="eastAsia"/>
                      <w:color w:val="auto"/>
                    </w:rPr>
                    <w:t>医疗固废暂存间（1间，10㎡）；位于卫生院停车场旁；设置了标牌标识。</w:t>
                  </w:r>
                  <w:r>
                    <w:rPr>
                      <w:rStyle w:val="126"/>
                      <w:color w:val="auto"/>
                    </w:rPr>
                    <w:t>病房及医护人员办公室放置</w:t>
                  </w:r>
                  <w:r>
                    <w:rPr>
                      <w:rStyle w:val="126"/>
                      <w:rFonts w:hint="eastAsia"/>
                      <w:color w:val="auto"/>
                    </w:rPr>
                    <w:t>医废</w:t>
                  </w:r>
                  <w:r>
                    <w:rPr>
                      <w:rStyle w:val="126"/>
                      <w:color w:val="auto"/>
                    </w:rPr>
                    <w:t>桶。</w:t>
                  </w:r>
                  <w:r>
                    <w:rPr>
                      <w:rStyle w:val="126"/>
                      <w:rFonts w:hint="eastAsia"/>
                      <w:color w:val="auto"/>
                    </w:rPr>
                    <w:t>危废暂存间采取重点防渗措施：地面及裙角均</w:t>
                  </w:r>
                  <w:r>
                    <w:rPr>
                      <w:rStyle w:val="126"/>
                      <w:rFonts w:hint="eastAsia"/>
                      <w:color w:val="auto"/>
                      <w:lang w:val="zh-CN"/>
                    </w:rPr>
                    <w:t>采用水泥+2mm厚HDPE+环氧树脂</w:t>
                  </w:r>
                  <w:r>
                    <w:rPr>
                      <w:rStyle w:val="126"/>
                      <w:rFonts w:hint="eastAsia"/>
                      <w:color w:val="auto"/>
                    </w:rPr>
                    <w:t>，渗透系数≤10</w:t>
                  </w:r>
                  <w:r>
                    <w:rPr>
                      <w:rStyle w:val="126"/>
                      <w:rFonts w:hint="eastAsia"/>
                      <w:color w:val="auto"/>
                      <w:vertAlign w:val="superscript"/>
                    </w:rPr>
                    <w:t>-10</w:t>
                  </w:r>
                  <w:r>
                    <w:rPr>
                      <w:rStyle w:val="126"/>
                      <w:rFonts w:hint="eastAsia"/>
                      <w:color w:val="auto"/>
                    </w:rPr>
                    <w:t>cm/s</w:t>
                  </w:r>
                </w:p>
              </w:tc>
              <w:tc>
                <w:tcPr>
                  <w:tcW w:w="738" w:type="dxa"/>
                  <w:vAlign w:val="center"/>
                </w:tcPr>
                <w:p w14:paraId="3D873D15">
                  <w:pPr>
                    <w:pStyle w:val="53"/>
                    <w:ind w:left="0" w:leftChars="0"/>
                    <w:rPr>
                      <w:rStyle w:val="126"/>
                      <w:color w:val="auto"/>
                    </w:rPr>
                  </w:pPr>
                  <w:r>
                    <w:rPr>
                      <w:rStyle w:val="126"/>
                      <w:rFonts w:hint="eastAsia"/>
                      <w:color w:val="auto"/>
                    </w:rPr>
                    <w:t>依托</w:t>
                  </w:r>
                </w:p>
              </w:tc>
            </w:tr>
            <w:tr w14:paraId="743925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26" w:type="dxa"/>
                  <w:vMerge w:val="continue"/>
                  <w:vAlign w:val="center"/>
                </w:tcPr>
                <w:p w14:paraId="7BD4E02F">
                  <w:pPr>
                    <w:pStyle w:val="53"/>
                    <w:ind w:left="0" w:leftChars="0"/>
                    <w:rPr>
                      <w:rStyle w:val="126"/>
                      <w:color w:val="auto"/>
                    </w:rPr>
                  </w:pPr>
                </w:p>
              </w:tc>
              <w:tc>
                <w:tcPr>
                  <w:tcW w:w="947" w:type="dxa"/>
                  <w:gridSpan w:val="2"/>
                  <w:vMerge w:val="continue"/>
                  <w:vAlign w:val="center"/>
                </w:tcPr>
                <w:p w14:paraId="30A95746">
                  <w:pPr>
                    <w:pStyle w:val="53"/>
                    <w:ind w:left="0" w:leftChars="0"/>
                    <w:rPr>
                      <w:rStyle w:val="126"/>
                      <w:color w:val="auto"/>
                    </w:rPr>
                  </w:pPr>
                </w:p>
              </w:tc>
              <w:tc>
                <w:tcPr>
                  <w:tcW w:w="5767" w:type="dxa"/>
                  <w:gridSpan w:val="2"/>
                  <w:vAlign w:val="center"/>
                </w:tcPr>
                <w:p w14:paraId="6B85D6FE">
                  <w:pPr>
                    <w:pStyle w:val="53"/>
                    <w:ind w:left="0" w:leftChars="0"/>
                    <w:rPr>
                      <w:rStyle w:val="126"/>
                      <w:color w:val="auto"/>
                    </w:rPr>
                  </w:pPr>
                  <w:r>
                    <w:rPr>
                      <w:rStyle w:val="126"/>
                      <w:rFonts w:hint="eastAsia"/>
                      <w:color w:val="auto"/>
                    </w:rPr>
                    <w:t>垃圾桶若干</w:t>
                  </w:r>
                </w:p>
              </w:tc>
              <w:tc>
                <w:tcPr>
                  <w:tcW w:w="738" w:type="dxa"/>
                  <w:vAlign w:val="center"/>
                </w:tcPr>
                <w:p w14:paraId="0895C1D1">
                  <w:pPr>
                    <w:pStyle w:val="53"/>
                    <w:ind w:left="0" w:leftChars="0"/>
                    <w:rPr>
                      <w:rStyle w:val="126"/>
                      <w:color w:val="auto"/>
                    </w:rPr>
                  </w:pPr>
                  <w:r>
                    <w:rPr>
                      <w:rStyle w:val="126"/>
                      <w:rFonts w:hint="eastAsia"/>
                      <w:color w:val="auto"/>
                    </w:rPr>
                    <w:t>新建</w:t>
                  </w:r>
                </w:p>
              </w:tc>
            </w:tr>
            <w:tr w14:paraId="0E4B9E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726" w:type="dxa"/>
                  <w:vMerge w:val="continue"/>
                  <w:vAlign w:val="center"/>
                </w:tcPr>
                <w:p w14:paraId="4F7394E2">
                  <w:pPr>
                    <w:pStyle w:val="53"/>
                    <w:ind w:left="0" w:leftChars="0"/>
                    <w:rPr>
                      <w:rStyle w:val="126"/>
                      <w:color w:val="auto"/>
                    </w:rPr>
                  </w:pPr>
                </w:p>
              </w:tc>
              <w:tc>
                <w:tcPr>
                  <w:tcW w:w="947" w:type="dxa"/>
                  <w:gridSpan w:val="2"/>
                  <w:vAlign w:val="center"/>
                </w:tcPr>
                <w:p w14:paraId="202375A6">
                  <w:pPr>
                    <w:pStyle w:val="53"/>
                    <w:ind w:left="0" w:leftChars="0"/>
                    <w:rPr>
                      <w:rStyle w:val="126"/>
                      <w:color w:val="auto"/>
                    </w:rPr>
                  </w:pPr>
                  <w:r>
                    <w:rPr>
                      <w:rStyle w:val="126"/>
                      <w:color w:val="auto"/>
                    </w:rPr>
                    <w:t>噪声</w:t>
                  </w:r>
                </w:p>
              </w:tc>
              <w:tc>
                <w:tcPr>
                  <w:tcW w:w="5767" w:type="dxa"/>
                  <w:gridSpan w:val="2"/>
                  <w:vAlign w:val="center"/>
                </w:tcPr>
                <w:p w14:paraId="0B652917">
                  <w:pPr>
                    <w:pStyle w:val="53"/>
                    <w:ind w:left="0" w:leftChars="0"/>
                    <w:rPr>
                      <w:color w:val="auto"/>
                      <w:szCs w:val="21"/>
                    </w:rPr>
                  </w:pPr>
                  <w:r>
                    <w:rPr>
                      <w:rStyle w:val="126"/>
                      <w:rFonts w:hint="eastAsia"/>
                      <w:color w:val="auto"/>
                    </w:rPr>
                    <w:t>污水处理系统水泵</w:t>
                  </w:r>
                  <w:r>
                    <w:rPr>
                      <w:rFonts w:hint="eastAsia"/>
                      <w:color w:val="auto"/>
                      <w:szCs w:val="21"/>
                    </w:rPr>
                    <w:t>设备减振、</w:t>
                  </w:r>
                  <w:r>
                    <w:rPr>
                      <w:rFonts w:hint="eastAsia" w:ascii="宋体" w:hAnsi="宋体" w:cs="宋体"/>
                      <w:color w:val="auto"/>
                      <w:szCs w:val="21"/>
                    </w:rPr>
                    <w:t>风机安装消声器、</w:t>
                  </w:r>
                  <w:r>
                    <w:rPr>
                      <w:rFonts w:hint="eastAsia"/>
                      <w:color w:val="auto"/>
                      <w:szCs w:val="21"/>
                    </w:rPr>
                    <w:t>建筑隔声</w:t>
                  </w:r>
                </w:p>
              </w:tc>
              <w:tc>
                <w:tcPr>
                  <w:tcW w:w="738" w:type="dxa"/>
                  <w:vAlign w:val="center"/>
                </w:tcPr>
                <w:p w14:paraId="42E60B48">
                  <w:pPr>
                    <w:pStyle w:val="53"/>
                    <w:ind w:left="0" w:leftChars="0"/>
                    <w:rPr>
                      <w:rStyle w:val="126"/>
                      <w:color w:val="auto"/>
                    </w:rPr>
                  </w:pPr>
                  <w:r>
                    <w:rPr>
                      <w:rStyle w:val="126"/>
                      <w:rFonts w:hint="eastAsia"/>
                      <w:color w:val="auto"/>
                    </w:rPr>
                    <w:t>新建</w:t>
                  </w:r>
                </w:p>
              </w:tc>
            </w:tr>
            <w:bookmarkEnd w:id="21"/>
          </w:tbl>
          <w:p w14:paraId="0603CA76">
            <w:pPr>
              <w:ind w:firstLine="3132" w:firstLineChars="1300"/>
              <w:rPr>
                <w:b/>
                <w:color w:val="auto"/>
                <w:sz w:val="24"/>
              </w:rPr>
            </w:pPr>
          </w:p>
          <w:p w14:paraId="5A7ABAFA">
            <w:pPr>
              <w:ind w:firstLine="3132" w:firstLineChars="1300"/>
              <w:rPr>
                <w:b/>
                <w:color w:val="auto"/>
                <w:sz w:val="24"/>
              </w:rPr>
            </w:pPr>
            <w:r>
              <w:rPr>
                <w:rFonts w:hint="eastAsia"/>
                <w:b/>
                <w:color w:val="auto"/>
                <w:sz w:val="24"/>
              </w:rPr>
              <w:t>表2-5依托工程一览表</w:t>
            </w:r>
          </w:p>
          <w:tbl>
            <w:tblPr>
              <w:tblStyle w:val="33"/>
              <w:tblW w:w="8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60"/>
              <w:gridCol w:w="2988"/>
              <w:gridCol w:w="2796"/>
            </w:tblGrid>
            <w:tr w14:paraId="3B15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Align w:val="center"/>
                </w:tcPr>
                <w:p w14:paraId="3163E5CF">
                  <w:pPr>
                    <w:jc w:val="center"/>
                    <w:rPr>
                      <w:b/>
                      <w:color w:val="auto"/>
                      <w:szCs w:val="21"/>
                    </w:rPr>
                  </w:pPr>
                  <w:r>
                    <w:rPr>
                      <w:rFonts w:hint="eastAsia"/>
                      <w:b/>
                      <w:color w:val="auto"/>
                      <w:szCs w:val="21"/>
                    </w:rPr>
                    <w:t>分区</w:t>
                  </w:r>
                </w:p>
              </w:tc>
              <w:tc>
                <w:tcPr>
                  <w:tcW w:w="1260" w:type="dxa"/>
                  <w:vAlign w:val="center"/>
                </w:tcPr>
                <w:p w14:paraId="6073F9A2">
                  <w:pPr>
                    <w:jc w:val="center"/>
                    <w:rPr>
                      <w:b/>
                      <w:color w:val="auto"/>
                      <w:szCs w:val="21"/>
                    </w:rPr>
                  </w:pPr>
                  <w:r>
                    <w:rPr>
                      <w:rFonts w:hint="eastAsia"/>
                      <w:b/>
                      <w:color w:val="auto"/>
                      <w:szCs w:val="21"/>
                    </w:rPr>
                    <w:t>工程名称</w:t>
                  </w:r>
                </w:p>
              </w:tc>
              <w:tc>
                <w:tcPr>
                  <w:tcW w:w="2988" w:type="dxa"/>
                  <w:vAlign w:val="center"/>
                </w:tcPr>
                <w:p w14:paraId="5C3CA7F9">
                  <w:pPr>
                    <w:jc w:val="center"/>
                    <w:rPr>
                      <w:b/>
                      <w:color w:val="auto"/>
                      <w:szCs w:val="21"/>
                    </w:rPr>
                  </w:pPr>
                  <w:r>
                    <w:rPr>
                      <w:rFonts w:hint="eastAsia"/>
                      <w:b/>
                      <w:color w:val="auto"/>
                      <w:szCs w:val="21"/>
                    </w:rPr>
                    <w:t>规模</w:t>
                  </w:r>
                </w:p>
              </w:tc>
              <w:tc>
                <w:tcPr>
                  <w:tcW w:w="2796" w:type="dxa"/>
                  <w:vAlign w:val="center"/>
                </w:tcPr>
                <w:p w14:paraId="1E04D96B">
                  <w:pPr>
                    <w:jc w:val="center"/>
                    <w:rPr>
                      <w:b/>
                      <w:color w:val="auto"/>
                      <w:szCs w:val="21"/>
                    </w:rPr>
                  </w:pPr>
                  <w:r>
                    <w:rPr>
                      <w:rFonts w:hint="eastAsia"/>
                      <w:b/>
                      <w:color w:val="auto"/>
                      <w:szCs w:val="21"/>
                    </w:rPr>
                    <w:t>依托情况</w:t>
                  </w:r>
                </w:p>
              </w:tc>
            </w:tr>
            <w:tr w14:paraId="598A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993" w:type="dxa"/>
                  <w:vMerge w:val="restart"/>
                  <w:vAlign w:val="center"/>
                </w:tcPr>
                <w:p w14:paraId="49EDE188">
                  <w:pPr>
                    <w:jc w:val="center"/>
                    <w:rPr>
                      <w:b/>
                      <w:color w:val="auto"/>
                      <w:szCs w:val="21"/>
                    </w:rPr>
                  </w:pPr>
                  <w:r>
                    <w:rPr>
                      <w:rFonts w:hint="eastAsia"/>
                      <w:b/>
                      <w:color w:val="auto"/>
                      <w:szCs w:val="21"/>
                    </w:rPr>
                    <w:t>纳古卫生院</w:t>
                  </w:r>
                </w:p>
              </w:tc>
              <w:tc>
                <w:tcPr>
                  <w:tcW w:w="1260" w:type="dxa"/>
                  <w:vAlign w:val="center"/>
                </w:tcPr>
                <w:p w14:paraId="45F2013D">
                  <w:pPr>
                    <w:jc w:val="center"/>
                    <w:rPr>
                      <w:b/>
                      <w:color w:val="auto"/>
                      <w:szCs w:val="21"/>
                    </w:rPr>
                  </w:pPr>
                  <w:r>
                    <w:rPr>
                      <w:rFonts w:hint="eastAsia"/>
                      <w:bCs/>
                      <w:color w:val="auto"/>
                      <w:szCs w:val="21"/>
                    </w:rPr>
                    <w:t>危废/医废暂存间</w:t>
                  </w:r>
                </w:p>
              </w:tc>
              <w:tc>
                <w:tcPr>
                  <w:tcW w:w="2988" w:type="dxa"/>
                  <w:vAlign w:val="center"/>
                </w:tcPr>
                <w:p w14:paraId="70264B09">
                  <w:pPr>
                    <w:jc w:val="center"/>
                    <w:rPr>
                      <w:b/>
                      <w:color w:val="auto"/>
                      <w:szCs w:val="21"/>
                    </w:rPr>
                  </w:pPr>
                  <w:r>
                    <w:rPr>
                      <w:rStyle w:val="126"/>
                      <w:rFonts w:hint="eastAsia"/>
                      <w:bCs/>
                      <w:color w:val="auto"/>
                      <w:szCs w:val="21"/>
                    </w:rPr>
                    <w:t>1间，建筑面积10㎡</w:t>
                  </w:r>
                </w:p>
              </w:tc>
              <w:tc>
                <w:tcPr>
                  <w:tcW w:w="2796" w:type="dxa"/>
                  <w:vAlign w:val="center"/>
                </w:tcPr>
                <w:p w14:paraId="08199C39">
                  <w:pPr>
                    <w:jc w:val="center"/>
                    <w:rPr>
                      <w:b/>
                      <w:color w:val="auto"/>
                      <w:szCs w:val="21"/>
                    </w:rPr>
                  </w:pPr>
                  <w:r>
                    <w:rPr>
                      <w:rFonts w:hint="eastAsia"/>
                      <w:bCs/>
                      <w:color w:val="auto"/>
                      <w:szCs w:val="21"/>
                    </w:rPr>
                    <w:t>依托纳古卫生院现有的</w:t>
                  </w:r>
                  <w:r>
                    <w:rPr>
                      <w:rStyle w:val="126"/>
                      <w:rFonts w:hint="eastAsia"/>
                      <w:color w:val="auto"/>
                    </w:rPr>
                    <w:t>危废/医废</w:t>
                  </w:r>
                  <w:r>
                    <w:rPr>
                      <w:rFonts w:hint="eastAsia"/>
                      <w:bCs/>
                      <w:color w:val="auto"/>
                      <w:szCs w:val="21"/>
                    </w:rPr>
                    <w:t>暂存间</w:t>
                  </w:r>
                </w:p>
              </w:tc>
            </w:tr>
            <w:tr w14:paraId="3786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40892748">
                  <w:pPr>
                    <w:jc w:val="center"/>
                    <w:rPr>
                      <w:b/>
                      <w:color w:val="auto"/>
                      <w:szCs w:val="21"/>
                    </w:rPr>
                  </w:pPr>
                </w:p>
              </w:tc>
              <w:tc>
                <w:tcPr>
                  <w:tcW w:w="1260" w:type="dxa"/>
                  <w:vAlign w:val="center"/>
                </w:tcPr>
                <w:p w14:paraId="68B4D1FE">
                  <w:pPr>
                    <w:jc w:val="center"/>
                    <w:rPr>
                      <w:b/>
                      <w:color w:val="auto"/>
                      <w:szCs w:val="21"/>
                    </w:rPr>
                  </w:pPr>
                  <w:r>
                    <w:rPr>
                      <w:rFonts w:hint="eastAsia"/>
                      <w:bCs/>
                      <w:color w:val="auto"/>
                      <w:szCs w:val="21"/>
                    </w:rPr>
                    <w:t>停车场</w:t>
                  </w:r>
                </w:p>
              </w:tc>
              <w:tc>
                <w:tcPr>
                  <w:tcW w:w="2988" w:type="dxa"/>
                  <w:vAlign w:val="center"/>
                </w:tcPr>
                <w:p w14:paraId="7BE8D922">
                  <w:pPr>
                    <w:jc w:val="center"/>
                    <w:rPr>
                      <w:b/>
                      <w:color w:val="auto"/>
                      <w:szCs w:val="21"/>
                    </w:rPr>
                  </w:pPr>
                  <w:r>
                    <w:rPr>
                      <w:rFonts w:hint="eastAsia" w:ascii="宋体" w:hAnsi="宋体" w:cs="宋体"/>
                      <w:color w:val="auto"/>
                      <w:szCs w:val="21"/>
                    </w:rPr>
                    <w:t>停车位23个</w:t>
                  </w:r>
                </w:p>
              </w:tc>
              <w:tc>
                <w:tcPr>
                  <w:tcW w:w="2796" w:type="dxa"/>
                  <w:vAlign w:val="center"/>
                </w:tcPr>
                <w:p w14:paraId="2EDEE1B7">
                  <w:pPr>
                    <w:jc w:val="center"/>
                    <w:rPr>
                      <w:b/>
                      <w:color w:val="auto"/>
                      <w:szCs w:val="21"/>
                    </w:rPr>
                  </w:pPr>
                  <w:r>
                    <w:rPr>
                      <w:rFonts w:hint="eastAsia"/>
                      <w:bCs/>
                      <w:color w:val="auto"/>
                      <w:szCs w:val="21"/>
                    </w:rPr>
                    <w:t>依托纳古卫生院现有停车场</w:t>
                  </w:r>
                </w:p>
              </w:tc>
            </w:tr>
            <w:tr w14:paraId="44F9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2BBE6C83">
                  <w:pPr>
                    <w:jc w:val="center"/>
                    <w:rPr>
                      <w:b/>
                      <w:color w:val="auto"/>
                      <w:szCs w:val="21"/>
                    </w:rPr>
                  </w:pPr>
                </w:p>
              </w:tc>
              <w:tc>
                <w:tcPr>
                  <w:tcW w:w="1260" w:type="dxa"/>
                  <w:vAlign w:val="center"/>
                </w:tcPr>
                <w:p w14:paraId="4355B93A">
                  <w:pPr>
                    <w:jc w:val="center"/>
                    <w:rPr>
                      <w:b/>
                      <w:color w:val="auto"/>
                      <w:szCs w:val="21"/>
                    </w:rPr>
                  </w:pPr>
                  <w:r>
                    <w:rPr>
                      <w:rFonts w:hint="eastAsia"/>
                      <w:bCs/>
                      <w:color w:val="auto"/>
                      <w:szCs w:val="21"/>
                    </w:rPr>
                    <w:t>柴油发电机房</w:t>
                  </w:r>
                </w:p>
              </w:tc>
              <w:tc>
                <w:tcPr>
                  <w:tcW w:w="2988" w:type="dxa"/>
                  <w:vAlign w:val="center"/>
                </w:tcPr>
                <w:p w14:paraId="4AAFC587">
                  <w:pPr>
                    <w:jc w:val="center"/>
                    <w:rPr>
                      <w:b/>
                      <w:color w:val="auto"/>
                      <w:szCs w:val="21"/>
                    </w:rPr>
                  </w:pPr>
                  <w:r>
                    <w:rPr>
                      <w:rStyle w:val="126"/>
                      <w:rFonts w:hint="eastAsia"/>
                      <w:bCs/>
                      <w:color w:val="auto"/>
                      <w:szCs w:val="21"/>
                    </w:rPr>
                    <w:t>1间</w:t>
                  </w:r>
                </w:p>
              </w:tc>
              <w:tc>
                <w:tcPr>
                  <w:tcW w:w="2796" w:type="dxa"/>
                  <w:vAlign w:val="center"/>
                </w:tcPr>
                <w:p w14:paraId="5439B59E">
                  <w:pPr>
                    <w:jc w:val="center"/>
                    <w:rPr>
                      <w:b/>
                      <w:color w:val="auto"/>
                      <w:szCs w:val="21"/>
                    </w:rPr>
                  </w:pPr>
                  <w:r>
                    <w:rPr>
                      <w:rFonts w:hint="eastAsia"/>
                      <w:bCs/>
                      <w:color w:val="auto"/>
                      <w:szCs w:val="21"/>
                    </w:rPr>
                    <w:t>依托纳古卫生院现有柴油发电机房</w:t>
                  </w:r>
                </w:p>
              </w:tc>
            </w:tr>
            <w:tr w14:paraId="79AB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restart"/>
                  <w:vAlign w:val="center"/>
                </w:tcPr>
                <w:p w14:paraId="29F0825C">
                  <w:pPr>
                    <w:jc w:val="center"/>
                    <w:rPr>
                      <w:b/>
                      <w:color w:val="auto"/>
                      <w:szCs w:val="21"/>
                    </w:rPr>
                  </w:pPr>
                  <w:r>
                    <w:rPr>
                      <w:rFonts w:hint="eastAsia"/>
                      <w:b/>
                      <w:color w:val="auto"/>
                      <w:szCs w:val="21"/>
                    </w:rPr>
                    <w:t>四街卫生院</w:t>
                  </w:r>
                </w:p>
              </w:tc>
              <w:tc>
                <w:tcPr>
                  <w:tcW w:w="1260" w:type="dxa"/>
                  <w:vAlign w:val="center"/>
                </w:tcPr>
                <w:p w14:paraId="0AC5D399">
                  <w:pPr>
                    <w:jc w:val="center"/>
                    <w:rPr>
                      <w:bCs/>
                      <w:color w:val="auto"/>
                      <w:szCs w:val="21"/>
                    </w:rPr>
                  </w:pPr>
                  <w:r>
                    <w:rPr>
                      <w:rFonts w:hint="eastAsia"/>
                      <w:bCs/>
                      <w:color w:val="auto"/>
                      <w:szCs w:val="21"/>
                    </w:rPr>
                    <w:t>影像室</w:t>
                  </w:r>
                </w:p>
              </w:tc>
              <w:tc>
                <w:tcPr>
                  <w:tcW w:w="2988" w:type="dxa"/>
                  <w:vAlign w:val="center"/>
                </w:tcPr>
                <w:p w14:paraId="625355B1">
                  <w:pPr>
                    <w:jc w:val="center"/>
                    <w:rPr>
                      <w:rStyle w:val="126"/>
                      <w:bCs/>
                      <w:color w:val="auto"/>
                      <w:szCs w:val="21"/>
                    </w:rPr>
                  </w:pPr>
                  <w:r>
                    <w:rPr>
                      <w:rStyle w:val="126"/>
                      <w:rFonts w:hint="eastAsia"/>
                      <w:bCs/>
                      <w:color w:val="auto"/>
                      <w:szCs w:val="21"/>
                    </w:rPr>
                    <w:t>四街卫生院现有的影像室</w:t>
                  </w:r>
                </w:p>
              </w:tc>
              <w:tc>
                <w:tcPr>
                  <w:tcW w:w="2796" w:type="dxa"/>
                  <w:vAlign w:val="center"/>
                </w:tcPr>
                <w:p w14:paraId="320B6196">
                  <w:pPr>
                    <w:jc w:val="center"/>
                    <w:rPr>
                      <w:bCs/>
                      <w:color w:val="auto"/>
                      <w:szCs w:val="21"/>
                    </w:rPr>
                  </w:pPr>
                  <w:r>
                    <w:rPr>
                      <w:rFonts w:hint="eastAsia"/>
                      <w:bCs/>
                      <w:color w:val="auto"/>
                      <w:szCs w:val="21"/>
                    </w:rPr>
                    <w:t>依托四街卫生院现有的影像室</w:t>
                  </w:r>
                </w:p>
              </w:tc>
            </w:tr>
            <w:tr w14:paraId="703F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42B760CC">
                  <w:pPr>
                    <w:jc w:val="center"/>
                    <w:rPr>
                      <w:b/>
                      <w:color w:val="auto"/>
                      <w:szCs w:val="21"/>
                    </w:rPr>
                  </w:pPr>
                </w:p>
              </w:tc>
              <w:tc>
                <w:tcPr>
                  <w:tcW w:w="1260" w:type="dxa"/>
                  <w:vAlign w:val="center"/>
                </w:tcPr>
                <w:p w14:paraId="10094941">
                  <w:pPr>
                    <w:jc w:val="center"/>
                    <w:rPr>
                      <w:bCs/>
                      <w:color w:val="auto"/>
                      <w:szCs w:val="21"/>
                    </w:rPr>
                  </w:pPr>
                  <w:r>
                    <w:rPr>
                      <w:rFonts w:hint="eastAsia"/>
                      <w:bCs/>
                      <w:color w:val="auto"/>
                      <w:szCs w:val="21"/>
                    </w:rPr>
                    <w:t>生活污水化粪池</w:t>
                  </w:r>
                </w:p>
              </w:tc>
              <w:tc>
                <w:tcPr>
                  <w:tcW w:w="2988" w:type="dxa"/>
                  <w:vAlign w:val="center"/>
                </w:tcPr>
                <w:p w14:paraId="4F4BFF9B">
                  <w:pPr>
                    <w:jc w:val="center"/>
                    <w:rPr>
                      <w:rStyle w:val="126"/>
                      <w:bCs/>
                      <w:color w:val="auto"/>
                      <w:szCs w:val="21"/>
                    </w:rPr>
                  </w:pPr>
                  <w:r>
                    <w:rPr>
                      <w:rStyle w:val="126"/>
                      <w:rFonts w:hint="eastAsia"/>
                      <w:bCs/>
                      <w:color w:val="auto"/>
                      <w:szCs w:val="21"/>
                    </w:rPr>
                    <w:t>生活污水化粪池2个，</w:t>
                  </w:r>
                  <w:r>
                    <w:rPr>
                      <w:color w:val="auto"/>
                      <w:szCs w:val="21"/>
                    </w:rPr>
                    <w:t>容积分别为11.5m³、6.9m³</w:t>
                  </w:r>
                </w:p>
              </w:tc>
              <w:tc>
                <w:tcPr>
                  <w:tcW w:w="2796" w:type="dxa"/>
                  <w:vAlign w:val="center"/>
                </w:tcPr>
                <w:p w14:paraId="3199B19B">
                  <w:pPr>
                    <w:jc w:val="center"/>
                    <w:rPr>
                      <w:bCs/>
                      <w:color w:val="auto"/>
                      <w:szCs w:val="21"/>
                    </w:rPr>
                  </w:pPr>
                  <w:r>
                    <w:rPr>
                      <w:rFonts w:hint="eastAsia"/>
                      <w:bCs/>
                      <w:color w:val="auto"/>
                      <w:szCs w:val="21"/>
                    </w:rPr>
                    <w:t>本项目员工从卫生院调控，职工住宿废水依托职工宿舍楼现有的2个</w:t>
                  </w:r>
                  <w:r>
                    <w:rPr>
                      <w:rStyle w:val="126"/>
                      <w:rFonts w:hint="eastAsia"/>
                      <w:bCs/>
                      <w:color w:val="auto"/>
                      <w:szCs w:val="21"/>
                    </w:rPr>
                    <w:t>生活污水</w:t>
                  </w:r>
                  <w:r>
                    <w:rPr>
                      <w:rFonts w:hint="eastAsia"/>
                      <w:bCs/>
                      <w:color w:val="auto"/>
                      <w:szCs w:val="21"/>
                    </w:rPr>
                    <w:t>化粪池，</w:t>
                  </w:r>
                  <w:r>
                    <w:rPr>
                      <w:color w:val="auto"/>
                      <w:szCs w:val="21"/>
                    </w:rPr>
                    <w:t>容积分别为11.5m³、6.9m³</w:t>
                  </w:r>
                </w:p>
              </w:tc>
            </w:tr>
            <w:tr w14:paraId="46AF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93" w:type="dxa"/>
                  <w:vMerge w:val="continue"/>
                  <w:vAlign w:val="center"/>
                </w:tcPr>
                <w:p w14:paraId="46BBCBCD">
                  <w:pPr>
                    <w:jc w:val="center"/>
                    <w:rPr>
                      <w:b/>
                      <w:color w:val="auto"/>
                      <w:szCs w:val="21"/>
                    </w:rPr>
                  </w:pPr>
                </w:p>
              </w:tc>
              <w:tc>
                <w:tcPr>
                  <w:tcW w:w="1260" w:type="dxa"/>
                  <w:vAlign w:val="center"/>
                </w:tcPr>
                <w:p w14:paraId="2D86506A">
                  <w:pPr>
                    <w:jc w:val="center"/>
                    <w:rPr>
                      <w:bCs/>
                      <w:color w:val="auto"/>
                      <w:szCs w:val="21"/>
                    </w:rPr>
                  </w:pPr>
                  <w:r>
                    <w:rPr>
                      <w:rFonts w:hint="eastAsia"/>
                      <w:bCs/>
                      <w:color w:val="auto"/>
                      <w:szCs w:val="21"/>
                    </w:rPr>
                    <w:t>食堂</w:t>
                  </w:r>
                </w:p>
              </w:tc>
              <w:tc>
                <w:tcPr>
                  <w:tcW w:w="2988" w:type="dxa"/>
                  <w:vAlign w:val="center"/>
                </w:tcPr>
                <w:p w14:paraId="14C7BD4A">
                  <w:pPr>
                    <w:jc w:val="center"/>
                    <w:rPr>
                      <w:rStyle w:val="126"/>
                      <w:bCs/>
                      <w:color w:val="auto"/>
                      <w:szCs w:val="21"/>
                    </w:rPr>
                  </w:pPr>
                  <w:r>
                    <w:rPr>
                      <w:rStyle w:val="126"/>
                      <w:rFonts w:hint="eastAsia"/>
                      <w:bCs/>
                      <w:color w:val="auto"/>
                      <w:szCs w:val="21"/>
                    </w:rPr>
                    <w:t>四街卫生院现有食堂，1个灶头，供杨广卫生院15人/d用中餐</w:t>
                  </w:r>
                </w:p>
              </w:tc>
              <w:tc>
                <w:tcPr>
                  <w:tcW w:w="2796" w:type="dxa"/>
                  <w:vAlign w:val="center"/>
                </w:tcPr>
                <w:p w14:paraId="4DB57DFF">
                  <w:pPr>
                    <w:jc w:val="center"/>
                    <w:rPr>
                      <w:bCs/>
                      <w:color w:val="auto"/>
                      <w:szCs w:val="21"/>
                    </w:rPr>
                  </w:pPr>
                  <w:r>
                    <w:rPr>
                      <w:rFonts w:hint="eastAsia"/>
                      <w:bCs/>
                      <w:color w:val="auto"/>
                      <w:szCs w:val="21"/>
                    </w:rPr>
                    <w:t>依托四街卫生院现有食堂</w:t>
                  </w:r>
                </w:p>
              </w:tc>
            </w:tr>
            <w:tr w14:paraId="3494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5829C895">
                  <w:pPr>
                    <w:jc w:val="center"/>
                    <w:rPr>
                      <w:b/>
                      <w:color w:val="auto"/>
                      <w:szCs w:val="21"/>
                    </w:rPr>
                  </w:pPr>
                </w:p>
              </w:tc>
              <w:tc>
                <w:tcPr>
                  <w:tcW w:w="1260" w:type="dxa"/>
                  <w:vAlign w:val="center"/>
                </w:tcPr>
                <w:p w14:paraId="5600D930">
                  <w:pPr>
                    <w:jc w:val="center"/>
                    <w:rPr>
                      <w:bCs/>
                      <w:color w:val="auto"/>
                      <w:szCs w:val="21"/>
                    </w:rPr>
                  </w:pPr>
                  <w:r>
                    <w:rPr>
                      <w:rFonts w:hint="eastAsia"/>
                      <w:bCs/>
                      <w:color w:val="auto"/>
                      <w:szCs w:val="21"/>
                    </w:rPr>
                    <w:t>隔油池</w:t>
                  </w:r>
                </w:p>
              </w:tc>
              <w:tc>
                <w:tcPr>
                  <w:tcW w:w="2988" w:type="dxa"/>
                  <w:vAlign w:val="center"/>
                </w:tcPr>
                <w:p w14:paraId="7998F734">
                  <w:pPr>
                    <w:jc w:val="center"/>
                    <w:rPr>
                      <w:rStyle w:val="126"/>
                      <w:bCs/>
                      <w:color w:val="auto"/>
                      <w:szCs w:val="21"/>
                    </w:rPr>
                  </w:pPr>
                  <w:r>
                    <w:rPr>
                      <w:rStyle w:val="126"/>
                      <w:bCs/>
                      <w:color w:val="auto"/>
                      <w:szCs w:val="21"/>
                    </w:rPr>
                    <w:t>1个，1m³</w:t>
                  </w:r>
                </w:p>
              </w:tc>
              <w:tc>
                <w:tcPr>
                  <w:tcW w:w="2796" w:type="dxa"/>
                  <w:vAlign w:val="center"/>
                </w:tcPr>
                <w:p w14:paraId="7C506DE3">
                  <w:pPr>
                    <w:jc w:val="center"/>
                    <w:rPr>
                      <w:bCs/>
                      <w:color w:val="auto"/>
                      <w:szCs w:val="21"/>
                    </w:rPr>
                  </w:pPr>
                  <w:r>
                    <w:rPr>
                      <w:rFonts w:hint="eastAsia"/>
                      <w:bCs/>
                      <w:color w:val="auto"/>
                      <w:szCs w:val="21"/>
                    </w:rPr>
                    <w:t>依托四街卫生院现有的隔油池，容积为1m³</w:t>
                  </w:r>
                </w:p>
              </w:tc>
            </w:tr>
            <w:tr w14:paraId="428E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51DF31C">
                  <w:pPr>
                    <w:jc w:val="center"/>
                    <w:rPr>
                      <w:b/>
                      <w:color w:val="auto"/>
                      <w:szCs w:val="21"/>
                    </w:rPr>
                  </w:pPr>
                </w:p>
              </w:tc>
              <w:tc>
                <w:tcPr>
                  <w:tcW w:w="1260" w:type="dxa"/>
                  <w:vAlign w:val="center"/>
                </w:tcPr>
                <w:p w14:paraId="29044873">
                  <w:pPr>
                    <w:jc w:val="center"/>
                    <w:rPr>
                      <w:bCs/>
                      <w:color w:val="auto"/>
                      <w:szCs w:val="21"/>
                    </w:rPr>
                  </w:pPr>
                  <w:r>
                    <w:rPr>
                      <w:rFonts w:hint="eastAsia"/>
                      <w:bCs/>
                      <w:color w:val="auto"/>
                      <w:szCs w:val="21"/>
                    </w:rPr>
                    <w:t>危废/医废暂存间</w:t>
                  </w:r>
                </w:p>
              </w:tc>
              <w:tc>
                <w:tcPr>
                  <w:tcW w:w="2988" w:type="dxa"/>
                  <w:vAlign w:val="center"/>
                </w:tcPr>
                <w:p w14:paraId="245C1E00">
                  <w:pPr>
                    <w:jc w:val="center"/>
                    <w:rPr>
                      <w:rStyle w:val="126"/>
                      <w:bCs/>
                      <w:color w:val="auto"/>
                      <w:szCs w:val="21"/>
                    </w:rPr>
                  </w:pPr>
                  <w:r>
                    <w:rPr>
                      <w:rStyle w:val="126"/>
                      <w:rFonts w:hint="eastAsia"/>
                      <w:bCs/>
                      <w:color w:val="auto"/>
                      <w:szCs w:val="21"/>
                    </w:rPr>
                    <w:t>1间，建筑面积15㎡</w:t>
                  </w:r>
                </w:p>
              </w:tc>
              <w:tc>
                <w:tcPr>
                  <w:tcW w:w="2796" w:type="dxa"/>
                  <w:vAlign w:val="center"/>
                </w:tcPr>
                <w:p w14:paraId="7CF79EA4">
                  <w:pPr>
                    <w:jc w:val="center"/>
                    <w:rPr>
                      <w:bCs/>
                      <w:color w:val="auto"/>
                      <w:szCs w:val="21"/>
                    </w:rPr>
                  </w:pPr>
                  <w:r>
                    <w:rPr>
                      <w:rFonts w:hint="eastAsia"/>
                      <w:bCs/>
                      <w:color w:val="auto"/>
                      <w:szCs w:val="21"/>
                    </w:rPr>
                    <w:t>依托四街卫生院现有的</w:t>
                  </w:r>
                  <w:r>
                    <w:rPr>
                      <w:rStyle w:val="126"/>
                      <w:rFonts w:hint="eastAsia"/>
                      <w:color w:val="auto"/>
                    </w:rPr>
                    <w:t>危废/医废</w:t>
                  </w:r>
                  <w:r>
                    <w:rPr>
                      <w:rFonts w:hint="eastAsia"/>
                      <w:bCs/>
                      <w:color w:val="auto"/>
                      <w:szCs w:val="21"/>
                    </w:rPr>
                    <w:t>暂存间</w:t>
                  </w:r>
                </w:p>
              </w:tc>
            </w:tr>
            <w:tr w14:paraId="344E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5D8BAA31">
                  <w:pPr>
                    <w:jc w:val="center"/>
                    <w:rPr>
                      <w:b/>
                      <w:color w:val="auto"/>
                      <w:szCs w:val="21"/>
                    </w:rPr>
                  </w:pPr>
                </w:p>
              </w:tc>
              <w:tc>
                <w:tcPr>
                  <w:tcW w:w="1260" w:type="dxa"/>
                  <w:vAlign w:val="center"/>
                </w:tcPr>
                <w:p w14:paraId="520D08D8">
                  <w:pPr>
                    <w:jc w:val="center"/>
                    <w:rPr>
                      <w:bCs/>
                      <w:color w:val="auto"/>
                      <w:szCs w:val="21"/>
                    </w:rPr>
                  </w:pPr>
                  <w:r>
                    <w:rPr>
                      <w:rFonts w:hint="eastAsia"/>
                      <w:bCs/>
                      <w:color w:val="auto"/>
                      <w:szCs w:val="21"/>
                    </w:rPr>
                    <w:t>职工公寓</w:t>
                  </w:r>
                </w:p>
              </w:tc>
              <w:tc>
                <w:tcPr>
                  <w:tcW w:w="2988" w:type="dxa"/>
                  <w:vAlign w:val="center"/>
                </w:tcPr>
                <w:p w14:paraId="591927A6">
                  <w:pPr>
                    <w:jc w:val="center"/>
                    <w:rPr>
                      <w:rStyle w:val="126"/>
                      <w:bCs/>
                      <w:color w:val="auto"/>
                      <w:szCs w:val="21"/>
                    </w:rPr>
                  </w:pPr>
                  <w:r>
                    <w:rPr>
                      <w:rStyle w:val="126"/>
                      <w:rFonts w:hint="eastAsia"/>
                      <w:bCs/>
                      <w:color w:val="auto"/>
                      <w:szCs w:val="21"/>
                    </w:rPr>
                    <w:t>四街卫生院现有职工公寓，有8人/d用住宿</w:t>
                  </w:r>
                </w:p>
              </w:tc>
              <w:tc>
                <w:tcPr>
                  <w:tcW w:w="2796" w:type="dxa"/>
                  <w:vAlign w:val="center"/>
                </w:tcPr>
                <w:p w14:paraId="3512FBB3">
                  <w:pPr>
                    <w:jc w:val="center"/>
                    <w:rPr>
                      <w:bCs/>
                      <w:color w:val="auto"/>
                      <w:szCs w:val="21"/>
                    </w:rPr>
                  </w:pPr>
                  <w:r>
                    <w:rPr>
                      <w:rFonts w:hint="eastAsia"/>
                      <w:bCs/>
                      <w:color w:val="auto"/>
                      <w:szCs w:val="21"/>
                    </w:rPr>
                    <w:t>依托四街卫生院现有职工公寓</w:t>
                  </w:r>
                </w:p>
              </w:tc>
            </w:tr>
            <w:tr w14:paraId="7478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D3C4904">
                  <w:pPr>
                    <w:jc w:val="center"/>
                    <w:rPr>
                      <w:b/>
                      <w:color w:val="auto"/>
                      <w:szCs w:val="21"/>
                    </w:rPr>
                  </w:pPr>
                </w:p>
              </w:tc>
              <w:tc>
                <w:tcPr>
                  <w:tcW w:w="1260" w:type="dxa"/>
                  <w:vAlign w:val="center"/>
                </w:tcPr>
                <w:p w14:paraId="1CC9EA5C">
                  <w:pPr>
                    <w:jc w:val="center"/>
                    <w:rPr>
                      <w:bCs/>
                      <w:color w:val="auto"/>
                      <w:szCs w:val="21"/>
                    </w:rPr>
                  </w:pPr>
                  <w:r>
                    <w:rPr>
                      <w:rFonts w:hint="eastAsia"/>
                      <w:bCs/>
                      <w:color w:val="auto"/>
                      <w:szCs w:val="21"/>
                    </w:rPr>
                    <w:t>停车场</w:t>
                  </w:r>
                </w:p>
              </w:tc>
              <w:tc>
                <w:tcPr>
                  <w:tcW w:w="2988" w:type="dxa"/>
                  <w:vAlign w:val="center"/>
                </w:tcPr>
                <w:p w14:paraId="09307EFA">
                  <w:pPr>
                    <w:jc w:val="center"/>
                    <w:rPr>
                      <w:rStyle w:val="126"/>
                      <w:bCs/>
                      <w:color w:val="auto"/>
                      <w:szCs w:val="21"/>
                    </w:rPr>
                  </w:pPr>
                  <w:r>
                    <w:rPr>
                      <w:rFonts w:hint="eastAsia" w:ascii="宋体" w:hAnsi="宋体" w:cs="宋体"/>
                      <w:color w:val="auto"/>
                      <w:szCs w:val="21"/>
                    </w:rPr>
                    <w:t>停车位30个</w:t>
                  </w:r>
                </w:p>
              </w:tc>
              <w:tc>
                <w:tcPr>
                  <w:tcW w:w="2796" w:type="dxa"/>
                  <w:vAlign w:val="center"/>
                </w:tcPr>
                <w:p w14:paraId="2483EF19">
                  <w:pPr>
                    <w:jc w:val="center"/>
                    <w:rPr>
                      <w:bCs/>
                      <w:color w:val="auto"/>
                      <w:szCs w:val="21"/>
                    </w:rPr>
                  </w:pPr>
                  <w:r>
                    <w:rPr>
                      <w:rFonts w:hint="eastAsia"/>
                      <w:bCs/>
                      <w:color w:val="auto"/>
                      <w:szCs w:val="21"/>
                    </w:rPr>
                    <w:t>依托四街卫生院现有停车场</w:t>
                  </w:r>
                </w:p>
              </w:tc>
            </w:tr>
            <w:tr w14:paraId="296F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A21B64B">
                  <w:pPr>
                    <w:jc w:val="center"/>
                    <w:rPr>
                      <w:b/>
                      <w:color w:val="auto"/>
                      <w:szCs w:val="21"/>
                    </w:rPr>
                  </w:pPr>
                </w:p>
              </w:tc>
              <w:tc>
                <w:tcPr>
                  <w:tcW w:w="1260" w:type="dxa"/>
                  <w:vAlign w:val="center"/>
                </w:tcPr>
                <w:p w14:paraId="0A5B49EB">
                  <w:pPr>
                    <w:jc w:val="center"/>
                    <w:rPr>
                      <w:bCs/>
                      <w:color w:val="auto"/>
                      <w:szCs w:val="21"/>
                    </w:rPr>
                  </w:pPr>
                  <w:r>
                    <w:rPr>
                      <w:rFonts w:hint="eastAsia"/>
                      <w:bCs/>
                      <w:color w:val="auto"/>
                      <w:szCs w:val="21"/>
                    </w:rPr>
                    <w:t>柴油发电机房</w:t>
                  </w:r>
                </w:p>
              </w:tc>
              <w:tc>
                <w:tcPr>
                  <w:tcW w:w="2988" w:type="dxa"/>
                  <w:vAlign w:val="center"/>
                </w:tcPr>
                <w:p w14:paraId="6B2F7AB6">
                  <w:pPr>
                    <w:jc w:val="center"/>
                    <w:rPr>
                      <w:rStyle w:val="126"/>
                      <w:bCs/>
                      <w:color w:val="auto"/>
                      <w:szCs w:val="21"/>
                    </w:rPr>
                  </w:pPr>
                  <w:r>
                    <w:rPr>
                      <w:rStyle w:val="126"/>
                      <w:rFonts w:hint="eastAsia"/>
                      <w:bCs/>
                      <w:color w:val="auto"/>
                      <w:szCs w:val="21"/>
                    </w:rPr>
                    <w:t>1间</w:t>
                  </w:r>
                </w:p>
              </w:tc>
              <w:tc>
                <w:tcPr>
                  <w:tcW w:w="2796" w:type="dxa"/>
                  <w:vAlign w:val="center"/>
                </w:tcPr>
                <w:p w14:paraId="178376C1">
                  <w:pPr>
                    <w:jc w:val="center"/>
                    <w:rPr>
                      <w:bCs/>
                      <w:color w:val="auto"/>
                      <w:szCs w:val="21"/>
                    </w:rPr>
                  </w:pPr>
                  <w:r>
                    <w:rPr>
                      <w:rFonts w:hint="eastAsia"/>
                      <w:bCs/>
                      <w:color w:val="auto"/>
                      <w:szCs w:val="21"/>
                    </w:rPr>
                    <w:t>依托四街卫生院现有柴油发电机房</w:t>
                  </w:r>
                </w:p>
              </w:tc>
            </w:tr>
            <w:tr w14:paraId="421F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restart"/>
                  <w:vAlign w:val="center"/>
                </w:tcPr>
                <w:p w14:paraId="3793401C">
                  <w:pPr>
                    <w:jc w:val="center"/>
                    <w:rPr>
                      <w:b/>
                      <w:color w:val="auto"/>
                      <w:szCs w:val="21"/>
                    </w:rPr>
                  </w:pPr>
                  <w:r>
                    <w:rPr>
                      <w:rFonts w:hint="eastAsia"/>
                      <w:b/>
                      <w:color w:val="auto"/>
                      <w:szCs w:val="21"/>
                    </w:rPr>
                    <w:t>九龙卫生院</w:t>
                  </w:r>
                </w:p>
              </w:tc>
              <w:tc>
                <w:tcPr>
                  <w:tcW w:w="1260" w:type="dxa"/>
                  <w:vAlign w:val="center"/>
                </w:tcPr>
                <w:p w14:paraId="270F5441">
                  <w:pPr>
                    <w:jc w:val="center"/>
                    <w:rPr>
                      <w:bCs/>
                      <w:color w:val="auto"/>
                      <w:szCs w:val="21"/>
                    </w:rPr>
                  </w:pPr>
                  <w:r>
                    <w:rPr>
                      <w:rFonts w:hint="eastAsia"/>
                      <w:bCs/>
                      <w:color w:val="auto"/>
                      <w:szCs w:val="21"/>
                    </w:rPr>
                    <w:t>检验科、手术室、影像室</w:t>
                  </w:r>
                </w:p>
              </w:tc>
              <w:tc>
                <w:tcPr>
                  <w:tcW w:w="2988" w:type="dxa"/>
                  <w:vAlign w:val="center"/>
                </w:tcPr>
                <w:p w14:paraId="1220128A">
                  <w:pPr>
                    <w:jc w:val="center"/>
                    <w:rPr>
                      <w:rStyle w:val="126"/>
                      <w:bCs/>
                      <w:color w:val="auto"/>
                      <w:szCs w:val="21"/>
                    </w:rPr>
                  </w:pPr>
                  <w:r>
                    <w:rPr>
                      <w:rStyle w:val="126"/>
                      <w:rFonts w:hint="eastAsia"/>
                      <w:bCs/>
                      <w:color w:val="auto"/>
                      <w:szCs w:val="21"/>
                    </w:rPr>
                    <w:t>九龙卫生院现有的</w:t>
                  </w:r>
                  <w:r>
                    <w:rPr>
                      <w:rFonts w:hint="eastAsia"/>
                      <w:bCs/>
                      <w:color w:val="auto"/>
                      <w:szCs w:val="21"/>
                    </w:rPr>
                    <w:t>检验科、手术室、影像室</w:t>
                  </w:r>
                </w:p>
              </w:tc>
              <w:tc>
                <w:tcPr>
                  <w:tcW w:w="2796" w:type="dxa"/>
                  <w:vAlign w:val="center"/>
                </w:tcPr>
                <w:p w14:paraId="7373F233">
                  <w:pPr>
                    <w:jc w:val="center"/>
                    <w:rPr>
                      <w:bCs/>
                      <w:color w:val="auto"/>
                      <w:szCs w:val="21"/>
                    </w:rPr>
                  </w:pPr>
                  <w:r>
                    <w:rPr>
                      <w:rFonts w:hint="eastAsia"/>
                      <w:bCs/>
                      <w:color w:val="auto"/>
                      <w:szCs w:val="21"/>
                    </w:rPr>
                    <w:t>依托四街卫生院现有的检验科、手术室、影像室</w:t>
                  </w:r>
                </w:p>
              </w:tc>
            </w:tr>
            <w:tr w14:paraId="3603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E631CE3">
                  <w:pPr>
                    <w:jc w:val="center"/>
                    <w:rPr>
                      <w:b/>
                      <w:color w:val="auto"/>
                      <w:szCs w:val="21"/>
                    </w:rPr>
                  </w:pPr>
                </w:p>
              </w:tc>
              <w:tc>
                <w:tcPr>
                  <w:tcW w:w="1260" w:type="dxa"/>
                  <w:vAlign w:val="center"/>
                </w:tcPr>
                <w:p w14:paraId="4B58073B">
                  <w:pPr>
                    <w:jc w:val="center"/>
                    <w:rPr>
                      <w:bCs/>
                      <w:color w:val="auto"/>
                      <w:szCs w:val="21"/>
                    </w:rPr>
                  </w:pPr>
                  <w:r>
                    <w:rPr>
                      <w:rFonts w:hint="eastAsia"/>
                      <w:bCs/>
                      <w:color w:val="auto"/>
                      <w:szCs w:val="21"/>
                    </w:rPr>
                    <w:t>生活污水化粪池</w:t>
                  </w:r>
                </w:p>
              </w:tc>
              <w:tc>
                <w:tcPr>
                  <w:tcW w:w="2988" w:type="dxa"/>
                  <w:vAlign w:val="center"/>
                </w:tcPr>
                <w:p w14:paraId="0B1A4950">
                  <w:pPr>
                    <w:jc w:val="center"/>
                    <w:rPr>
                      <w:rStyle w:val="126"/>
                      <w:bCs/>
                      <w:color w:val="auto"/>
                      <w:szCs w:val="21"/>
                    </w:rPr>
                  </w:pPr>
                  <w:r>
                    <w:rPr>
                      <w:rStyle w:val="126"/>
                      <w:rFonts w:hint="eastAsia"/>
                      <w:bCs/>
                      <w:color w:val="auto"/>
                      <w:szCs w:val="21"/>
                    </w:rPr>
                    <w:t>生活污水化粪池2个，</w:t>
                  </w:r>
                  <w:r>
                    <w:rPr>
                      <w:color w:val="auto"/>
                      <w:szCs w:val="21"/>
                    </w:rPr>
                    <w:t>容积分别为</w:t>
                  </w:r>
                  <w:r>
                    <w:rPr>
                      <w:rFonts w:hint="eastAsia"/>
                      <w:color w:val="auto"/>
                      <w:szCs w:val="21"/>
                    </w:rPr>
                    <w:t>16</w:t>
                  </w:r>
                  <w:r>
                    <w:rPr>
                      <w:color w:val="auto"/>
                      <w:szCs w:val="21"/>
                    </w:rPr>
                    <w:t>m³、</w:t>
                  </w:r>
                  <w:r>
                    <w:rPr>
                      <w:rFonts w:hint="eastAsia"/>
                      <w:color w:val="auto"/>
                      <w:szCs w:val="21"/>
                    </w:rPr>
                    <w:t>4</w:t>
                  </w:r>
                  <w:r>
                    <w:rPr>
                      <w:color w:val="auto"/>
                      <w:szCs w:val="21"/>
                    </w:rPr>
                    <w:t>m³</w:t>
                  </w:r>
                </w:p>
              </w:tc>
              <w:tc>
                <w:tcPr>
                  <w:tcW w:w="2796" w:type="dxa"/>
                  <w:vAlign w:val="center"/>
                </w:tcPr>
                <w:p w14:paraId="0A7B449A">
                  <w:pPr>
                    <w:jc w:val="center"/>
                    <w:rPr>
                      <w:bCs/>
                      <w:color w:val="auto"/>
                      <w:szCs w:val="21"/>
                    </w:rPr>
                  </w:pPr>
                  <w:r>
                    <w:rPr>
                      <w:rFonts w:hint="eastAsia"/>
                      <w:bCs/>
                      <w:color w:val="auto"/>
                      <w:szCs w:val="21"/>
                    </w:rPr>
                    <w:t>本项目员工从卫生院调控，职工住宿废水依托现有的</w:t>
                  </w:r>
                  <w:r>
                    <w:rPr>
                      <w:rStyle w:val="126"/>
                      <w:rFonts w:hint="eastAsia"/>
                      <w:bCs/>
                      <w:color w:val="auto"/>
                      <w:szCs w:val="21"/>
                    </w:rPr>
                    <w:t>生活污水</w:t>
                  </w:r>
                  <w:r>
                    <w:rPr>
                      <w:rFonts w:hint="eastAsia"/>
                      <w:bCs/>
                      <w:color w:val="auto"/>
                      <w:szCs w:val="21"/>
                    </w:rPr>
                    <w:t>化粪池，</w:t>
                  </w:r>
                  <w:r>
                    <w:rPr>
                      <w:color w:val="auto"/>
                      <w:szCs w:val="21"/>
                    </w:rPr>
                    <w:t>容积分别为</w:t>
                  </w:r>
                  <w:r>
                    <w:rPr>
                      <w:rFonts w:hint="eastAsia"/>
                      <w:color w:val="auto"/>
                      <w:szCs w:val="21"/>
                    </w:rPr>
                    <w:t>16</w:t>
                  </w:r>
                  <w:r>
                    <w:rPr>
                      <w:color w:val="auto"/>
                      <w:szCs w:val="21"/>
                    </w:rPr>
                    <w:t>m³、</w:t>
                  </w:r>
                  <w:r>
                    <w:rPr>
                      <w:rFonts w:hint="eastAsia"/>
                      <w:color w:val="auto"/>
                      <w:szCs w:val="21"/>
                    </w:rPr>
                    <w:t>4</w:t>
                  </w:r>
                  <w:r>
                    <w:rPr>
                      <w:color w:val="auto"/>
                      <w:szCs w:val="21"/>
                    </w:rPr>
                    <w:t>m³</w:t>
                  </w:r>
                </w:p>
              </w:tc>
            </w:tr>
            <w:tr w14:paraId="3958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0579C40">
                  <w:pPr>
                    <w:jc w:val="center"/>
                    <w:rPr>
                      <w:b/>
                      <w:color w:val="auto"/>
                      <w:szCs w:val="21"/>
                    </w:rPr>
                  </w:pPr>
                </w:p>
              </w:tc>
              <w:tc>
                <w:tcPr>
                  <w:tcW w:w="1260" w:type="dxa"/>
                  <w:vAlign w:val="center"/>
                </w:tcPr>
                <w:p w14:paraId="7C12100C">
                  <w:pPr>
                    <w:jc w:val="center"/>
                    <w:rPr>
                      <w:bCs/>
                      <w:color w:val="auto"/>
                      <w:szCs w:val="21"/>
                    </w:rPr>
                  </w:pPr>
                  <w:r>
                    <w:rPr>
                      <w:rFonts w:hint="eastAsia"/>
                      <w:bCs/>
                      <w:color w:val="auto"/>
                      <w:szCs w:val="21"/>
                    </w:rPr>
                    <w:t>食堂</w:t>
                  </w:r>
                </w:p>
              </w:tc>
              <w:tc>
                <w:tcPr>
                  <w:tcW w:w="2988" w:type="dxa"/>
                  <w:vAlign w:val="center"/>
                </w:tcPr>
                <w:p w14:paraId="5BFEA387">
                  <w:pPr>
                    <w:jc w:val="center"/>
                    <w:rPr>
                      <w:rStyle w:val="126"/>
                      <w:bCs/>
                      <w:color w:val="auto"/>
                      <w:szCs w:val="21"/>
                    </w:rPr>
                  </w:pPr>
                  <w:r>
                    <w:rPr>
                      <w:rStyle w:val="126"/>
                      <w:rFonts w:hint="eastAsia"/>
                      <w:bCs/>
                      <w:color w:val="auto"/>
                      <w:szCs w:val="21"/>
                    </w:rPr>
                    <w:t>四街卫生院现有食堂，1个灶头，供九龙卫生院10人/d用中餐</w:t>
                  </w:r>
                </w:p>
              </w:tc>
              <w:tc>
                <w:tcPr>
                  <w:tcW w:w="2796" w:type="dxa"/>
                  <w:vAlign w:val="center"/>
                </w:tcPr>
                <w:p w14:paraId="52D465F5">
                  <w:pPr>
                    <w:jc w:val="center"/>
                    <w:rPr>
                      <w:bCs/>
                      <w:color w:val="auto"/>
                      <w:szCs w:val="21"/>
                    </w:rPr>
                  </w:pPr>
                  <w:r>
                    <w:rPr>
                      <w:rFonts w:hint="eastAsia"/>
                      <w:bCs/>
                      <w:color w:val="auto"/>
                      <w:szCs w:val="21"/>
                    </w:rPr>
                    <w:t>依托九龙卫生院现有食堂</w:t>
                  </w:r>
                </w:p>
              </w:tc>
            </w:tr>
            <w:tr w14:paraId="14D8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09DFED46">
                  <w:pPr>
                    <w:jc w:val="center"/>
                    <w:rPr>
                      <w:b/>
                      <w:color w:val="auto"/>
                      <w:szCs w:val="21"/>
                    </w:rPr>
                  </w:pPr>
                </w:p>
              </w:tc>
              <w:tc>
                <w:tcPr>
                  <w:tcW w:w="1260" w:type="dxa"/>
                  <w:vAlign w:val="center"/>
                </w:tcPr>
                <w:p w14:paraId="6E9E4D93">
                  <w:pPr>
                    <w:jc w:val="center"/>
                    <w:rPr>
                      <w:bCs/>
                      <w:color w:val="auto"/>
                      <w:szCs w:val="21"/>
                    </w:rPr>
                  </w:pPr>
                  <w:r>
                    <w:rPr>
                      <w:rFonts w:hint="eastAsia"/>
                      <w:bCs/>
                      <w:color w:val="auto"/>
                      <w:szCs w:val="21"/>
                    </w:rPr>
                    <w:t>隔油池</w:t>
                  </w:r>
                </w:p>
              </w:tc>
              <w:tc>
                <w:tcPr>
                  <w:tcW w:w="2988" w:type="dxa"/>
                  <w:vAlign w:val="center"/>
                </w:tcPr>
                <w:p w14:paraId="4A12F49E">
                  <w:pPr>
                    <w:jc w:val="center"/>
                    <w:rPr>
                      <w:rStyle w:val="126"/>
                      <w:bCs/>
                      <w:color w:val="auto"/>
                      <w:szCs w:val="21"/>
                    </w:rPr>
                  </w:pPr>
                  <w:r>
                    <w:rPr>
                      <w:rStyle w:val="126"/>
                      <w:bCs/>
                      <w:color w:val="auto"/>
                      <w:szCs w:val="21"/>
                    </w:rPr>
                    <w:t>1个，1m³</w:t>
                  </w:r>
                </w:p>
              </w:tc>
              <w:tc>
                <w:tcPr>
                  <w:tcW w:w="2796" w:type="dxa"/>
                  <w:vAlign w:val="center"/>
                </w:tcPr>
                <w:p w14:paraId="543F20BF">
                  <w:pPr>
                    <w:jc w:val="center"/>
                    <w:rPr>
                      <w:bCs/>
                      <w:color w:val="auto"/>
                      <w:szCs w:val="21"/>
                    </w:rPr>
                  </w:pPr>
                  <w:r>
                    <w:rPr>
                      <w:rFonts w:hint="eastAsia"/>
                      <w:bCs/>
                      <w:color w:val="auto"/>
                      <w:szCs w:val="21"/>
                    </w:rPr>
                    <w:t>依托九龙卫生院现有的隔油池，容积为1m³</w:t>
                  </w:r>
                </w:p>
              </w:tc>
            </w:tr>
            <w:tr w14:paraId="7C77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35AA013">
                  <w:pPr>
                    <w:jc w:val="center"/>
                    <w:rPr>
                      <w:b/>
                      <w:color w:val="auto"/>
                      <w:szCs w:val="21"/>
                    </w:rPr>
                  </w:pPr>
                </w:p>
              </w:tc>
              <w:tc>
                <w:tcPr>
                  <w:tcW w:w="1260" w:type="dxa"/>
                  <w:vAlign w:val="center"/>
                </w:tcPr>
                <w:p w14:paraId="06BBDF68">
                  <w:pPr>
                    <w:jc w:val="center"/>
                    <w:rPr>
                      <w:bCs/>
                      <w:color w:val="auto"/>
                      <w:szCs w:val="21"/>
                    </w:rPr>
                  </w:pPr>
                  <w:r>
                    <w:rPr>
                      <w:rFonts w:hint="eastAsia"/>
                      <w:bCs/>
                      <w:color w:val="auto"/>
                      <w:szCs w:val="21"/>
                    </w:rPr>
                    <w:t>危废/医废暂存间</w:t>
                  </w:r>
                </w:p>
              </w:tc>
              <w:tc>
                <w:tcPr>
                  <w:tcW w:w="2988" w:type="dxa"/>
                  <w:vAlign w:val="center"/>
                </w:tcPr>
                <w:p w14:paraId="70765ED6">
                  <w:pPr>
                    <w:jc w:val="center"/>
                    <w:rPr>
                      <w:rStyle w:val="126"/>
                      <w:bCs/>
                      <w:color w:val="auto"/>
                      <w:szCs w:val="21"/>
                    </w:rPr>
                  </w:pPr>
                  <w:r>
                    <w:rPr>
                      <w:rStyle w:val="126"/>
                      <w:rFonts w:hint="eastAsia"/>
                      <w:bCs/>
                      <w:color w:val="auto"/>
                      <w:szCs w:val="21"/>
                    </w:rPr>
                    <w:t>1间，建筑面积10㎡</w:t>
                  </w:r>
                </w:p>
              </w:tc>
              <w:tc>
                <w:tcPr>
                  <w:tcW w:w="2796" w:type="dxa"/>
                  <w:vAlign w:val="center"/>
                </w:tcPr>
                <w:p w14:paraId="08213194">
                  <w:pPr>
                    <w:jc w:val="center"/>
                    <w:rPr>
                      <w:bCs/>
                      <w:color w:val="auto"/>
                      <w:szCs w:val="21"/>
                    </w:rPr>
                  </w:pPr>
                  <w:r>
                    <w:rPr>
                      <w:rFonts w:hint="eastAsia"/>
                      <w:bCs/>
                      <w:color w:val="auto"/>
                      <w:szCs w:val="21"/>
                    </w:rPr>
                    <w:t>依托九龙卫生院现有的</w:t>
                  </w:r>
                  <w:r>
                    <w:rPr>
                      <w:rStyle w:val="126"/>
                      <w:rFonts w:hint="eastAsia"/>
                      <w:color w:val="auto"/>
                    </w:rPr>
                    <w:t>危废/医废</w:t>
                  </w:r>
                  <w:r>
                    <w:rPr>
                      <w:rFonts w:hint="eastAsia"/>
                      <w:bCs/>
                      <w:color w:val="auto"/>
                      <w:szCs w:val="21"/>
                    </w:rPr>
                    <w:t>暂存间</w:t>
                  </w:r>
                </w:p>
              </w:tc>
            </w:tr>
            <w:tr w14:paraId="16C1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1869BAEB">
                  <w:pPr>
                    <w:jc w:val="center"/>
                    <w:rPr>
                      <w:b/>
                      <w:color w:val="auto"/>
                      <w:szCs w:val="21"/>
                    </w:rPr>
                  </w:pPr>
                </w:p>
              </w:tc>
              <w:tc>
                <w:tcPr>
                  <w:tcW w:w="1260" w:type="dxa"/>
                  <w:vAlign w:val="center"/>
                </w:tcPr>
                <w:p w14:paraId="2B349606">
                  <w:pPr>
                    <w:jc w:val="center"/>
                    <w:rPr>
                      <w:bCs/>
                      <w:color w:val="auto"/>
                      <w:szCs w:val="21"/>
                    </w:rPr>
                  </w:pPr>
                  <w:r>
                    <w:rPr>
                      <w:rFonts w:hint="eastAsia"/>
                      <w:bCs/>
                      <w:color w:val="auto"/>
                      <w:szCs w:val="21"/>
                    </w:rPr>
                    <w:t>职工公寓</w:t>
                  </w:r>
                </w:p>
              </w:tc>
              <w:tc>
                <w:tcPr>
                  <w:tcW w:w="2988" w:type="dxa"/>
                  <w:vAlign w:val="center"/>
                </w:tcPr>
                <w:p w14:paraId="1B6C370E">
                  <w:pPr>
                    <w:jc w:val="center"/>
                    <w:rPr>
                      <w:rStyle w:val="126"/>
                      <w:bCs/>
                      <w:color w:val="auto"/>
                      <w:szCs w:val="21"/>
                    </w:rPr>
                  </w:pPr>
                  <w:r>
                    <w:rPr>
                      <w:rStyle w:val="126"/>
                      <w:rFonts w:hint="eastAsia"/>
                      <w:bCs/>
                      <w:color w:val="auto"/>
                      <w:szCs w:val="21"/>
                    </w:rPr>
                    <w:t>九龙卫生院现有职工公寓，有23人/d用住宿</w:t>
                  </w:r>
                </w:p>
              </w:tc>
              <w:tc>
                <w:tcPr>
                  <w:tcW w:w="2796" w:type="dxa"/>
                  <w:vAlign w:val="center"/>
                </w:tcPr>
                <w:p w14:paraId="2188C385">
                  <w:pPr>
                    <w:jc w:val="center"/>
                    <w:rPr>
                      <w:bCs/>
                      <w:color w:val="auto"/>
                      <w:szCs w:val="21"/>
                    </w:rPr>
                  </w:pPr>
                  <w:r>
                    <w:rPr>
                      <w:rFonts w:hint="eastAsia"/>
                      <w:bCs/>
                      <w:color w:val="auto"/>
                      <w:szCs w:val="21"/>
                    </w:rPr>
                    <w:t>依托九龙卫生院现有职工公寓</w:t>
                  </w:r>
                </w:p>
              </w:tc>
            </w:tr>
            <w:tr w14:paraId="0BC2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172436D8">
                  <w:pPr>
                    <w:jc w:val="center"/>
                    <w:rPr>
                      <w:b/>
                      <w:color w:val="auto"/>
                      <w:szCs w:val="21"/>
                    </w:rPr>
                  </w:pPr>
                </w:p>
              </w:tc>
              <w:tc>
                <w:tcPr>
                  <w:tcW w:w="1260" w:type="dxa"/>
                  <w:vAlign w:val="center"/>
                </w:tcPr>
                <w:p w14:paraId="6358B676">
                  <w:pPr>
                    <w:jc w:val="center"/>
                    <w:rPr>
                      <w:bCs/>
                      <w:color w:val="auto"/>
                      <w:szCs w:val="21"/>
                    </w:rPr>
                  </w:pPr>
                  <w:r>
                    <w:rPr>
                      <w:rFonts w:hint="eastAsia"/>
                      <w:bCs/>
                      <w:color w:val="auto"/>
                      <w:szCs w:val="21"/>
                    </w:rPr>
                    <w:t>停车场</w:t>
                  </w:r>
                </w:p>
              </w:tc>
              <w:tc>
                <w:tcPr>
                  <w:tcW w:w="2988" w:type="dxa"/>
                  <w:vAlign w:val="center"/>
                </w:tcPr>
                <w:p w14:paraId="5D5CBD55">
                  <w:pPr>
                    <w:jc w:val="center"/>
                    <w:rPr>
                      <w:rStyle w:val="126"/>
                      <w:bCs/>
                      <w:color w:val="auto"/>
                      <w:szCs w:val="21"/>
                    </w:rPr>
                  </w:pPr>
                  <w:r>
                    <w:rPr>
                      <w:rFonts w:hint="eastAsia" w:ascii="宋体" w:hAnsi="宋体" w:cs="宋体"/>
                      <w:color w:val="auto"/>
                      <w:szCs w:val="21"/>
                    </w:rPr>
                    <w:t>停车位16个</w:t>
                  </w:r>
                </w:p>
              </w:tc>
              <w:tc>
                <w:tcPr>
                  <w:tcW w:w="2796" w:type="dxa"/>
                  <w:vAlign w:val="center"/>
                </w:tcPr>
                <w:p w14:paraId="49D8585E">
                  <w:pPr>
                    <w:jc w:val="center"/>
                    <w:rPr>
                      <w:bCs/>
                      <w:color w:val="auto"/>
                      <w:szCs w:val="21"/>
                    </w:rPr>
                  </w:pPr>
                  <w:r>
                    <w:rPr>
                      <w:rFonts w:hint="eastAsia"/>
                      <w:bCs/>
                      <w:color w:val="auto"/>
                      <w:szCs w:val="21"/>
                    </w:rPr>
                    <w:t>依托九龙卫生院现有停车场</w:t>
                  </w:r>
                </w:p>
              </w:tc>
            </w:tr>
            <w:tr w14:paraId="7DF9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526F825F">
                  <w:pPr>
                    <w:jc w:val="center"/>
                    <w:rPr>
                      <w:b/>
                      <w:color w:val="auto"/>
                      <w:szCs w:val="21"/>
                    </w:rPr>
                  </w:pPr>
                </w:p>
              </w:tc>
              <w:tc>
                <w:tcPr>
                  <w:tcW w:w="1260" w:type="dxa"/>
                  <w:vAlign w:val="center"/>
                </w:tcPr>
                <w:p w14:paraId="1AE94CE8">
                  <w:pPr>
                    <w:jc w:val="center"/>
                    <w:rPr>
                      <w:bCs/>
                      <w:color w:val="auto"/>
                      <w:szCs w:val="21"/>
                    </w:rPr>
                  </w:pPr>
                  <w:r>
                    <w:rPr>
                      <w:rFonts w:hint="eastAsia"/>
                      <w:bCs/>
                      <w:color w:val="auto"/>
                      <w:szCs w:val="21"/>
                    </w:rPr>
                    <w:t>柴油发电机房</w:t>
                  </w:r>
                </w:p>
              </w:tc>
              <w:tc>
                <w:tcPr>
                  <w:tcW w:w="2988" w:type="dxa"/>
                  <w:vAlign w:val="center"/>
                </w:tcPr>
                <w:p w14:paraId="03382452">
                  <w:pPr>
                    <w:jc w:val="center"/>
                    <w:rPr>
                      <w:rStyle w:val="126"/>
                      <w:bCs/>
                      <w:color w:val="auto"/>
                      <w:szCs w:val="21"/>
                    </w:rPr>
                  </w:pPr>
                  <w:r>
                    <w:rPr>
                      <w:rStyle w:val="126"/>
                      <w:rFonts w:hint="eastAsia"/>
                      <w:bCs/>
                      <w:color w:val="auto"/>
                      <w:szCs w:val="21"/>
                    </w:rPr>
                    <w:t>1间</w:t>
                  </w:r>
                </w:p>
              </w:tc>
              <w:tc>
                <w:tcPr>
                  <w:tcW w:w="2796" w:type="dxa"/>
                  <w:vAlign w:val="center"/>
                </w:tcPr>
                <w:p w14:paraId="1BD60E92">
                  <w:pPr>
                    <w:jc w:val="center"/>
                    <w:rPr>
                      <w:bCs/>
                      <w:color w:val="auto"/>
                      <w:szCs w:val="21"/>
                    </w:rPr>
                  </w:pPr>
                  <w:r>
                    <w:rPr>
                      <w:rFonts w:hint="eastAsia"/>
                      <w:bCs/>
                      <w:color w:val="auto"/>
                      <w:szCs w:val="21"/>
                    </w:rPr>
                    <w:t>依托九龙卫生院现有柴油发电机房</w:t>
                  </w:r>
                </w:p>
              </w:tc>
            </w:tr>
            <w:tr w14:paraId="0C53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93" w:type="dxa"/>
                  <w:vMerge w:val="restart"/>
                  <w:vAlign w:val="center"/>
                </w:tcPr>
                <w:p w14:paraId="6F7C8233">
                  <w:pPr>
                    <w:jc w:val="center"/>
                    <w:rPr>
                      <w:bCs/>
                      <w:color w:val="auto"/>
                      <w:szCs w:val="21"/>
                    </w:rPr>
                  </w:pPr>
                  <w:r>
                    <w:rPr>
                      <w:rFonts w:hint="eastAsia"/>
                      <w:b/>
                      <w:color w:val="auto"/>
                      <w:szCs w:val="21"/>
                    </w:rPr>
                    <w:t>杨广卫生院</w:t>
                  </w:r>
                </w:p>
              </w:tc>
              <w:tc>
                <w:tcPr>
                  <w:tcW w:w="1260" w:type="dxa"/>
                  <w:vAlign w:val="center"/>
                </w:tcPr>
                <w:p w14:paraId="169BE2EE">
                  <w:pPr>
                    <w:jc w:val="center"/>
                    <w:rPr>
                      <w:bCs/>
                      <w:color w:val="auto"/>
                      <w:szCs w:val="21"/>
                    </w:rPr>
                  </w:pPr>
                  <w:r>
                    <w:rPr>
                      <w:rFonts w:hint="eastAsia"/>
                      <w:bCs/>
                      <w:color w:val="auto"/>
                      <w:szCs w:val="21"/>
                    </w:rPr>
                    <w:t>检验科、手术室、影像室</w:t>
                  </w:r>
                </w:p>
              </w:tc>
              <w:tc>
                <w:tcPr>
                  <w:tcW w:w="2988" w:type="dxa"/>
                  <w:vAlign w:val="center"/>
                </w:tcPr>
                <w:p w14:paraId="755D766F">
                  <w:pPr>
                    <w:jc w:val="center"/>
                    <w:rPr>
                      <w:bCs/>
                      <w:color w:val="auto"/>
                      <w:szCs w:val="21"/>
                    </w:rPr>
                  </w:pPr>
                  <w:r>
                    <w:rPr>
                      <w:rStyle w:val="126"/>
                      <w:rFonts w:hint="eastAsia"/>
                      <w:bCs/>
                      <w:color w:val="auto"/>
                      <w:szCs w:val="21"/>
                    </w:rPr>
                    <w:t>杨广卫生院现有的检验科、手术室、影像室</w:t>
                  </w:r>
                </w:p>
              </w:tc>
              <w:tc>
                <w:tcPr>
                  <w:tcW w:w="2796" w:type="dxa"/>
                  <w:vAlign w:val="center"/>
                </w:tcPr>
                <w:p w14:paraId="1D958673">
                  <w:pPr>
                    <w:jc w:val="center"/>
                    <w:rPr>
                      <w:bCs/>
                      <w:color w:val="auto"/>
                      <w:szCs w:val="21"/>
                    </w:rPr>
                  </w:pPr>
                  <w:r>
                    <w:rPr>
                      <w:rFonts w:hint="eastAsia"/>
                      <w:bCs/>
                      <w:color w:val="auto"/>
                      <w:szCs w:val="21"/>
                    </w:rPr>
                    <w:t>依托杨广卫生院现有的检验科、手术室、影像室</w:t>
                  </w:r>
                </w:p>
              </w:tc>
            </w:tr>
            <w:tr w14:paraId="5C77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7F938EF8">
                  <w:pPr>
                    <w:jc w:val="center"/>
                    <w:rPr>
                      <w:bCs/>
                      <w:color w:val="auto"/>
                      <w:szCs w:val="21"/>
                    </w:rPr>
                  </w:pPr>
                </w:p>
              </w:tc>
              <w:tc>
                <w:tcPr>
                  <w:tcW w:w="1260" w:type="dxa"/>
                  <w:vAlign w:val="center"/>
                </w:tcPr>
                <w:p w14:paraId="5AE0CA09">
                  <w:pPr>
                    <w:jc w:val="center"/>
                    <w:rPr>
                      <w:bCs/>
                      <w:color w:val="auto"/>
                      <w:szCs w:val="21"/>
                    </w:rPr>
                  </w:pPr>
                  <w:r>
                    <w:rPr>
                      <w:rFonts w:hint="eastAsia"/>
                      <w:bCs/>
                      <w:color w:val="auto"/>
                      <w:szCs w:val="21"/>
                    </w:rPr>
                    <w:t>生活污水化粪池</w:t>
                  </w:r>
                </w:p>
              </w:tc>
              <w:tc>
                <w:tcPr>
                  <w:tcW w:w="2988" w:type="dxa"/>
                  <w:vAlign w:val="center"/>
                </w:tcPr>
                <w:p w14:paraId="7CB3A48A">
                  <w:pPr>
                    <w:jc w:val="center"/>
                    <w:rPr>
                      <w:rStyle w:val="126"/>
                      <w:bCs/>
                      <w:color w:val="auto"/>
                      <w:szCs w:val="21"/>
                    </w:rPr>
                  </w:pPr>
                  <w:r>
                    <w:rPr>
                      <w:rStyle w:val="126"/>
                      <w:rFonts w:hint="eastAsia"/>
                      <w:bCs/>
                      <w:color w:val="auto"/>
                      <w:szCs w:val="21"/>
                    </w:rPr>
                    <w:t>职工宿舍楼生活污水化粪池2个，容积为13m³</w:t>
                  </w:r>
                </w:p>
              </w:tc>
              <w:tc>
                <w:tcPr>
                  <w:tcW w:w="2796" w:type="dxa"/>
                  <w:vAlign w:val="center"/>
                </w:tcPr>
                <w:p w14:paraId="12BC4A35">
                  <w:pPr>
                    <w:jc w:val="center"/>
                    <w:rPr>
                      <w:bCs/>
                      <w:color w:val="auto"/>
                      <w:szCs w:val="21"/>
                    </w:rPr>
                  </w:pPr>
                  <w:r>
                    <w:rPr>
                      <w:rFonts w:hint="eastAsia"/>
                      <w:bCs/>
                      <w:color w:val="auto"/>
                      <w:szCs w:val="21"/>
                    </w:rPr>
                    <w:t>本项目员工从卫生院调控，职工住宿废水依托职工宿舍楼现有的</w:t>
                  </w:r>
                  <w:r>
                    <w:rPr>
                      <w:rStyle w:val="126"/>
                      <w:rFonts w:hint="eastAsia"/>
                      <w:bCs/>
                      <w:color w:val="auto"/>
                      <w:szCs w:val="21"/>
                    </w:rPr>
                    <w:t>生活污水</w:t>
                  </w:r>
                  <w:r>
                    <w:rPr>
                      <w:rFonts w:hint="eastAsia"/>
                      <w:bCs/>
                      <w:color w:val="auto"/>
                      <w:szCs w:val="21"/>
                    </w:rPr>
                    <w:t>化粪池，容积为13m³</w:t>
                  </w:r>
                </w:p>
              </w:tc>
            </w:tr>
            <w:tr w14:paraId="5E92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6FA98EEA">
                  <w:pPr>
                    <w:jc w:val="center"/>
                    <w:rPr>
                      <w:bCs/>
                      <w:color w:val="auto"/>
                      <w:szCs w:val="21"/>
                    </w:rPr>
                  </w:pPr>
                </w:p>
              </w:tc>
              <w:tc>
                <w:tcPr>
                  <w:tcW w:w="1260" w:type="dxa"/>
                  <w:vAlign w:val="center"/>
                </w:tcPr>
                <w:p w14:paraId="56DC9C92">
                  <w:pPr>
                    <w:jc w:val="center"/>
                    <w:rPr>
                      <w:bCs/>
                      <w:color w:val="auto"/>
                      <w:szCs w:val="21"/>
                    </w:rPr>
                  </w:pPr>
                  <w:r>
                    <w:rPr>
                      <w:rFonts w:hint="eastAsia"/>
                      <w:bCs/>
                      <w:color w:val="auto"/>
                      <w:szCs w:val="21"/>
                    </w:rPr>
                    <w:t>食堂</w:t>
                  </w:r>
                </w:p>
              </w:tc>
              <w:tc>
                <w:tcPr>
                  <w:tcW w:w="2988" w:type="dxa"/>
                  <w:vAlign w:val="center"/>
                </w:tcPr>
                <w:p w14:paraId="686F66BA">
                  <w:pPr>
                    <w:jc w:val="center"/>
                    <w:rPr>
                      <w:rStyle w:val="126"/>
                      <w:bCs/>
                      <w:color w:val="auto"/>
                      <w:szCs w:val="21"/>
                    </w:rPr>
                  </w:pPr>
                  <w:r>
                    <w:rPr>
                      <w:rStyle w:val="126"/>
                      <w:rFonts w:hint="eastAsia"/>
                      <w:bCs/>
                      <w:color w:val="auto"/>
                      <w:szCs w:val="21"/>
                    </w:rPr>
                    <w:t>杨广卫生院现有食堂，1个灶头，供杨广卫生院13人/d用中餐</w:t>
                  </w:r>
                </w:p>
              </w:tc>
              <w:tc>
                <w:tcPr>
                  <w:tcW w:w="2796" w:type="dxa"/>
                  <w:vAlign w:val="center"/>
                </w:tcPr>
                <w:p w14:paraId="14C4D7AC">
                  <w:pPr>
                    <w:jc w:val="center"/>
                    <w:rPr>
                      <w:bCs/>
                      <w:color w:val="auto"/>
                      <w:szCs w:val="21"/>
                    </w:rPr>
                  </w:pPr>
                  <w:r>
                    <w:rPr>
                      <w:rFonts w:hint="eastAsia"/>
                      <w:bCs/>
                      <w:color w:val="auto"/>
                      <w:szCs w:val="21"/>
                    </w:rPr>
                    <w:t>依托杨广卫生院现有食堂</w:t>
                  </w:r>
                </w:p>
              </w:tc>
            </w:tr>
            <w:tr w14:paraId="2F33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39946597">
                  <w:pPr>
                    <w:jc w:val="center"/>
                    <w:rPr>
                      <w:bCs/>
                      <w:color w:val="auto"/>
                      <w:szCs w:val="21"/>
                    </w:rPr>
                  </w:pPr>
                </w:p>
              </w:tc>
              <w:tc>
                <w:tcPr>
                  <w:tcW w:w="1260" w:type="dxa"/>
                  <w:vAlign w:val="center"/>
                </w:tcPr>
                <w:p w14:paraId="0D0A24A8">
                  <w:pPr>
                    <w:jc w:val="center"/>
                    <w:rPr>
                      <w:bCs/>
                      <w:color w:val="auto"/>
                      <w:szCs w:val="21"/>
                    </w:rPr>
                  </w:pPr>
                  <w:r>
                    <w:rPr>
                      <w:rFonts w:hint="eastAsia"/>
                      <w:bCs/>
                      <w:color w:val="auto"/>
                      <w:szCs w:val="21"/>
                    </w:rPr>
                    <w:t>隔油池</w:t>
                  </w:r>
                </w:p>
              </w:tc>
              <w:tc>
                <w:tcPr>
                  <w:tcW w:w="2988" w:type="dxa"/>
                  <w:vAlign w:val="center"/>
                </w:tcPr>
                <w:p w14:paraId="592CE97E">
                  <w:pPr>
                    <w:jc w:val="center"/>
                    <w:rPr>
                      <w:rStyle w:val="126"/>
                      <w:bCs/>
                      <w:color w:val="auto"/>
                      <w:szCs w:val="21"/>
                    </w:rPr>
                  </w:pPr>
                  <w:r>
                    <w:rPr>
                      <w:rStyle w:val="126"/>
                      <w:bCs/>
                      <w:color w:val="auto"/>
                      <w:szCs w:val="21"/>
                    </w:rPr>
                    <w:t>1个，1m³</w:t>
                  </w:r>
                </w:p>
              </w:tc>
              <w:tc>
                <w:tcPr>
                  <w:tcW w:w="2796" w:type="dxa"/>
                  <w:vAlign w:val="center"/>
                </w:tcPr>
                <w:p w14:paraId="2B0663E9">
                  <w:pPr>
                    <w:jc w:val="center"/>
                    <w:rPr>
                      <w:bCs/>
                      <w:color w:val="auto"/>
                      <w:szCs w:val="21"/>
                    </w:rPr>
                  </w:pPr>
                  <w:r>
                    <w:rPr>
                      <w:rFonts w:hint="eastAsia"/>
                      <w:bCs/>
                      <w:color w:val="auto"/>
                      <w:szCs w:val="21"/>
                    </w:rPr>
                    <w:t>依托杨广卫生院现有的隔油池，容积为1m³</w:t>
                  </w:r>
                </w:p>
              </w:tc>
            </w:tr>
            <w:tr w14:paraId="0314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993" w:type="dxa"/>
                  <w:vMerge w:val="continue"/>
                  <w:vAlign w:val="center"/>
                </w:tcPr>
                <w:p w14:paraId="6D678455">
                  <w:pPr>
                    <w:jc w:val="center"/>
                    <w:rPr>
                      <w:bCs/>
                      <w:color w:val="auto"/>
                      <w:szCs w:val="21"/>
                    </w:rPr>
                  </w:pPr>
                </w:p>
              </w:tc>
              <w:tc>
                <w:tcPr>
                  <w:tcW w:w="1260" w:type="dxa"/>
                  <w:vAlign w:val="center"/>
                </w:tcPr>
                <w:p w14:paraId="374C8F97">
                  <w:pPr>
                    <w:jc w:val="center"/>
                    <w:rPr>
                      <w:bCs/>
                      <w:color w:val="auto"/>
                      <w:szCs w:val="21"/>
                    </w:rPr>
                  </w:pPr>
                  <w:r>
                    <w:rPr>
                      <w:rFonts w:hint="eastAsia"/>
                      <w:bCs/>
                      <w:color w:val="auto"/>
                      <w:szCs w:val="21"/>
                    </w:rPr>
                    <w:t>危废/医废暂存间</w:t>
                  </w:r>
                </w:p>
              </w:tc>
              <w:tc>
                <w:tcPr>
                  <w:tcW w:w="2988" w:type="dxa"/>
                  <w:vAlign w:val="center"/>
                </w:tcPr>
                <w:p w14:paraId="0F2D5E1D">
                  <w:pPr>
                    <w:jc w:val="center"/>
                    <w:rPr>
                      <w:rStyle w:val="126"/>
                      <w:bCs/>
                      <w:color w:val="auto"/>
                      <w:szCs w:val="21"/>
                    </w:rPr>
                  </w:pPr>
                  <w:r>
                    <w:rPr>
                      <w:rStyle w:val="126"/>
                      <w:rFonts w:hint="eastAsia"/>
                      <w:bCs/>
                      <w:color w:val="auto"/>
                      <w:szCs w:val="21"/>
                    </w:rPr>
                    <w:t>1间，建筑面积10㎡</w:t>
                  </w:r>
                </w:p>
              </w:tc>
              <w:tc>
                <w:tcPr>
                  <w:tcW w:w="2796" w:type="dxa"/>
                  <w:vAlign w:val="center"/>
                </w:tcPr>
                <w:p w14:paraId="5A80323C">
                  <w:pPr>
                    <w:jc w:val="center"/>
                    <w:rPr>
                      <w:bCs/>
                      <w:color w:val="auto"/>
                      <w:szCs w:val="21"/>
                    </w:rPr>
                  </w:pPr>
                  <w:r>
                    <w:rPr>
                      <w:rFonts w:hint="eastAsia"/>
                      <w:bCs/>
                      <w:color w:val="auto"/>
                      <w:szCs w:val="21"/>
                    </w:rPr>
                    <w:t>依托杨广卫生院现有的</w:t>
                  </w:r>
                  <w:r>
                    <w:rPr>
                      <w:rStyle w:val="126"/>
                      <w:rFonts w:hint="eastAsia"/>
                      <w:color w:val="auto"/>
                    </w:rPr>
                    <w:t>危废/医废</w:t>
                  </w:r>
                  <w:r>
                    <w:rPr>
                      <w:rFonts w:hint="eastAsia"/>
                      <w:bCs/>
                      <w:color w:val="auto"/>
                      <w:szCs w:val="21"/>
                    </w:rPr>
                    <w:t>暂存间</w:t>
                  </w:r>
                </w:p>
              </w:tc>
            </w:tr>
            <w:tr w14:paraId="3A38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337845E7">
                  <w:pPr>
                    <w:jc w:val="center"/>
                    <w:rPr>
                      <w:bCs/>
                      <w:color w:val="auto"/>
                      <w:szCs w:val="21"/>
                    </w:rPr>
                  </w:pPr>
                </w:p>
              </w:tc>
              <w:tc>
                <w:tcPr>
                  <w:tcW w:w="1260" w:type="dxa"/>
                  <w:vAlign w:val="center"/>
                </w:tcPr>
                <w:p w14:paraId="281E7E45">
                  <w:pPr>
                    <w:jc w:val="center"/>
                    <w:rPr>
                      <w:bCs/>
                      <w:color w:val="auto"/>
                      <w:szCs w:val="21"/>
                    </w:rPr>
                  </w:pPr>
                  <w:r>
                    <w:rPr>
                      <w:rFonts w:hint="eastAsia"/>
                      <w:bCs/>
                      <w:color w:val="auto"/>
                      <w:szCs w:val="21"/>
                    </w:rPr>
                    <w:t>职工公寓</w:t>
                  </w:r>
                </w:p>
              </w:tc>
              <w:tc>
                <w:tcPr>
                  <w:tcW w:w="2988" w:type="dxa"/>
                  <w:vAlign w:val="center"/>
                </w:tcPr>
                <w:p w14:paraId="34DEF542">
                  <w:pPr>
                    <w:jc w:val="center"/>
                    <w:rPr>
                      <w:rStyle w:val="126"/>
                      <w:bCs/>
                      <w:color w:val="auto"/>
                      <w:szCs w:val="21"/>
                    </w:rPr>
                  </w:pPr>
                  <w:r>
                    <w:rPr>
                      <w:rStyle w:val="126"/>
                      <w:rFonts w:hint="eastAsia"/>
                      <w:bCs/>
                      <w:color w:val="auto"/>
                      <w:szCs w:val="21"/>
                    </w:rPr>
                    <w:t>杨广卫生院现有职工公寓，有35人/d用住宿</w:t>
                  </w:r>
                </w:p>
              </w:tc>
              <w:tc>
                <w:tcPr>
                  <w:tcW w:w="2796" w:type="dxa"/>
                  <w:vAlign w:val="center"/>
                </w:tcPr>
                <w:p w14:paraId="6873B6CC">
                  <w:pPr>
                    <w:jc w:val="center"/>
                    <w:rPr>
                      <w:bCs/>
                      <w:color w:val="auto"/>
                      <w:szCs w:val="21"/>
                    </w:rPr>
                  </w:pPr>
                  <w:r>
                    <w:rPr>
                      <w:rFonts w:hint="eastAsia"/>
                      <w:bCs/>
                      <w:color w:val="auto"/>
                      <w:szCs w:val="21"/>
                    </w:rPr>
                    <w:t>依托杨广卫生院现有职工公寓</w:t>
                  </w:r>
                </w:p>
              </w:tc>
            </w:tr>
            <w:tr w14:paraId="2713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281669AC">
                  <w:pPr>
                    <w:jc w:val="center"/>
                    <w:rPr>
                      <w:bCs/>
                      <w:color w:val="auto"/>
                      <w:szCs w:val="21"/>
                    </w:rPr>
                  </w:pPr>
                </w:p>
              </w:tc>
              <w:tc>
                <w:tcPr>
                  <w:tcW w:w="1260" w:type="dxa"/>
                  <w:vAlign w:val="center"/>
                </w:tcPr>
                <w:p w14:paraId="7EE0B7FC">
                  <w:pPr>
                    <w:jc w:val="center"/>
                    <w:rPr>
                      <w:bCs/>
                      <w:color w:val="auto"/>
                      <w:szCs w:val="21"/>
                    </w:rPr>
                  </w:pPr>
                  <w:r>
                    <w:rPr>
                      <w:rFonts w:hint="eastAsia"/>
                      <w:bCs/>
                      <w:color w:val="auto"/>
                      <w:szCs w:val="21"/>
                    </w:rPr>
                    <w:t>停车场</w:t>
                  </w:r>
                </w:p>
              </w:tc>
              <w:tc>
                <w:tcPr>
                  <w:tcW w:w="2988" w:type="dxa"/>
                  <w:vAlign w:val="center"/>
                </w:tcPr>
                <w:p w14:paraId="0DFF29D9">
                  <w:pPr>
                    <w:jc w:val="center"/>
                    <w:rPr>
                      <w:rStyle w:val="126"/>
                      <w:bCs/>
                      <w:color w:val="auto"/>
                      <w:szCs w:val="21"/>
                    </w:rPr>
                  </w:pPr>
                  <w:r>
                    <w:rPr>
                      <w:rFonts w:hint="eastAsia" w:ascii="宋体" w:hAnsi="宋体" w:cs="宋体"/>
                      <w:color w:val="auto"/>
                      <w:szCs w:val="21"/>
                    </w:rPr>
                    <w:t>停车位25个</w:t>
                  </w:r>
                </w:p>
              </w:tc>
              <w:tc>
                <w:tcPr>
                  <w:tcW w:w="2796" w:type="dxa"/>
                  <w:vAlign w:val="center"/>
                </w:tcPr>
                <w:p w14:paraId="10F52182">
                  <w:pPr>
                    <w:jc w:val="center"/>
                    <w:rPr>
                      <w:bCs/>
                      <w:color w:val="auto"/>
                      <w:szCs w:val="21"/>
                    </w:rPr>
                  </w:pPr>
                  <w:r>
                    <w:rPr>
                      <w:rFonts w:hint="eastAsia"/>
                      <w:bCs/>
                      <w:color w:val="auto"/>
                      <w:szCs w:val="21"/>
                    </w:rPr>
                    <w:t>依托杨广卫生院现有停车场</w:t>
                  </w:r>
                </w:p>
              </w:tc>
            </w:tr>
            <w:tr w14:paraId="1628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25440CC8">
                  <w:pPr>
                    <w:jc w:val="center"/>
                    <w:rPr>
                      <w:bCs/>
                      <w:color w:val="auto"/>
                      <w:szCs w:val="21"/>
                    </w:rPr>
                  </w:pPr>
                </w:p>
              </w:tc>
              <w:tc>
                <w:tcPr>
                  <w:tcW w:w="1260" w:type="dxa"/>
                  <w:vAlign w:val="center"/>
                </w:tcPr>
                <w:p w14:paraId="3EAB1180">
                  <w:pPr>
                    <w:jc w:val="center"/>
                    <w:rPr>
                      <w:bCs/>
                      <w:color w:val="auto"/>
                      <w:szCs w:val="21"/>
                    </w:rPr>
                  </w:pPr>
                  <w:r>
                    <w:rPr>
                      <w:rFonts w:hint="eastAsia"/>
                      <w:bCs/>
                      <w:color w:val="auto"/>
                      <w:szCs w:val="21"/>
                    </w:rPr>
                    <w:t>柴油发电机房</w:t>
                  </w:r>
                </w:p>
              </w:tc>
              <w:tc>
                <w:tcPr>
                  <w:tcW w:w="2988" w:type="dxa"/>
                  <w:vAlign w:val="center"/>
                </w:tcPr>
                <w:p w14:paraId="43CB21DC">
                  <w:pPr>
                    <w:jc w:val="center"/>
                    <w:rPr>
                      <w:rStyle w:val="126"/>
                      <w:bCs/>
                      <w:color w:val="auto"/>
                      <w:szCs w:val="21"/>
                    </w:rPr>
                  </w:pPr>
                  <w:r>
                    <w:rPr>
                      <w:rStyle w:val="126"/>
                      <w:rFonts w:hint="eastAsia"/>
                      <w:bCs/>
                      <w:color w:val="auto"/>
                      <w:szCs w:val="21"/>
                    </w:rPr>
                    <w:t>1间</w:t>
                  </w:r>
                </w:p>
              </w:tc>
              <w:tc>
                <w:tcPr>
                  <w:tcW w:w="2796" w:type="dxa"/>
                  <w:vAlign w:val="center"/>
                </w:tcPr>
                <w:p w14:paraId="62DEBDE6">
                  <w:pPr>
                    <w:jc w:val="center"/>
                    <w:rPr>
                      <w:bCs/>
                      <w:color w:val="auto"/>
                      <w:szCs w:val="21"/>
                    </w:rPr>
                  </w:pPr>
                  <w:r>
                    <w:rPr>
                      <w:rFonts w:hint="eastAsia"/>
                      <w:bCs/>
                      <w:color w:val="auto"/>
                      <w:szCs w:val="21"/>
                    </w:rPr>
                    <w:t>依托杨广卫生院现有柴油发电机房</w:t>
                  </w:r>
                </w:p>
              </w:tc>
            </w:tr>
            <w:bookmarkEnd w:id="18"/>
          </w:tbl>
          <w:p w14:paraId="1C04C995">
            <w:pPr>
              <w:jc w:val="center"/>
              <w:rPr>
                <w:rFonts w:hint="eastAsia" w:ascii="宋体" w:hAnsi="宋体" w:cs="宋体"/>
                <w:b/>
                <w:color w:val="auto"/>
                <w:sz w:val="24"/>
              </w:rPr>
            </w:pPr>
          </w:p>
          <w:p w14:paraId="7EB61FC8">
            <w:pPr>
              <w:adjustRightInd w:val="0"/>
              <w:snapToGrid w:val="0"/>
              <w:spacing w:line="360" w:lineRule="auto"/>
              <w:rPr>
                <w:b/>
                <w:bCs/>
                <w:color w:val="auto"/>
                <w:sz w:val="24"/>
              </w:rPr>
            </w:pPr>
            <w:r>
              <w:rPr>
                <w:b/>
                <w:bCs/>
                <w:color w:val="auto"/>
                <w:sz w:val="24"/>
              </w:rPr>
              <w:t>三、主要生产设备</w:t>
            </w:r>
          </w:p>
          <w:p w14:paraId="2BEE46E0">
            <w:pPr>
              <w:spacing w:line="360" w:lineRule="auto"/>
              <w:ind w:firstLine="480" w:firstLineChars="200"/>
              <w:rPr>
                <w:bCs/>
                <w:color w:val="auto"/>
                <w:sz w:val="24"/>
              </w:rPr>
            </w:pPr>
            <w:r>
              <w:rPr>
                <w:rFonts w:hint="eastAsia"/>
                <w:bCs/>
                <w:color w:val="auto"/>
                <w:sz w:val="24"/>
              </w:rPr>
              <w:t>1、主要医疗设备</w:t>
            </w:r>
          </w:p>
          <w:p w14:paraId="6F21C5BB">
            <w:pPr>
              <w:spacing w:line="360" w:lineRule="auto"/>
              <w:ind w:firstLine="480" w:firstLineChars="200"/>
              <w:rPr>
                <w:bCs/>
                <w:color w:val="auto"/>
                <w:sz w:val="24"/>
              </w:rPr>
            </w:pPr>
            <w:r>
              <w:rPr>
                <w:color w:val="auto"/>
                <w:sz w:val="24"/>
              </w:rPr>
              <w:t>项目</w:t>
            </w:r>
            <w:bookmarkStart w:id="22" w:name="_Hlk194485510"/>
            <w:r>
              <w:rPr>
                <w:rFonts w:hint="eastAsia"/>
                <w:color w:val="auto"/>
                <w:sz w:val="24"/>
              </w:rPr>
              <w:t>检验科设备（如</w:t>
            </w:r>
            <w:r>
              <w:rPr>
                <w:color w:val="auto"/>
                <w:sz w:val="24"/>
              </w:rPr>
              <w:t>CT</w:t>
            </w:r>
            <w:r>
              <w:rPr>
                <w:rFonts w:hint="eastAsia"/>
                <w:color w:val="auto"/>
                <w:sz w:val="24"/>
              </w:rPr>
              <w:t>、</w:t>
            </w:r>
            <w:r>
              <w:rPr>
                <w:color w:val="auto"/>
                <w:sz w:val="24"/>
              </w:rPr>
              <w:t>X射线计算机体层摄影设备（CT）</w:t>
            </w:r>
            <w:r>
              <w:rPr>
                <w:rFonts w:hint="eastAsia"/>
                <w:color w:val="auto"/>
                <w:sz w:val="24"/>
              </w:rPr>
              <w:t>等）</w:t>
            </w:r>
            <w:r>
              <w:rPr>
                <w:color w:val="auto"/>
                <w:sz w:val="24"/>
              </w:rPr>
              <w:t>涉及辐射</w:t>
            </w:r>
            <w:r>
              <w:rPr>
                <w:rFonts w:hint="eastAsia"/>
                <w:color w:val="auto"/>
                <w:sz w:val="24"/>
              </w:rPr>
              <w:t>，</w:t>
            </w:r>
            <w:r>
              <w:rPr>
                <w:color w:val="auto"/>
                <w:sz w:val="24"/>
              </w:rPr>
              <w:t>本次环评不包括辐射类污染源的评价</w:t>
            </w:r>
            <w:bookmarkEnd w:id="22"/>
            <w:r>
              <w:rPr>
                <w:color w:val="auto"/>
                <w:sz w:val="24"/>
              </w:rPr>
              <w:t>，辐射影响评价</w:t>
            </w:r>
            <w:r>
              <w:rPr>
                <w:bCs/>
                <w:color w:val="auto"/>
                <w:sz w:val="24"/>
              </w:rPr>
              <w:t>按照</w:t>
            </w:r>
            <w:r>
              <w:rPr>
                <w:rFonts w:hint="eastAsia"/>
                <w:color w:val="auto"/>
                <w:sz w:val="24"/>
              </w:rPr>
              <w:t>《建设项目环境影响评价分类管理名录（2021年版）》（2021年1月1日）</w:t>
            </w:r>
            <w:r>
              <w:rPr>
                <w:bCs/>
                <w:color w:val="auto"/>
                <w:sz w:val="24"/>
              </w:rPr>
              <w:t>中的有关规定另行</w:t>
            </w:r>
            <w:r>
              <w:rPr>
                <w:color w:val="auto"/>
                <w:sz w:val="24"/>
              </w:rPr>
              <w:t>办理相应的环保手续，按照相关要求进行建设。</w:t>
            </w:r>
            <w:r>
              <w:rPr>
                <w:rFonts w:hint="eastAsia"/>
                <w:bCs/>
                <w:color w:val="auto"/>
                <w:sz w:val="24"/>
              </w:rPr>
              <w:t>本项目主要医疗设备详见</w:t>
            </w:r>
            <w:r>
              <w:rPr>
                <w:color w:val="auto"/>
                <w:sz w:val="24"/>
              </w:rPr>
              <w:t>下表</w:t>
            </w:r>
            <w:r>
              <w:rPr>
                <w:rFonts w:hint="eastAsia"/>
                <w:color w:val="auto"/>
                <w:sz w:val="24"/>
              </w:rPr>
              <w:t>。</w:t>
            </w:r>
          </w:p>
          <w:p w14:paraId="7DAB8646">
            <w:pPr>
              <w:spacing w:line="360" w:lineRule="auto"/>
              <w:ind w:firstLine="480" w:firstLineChars="200"/>
              <w:rPr>
                <w:color w:val="auto"/>
                <w:sz w:val="24"/>
              </w:rPr>
            </w:pPr>
            <w:r>
              <w:rPr>
                <w:color w:val="auto"/>
                <w:sz w:val="24"/>
              </w:rPr>
              <w:t>本项目医疗设备见表</w:t>
            </w:r>
            <w:r>
              <w:rPr>
                <w:rFonts w:hint="eastAsia"/>
                <w:color w:val="auto"/>
                <w:sz w:val="24"/>
              </w:rPr>
              <w:t>2</w:t>
            </w:r>
            <w:r>
              <w:rPr>
                <w:color w:val="auto"/>
                <w:sz w:val="24"/>
              </w:rPr>
              <w:t>-</w:t>
            </w:r>
            <w:r>
              <w:rPr>
                <w:rFonts w:hint="eastAsia"/>
                <w:color w:val="auto"/>
                <w:sz w:val="24"/>
              </w:rPr>
              <w:t>6</w:t>
            </w:r>
            <w:r>
              <w:rPr>
                <w:color w:val="auto"/>
                <w:sz w:val="24"/>
              </w:rPr>
              <w:t>。</w:t>
            </w:r>
          </w:p>
          <w:p w14:paraId="384B28A3">
            <w:pPr>
              <w:adjustRightInd w:val="0"/>
              <w:snapToGrid w:val="0"/>
              <w:jc w:val="center"/>
              <w:rPr>
                <w:b/>
                <w:color w:val="auto"/>
                <w:sz w:val="24"/>
              </w:rPr>
            </w:pPr>
            <w:r>
              <w:rPr>
                <w:b/>
                <w:color w:val="auto"/>
                <w:sz w:val="24"/>
              </w:rPr>
              <w:t>表2-</w:t>
            </w:r>
            <w:r>
              <w:rPr>
                <w:rFonts w:hint="eastAsia"/>
                <w:b/>
                <w:color w:val="auto"/>
                <w:sz w:val="24"/>
              </w:rPr>
              <w:t>6</w:t>
            </w:r>
            <w:r>
              <w:rPr>
                <w:b/>
                <w:color w:val="auto"/>
                <w:sz w:val="24"/>
              </w:rPr>
              <w:t>本项目主要生产设备一览表</w:t>
            </w:r>
          </w:p>
          <w:tbl>
            <w:tblPr>
              <w:tblStyle w:val="33"/>
              <w:tblW w:w="78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979"/>
              <w:gridCol w:w="2109"/>
              <w:gridCol w:w="1810"/>
            </w:tblGrid>
            <w:tr w14:paraId="2FC0B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noWrap/>
                  <w:vAlign w:val="center"/>
                </w:tcPr>
                <w:p w14:paraId="3662BCC6">
                  <w:pPr>
                    <w:widowControl/>
                    <w:jc w:val="center"/>
                    <w:textAlignment w:val="bottom"/>
                    <w:rPr>
                      <w:rFonts w:hint="eastAsia" w:ascii="宋体" w:hAnsi="宋体" w:cs="宋体"/>
                      <w:b/>
                      <w:bCs/>
                      <w:color w:val="auto"/>
                      <w:szCs w:val="21"/>
                    </w:rPr>
                  </w:pPr>
                  <w:bookmarkStart w:id="23" w:name="_Hlk194485464"/>
                  <w:r>
                    <w:rPr>
                      <w:rFonts w:hint="eastAsia" w:ascii="宋体" w:hAnsi="宋体" w:cs="宋体"/>
                      <w:b/>
                      <w:bCs/>
                      <w:color w:val="auto"/>
                      <w:kern w:val="0"/>
                      <w:szCs w:val="21"/>
                      <w:lang w:bidi="ar"/>
                    </w:rPr>
                    <w:t>分区</w:t>
                  </w:r>
                </w:p>
              </w:tc>
              <w:tc>
                <w:tcPr>
                  <w:tcW w:w="2979" w:type="dxa"/>
                  <w:noWrap/>
                  <w:vAlign w:val="center"/>
                </w:tcPr>
                <w:p w14:paraId="04F0BD51">
                  <w:pPr>
                    <w:widowControl/>
                    <w:jc w:val="center"/>
                    <w:textAlignment w:val="bottom"/>
                    <w:rPr>
                      <w:rFonts w:hint="eastAsia" w:ascii="宋体" w:hAnsi="宋体" w:cs="宋体"/>
                      <w:b/>
                      <w:bCs/>
                      <w:color w:val="auto"/>
                      <w:szCs w:val="21"/>
                    </w:rPr>
                  </w:pPr>
                  <w:r>
                    <w:rPr>
                      <w:rFonts w:hint="eastAsia" w:ascii="宋体" w:hAnsi="宋体" w:cs="宋体"/>
                      <w:b/>
                      <w:bCs/>
                      <w:color w:val="auto"/>
                      <w:kern w:val="0"/>
                      <w:szCs w:val="21"/>
                      <w:lang w:bidi="ar"/>
                    </w:rPr>
                    <w:t>设备名称</w:t>
                  </w:r>
                </w:p>
              </w:tc>
              <w:tc>
                <w:tcPr>
                  <w:tcW w:w="2109" w:type="dxa"/>
                  <w:noWrap/>
                  <w:vAlign w:val="center"/>
                </w:tcPr>
                <w:p w14:paraId="229B878C">
                  <w:pPr>
                    <w:widowControl/>
                    <w:jc w:val="center"/>
                    <w:textAlignment w:val="bottom"/>
                    <w:rPr>
                      <w:rFonts w:hint="eastAsia" w:ascii="宋体" w:hAnsi="宋体" w:cs="宋体"/>
                      <w:b/>
                      <w:bCs/>
                      <w:color w:val="auto"/>
                      <w:szCs w:val="21"/>
                    </w:rPr>
                  </w:pPr>
                  <w:r>
                    <w:rPr>
                      <w:rFonts w:hint="eastAsia" w:ascii="宋体" w:hAnsi="宋体" w:cs="宋体"/>
                      <w:b/>
                      <w:bCs/>
                      <w:color w:val="auto"/>
                      <w:kern w:val="0"/>
                      <w:szCs w:val="21"/>
                      <w:lang w:bidi="ar"/>
                    </w:rPr>
                    <w:t>型号</w:t>
                  </w:r>
                </w:p>
              </w:tc>
              <w:tc>
                <w:tcPr>
                  <w:tcW w:w="1810" w:type="dxa"/>
                  <w:noWrap/>
                  <w:vAlign w:val="center"/>
                </w:tcPr>
                <w:p w14:paraId="43ABC566">
                  <w:pPr>
                    <w:widowControl/>
                    <w:jc w:val="center"/>
                    <w:textAlignment w:val="bottom"/>
                    <w:rPr>
                      <w:rFonts w:hint="eastAsia" w:ascii="宋体" w:hAnsi="宋体" w:cs="宋体"/>
                      <w:b/>
                      <w:bCs/>
                      <w:color w:val="auto"/>
                      <w:szCs w:val="21"/>
                    </w:rPr>
                  </w:pPr>
                  <w:r>
                    <w:rPr>
                      <w:rFonts w:hint="eastAsia" w:ascii="宋体" w:hAnsi="宋体" w:cs="宋体"/>
                      <w:b/>
                      <w:bCs/>
                      <w:color w:val="auto"/>
                      <w:kern w:val="0"/>
                      <w:szCs w:val="21"/>
                      <w:lang w:bidi="ar"/>
                    </w:rPr>
                    <w:t>数量（台）</w:t>
                  </w:r>
                </w:p>
              </w:tc>
            </w:tr>
            <w:tr w14:paraId="07E8D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923" w:type="dxa"/>
                  <w:vMerge w:val="restart"/>
                  <w:noWrap/>
                  <w:vAlign w:val="center"/>
                </w:tcPr>
                <w:p w14:paraId="0EF027CC">
                  <w:pPr>
                    <w:widowControl/>
                    <w:jc w:val="center"/>
                    <w:textAlignment w:val="bottom"/>
                    <w:rPr>
                      <w:rFonts w:hint="eastAsia" w:ascii="宋体" w:hAnsi="宋体" w:cs="宋体"/>
                      <w:color w:val="auto"/>
                      <w:szCs w:val="21"/>
                    </w:rPr>
                  </w:pPr>
                  <w:r>
                    <w:rPr>
                      <w:rFonts w:hint="eastAsia" w:ascii="宋体" w:hAnsi="宋体" w:cs="宋体"/>
                      <w:color w:val="auto"/>
                      <w:szCs w:val="21"/>
                    </w:rPr>
                    <w:t>杨广卫生院门诊楼1号楼</w:t>
                  </w:r>
                </w:p>
              </w:tc>
              <w:tc>
                <w:tcPr>
                  <w:tcW w:w="2979" w:type="dxa"/>
                  <w:noWrap/>
                  <w:vAlign w:val="center"/>
                </w:tcPr>
                <w:p w14:paraId="2E337AED">
                  <w:pPr>
                    <w:widowControl/>
                    <w:jc w:val="center"/>
                    <w:textAlignment w:val="bottom"/>
                    <w:rPr>
                      <w:rFonts w:hint="eastAsia" w:ascii="宋体" w:hAnsi="宋体" w:cs="宋体"/>
                      <w:color w:val="auto"/>
                      <w:szCs w:val="21"/>
                    </w:rPr>
                  </w:pPr>
                  <w:r>
                    <w:rPr>
                      <w:rFonts w:hint="eastAsia" w:ascii="宋体" w:hAnsi="宋体" w:cs="宋体"/>
                      <w:color w:val="auto"/>
                      <w:szCs w:val="21"/>
                    </w:rPr>
                    <w:t>多层螺旋CT</w:t>
                  </w:r>
                </w:p>
              </w:tc>
              <w:tc>
                <w:tcPr>
                  <w:tcW w:w="2109" w:type="dxa"/>
                  <w:noWrap/>
                  <w:vAlign w:val="center"/>
                </w:tcPr>
                <w:p w14:paraId="07FFAA52">
                  <w:pPr>
                    <w:widowControl/>
                    <w:jc w:val="center"/>
                    <w:textAlignment w:val="bottom"/>
                    <w:rPr>
                      <w:rFonts w:hint="eastAsia" w:ascii="宋体" w:hAnsi="宋体" w:cs="宋体"/>
                      <w:color w:val="auto"/>
                      <w:szCs w:val="21"/>
                    </w:rPr>
                  </w:pPr>
                  <w:r>
                    <w:rPr>
                      <w:rFonts w:hint="eastAsia" w:ascii="宋体" w:hAnsi="宋体" w:cs="宋体"/>
                      <w:color w:val="auto"/>
                      <w:szCs w:val="21"/>
                    </w:rPr>
                    <w:t>MSCT</w:t>
                  </w:r>
                </w:p>
              </w:tc>
              <w:tc>
                <w:tcPr>
                  <w:tcW w:w="1810" w:type="dxa"/>
                  <w:noWrap/>
                  <w:vAlign w:val="center"/>
                </w:tcPr>
                <w:p w14:paraId="7635C58E">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60DEB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0B13AC3C">
                  <w:pPr>
                    <w:widowControl/>
                    <w:jc w:val="center"/>
                    <w:textAlignment w:val="bottom"/>
                    <w:rPr>
                      <w:rFonts w:hint="eastAsia" w:ascii="宋体" w:hAnsi="宋体" w:cs="宋体"/>
                      <w:color w:val="auto"/>
                      <w:szCs w:val="21"/>
                    </w:rPr>
                  </w:pPr>
                </w:p>
              </w:tc>
              <w:tc>
                <w:tcPr>
                  <w:tcW w:w="2979" w:type="dxa"/>
                  <w:noWrap/>
                  <w:vAlign w:val="center"/>
                </w:tcPr>
                <w:p w14:paraId="0CC328B5">
                  <w:pPr>
                    <w:widowControl/>
                    <w:jc w:val="center"/>
                    <w:textAlignment w:val="bottom"/>
                    <w:rPr>
                      <w:rFonts w:hint="eastAsia" w:ascii="宋体" w:hAnsi="宋体" w:cs="宋体"/>
                      <w:color w:val="auto"/>
                      <w:szCs w:val="21"/>
                    </w:rPr>
                  </w:pPr>
                  <w:r>
                    <w:rPr>
                      <w:rFonts w:hint="eastAsia" w:ascii="宋体" w:hAnsi="宋体" w:cs="宋体"/>
                      <w:color w:val="auto"/>
                      <w:szCs w:val="21"/>
                    </w:rPr>
                    <w:t>牙科X射线系统</w:t>
                  </w:r>
                </w:p>
              </w:tc>
              <w:tc>
                <w:tcPr>
                  <w:tcW w:w="2109" w:type="dxa"/>
                  <w:noWrap/>
                  <w:vAlign w:val="center"/>
                </w:tcPr>
                <w:p w14:paraId="35FD4FFE">
                  <w:pPr>
                    <w:widowControl/>
                    <w:jc w:val="center"/>
                    <w:textAlignment w:val="bottom"/>
                    <w:rPr>
                      <w:rFonts w:hint="eastAsia" w:ascii="宋体" w:hAnsi="宋体" w:cs="宋体"/>
                      <w:color w:val="auto"/>
                      <w:szCs w:val="21"/>
                    </w:rPr>
                  </w:pPr>
                  <w:r>
                    <w:rPr>
                      <w:rFonts w:hint="eastAsia" w:ascii="宋体" w:hAnsi="宋体" w:cs="宋体"/>
                      <w:color w:val="auto"/>
                      <w:szCs w:val="21"/>
                    </w:rPr>
                    <w:t>PLX8600</w:t>
                  </w:r>
                </w:p>
              </w:tc>
              <w:tc>
                <w:tcPr>
                  <w:tcW w:w="1810" w:type="dxa"/>
                  <w:noWrap/>
                  <w:vAlign w:val="center"/>
                </w:tcPr>
                <w:p w14:paraId="51F28B81">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0C308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A501D56">
                  <w:pPr>
                    <w:widowControl/>
                    <w:jc w:val="center"/>
                    <w:textAlignment w:val="bottom"/>
                    <w:rPr>
                      <w:rFonts w:hint="eastAsia" w:ascii="宋体" w:hAnsi="宋体" w:cs="宋体"/>
                      <w:color w:val="auto"/>
                      <w:szCs w:val="21"/>
                    </w:rPr>
                  </w:pPr>
                </w:p>
              </w:tc>
              <w:tc>
                <w:tcPr>
                  <w:tcW w:w="2979" w:type="dxa"/>
                  <w:noWrap/>
                  <w:vAlign w:val="center"/>
                </w:tcPr>
                <w:p w14:paraId="4E825584">
                  <w:pPr>
                    <w:widowControl/>
                    <w:jc w:val="center"/>
                    <w:textAlignment w:val="center"/>
                    <w:rPr>
                      <w:rFonts w:hint="eastAsia" w:ascii="宋体" w:hAnsi="宋体" w:cs="宋体"/>
                      <w:color w:val="auto"/>
                      <w:szCs w:val="21"/>
                    </w:rPr>
                  </w:pPr>
                  <w:r>
                    <w:rPr>
                      <w:rFonts w:hint="eastAsia" w:ascii="宋体" w:hAnsi="宋体" w:cs="宋体"/>
                      <w:color w:val="auto"/>
                      <w:szCs w:val="21"/>
                    </w:rPr>
                    <w:t>动态血压仪</w:t>
                  </w:r>
                </w:p>
              </w:tc>
              <w:tc>
                <w:tcPr>
                  <w:tcW w:w="2109" w:type="dxa"/>
                  <w:noWrap/>
                  <w:vAlign w:val="center"/>
                </w:tcPr>
                <w:p w14:paraId="79178AA8">
                  <w:pPr>
                    <w:widowControl/>
                    <w:jc w:val="center"/>
                    <w:textAlignment w:val="center"/>
                    <w:rPr>
                      <w:rFonts w:hint="eastAsia" w:ascii="宋体" w:hAnsi="宋体" w:cs="宋体"/>
                      <w:color w:val="auto"/>
                      <w:szCs w:val="21"/>
                    </w:rPr>
                  </w:pPr>
                  <w:r>
                    <w:rPr>
                      <w:rFonts w:hint="eastAsia" w:ascii="宋体" w:hAnsi="宋体" w:cs="宋体"/>
                      <w:color w:val="auto"/>
                      <w:szCs w:val="21"/>
                    </w:rPr>
                    <w:t>Mobil-o-Graph NG</w:t>
                  </w:r>
                </w:p>
              </w:tc>
              <w:tc>
                <w:tcPr>
                  <w:tcW w:w="1810" w:type="dxa"/>
                  <w:noWrap/>
                  <w:vAlign w:val="center"/>
                </w:tcPr>
                <w:p w14:paraId="172F49D7">
                  <w:pPr>
                    <w:widowControl/>
                    <w:jc w:val="center"/>
                    <w:textAlignment w:val="bottom"/>
                    <w:rPr>
                      <w:rFonts w:hint="eastAsia" w:ascii="宋体" w:hAnsi="宋体" w:cs="宋体"/>
                      <w:color w:val="auto"/>
                      <w:szCs w:val="21"/>
                    </w:rPr>
                  </w:pPr>
                  <w:r>
                    <w:rPr>
                      <w:rFonts w:hint="eastAsia" w:ascii="宋体" w:hAnsi="宋体" w:cs="宋体"/>
                      <w:color w:val="auto"/>
                      <w:szCs w:val="21"/>
                    </w:rPr>
                    <w:t>2</w:t>
                  </w:r>
                </w:p>
              </w:tc>
            </w:tr>
            <w:tr w14:paraId="048EB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3D7226BA">
                  <w:pPr>
                    <w:widowControl/>
                    <w:jc w:val="center"/>
                    <w:textAlignment w:val="bottom"/>
                    <w:rPr>
                      <w:rFonts w:hint="eastAsia" w:ascii="宋体" w:hAnsi="宋体" w:cs="宋体"/>
                      <w:color w:val="auto"/>
                      <w:szCs w:val="21"/>
                    </w:rPr>
                  </w:pPr>
                </w:p>
              </w:tc>
              <w:tc>
                <w:tcPr>
                  <w:tcW w:w="2979" w:type="dxa"/>
                  <w:noWrap/>
                  <w:vAlign w:val="center"/>
                </w:tcPr>
                <w:p w14:paraId="5F448310">
                  <w:pPr>
                    <w:widowControl/>
                    <w:jc w:val="center"/>
                    <w:textAlignment w:val="center"/>
                    <w:rPr>
                      <w:rFonts w:hint="eastAsia" w:ascii="宋体" w:hAnsi="宋体" w:cs="宋体"/>
                      <w:color w:val="auto"/>
                      <w:szCs w:val="21"/>
                    </w:rPr>
                  </w:pPr>
                  <w:r>
                    <w:rPr>
                      <w:rFonts w:hint="eastAsia" w:ascii="宋体" w:hAnsi="宋体" w:cs="宋体"/>
                      <w:color w:val="auto"/>
                      <w:szCs w:val="21"/>
                    </w:rPr>
                    <w:t>病床</w:t>
                  </w:r>
                </w:p>
              </w:tc>
              <w:tc>
                <w:tcPr>
                  <w:tcW w:w="2109" w:type="dxa"/>
                  <w:noWrap/>
                  <w:vAlign w:val="center"/>
                </w:tcPr>
                <w:p w14:paraId="6264E05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手摇式二折病床</w:t>
                  </w:r>
                </w:p>
              </w:tc>
              <w:tc>
                <w:tcPr>
                  <w:tcW w:w="1810" w:type="dxa"/>
                  <w:noWrap/>
                  <w:vAlign w:val="center"/>
                </w:tcPr>
                <w:p w14:paraId="52FE65A8">
                  <w:pPr>
                    <w:widowControl/>
                    <w:jc w:val="center"/>
                    <w:textAlignment w:val="bottom"/>
                    <w:rPr>
                      <w:rFonts w:hint="eastAsia" w:ascii="宋体" w:hAnsi="宋体" w:cs="宋体"/>
                      <w:color w:val="auto"/>
                      <w:szCs w:val="21"/>
                    </w:rPr>
                  </w:pPr>
                  <w:r>
                    <w:rPr>
                      <w:rFonts w:hint="eastAsia" w:ascii="宋体" w:hAnsi="宋体" w:cs="宋体"/>
                      <w:color w:val="auto"/>
                      <w:szCs w:val="21"/>
                    </w:rPr>
                    <w:t>18</w:t>
                  </w:r>
                </w:p>
              </w:tc>
            </w:tr>
            <w:tr w14:paraId="6FD97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923" w:type="dxa"/>
                  <w:vMerge w:val="continue"/>
                  <w:noWrap/>
                  <w:vAlign w:val="center"/>
                </w:tcPr>
                <w:p w14:paraId="72F14F04">
                  <w:pPr>
                    <w:widowControl/>
                    <w:jc w:val="center"/>
                    <w:textAlignment w:val="bottom"/>
                    <w:rPr>
                      <w:rFonts w:hint="eastAsia" w:ascii="宋体" w:hAnsi="宋体" w:cs="宋体"/>
                      <w:color w:val="auto"/>
                      <w:szCs w:val="21"/>
                    </w:rPr>
                  </w:pPr>
                </w:p>
              </w:tc>
              <w:tc>
                <w:tcPr>
                  <w:tcW w:w="2979" w:type="dxa"/>
                  <w:noWrap/>
                  <w:vAlign w:val="center"/>
                </w:tcPr>
                <w:p w14:paraId="2E7144A4">
                  <w:pPr>
                    <w:widowControl/>
                    <w:jc w:val="center"/>
                    <w:textAlignment w:val="center"/>
                    <w:rPr>
                      <w:rFonts w:hint="eastAsia" w:ascii="宋体" w:hAnsi="宋体" w:cs="宋体"/>
                      <w:color w:val="auto"/>
                      <w:szCs w:val="21"/>
                    </w:rPr>
                  </w:pPr>
                  <w:r>
                    <w:rPr>
                      <w:rFonts w:hint="eastAsia" w:ascii="宋体" w:hAnsi="宋体" w:cs="宋体"/>
                      <w:color w:val="auto"/>
                      <w:szCs w:val="21"/>
                    </w:rPr>
                    <w:t>床头呼叫系统</w:t>
                  </w:r>
                </w:p>
              </w:tc>
              <w:tc>
                <w:tcPr>
                  <w:tcW w:w="2109" w:type="dxa"/>
                  <w:noWrap/>
                  <w:vAlign w:val="center"/>
                </w:tcPr>
                <w:p w14:paraId="4A63088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w:t>
                  </w:r>
                </w:p>
              </w:tc>
              <w:tc>
                <w:tcPr>
                  <w:tcW w:w="1810" w:type="dxa"/>
                  <w:noWrap/>
                  <w:vAlign w:val="center"/>
                </w:tcPr>
                <w:p w14:paraId="544B827A">
                  <w:pPr>
                    <w:widowControl/>
                    <w:jc w:val="center"/>
                    <w:textAlignment w:val="bottom"/>
                    <w:rPr>
                      <w:rFonts w:hint="eastAsia" w:ascii="宋体" w:hAnsi="宋体" w:cs="宋体"/>
                      <w:color w:val="auto"/>
                      <w:szCs w:val="21"/>
                    </w:rPr>
                  </w:pPr>
                  <w:r>
                    <w:rPr>
                      <w:rFonts w:hint="eastAsia" w:ascii="宋体" w:hAnsi="宋体" w:cs="宋体"/>
                      <w:color w:val="auto"/>
                      <w:szCs w:val="21"/>
                    </w:rPr>
                    <w:t>18</w:t>
                  </w:r>
                </w:p>
              </w:tc>
            </w:tr>
            <w:tr w14:paraId="0B8DA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923" w:type="dxa"/>
                  <w:vMerge w:val="continue"/>
                  <w:noWrap/>
                  <w:vAlign w:val="center"/>
                </w:tcPr>
                <w:p w14:paraId="04717760">
                  <w:pPr>
                    <w:widowControl/>
                    <w:jc w:val="center"/>
                    <w:textAlignment w:val="bottom"/>
                    <w:rPr>
                      <w:rFonts w:hint="eastAsia" w:ascii="宋体" w:hAnsi="宋体" w:cs="宋体"/>
                      <w:color w:val="auto"/>
                      <w:szCs w:val="21"/>
                    </w:rPr>
                  </w:pPr>
                </w:p>
              </w:tc>
              <w:tc>
                <w:tcPr>
                  <w:tcW w:w="2979" w:type="dxa"/>
                  <w:noWrap/>
                  <w:vAlign w:val="center"/>
                </w:tcPr>
                <w:p w14:paraId="0FFD558D">
                  <w:pPr>
                    <w:widowControl/>
                    <w:jc w:val="center"/>
                    <w:textAlignment w:val="center"/>
                    <w:rPr>
                      <w:rFonts w:hint="eastAsia" w:ascii="宋体" w:hAnsi="宋体" w:cs="宋体"/>
                      <w:color w:val="auto"/>
                      <w:szCs w:val="21"/>
                    </w:rPr>
                  </w:pPr>
                  <w:r>
                    <w:rPr>
                      <w:rFonts w:hint="eastAsia" w:ascii="宋体" w:hAnsi="宋体" w:cs="宋体"/>
                      <w:color w:val="auto"/>
                      <w:szCs w:val="21"/>
                    </w:rPr>
                    <w:t>床旁监护仪</w:t>
                  </w:r>
                </w:p>
              </w:tc>
              <w:tc>
                <w:tcPr>
                  <w:tcW w:w="2109" w:type="dxa"/>
                  <w:noWrap/>
                  <w:vAlign w:val="center"/>
                </w:tcPr>
                <w:p w14:paraId="04C7B42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w:t>
                  </w:r>
                </w:p>
              </w:tc>
              <w:tc>
                <w:tcPr>
                  <w:tcW w:w="1810" w:type="dxa"/>
                  <w:noWrap/>
                  <w:vAlign w:val="center"/>
                </w:tcPr>
                <w:p w14:paraId="7C560869">
                  <w:pPr>
                    <w:widowControl/>
                    <w:jc w:val="center"/>
                    <w:textAlignment w:val="bottom"/>
                    <w:rPr>
                      <w:rFonts w:hint="eastAsia" w:ascii="宋体" w:hAnsi="宋体" w:cs="宋体"/>
                      <w:color w:val="auto"/>
                      <w:szCs w:val="21"/>
                    </w:rPr>
                  </w:pPr>
                  <w:r>
                    <w:rPr>
                      <w:rFonts w:hint="eastAsia" w:ascii="宋体" w:hAnsi="宋体" w:cs="宋体"/>
                      <w:color w:val="auto"/>
                      <w:szCs w:val="21"/>
                    </w:rPr>
                    <w:t>18</w:t>
                  </w:r>
                </w:p>
              </w:tc>
            </w:tr>
            <w:tr w14:paraId="3B9B2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923" w:type="dxa"/>
                  <w:vMerge w:val="continue"/>
                  <w:noWrap/>
                  <w:vAlign w:val="center"/>
                </w:tcPr>
                <w:p w14:paraId="554E0BD6">
                  <w:pPr>
                    <w:widowControl/>
                    <w:jc w:val="center"/>
                    <w:textAlignment w:val="bottom"/>
                    <w:rPr>
                      <w:rFonts w:hint="eastAsia" w:ascii="宋体" w:hAnsi="宋体" w:cs="宋体"/>
                      <w:color w:val="auto"/>
                      <w:szCs w:val="21"/>
                    </w:rPr>
                  </w:pPr>
                </w:p>
              </w:tc>
              <w:tc>
                <w:tcPr>
                  <w:tcW w:w="2979" w:type="dxa"/>
                  <w:noWrap/>
                  <w:vAlign w:val="center"/>
                </w:tcPr>
                <w:p w14:paraId="2E290016">
                  <w:pPr>
                    <w:widowControl/>
                    <w:jc w:val="center"/>
                    <w:textAlignment w:val="center"/>
                    <w:rPr>
                      <w:rFonts w:hint="eastAsia" w:ascii="宋体" w:hAnsi="宋体" w:cs="宋体"/>
                      <w:color w:val="auto"/>
                      <w:szCs w:val="21"/>
                    </w:rPr>
                  </w:pPr>
                  <w:r>
                    <w:rPr>
                      <w:rFonts w:hint="eastAsia" w:ascii="宋体" w:hAnsi="宋体" w:cs="宋体"/>
                      <w:color w:val="auto"/>
                      <w:szCs w:val="21"/>
                    </w:rPr>
                    <w:t>洗衣机</w:t>
                  </w:r>
                </w:p>
              </w:tc>
              <w:tc>
                <w:tcPr>
                  <w:tcW w:w="2109" w:type="dxa"/>
                  <w:noWrap/>
                  <w:vAlign w:val="center"/>
                </w:tcPr>
                <w:p w14:paraId="75F522AE">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w:t>
                  </w:r>
                </w:p>
              </w:tc>
              <w:tc>
                <w:tcPr>
                  <w:tcW w:w="1810" w:type="dxa"/>
                  <w:noWrap/>
                  <w:vAlign w:val="center"/>
                </w:tcPr>
                <w:p w14:paraId="5840737B">
                  <w:pPr>
                    <w:widowControl/>
                    <w:jc w:val="center"/>
                    <w:textAlignment w:val="bottom"/>
                    <w:rPr>
                      <w:rFonts w:hint="eastAsia" w:ascii="宋体" w:hAnsi="宋体" w:cs="宋体"/>
                      <w:color w:val="auto"/>
                      <w:szCs w:val="21"/>
                    </w:rPr>
                  </w:pPr>
                  <w:r>
                    <w:rPr>
                      <w:rFonts w:hint="eastAsia" w:ascii="宋体" w:hAnsi="宋体" w:cs="宋体"/>
                      <w:color w:val="auto"/>
                      <w:szCs w:val="21"/>
                    </w:rPr>
                    <w:t>5</w:t>
                  </w:r>
                </w:p>
              </w:tc>
            </w:tr>
            <w:tr w14:paraId="64A6A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923" w:type="dxa"/>
                  <w:vMerge w:val="continue"/>
                  <w:noWrap/>
                  <w:vAlign w:val="center"/>
                </w:tcPr>
                <w:p w14:paraId="498F383E">
                  <w:pPr>
                    <w:widowControl/>
                    <w:jc w:val="center"/>
                    <w:textAlignment w:val="bottom"/>
                    <w:rPr>
                      <w:rFonts w:hint="eastAsia" w:ascii="宋体" w:hAnsi="宋体" w:cs="宋体"/>
                      <w:color w:val="auto"/>
                      <w:szCs w:val="21"/>
                    </w:rPr>
                  </w:pPr>
                </w:p>
              </w:tc>
              <w:tc>
                <w:tcPr>
                  <w:tcW w:w="2979" w:type="dxa"/>
                  <w:noWrap/>
                  <w:vAlign w:val="center"/>
                </w:tcPr>
                <w:p w14:paraId="166D8F19">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污水处理站</w:t>
                  </w:r>
                </w:p>
              </w:tc>
              <w:tc>
                <w:tcPr>
                  <w:tcW w:w="2109" w:type="dxa"/>
                  <w:noWrap/>
                  <w:vAlign w:val="center"/>
                </w:tcPr>
                <w:p w14:paraId="04176D21">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处理规模10m³/d</w:t>
                  </w:r>
                </w:p>
              </w:tc>
              <w:tc>
                <w:tcPr>
                  <w:tcW w:w="1810" w:type="dxa"/>
                  <w:noWrap/>
                  <w:vAlign w:val="center"/>
                </w:tcPr>
                <w:p w14:paraId="11C24390">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33E1D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23" w:type="dxa"/>
                  <w:vMerge w:val="restart"/>
                  <w:noWrap/>
                  <w:vAlign w:val="center"/>
                </w:tcPr>
                <w:p w14:paraId="67F293DF">
                  <w:pPr>
                    <w:widowControl/>
                    <w:jc w:val="center"/>
                    <w:textAlignment w:val="bottom"/>
                    <w:rPr>
                      <w:rFonts w:hint="eastAsia" w:ascii="宋体" w:hAnsi="宋体" w:cs="宋体"/>
                      <w:color w:val="auto"/>
                      <w:szCs w:val="21"/>
                    </w:rPr>
                  </w:pPr>
                  <w:r>
                    <w:rPr>
                      <w:rFonts w:hint="eastAsia" w:ascii="宋体" w:hAnsi="宋体" w:cs="宋体"/>
                      <w:color w:val="auto"/>
                      <w:szCs w:val="21"/>
                    </w:rPr>
                    <w:t>四街卫生院业务用房</w:t>
                  </w:r>
                </w:p>
              </w:tc>
              <w:tc>
                <w:tcPr>
                  <w:tcW w:w="2979" w:type="dxa"/>
                  <w:noWrap/>
                  <w:vAlign w:val="center"/>
                </w:tcPr>
                <w:p w14:paraId="601FB9B6">
                  <w:pPr>
                    <w:widowControl/>
                    <w:jc w:val="center"/>
                    <w:textAlignment w:val="center"/>
                    <w:rPr>
                      <w:rFonts w:hint="eastAsia" w:ascii="宋体" w:hAnsi="宋体" w:cs="宋体"/>
                      <w:color w:val="auto"/>
                      <w:szCs w:val="21"/>
                    </w:rPr>
                  </w:pPr>
                  <w:r>
                    <w:rPr>
                      <w:rFonts w:hint="eastAsia" w:ascii="宋体" w:hAnsi="宋体" w:cs="宋体"/>
                      <w:color w:val="auto"/>
                      <w:szCs w:val="21"/>
                    </w:rPr>
                    <w:t>彩超</w:t>
                  </w:r>
                </w:p>
              </w:tc>
              <w:tc>
                <w:tcPr>
                  <w:tcW w:w="2109" w:type="dxa"/>
                  <w:noWrap/>
                  <w:vAlign w:val="center"/>
                </w:tcPr>
                <w:p w14:paraId="3C2463F1">
                  <w:pPr>
                    <w:widowControl/>
                    <w:jc w:val="center"/>
                    <w:textAlignment w:val="center"/>
                    <w:rPr>
                      <w:rFonts w:hint="eastAsia" w:ascii="宋体" w:hAnsi="宋体" w:cs="宋体"/>
                      <w:color w:val="auto"/>
                      <w:szCs w:val="21"/>
                    </w:rPr>
                  </w:pPr>
                  <w:r>
                    <w:rPr>
                      <w:rFonts w:hint="eastAsia" w:ascii="宋体" w:hAnsi="宋体" w:cs="宋体"/>
                      <w:color w:val="auto"/>
                      <w:szCs w:val="21"/>
                    </w:rPr>
                    <w:t>飞利浦 HD7</w:t>
                  </w:r>
                </w:p>
              </w:tc>
              <w:tc>
                <w:tcPr>
                  <w:tcW w:w="1810" w:type="dxa"/>
                  <w:noWrap/>
                  <w:vAlign w:val="center"/>
                </w:tcPr>
                <w:p w14:paraId="5B1AF2CF">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49284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 w:hRule="atLeast"/>
                <w:jc w:val="center"/>
              </w:trPr>
              <w:tc>
                <w:tcPr>
                  <w:tcW w:w="923" w:type="dxa"/>
                  <w:vMerge w:val="continue"/>
                  <w:noWrap/>
                  <w:vAlign w:val="center"/>
                </w:tcPr>
                <w:p w14:paraId="7ACFF4EF">
                  <w:pPr>
                    <w:widowControl/>
                    <w:jc w:val="center"/>
                    <w:textAlignment w:val="bottom"/>
                    <w:rPr>
                      <w:rFonts w:hint="eastAsia" w:ascii="宋体" w:hAnsi="宋体" w:cs="宋体"/>
                      <w:color w:val="auto"/>
                      <w:szCs w:val="21"/>
                    </w:rPr>
                  </w:pPr>
                </w:p>
              </w:tc>
              <w:tc>
                <w:tcPr>
                  <w:tcW w:w="2979" w:type="dxa"/>
                  <w:noWrap/>
                  <w:vAlign w:val="center"/>
                </w:tcPr>
                <w:p w14:paraId="16F47F85">
                  <w:pPr>
                    <w:widowControl/>
                    <w:jc w:val="center"/>
                    <w:textAlignment w:val="center"/>
                    <w:rPr>
                      <w:rFonts w:hint="eastAsia" w:ascii="宋体" w:hAnsi="宋体" w:cs="宋体"/>
                      <w:color w:val="auto"/>
                      <w:szCs w:val="21"/>
                    </w:rPr>
                  </w:pPr>
                  <w:r>
                    <w:rPr>
                      <w:rFonts w:hint="eastAsia" w:ascii="宋体" w:hAnsi="宋体" w:cs="宋体"/>
                      <w:color w:val="auto"/>
                      <w:szCs w:val="21"/>
                    </w:rPr>
                    <w:t>震动排痰仪</w:t>
                  </w:r>
                </w:p>
              </w:tc>
              <w:tc>
                <w:tcPr>
                  <w:tcW w:w="2109" w:type="dxa"/>
                  <w:noWrap/>
                  <w:vAlign w:val="center"/>
                </w:tcPr>
                <w:p w14:paraId="3CCCCD2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鱼跃TE-A</w:t>
                  </w:r>
                </w:p>
              </w:tc>
              <w:tc>
                <w:tcPr>
                  <w:tcW w:w="1810" w:type="dxa"/>
                  <w:noWrap/>
                  <w:vAlign w:val="center"/>
                </w:tcPr>
                <w:p w14:paraId="17E862F0">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46D29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289FC247">
                  <w:pPr>
                    <w:widowControl/>
                    <w:jc w:val="center"/>
                    <w:textAlignment w:val="bottom"/>
                    <w:rPr>
                      <w:rFonts w:hint="eastAsia" w:ascii="宋体" w:hAnsi="宋体" w:cs="宋体"/>
                      <w:color w:val="auto"/>
                      <w:szCs w:val="21"/>
                    </w:rPr>
                  </w:pPr>
                </w:p>
              </w:tc>
              <w:tc>
                <w:tcPr>
                  <w:tcW w:w="2979" w:type="dxa"/>
                  <w:noWrap/>
                  <w:vAlign w:val="center"/>
                </w:tcPr>
                <w:p w14:paraId="13ECDEC2">
                  <w:pPr>
                    <w:widowControl/>
                    <w:jc w:val="center"/>
                    <w:textAlignment w:val="center"/>
                    <w:rPr>
                      <w:rFonts w:hint="eastAsia" w:ascii="宋体" w:hAnsi="宋体" w:cs="宋体"/>
                      <w:color w:val="auto"/>
                      <w:szCs w:val="21"/>
                    </w:rPr>
                  </w:pPr>
                  <w:r>
                    <w:rPr>
                      <w:rFonts w:hint="eastAsia" w:ascii="宋体" w:hAnsi="宋体" w:cs="宋体"/>
                      <w:color w:val="auto"/>
                      <w:szCs w:val="21"/>
                    </w:rPr>
                    <w:t>电子喉镜</w:t>
                  </w:r>
                </w:p>
              </w:tc>
              <w:tc>
                <w:tcPr>
                  <w:tcW w:w="2109" w:type="dxa"/>
                  <w:noWrap/>
                  <w:vAlign w:val="center"/>
                </w:tcPr>
                <w:p w14:paraId="012A7E7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w:t>
                  </w:r>
                </w:p>
              </w:tc>
              <w:tc>
                <w:tcPr>
                  <w:tcW w:w="1810" w:type="dxa"/>
                  <w:noWrap/>
                  <w:vAlign w:val="center"/>
                </w:tcPr>
                <w:p w14:paraId="5642415E">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79FBE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191564EA">
                  <w:pPr>
                    <w:widowControl/>
                    <w:jc w:val="center"/>
                    <w:textAlignment w:val="bottom"/>
                    <w:rPr>
                      <w:rFonts w:hint="eastAsia" w:ascii="宋体" w:hAnsi="宋体" w:cs="宋体"/>
                      <w:color w:val="auto"/>
                      <w:szCs w:val="21"/>
                    </w:rPr>
                  </w:pPr>
                </w:p>
              </w:tc>
              <w:tc>
                <w:tcPr>
                  <w:tcW w:w="2979" w:type="dxa"/>
                  <w:noWrap/>
                  <w:vAlign w:val="center"/>
                </w:tcPr>
                <w:p w14:paraId="64CD3541">
                  <w:pPr>
                    <w:widowControl/>
                    <w:jc w:val="center"/>
                    <w:textAlignment w:val="center"/>
                    <w:rPr>
                      <w:rFonts w:hint="eastAsia" w:ascii="宋体" w:hAnsi="宋体" w:cs="宋体"/>
                      <w:color w:val="auto"/>
                      <w:szCs w:val="21"/>
                    </w:rPr>
                  </w:pPr>
                  <w:r>
                    <w:rPr>
                      <w:rFonts w:hint="eastAsia" w:ascii="宋体" w:hAnsi="宋体" w:cs="宋体"/>
                      <w:color w:val="auto"/>
                      <w:szCs w:val="21"/>
                    </w:rPr>
                    <w:t>床旁血气分析仪</w:t>
                  </w:r>
                </w:p>
              </w:tc>
              <w:tc>
                <w:tcPr>
                  <w:tcW w:w="2109" w:type="dxa"/>
                  <w:noWrap/>
                  <w:vAlign w:val="center"/>
                </w:tcPr>
                <w:p w14:paraId="2F80ED0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w:t>
                  </w:r>
                </w:p>
              </w:tc>
              <w:tc>
                <w:tcPr>
                  <w:tcW w:w="1810" w:type="dxa"/>
                  <w:noWrap/>
                  <w:vAlign w:val="center"/>
                </w:tcPr>
                <w:p w14:paraId="00132841">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4DB1D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F623DA1">
                  <w:pPr>
                    <w:widowControl/>
                    <w:jc w:val="center"/>
                    <w:textAlignment w:val="bottom"/>
                    <w:rPr>
                      <w:rFonts w:hint="eastAsia" w:ascii="宋体" w:hAnsi="宋体" w:cs="宋体"/>
                      <w:color w:val="auto"/>
                      <w:szCs w:val="21"/>
                    </w:rPr>
                  </w:pPr>
                </w:p>
              </w:tc>
              <w:tc>
                <w:tcPr>
                  <w:tcW w:w="2979" w:type="dxa"/>
                  <w:noWrap/>
                  <w:vAlign w:val="center"/>
                </w:tcPr>
                <w:p w14:paraId="06E31997">
                  <w:pPr>
                    <w:widowControl/>
                    <w:jc w:val="center"/>
                    <w:textAlignment w:val="center"/>
                    <w:rPr>
                      <w:rFonts w:hint="eastAsia" w:ascii="宋体" w:hAnsi="宋体" w:cs="宋体"/>
                      <w:color w:val="auto"/>
                      <w:szCs w:val="21"/>
                    </w:rPr>
                  </w:pPr>
                  <w:r>
                    <w:rPr>
                      <w:rFonts w:hint="eastAsia" w:ascii="宋体" w:hAnsi="宋体" w:cs="宋体"/>
                      <w:color w:val="auto"/>
                      <w:szCs w:val="21"/>
                    </w:rPr>
                    <w:t>输液泵</w:t>
                  </w:r>
                </w:p>
              </w:tc>
              <w:tc>
                <w:tcPr>
                  <w:tcW w:w="2109" w:type="dxa"/>
                  <w:noWrap/>
                  <w:vAlign w:val="center"/>
                </w:tcPr>
                <w:p w14:paraId="51597000">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6F2A880A">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0AFBD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9CD9475">
                  <w:pPr>
                    <w:widowControl/>
                    <w:jc w:val="center"/>
                    <w:textAlignment w:val="bottom"/>
                    <w:rPr>
                      <w:rFonts w:hint="eastAsia" w:ascii="宋体" w:hAnsi="宋体" w:cs="宋体"/>
                      <w:color w:val="auto"/>
                      <w:szCs w:val="21"/>
                    </w:rPr>
                  </w:pPr>
                </w:p>
              </w:tc>
              <w:tc>
                <w:tcPr>
                  <w:tcW w:w="2979" w:type="dxa"/>
                  <w:noWrap/>
                  <w:vAlign w:val="center"/>
                </w:tcPr>
                <w:p w14:paraId="1EC51FAD">
                  <w:pPr>
                    <w:widowControl/>
                    <w:jc w:val="center"/>
                    <w:textAlignment w:val="center"/>
                    <w:rPr>
                      <w:rFonts w:hint="eastAsia" w:ascii="宋体" w:hAnsi="宋体" w:cs="宋体"/>
                      <w:color w:val="auto"/>
                      <w:szCs w:val="21"/>
                    </w:rPr>
                  </w:pPr>
                  <w:r>
                    <w:rPr>
                      <w:rFonts w:hint="eastAsia" w:ascii="宋体" w:hAnsi="宋体" w:cs="宋体"/>
                      <w:color w:val="auto"/>
                      <w:szCs w:val="21"/>
                    </w:rPr>
                    <w:t>教学会议一体机</w:t>
                  </w:r>
                </w:p>
              </w:tc>
              <w:tc>
                <w:tcPr>
                  <w:tcW w:w="2109" w:type="dxa"/>
                  <w:noWrap/>
                  <w:vAlign w:val="center"/>
                </w:tcPr>
                <w:p w14:paraId="0B5CFB27">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91BCFB4">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12F4A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7ACB24B3">
                  <w:pPr>
                    <w:widowControl/>
                    <w:jc w:val="center"/>
                    <w:textAlignment w:val="bottom"/>
                    <w:rPr>
                      <w:rFonts w:hint="eastAsia" w:ascii="宋体" w:hAnsi="宋体" w:cs="宋体"/>
                      <w:color w:val="auto"/>
                      <w:szCs w:val="21"/>
                    </w:rPr>
                  </w:pPr>
                </w:p>
              </w:tc>
              <w:tc>
                <w:tcPr>
                  <w:tcW w:w="2979" w:type="dxa"/>
                  <w:noWrap/>
                  <w:vAlign w:val="center"/>
                </w:tcPr>
                <w:p w14:paraId="5E4BD1CC">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心电监护仪</w:t>
                  </w:r>
                </w:p>
              </w:tc>
              <w:tc>
                <w:tcPr>
                  <w:tcW w:w="2109" w:type="dxa"/>
                  <w:noWrap/>
                  <w:vAlign w:val="center"/>
                </w:tcPr>
                <w:p w14:paraId="1DBC792C">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IPM8</w:t>
                  </w:r>
                </w:p>
              </w:tc>
              <w:tc>
                <w:tcPr>
                  <w:tcW w:w="1810" w:type="dxa"/>
                  <w:noWrap/>
                  <w:vAlign w:val="center"/>
                </w:tcPr>
                <w:p w14:paraId="62813C56">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62AAE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ED08789">
                  <w:pPr>
                    <w:widowControl/>
                    <w:jc w:val="center"/>
                    <w:textAlignment w:val="bottom"/>
                    <w:rPr>
                      <w:rFonts w:hint="eastAsia" w:ascii="宋体" w:hAnsi="宋体" w:cs="宋体"/>
                      <w:color w:val="auto"/>
                      <w:szCs w:val="21"/>
                    </w:rPr>
                  </w:pPr>
                </w:p>
              </w:tc>
              <w:tc>
                <w:tcPr>
                  <w:tcW w:w="2979" w:type="dxa"/>
                  <w:noWrap/>
                  <w:vAlign w:val="center"/>
                </w:tcPr>
                <w:p w14:paraId="30EC72C1">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文件柜</w:t>
                  </w:r>
                </w:p>
              </w:tc>
              <w:tc>
                <w:tcPr>
                  <w:tcW w:w="2109" w:type="dxa"/>
                  <w:noWrap/>
                  <w:vAlign w:val="center"/>
                </w:tcPr>
                <w:p w14:paraId="79FB23BC">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296EA65">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6AC29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2139A2F">
                  <w:pPr>
                    <w:widowControl/>
                    <w:jc w:val="center"/>
                    <w:textAlignment w:val="bottom"/>
                    <w:rPr>
                      <w:rFonts w:hint="eastAsia" w:ascii="宋体" w:hAnsi="宋体" w:cs="宋体"/>
                      <w:color w:val="auto"/>
                      <w:szCs w:val="21"/>
                    </w:rPr>
                  </w:pPr>
                </w:p>
              </w:tc>
              <w:tc>
                <w:tcPr>
                  <w:tcW w:w="2979" w:type="dxa"/>
                  <w:noWrap/>
                  <w:vAlign w:val="center"/>
                </w:tcPr>
                <w:p w14:paraId="550EE9A5">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洗眼器</w:t>
                  </w:r>
                </w:p>
              </w:tc>
              <w:tc>
                <w:tcPr>
                  <w:tcW w:w="2109" w:type="dxa"/>
                  <w:noWrap/>
                  <w:vAlign w:val="center"/>
                </w:tcPr>
                <w:p w14:paraId="38264059">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E7F754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49C7C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53C3BFC">
                  <w:pPr>
                    <w:widowControl/>
                    <w:jc w:val="center"/>
                    <w:textAlignment w:val="bottom"/>
                    <w:rPr>
                      <w:rFonts w:hint="eastAsia" w:ascii="宋体" w:hAnsi="宋体" w:cs="宋体"/>
                      <w:color w:val="auto"/>
                      <w:szCs w:val="21"/>
                    </w:rPr>
                  </w:pPr>
                </w:p>
              </w:tc>
              <w:tc>
                <w:tcPr>
                  <w:tcW w:w="2979" w:type="dxa"/>
                  <w:noWrap/>
                  <w:vAlign w:val="center"/>
                </w:tcPr>
                <w:p w14:paraId="32D61A40">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离心机</w:t>
                  </w:r>
                </w:p>
              </w:tc>
              <w:tc>
                <w:tcPr>
                  <w:tcW w:w="2109" w:type="dxa"/>
                  <w:noWrap/>
                  <w:vAlign w:val="center"/>
                </w:tcPr>
                <w:p w14:paraId="5AB9CBB6">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SC-04</w:t>
                  </w:r>
                </w:p>
              </w:tc>
              <w:tc>
                <w:tcPr>
                  <w:tcW w:w="1810" w:type="dxa"/>
                  <w:noWrap/>
                  <w:vAlign w:val="center"/>
                </w:tcPr>
                <w:p w14:paraId="24C8E361">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67AEE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102BE3CA">
                  <w:pPr>
                    <w:widowControl/>
                    <w:jc w:val="center"/>
                    <w:textAlignment w:val="bottom"/>
                    <w:rPr>
                      <w:rFonts w:hint="eastAsia" w:ascii="宋体" w:hAnsi="宋体" w:cs="宋体"/>
                      <w:color w:val="auto"/>
                      <w:szCs w:val="21"/>
                    </w:rPr>
                  </w:pPr>
                </w:p>
              </w:tc>
              <w:tc>
                <w:tcPr>
                  <w:tcW w:w="2979" w:type="dxa"/>
                  <w:noWrap/>
                  <w:vAlign w:val="center"/>
                </w:tcPr>
                <w:p w14:paraId="7ECE7A58">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生化机</w:t>
                  </w:r>
                </w:p>
              </w:tc>
              <w:tc>
                <w:tcPr>
                  <w:tcW w:w="2109" w:type="dxa"/>
                  <w:noWrap/>
                  <w:vAlign w:val="center"/>
                </w:tcPr>
                <w:p w14:paraId="52388A7D">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E25B57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2</w:t>
                  </w:r>
                </w:p>
              </w:tc>
            </w:tr>
            <w:tr w14:paraId="2CB3E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BE1C0C0">
                  <w:pPr>
                    <w:widowControl/>
                    <w:jc w:val="center"/>
                    <w:textAlignment w:val="bottom"/>
                    <w:rPr>
                      <w:rFonts w:hint="eastAsia" w:ascii="宋体" w:hAnsi="宋体" w:cs="宋体"/>
                      <w:color w:val="auto"/>
                      <w:szCs w:val="21"/>
                    </w:rPr>
                  </w:pPr>
                </w:p>
              </w:tc>
              <w:tc>
                <w:tcPr>
                  <w:tcW w:w="2979" w:type="dxa"/>
                  <w:noWrap/>
                  <w:vAlign w:val="center"/>
                </w:tcPr>
                <w:p w14:paraId="5EAC4AF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血液分析仪</w:t>
                  </w:r>
                </w:p>
              </w:tc>
              <w:tc>
                <w:tcPr>
                  <w:tcW w:w="2109" w:type="dxa"/>
                  <w:noWrap/>
                  <w:vAlign w:val="center"/>
                </w:tcPr>
                <w:p w14:paraId="12C57918">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XP-100</w:t>
                  </w:r>
                </w:p>
              </w:tc>
              <w:tc>
                <w:tcPr>
                  <w:tcW w:w="1810" w:type="dxa"/>
                  <w:noWrap/>
                  <w:vAlign w:val="center"/>
                </w:tcPr>
                <w:p w14:paraId="3CC35580">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41CE6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D1CBF81">
                  <w:pPr>
                    <w:widowControl/>
                    <w:jc w:val="center"/>
                    <w:textAlignment w:val="bottom"/>
                    <w:rPr>
                      <w:rFonts w:hint="eastAsia" w:ascii="宋体" w:hAnsi="宋体" w:cs="宋体"/>
                      <w:color w:val="auto"/>
                      <w:szCs w:val="21"/>
                    </w:rPr>
                  </w:pPr>
                </w:p>
              </w:tc>
              <w:tc>
                <w:tcPr>
                  <w:tcW w:w="2979" w:type="dxa"/>
                  <w:noWrap/>
                  <w:vAlign w:val="center"/>
                </w:tcPr>
                <w:p w14:paraId="22EB788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口腔综合治疗机</w:t>
                  </w:r>
                </w:p>
              </w:tc>
              <w:tc>
                <w:tcPr>
                  <w:tcW w:w="2109" w:type="dxa"/>
                  <w:noWrap/>
                  <w:vAlign w:val="center"/>
                </w:tcPr>
                <w:p w14:paraId="3E7BA384">
                  <w:pPr>
                    <w:widowControl/>
                    <w:jc w:val="center"/>
                    <w:textAlignment w:val="bottom"/>
                    <w:rPr>
                      <w:rFonts w:hint="eastAsia" w:ascii="宋体" w:hAnsi="宋体" w:cs="宋体"/>
                      <w:color w:val="auto"/>
                      <w:szCs w:val="21"/>
                    </w:rPr>
                  </w:pPr>
                  <w:r>
                    <w:rPr>
                      <w:rFonts w:hint="eastAsia" w:ascii="宋体" w:hAnsi="宋体" w:cs="宋体"/>
                      <w:color w:val="auto"/>
                      <w:szCs w:val="21"/>
                    </w:rPr>
                    <w:t>BLF-3000</w:t>
                  </w:r>
                </w:p>
              </w:tc>
              <w:tc>
                <w:tcPr>
                  <w:tcW w:w="1810" w:type="dxa"/>
                  <w:noWrap/>
                  <w:vAlign w:val="center"/>
                </w:tcPr>
                <w:p w14:paraId="283CDBF1">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20C7A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27AB02AC">
                  <w:pPr>
                    <w:widowControl/>
                    <w:jc w:val="center"/>
                    <w:textAlignment w:val="bottom"/>
                    <w:rPr>
                      <w:rFonts w:hint="eastAsia" w:ascii="宋体" w:hAnsi="宋体" w:cs="宋体"/>
                      <w:color w:val="auto"/>
                      <w:szCs w:val="21"/>
                    </w:rPr>
                  </w:pPr>
                </w:p>
              </w:tc>
              <w:tc>
                <w:tcPr>
                  <w:tcW w:w="2979" w:type="dxa"/>
                  <w:noWrap/>
                  <w:vAlign w:val="center"/>
                </w:tcPr>
                <w:p w14:paraId="6692381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口腔牙周治疗仪机王</w:t>
                  </w:r>
                </w:p>
              </w:tc>
              <w:tc>
                <w:tcPr>
                  <w:tcW w:w="2109" w:type="dxa"/>
                  <w:noWrap/>
                  <w:vAlign w:val="center"/>
                </w:tcPr>
                <w:p w14:paraId="127E4EEE">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VRN-Q5</w:t>
                  </w:r>
                </w:p>
              </w:tc>
              <w:tc>
                <w:tcPr>
                  <w:tcW w:w="1810" w:type="dxa"/>
                  <w:noWrap/>
                  <w:vAlign w:val="center"/>
                </w:tcPr>
                <w:p w14:paraId="12A6B703">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62506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26E6F9D5">
                  <w:pPr>
                    <w:widowControl/>
                    <w:jc w:val="center"/>
                    <w:textAlignment w:val="bottom"/>
                    <w:rPr>
                      <w:rFonts w:hint="eastAsia" w:ascii="宋体" w:hAnsi="宋体" w:cs="宋体"/>
                      <w:color w:val="auto"/>
                      <w:szCs w:val="21"/>
                    </w:rPr>
                  </w:pPr>
                </w:p>
              </w:tc>
              <w:tc>
                <w:tcPr>
                  <w:tcW w:w="2979" w:type="dxa"/>
                  <w:noWrap/>
                  <w:vAlign w:val="center"/>
                </w:tcPr>
                <w:p w14:paraId="060B179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口腔牙周治疗仪</w:t>
                  </w:r>
                </w:p>
              </w:tc>
              <w:tc>
                <w:tcPr>
                  <w:tcW w:w="2109" w:type="dxa"/>
                  <w:noWrap/>
                  <w:vAlign w:val="center"/>
                </w:tcPr>
                <w:p w14:paraId="729543C3">
                  <w:pPr>
                    <w:widowControl/>
                    <w:jc w:val="center"/>
                    <w:textAlignment w:val="bottom"/>
                    <w:rPr>
                      <w:rFonts w:hint="eastAsia" w:ascii="宋体" w:hAnsi="宋体" w:cs="宋体"/>
                      <w:color w:val="auto"/>
                      <w:szCs w:val="21"/>
                    </w:rPr>
                  </w:pPr>
                  <w:r>
                    <w:rPr>
                      <w:rFonts w:hint="eastAsia" w:ascii="宋体" w:hAnsi="宋体" w:cs="宋体"/>
                      <w:color w:val="auto"/>
                      <w:szCs w:val="21"/>
                    </w:rPr>
                    <w:t>Q6</w:t>
                  </w:r>
                </w:p>
              </w:tc>
              <w:tc>
                <w:tcPr>
                  <w:tcW w:w="1810" w:type="dxa"/>
                  <w:noWrap/>
                  <w:vAlign w:val="center"/>
                </w:tcPr>
                <w:p w14:paraId="6355815B">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0A712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923" w:type="dxa"/>
                  <w:vMerge w:val="continue"/>
                  <w:noWrap/>
                  <w:vAlign w:val="center"/>
                </w:tcPr>
                <w:p w14:paraId="40A991D0">
                  <w:pPr>
                    <w:widowControl/>
                    <w:jc w:val="center"/>
                    <w:textAlignment w:val="bottom"/>
                    <w:rPr>
                      <w:rFonts w:hint="eastAsia" w:ascii="宋体" w:hAnsi="宋体" w:cs="宋体"/>
                      <w:color w:val="auto"/>
                      <w:szCs w:val="21"/>
                    </w:rPr>
                  </w:pPr>
                </w:p>
              </w:tc>
              <w:tc>
                <w:tcPr>
                  <w:tcW w:w="2979" w:type="dxa"/>
                  <w:noWrap/>
                  <w:vAlign w:val="center"/>
                </w:tcPr>
                <w:p w14:paraId="444BA5F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口腔全景机</w:t>
                  </w:r>
                </w:p>
              </w:tc>
              <w:tc>
                <w:tcPr>
                  <w:tcW w:w="2109" w:type="dxa"/>
                  <w:noWrap/>
                  <w:vAlign w:val="center"/>
                </w:tcPr>
                <w:p w14:paraId="252AC08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400c</w:t>
                  </w:r>
                </w:p>
              </w:tc>
              <w:tc>
                <w:tcPr>
                  <w:tcW w:w="1810" w:type="dxa"/>
                  <w:noWrap/>
                  <w:vAlign w:val="center"/>
                </w:tcPr>
                <w:p w14:paraId="742A00E4">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00008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2FCBEAF">
                  <w:pPr>
                    <w:widowControl/>
                    <w:jc w:val="center"/>
                    <w:textAlignment w:val="bottom"/>
                    <w:rPr>
                      <w:rFonts w:hint="eastAsia" w:ascii="宋体" w:hAnsi="宋体" w:cs="宋体"/>
                      <w:color w:val="auto"/>
                      <w:szCs w:val="21"/>
                    </w:rPr>
                  </w:pPr>
                </w:p>
              </w:tc>
              <w:tc>
                <w:tcPr>
                  <w:tcW w:w="2979" w:type="dxa"/>
                  <w:noWrap/>
                  <w:vAlign w:val="center"/>
                </w:tcPr>
                <w:p w14:paraId="252C1FA2">
                  <w:pPr>
                    <w:widowControl/>
                    <w:jc w:val="center"/>
                    <w:textAlignment w:val="center"/>
                    <w:rPr>
                      <w:rFonts w:hint="eastAsia" w:ascii="宋体" w:hAnsi="宋体" w:cs="宋体"/>
                      <w:color w:val="auto"/>
                      <w:szCs w:val="21"/>
                    </w:rPr>
                  </w:pPr>
                  <w:r>
                    <w:rPr>
                      <w:rFonts w:hint="eastAsia"/>
                      <w:color w:val="auto"/>
                    </w:rPr>
                    <w:t>根测马达一 体机根测+马达</w:t>
                  </w:r>
                </w:p>
              </w:tc>
              <w:tc>
                <w:tcPr>
                  <w:tcW w:w="2109" w:type="dxa"/>
                  <w:noWrap/>
                  <w:vAlign w:val="center"/>
                </w:tcPr>
                <w:p w14:paraId="28C65E7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新东方1000NB型</w:t>
                  </w:r>
                </w:p>
              </w:tc>
              <w:tc>
                <w:tcPr>
                  <w:tcW w:w="1810" w:type="dxa"/>
                  <w:noWrap/>
                  <w:vAlign w:val="center"/>
                </w:tcPr>
                <w:p w14:paraId="5D221806">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58CCC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2FF487DD">
                  <w:pPr>
                    <w:widowControl/>
                    <w:jc w:val="center"/>
                    <w:textAlignment w:val="bottom"/>
                    <w:rPr>
                      <w:rFonts w:hint="eastAsia" w:ascii="宋体" w:hAnsi="宋体" w:cs="宋体"/>
                      <w:color w:val="auto"/>
                      <w:szCs w:val="21"/>
                    </w:rPr>
                  </w:pPr>
                </w:p>
              </w:tc>
              <w:tc>
                <w:tcPr>
                  <w:tcW w:w="2979" w:type="dxa"/>
                  <w:noWrap/>
                  <w:vAlign w:val="center"/>
                </w:tcPr>
                <w:p w14:paraId="530D055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口腔光固化机</w:t>
                  </w:r>
                </w:p>
              </w:tc>
              <w:tc>
                <w:tcPr>
                  <w:tcW w:w="2109" w:type="dxa"/>
                  <w:noWrap/>
                  <w:vAlign w:val="center"/>
                </w:tcPr>
                <w:p w14:paraId="3593FE3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LED</w:t>
                  </w:r>
                </w:p>
              </w:tc>
              <w:tc>
                <w:tcPr>
                  <w:tcW w:w="1810" w:type="dxa"/>
                  <w:noWrap/>
                  <w:vAlign w:val="center"/>
                </w:tcPr>
                <w:p w14:paraId="098BF1ED">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6823F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3E89E34">
                  <w:pPr>
                    <w:widowControl/>
                    <w:jc w:val="center"/>
                    <w:textAlignment w:val="bottom"/>
                    <w:rPr>
                      <w:rFonts w:hint="eastAsia" w:ascii="宋体" w:hAnsi="宋体" w:cs="宋体"/>
                      <w:color w:val="auto"/>
                      <w:szCs w:val="21"/>
                    </w:rPr>
                  </w:pPr>
                </w:p>
              </w:tc>
              <w:tc>
                <w:tcPr>
                  <w:tcW w:w="2979" w:type="dxa"/>
                  <w:noWrap/>
                  <w:vAlign w:val="center"/>
                </w:tcPr>
                <w:p w14:paraId="4E09FCB8">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手机清洗消毒一体机</w:t>
                  </w:r>
                </w:p>
              </w:tc>
              <w:tc>
                <w:tcPr>
                  <w:tcW w:w="2109" w:type="dxa"/>
                  <w:noWrap/>
                  <w:vAlign w:val="center"/>
                </w:tcPr>
                <w:p w14:paraId="7030F1C9">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65升</w:t>
                  </w:r>
                </w:p>
              </w:tc>
              <w:tc>
                <w:tcPr>
                  <w:tcW w:w="1810" w:type="dxa"/>
                  <w:noWrap/>
                  <w:vAlign w:val="center"/>
                </w:tcPr>
                <w:p w14:paraId="20B8AF25">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205CF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640BC1B">
                  <w:pPr>
                    <w:widowControl/>
                    <w:jc w:val="center"/>
                    <w:textAlignment w:val="bottom"/>
                    <w:rPr>
                      <w:rFonts w:hint="eastAsia" w:ascii="宋体" w:hAnsi="宋体" w:cs="宋体"/>
                      <w:color w:val="auto"/>
                      <w:szCs w:val="21"/>
                    </w:rPr>
                  </w:pPr>
                </w:p>
              </w:tc>
              <w:tc>
                <w:tcPr>
                  <w:tcW w:w="2979" w:type="dxa"/>
                  <w:noWrap/>
                  <w:vAlign w:val="center"/>
                </w:tcPr>
                <w:p w14:paraId="3C7D2C67">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病床</w:t>
                  </w:r>
                </w:p>
              </w:tc>
              <w:tc>
                <w:tcPr>
                  <w:tcW w:w="2109" w:type="dxa"/>
                  <w:noWrap/>
                  <w:vAlign w:val="center"/>
                </w:tcPr>
                <w:p w14:paraId="291D4808">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手摇式二折病床</w:t>
                  </w:r>
                </w:p>
              </w:tc>
              <w:tc>
                <w:tcPr>
                  <w:tcW w:w="1810" w:type="dxa"/>
                  <w:noWrap/>
                  <w:vAlign w:val="center"/>
                </w:tcPr>
                <w:p w14:paraId="636121DD">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25</w:t>
                  </w:r>
                </w:p>
              </w:tc>
            </w:tr>
            <w:tr w14:paraId="4DFA3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2948BD65">
                  <w:pPr>
                    <w:widowControl/>
                    <w:jc w:val="center"/>
                    <w:textAlignment w:val="bottom"/>
                    <w:rPr>
                      <w:rFonts w:hint="eastAsia" w:ascii="宋体" w:hAnsi="宋体" w:cs="宋体"/>
                      <w:color w:val="auto"/>
                      <w:szCs w:val="21"/>
                    </w:rPr>
                  </w:pPr>
                </w:p>
              </w:tc>
              <w:tc>
                <w:tcPr>
                  <w:tcW w:w="2979" w:type="dxa"/>
                  <w:noWrap/>
                  <w:vAlign w:val="center"/>
                </w:tcPr>
                <w:p w14:paraId="6696883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污水处理站</w:t>
                  </w:r>
                </w:p>
              </w:tc>
              <w:tc>
                <w:tcPr>
                  <w:tcW w:w="2109" w:type="dxa"/>
                  <w:noWrap/>
                  <w:vAlign w:val="center"/>
                </w:tcPr>
                <w:p w14:paraId="37F536A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处理规模17m³/d</w:t>
                  </w:r>
                </w:p>
              </w:tc>
              <w:tc>
                <w:tcPr>
                  <w:tcW w:w="1810" w:type="dxa"/>
                  <w:noWrap/>
                  <w:vAlign w:val="center"/>
                </w:tcPr>
                <w:p w14:paraId="553E3168">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1</w:t>
                  </w:r>
                </w:p>
              </w:tc>
            </w:tr>
            <w:tr w14:paraId="5CDE6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13423974">
                  <w:pPr>
                    <w:widowControl/>
                    <w:jc w:val="center"/>
                    <w:textAlignment w:val="bottom"/>
                    <w:rPr>
                      <w:rFonts w:hint="eastAsia" w:ascii="宋体" w:hAnsi="宋体" w:cs="宋体"/>
                      <w:color w:val="auto"/>
                      <w:szCs w:val="21"/>
                    </w:rPr>
                  </w:pPr>
                </w:p>
              </w:tc>
              <w:tc>
                <w:tcPr>
                  <w:tcW w:w="2979" w:type="dxa"/>
                  <w:noWrap/>
                  <w:vAlign w:val="center"/>
                </w:tcPr>
                <w:p w14:paraId="6EA2E37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干扰电治疗仪</w:t>
                  </w:r>
                </w:p>
              </w:tc>
              <w:tc>
                <w:tcPr>
                  <w:tcW w:w="2109" w:type="dxa"/>
                  <w:noWrap/>
                  <w:vAlign w:val="center"/>
                </w:tcPr>
                <w:p w14:paraId="79FE3622">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RT700</w:t>
                  </w:r>
                </w:p>
              </w:tc>
              <w:tc>
                <w:tcPr>
                  <w:tcW w:w="1810" w:type="dxa"/>
                  <w:noWrap/>
                  <w:vAlign w:val="center"/>
                </w:tcPr>
                <w:p w14:paraId="286F9CC8">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5</w:t>
                  </w:r>
                </w:p>
              </w:tc>
            </w:tr>
            <w:tr w14:paraId="47594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5AA84DD9">
                  <w:pPr>
                    <w:widowControl/>
                    <w:jc w:val="center"/>
                    <w:textAlignment w:val="bottom"/>
                    <w:rPr>
                      <w:rFonts w:hint="eastAsia" w:ascii="宋体" w:hAnsi="宋体" w:cs="宋体"/>
                      <w:color w:val="auto"/>
                      <w:szCs w:val="21"/>
                    </w:rPr>
                  </w:pPr>
                </w:p>
              </w:tc>
              <w:tc>
                <w:tcPr>
                  <w:tcW w:w="2979" w:type="dxa"/>
                  <w:noWrap/>
                  <w:vAlign w:val="center"/>
                </w:tcPr>
                <w:p w14:paraId="05BF608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冲击波治疗仪</w:t>
                  </w:r>
                </w:p>
              </w:tc>
              <w:tc>
                <w:tcPr>
                  <w:tcW w:w="2109" w:type="dxa"/>
                  <w:noWrap/>
                  <w:vAlign w:val="center"/>
                </w:tcPr>
                <w:p w14:paraId="19E663E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E-EST01</w:t>
                  </w:r>
                </w:p>
              </w:tc>
              <w:tc>
                <w:tcPr>
                  <w:tcW w:w="1810" w:type="dxa"/>
                  <w:noWrap/>
                  <w:vAlign w:val="center"/>
                </w:tcPr>
                <w:p w14:paraId="36932E05">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5</w:t>
                  </w:r>
                </w:p>
              </w:tc>
            </w:tr>
            <w:tr w14:paraId="06F7F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923" w:type="dxa"/>
                  <w:vMerge w:val="restart"/>
                  <w:noWrap/>
                  <w:vAlign w:val="center"/>
                </w:tcPr>
                <w:p w14:paraId="47745BA9">
                  <w:pPr>
                    <w:widowControl/>
                    <w:jc w:val="center"/>
                    <w:textAlignment w:val="bottom"/>
                    <w:rPr>
                      <w:rFonts w:hint="eastAsia" w:ascii="宋体" w:hAnsi="宋体" w:cs="宋体"/>
                      <w:color w:val="auto"/>
                      <w:szCs w:val="21"/>
                    </w:rPr>
                  </w:pPr>
                  <w:r>
                    <w:rPr>
                      <w:rFonts w:hint="eastAsia" w:ascii="宋体" w:hAnsi="宋体" w:cs="宋体"/>
                      <w:color w:val="auto"/>
                      <w:szCs w:val="21"/>
                    </w:rPr>
                    <w:t>纳古卫生院综合楼</w:t>
                  </w:r>
                </w:p>
              </w:tc>
              <w:tc>
                <w:tcPr>
                  <w:tcW w:w="2979" w:type="dxa"/>
                  <w:noWrap/>
                  <w:vAlign w:val="center"/>
                </w:tcPr>
                <w:p w14:paraId="55ED4633">
                  <w:pPr>
                    <w:widowControl/>
                    <w:jc w:val="center"/>
                    <w:textAlignment w:val="center"/>
                    <w:rPr>
                      <w:rFonts w:hint="eastAsia" w:ascii="宋体" w:hAnsi="宋体" w:cs="宋体"/>
                      <w:color w:val="auto"/>
                      <w:szCs w:val="21"/>
                    </w:rPr>
                  </w:pPr>
                  <w:r>
                    <w:rPr>
                      <w:rFonts w:hint="eastAsia" w:ascii="宋体" w:hAnsi="宋体" w:cs="宋体"/>
                      <w:color w:val="auto"/>
                      <w:szCs w:val="21"/>
                    </w:rPr>
                    <w:t>空气消毒机</w:t>
                  </w:r>
                </w:p>
              </w:tc>
              <w:tc>
                <w:tcPr>
                  <w:tcW w:w="2109" w:type="dxa"/>
                  <w:noWrap/>
                  <w:vAlign w:val="center"/>
                </w:tcPr>
                <w:p w14:paraId="0AAAEA46">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9EA2771">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2</w:t>
                  </w:r>
                </w:p>
              </w:tc>
            </w:tr>
            <w:tr w14:paraId="6E78F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714E83C2">
                  <w:pPr>
                    <w:widowControl/>
                    <w:jc w:val="center"/>
                    <w:textAlignment w:val="bottom"/>
                    <w:rPr>
                      <w:rFonts w:hint="eastAsia" w:ascii="宋体" w:hAnsi="宋体" w:cs="宋体"/>
                      <w:color w:val="auto"/>
                      <w:szCs w:val="21"/>
                    </w:rPr>
                  </w:pPr>
                </w:p>
              </w:tc>
              <w:tc>
                <w:tcPr>
                  <w:tcW w:w="2979" w:type="dxa"/>
                  <w:noWrap/>
                  <w:vAlign w:val="center"/>
                </w:tcPr>
                <w:p w14:paraId="6C218B1B">
                  <w:pPr>
                    <w:widowControl/>
                    <w:jc w:val="center"/>
                    <w:textAlignment w:val="bottom"/>
                    <w:rPr>
                      <w:rFonts w:hint="eastAsia" w:ascii="宋体" w:hAnsi="宋体" w:cs="宋体"/>
                      <w:color w:val="auto"/>
                      <w:szCs w:val="21"/>
                    </w:rPr>
                  </w:pPr>
                  <w:r>
                    <w:rPr>
                      <w:rFonts w:hint="eastAsia" w:ascii="宋体" w:hAnsi="宋体" w:cs="宋体"/>
                      <w:color w:val="auto"/>
                      <w:szCs w:val="21"/>
                    </w:rPr>
                    <w:t>心电监护仪</w:t>
                  </w:r>
                </w:p>
              </w:tc>
              <w:tc>
                <w:tcPr>
                  <w:tcW w:w="2109" w:type="dxa"/>
                  <w:noWrap/>
                  <w:vAlign w:val="center"/>
                </w:tcPr>
                <w:p w14:paraId="5DE27EB9">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IPM8</w:t>
                  </w:r>
                </w:p>
              </w:tc>
              <w:tc>
                <w:tcPr>
                  <w:tcW w:w="1810" w:type="dxa"/>
                  <w:noWrap/>
                  <w:vAlign w:val="center"/>
                </w:tcPr>
                <w:p w14:paraId="5524590C">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5B41C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110534C">
                  <w:pPr>
                    <w:widowControl/>
                    <w:jc w:val="center"/>
                    <w:textAlignment w:val="bottom"/>
                    <w:rPr>
                      <w:rFonts w:hint="eastAsia" w:ascii="宋体" w:hAnsi="宋体" w:cs="宋体"/>
                      <w:color w:val="auto"/>
                      <w:szCs w:val="21"/>
                    </w:rPr>
                  </w:pPr>
                </w:p>
              </w:tc>
              <w:tc>
                <w:tcPr>
                  <w:tcW w:w="2979" w:type="dxa"/>
                  <w:noWrap/>
                  <w:vAlign w:val="center"/>
                </w:tcPr>
                <w:p w14:paraId="5A5858E8">
                  <w:pPr>
                    <w:widowControl/>
                    <w:jc w:val="center"/>
                    <w:textAlignment w:val="center"/>
                    <w:rPr>
                      <w:rFonts w:hint="eastAsia" w:ascii="宋体" w:hAnsi="宋体" w:cs="宋体"/>
                      <w:color w:val="auto"/>
                      <w:szCs w:val="21"/>
                    </w:rPr>
                  </w:pPr>
                  <w:r>
                    <w:rPr>
                      <w:rFonts w:hint="eastAsia" w:ascii="宋体" w:hAnsi="宋体" w:cs="宋体"/>
                      <w:color w:val="auto"/>
                      <w:szCs w:val="21"/>
                    </w:rPr>
                    <w:t>全自动生化分析仪</w:t>
                  </w:r>
                </w:p>
              </w:tc>
              <w:tc>
                <w:tcPr>
                  <w:tcW w:w="2109" w:type="dxa"/>
                  <w:noWrap/>
                  <w:vAlign w:val="center"/>
                </w:tcPr>
                <w:p w14:paraId="0A57B55E">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BS-480</w:t>
                  </w:r>
                </w:p>
              </w:tc>
              <w:tc>
                <w:tcPr>
                  <w:tcW w:w="1810" w:type="dxa"/>
                  <w:noWrap/>
                  <w:vAlign w:val="center"/>
                </w:tcPr>
                <w:p w14:paraId="61D59F01">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057BB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060706C3">
                  <w:pPr>
                    <w:widowControl/>
                    <w:jc w:val="center"/>
                    <w:textAlignment w:val="bottom"/>
                    <w:rPr>
                      <w:rFonts w:hint="eastAsia" w:ascii="宋体" w:hAnsi="宋体" w:cs="宋体"/>
                      <w:color w:val="auto"/>
                      <w:szCs w:val="21"/>
                    </w:rPr>
                  </w:pPr>
                </w:p>
              </w:tc>
              <w:tc>
                <w:tcPr>
                  <w:tcW w:w="2979" w:type="dxa"/>
                  <w:noWrap/>
                  <w:vAlign w:val="center"/>
                </w:tcPr>
                <w:p w14:paraId="569B27E0">
                  <w:pPr>
                    <w:widowControl/>
                    <w:jc w:val="center"/>
                    <w:textAlignment w:val="center"/>
                    <w:rPr>
                      <w:rFonts w:hint="eastAsia" w:ascii="宋体" w:hAnsi="宋体" w:cs="宋体"/>
                      <w:color w:val="auto"/>
                      <w:szCs w:val="21"/>
                    </w:rPr>
                  </w:pPr>
                  <w:r>
                    <w:rPr>
                      <w:rFonts w:hint="eastAsia" w:ascii="宋体" w:hAnsi="宋体" w:cs="宋体"/>
                      <w:color w:val="auto"/>
                      <w:szCs w:val="21"/>
                    </w:rPr>
                    <w:t>电脑</w:t>
                  </w:r>
                </w:p>
              </w:tc>
              <w:tc>
                <w:tcPr>
                  <w:tcW w:w="2109" w:type="dxa"/>
                  <w:noWrap/>
                  <w:vAlign w:val="center"/>
                </w:tcPr>
                <w:p w14:paraId="1955AFB1">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741E1A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8</w:t>
                  </w:r>
                </w:p>
              </w:tc>
            </w:tr>
            <w:tr w14:paraId="60E88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76E3A79D">
                  <w:pPr>
                    <w:widowControl/>
                    <w:jc w:val="center"/>
                    <w:textAlignment w:val="bottom"/>
                    <w:rPr>
                      <w:rFonts w:hint="eastAsia" w:ascii="宋体" w:hAnsi="宋体" w:cs="宋体"/>
                      <w:color w:val="auto"/>
                      <w:szCs w:val="21"/>
                    </w:rPr>
                  </w:pPr>
                </w:p>
              </w:tc>
              <w:tc>
                <w:tcPr>
                  <w:tcW w:w="2979" w:type="dxa"/>
                  <w:noWrap/>
                  <w:vAlign w:val="center"/>
                </w:tcPr>
                <w:p w14:paraId="16A21C10">
                  <w:pPr>
                    <w:widowControl/>
                    <w:jc w:val="center"/>
                    <w:textAlignment w:val="center"/>
                    <w:rPr>
                      <w:rFonts w:hint="eastAsia" w:ascii="宋体" w:hAnsi="宋体" w:cs="宋体"/>
                      <w:color w:val="auto"/>
                      <w:szCs w:val="21"/>
                    </w:rPr>
                  </w:pPr>
                  <w:r>
                    <w:rPr>
                      <w:rFonts w:hint="eastAsia" w:ascii="宋体" w:hAnsi="宋体" w:cs="宋体"/>
                      <w:color w:val="auto"/>
                      <w:szCs w:val="21"/>
                    </w:rPr>
                    <w:t>笔记本电脑</w:t>
                  </w:r>
                </w:p>
              </w:tc>
              <w:tc>
                <w:tcPr>
                  <w:tcW w:w="2109" w:type="dxa"/>
                  <w:noWrap/>
                  <w:vAlign w:val="center"/>
                </w:tcPr>
                <w:p w14:paraId="641B462F">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5607802">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2</w:t>
                  </w:r>
                </w:p>
              </w:tc>
            </w:tr>
            <w:tr w14:paraId="7E4AC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5469287A">
                  <w:pPr>
                    <w:jc w:val="center"/>
                    <w:rPr>
                      <w:rFonts w:hint="eastAsia" w:ascii="宋体" w:hAnsi="宋体" w:cs="宋体"/>
                      <w:color w:val="auto"/>
                      <w:szCs w:val="21"/>
                    </w:rPr>
                  </w:pPr>
                </w:p>
              </w:tc>
              <w:tc>
                <w:tcPr>
                  <w:tcW w:w="2979" w:type="dxa"/>
                  <w:noWrap/>
                  <w:vAlign w:val="center"/>
                </w:tcPr>
                <w:p w14:paraId="6142BE8A">
                  <w:pPr>
                    <w:widowControl/>
                    <w:jc w:val="center"/>
                    <w:textAlignment w:val="center"/>
                    <w:rPr>
                      <w:rFonts w:hint="eastAsia" w:ascii="宋体" w:hAnsi="宋体" w:cs="宋体"/>
                      <w:color w:val="auto"/>
                      <w:szCs w:val="21"/>
                    </w:rPr>
                  </w:pPr>
                  <w:r>
                    <w:rPr>
                      <w:rFonts w:hint="eastAsia" w:ascii="宋体" w:hAnsi="宋体" w:cs="宋体"/>
                      <w:color w:val="auto"/>
                      <w:szCs w:val="21"/>
                    </w:rPr>
                    <w:t>LED手术照明灯</w:t>
                  </w:r>
                </w:p>
              </w:tc>
              <w:tc>
                <w:tcPr>
                  <w:tcW w:w="2109" w:type="dxa"/>
                  <w:noWrap/>
                  <w:vAlign w:val="center"/>
                </w:tcPr>
                <w:p w14:paraId="58949563">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733EE5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5</w:t>
                  </w:r>
                </w:p>
              </w:tc>
            </w:tr>
            <w:tr w14:paraId="5DCBD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16BC8D8A">
                  <w:pPr>
                    <w:widowControl/>
                    <w:jc w:val="center"/>
                    <w:textAlignment w:val="bottom"/>
                    <w:rPr>
                      <w:rFonts w:hint="eastAsia" w:ascii="宋体" w:hAnsi="宋体" w:cs="宋体"/>
                      <w:color w:val="auto"/>
                      <w:szCs w:val="21"/>
                    </w:rPr>
                  </w:pPr>
                </w:p>
              </w:tc>
              <w:tc>
                <w:tcPr>
                  <w:tcW w:w="2979" w:type="dxa"/>
                  <w:vAlign w:val="center"/>
                </w:tcPr>
                <w:p w14:paraId="5A8EAF96">
                  <w:pPr>
                    <w:widowControl/>
                    <w:jc w:val="center"/>
                    <w:textAlignment w:val="center"/>
                    <w:rPr>
                      <w:rFonts w:hint="eastAsia" w:ascii="宋体" w:hAnsi="宋体" w:cs="宋体"/>
                      <w:color w:val="auto"/>
                      <w:szCs w:val="21"/>
                    </w:rPr>
                  </w:pPr>
                  <w:r>
                    <w:rPr>
                      <w:rFonts w:hint="eastAsia" w:ascii="宋体" w:hAnsi="宋体" w:cs="宋体"/>
                      <w:color w:val="auto"/>
                      <w:szCs w:val="21"/>
                    </w:rPr>
                    <w:t>投影仪</w:t>
                  </w:r>
                </w:p>
              </w:tc>
              <w:tc>
                <w:tcPr>
                  <w:tcW w:w="2109" w:type="dxa"/>
                  <w:vAlign w:val="center"/>
                </w:tcPr>
                <w:p w14:paraId="2EF30022">
                  <w:pPr>
                    <w:jc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B58EEB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5A91C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7060DB60">
                  <w:pPr>
                    <w:widowControl/>
                    <w:jc w:val="center"/>
                    <w:textAlignment w:val="bottom"/>
                    <w:rPr>
                      <w:rFonts w:hint="eastAsia" w:ascii="宋体" w:hAnsi="宋体" w:cs="宋体"/>
                      <w:color w:val="auto"/>
                      <w:szCs w:val="21"/>
                    </w:rPr>
                  </w:pPr>
                </w:p>
              </w:tc>
              <w:tc>
                <w:tcPr>
                  <w:tcW w:w="2979" w:type="dxa"/>
                  <w:noWrap/>
                  <w:vAlign w:val="center"/>
                </w:tcPr>
                <w:p w14:paraId="4ECCD53B">
                  <w:pPr>
                    <w:widowControl/>
                    <w:jc w:val="center"/>
                    <w:textAlignment w:val="center"/>
                    <w:rPr>
                      <w:rFonts w:hint="eastAsia" w:ascii="宋体" w:hAnsi="宋体" w:cs="宋体"/>
                      <w:color w:val="auto"/>
                      <w:szCs w:val="21"/>
                    </w:rPr>
                  </w:pPr>
                  <w:r>
                    <w:rPr>
                      <w:rFonts w:hint="eastAsia" w:ascii="宋体" w:hAnsi="宋体" w:cs="宋体"/>
                      <w:color w:val="auto"/>
                      <w:szCs w:val="21"/>
                    </w:rPr>
                    <w:t>电动综合手术床</w:t>
                  </w:r>
                </w:p>
              </w:tc>
              <w:tc>
                <w:tcPr>
                  <w:tcW w:w="2109" w:type="dxa"/>
                  <w:noWrap/>
                  <w:vAlign w:val="center"/>
                </w:tcPr>
                <w:p w14:paraId="231D0CE1">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C83E26A">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708DA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2640B85F">
                  <w:pPr>
                    <w:widowControl/>
                    <w:jc w:val="center"/>
                    <w:textAlignment w:val="bottom"/>
                    <w:rPr>
                      <w:rFonts w:hint="eastAsia" w:ascii="宋体" w:hAnsi="宋体" w:cs="宋体"/>
                      <w:color w:val="auto"/>
                      <w:szCs w:val="21"/>
                    </w:rPr>
                  </w:pPr>
                </w:p>
              </w:tc>
              <w:tc>
                <w:tcPr>
                  <w:tcW w:w="2979" w:type="dxa"/>
                  <w:noWrap/>
                  <w:vAlign w:val="center"/>
                </w:tcPr>
                <w:p w14:paraId="1BEDD148">
                  <w:pPr>
                    <w:widowControl/>
                    <w:jc w:val="center"/>
                    <w:textAlignment w:val="center"/>
                    <w:rPr>
                      <w:rFonts w:hint="eastAsia" w:ascii="宋体" w:hAnsi="宋体" w:cs="宋体"/>
                      <w:color w:val="auto"/>
                      <w:szCs w:val="21"/>
                    </w:rPr>
                  </w:pPr>
                  <w:r>
                    <w:rPr>
                      <w:rFonts w:hint="eastAsia" w:ascii="宋体" w:hAnsi="宋体" w:cs="宋体"/>
                      <w:color w:val="auto"/>
                      <w:szCs w:val="21"/>
                    </w:rPr>
                    <w:t>电针机</w:t>
                  </w:r>
                </w:p>
              </w:tc>
              <w:tc>
                <w:tcPr>
                  <w:tcW w:w="2109" w:type="dxa"/>
                  <w:noWrap/>
                  <w:vAlign w:val="center"/>
                </w:tcPr>
                <w:p w14:paraId="0D82768D">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610AA5F5">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2</w:t>
                  </w:r>
                </w:p>
              </w:tc>
            </w:tr>
            <w:tr w14:paraId="1993A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4F3B102">
                  <w:pPr>
                    <w:widowControl/>
                    <w:jc w:val="center"/>
                    <w:textAlignment w:val="bottom"/>
                    <w:rPr>
                      <w:rFonts w:hint="eastAsia" w:ascii="宋体" w:hAnsi="宋体" w:cs="宋体"/>
                      <w:color w:val="auto"/>
                      <w:szCs w:val="21"/>
                    </w:rPr>
                  </w:pPr>
                </w:p>
              </w:tc>
              <w:tc>
                <w:tcPr>
                  <w:tcW w:w="2979" w:type="dxa"/>
                  <w:noWrap/>
                  <w:vAlign w:val="center"/>
                </w:tcPr>
                <w:p w14:paraId="13DA4EB4">
                  <w:pPr>
                    <w:widowControl/>
                    <w:jc w:val="center"/>
                    <w:textAlignment w:val="center"/>
                    <w:rPr>
                      <w:rFonts w:hint="eastAsia" w:ascii="宋体" w:hAnsi="宋体" w:cs="宋体"/>
                      <w:color w:val="auto"/>
                      <w:szCs w:val="21"/>
                    </w:rPr>
                  </w:pPr>
                  <w:r>
                    <w:rPr>
                      <w:rFonts w:hint="eastAsia" w:ascii="宋体" w:hAnsi="宋体" w:cs="宋体"/>
                      <w:color w:val="auto"/>
                      <w:szCs w:val="21"/>
                    </w:rPr>
                    <w:t>智能立式恒温蜡疗机</w:t>
                  </w:r>
                </w:p>
              </w:tc>
              <w:tc>
                <w:tcPr>
                  <w:tcW w:w="2109" w:type="dxa"/>
                  <w:noWrap/>
                  <w:vAlign w:val="center"/>
                </w:tcPr>
                <w:p w14:paraId="390A12FA">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286D48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25CF2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923" w:type="dxa"/>
                  <w:vMerge w:val="continue"/>
                  <w:noWrap/>
                  <w:vAlign w:val="center"/>
                </w:tcPr>
                <w:p w14:paraId="4FAE1588">
                  <w:pPr>
                    <w:widowControl/>
                    <w:jc w:val="center"/>
                    <w:textAlignment w:val="bottom"/>
                    <w:rPr>
                      <w:rFonts w:hint="eastAsia" w:ascii="宋体" w:hAnsi="宋体" w:cs="宋体"/>
                      <w:color w:val="auto"/>
                      <w:szCs w:val="21"/>
                    </w:rPr>
                  </w:pPr>
                </w:p>
              </w:tc>
              <w:tc>
                <w:tcPr>
                  <w:tcW w:w="2979" w:type="dxa"/>
                  <w:noWrap/>
                  <w:vAlign w:val="center"/>
                </w:tcPr>
                <w:p w14:paraId="647CD846">
                  <w:pPr>
                    <w:widowControl/>
                    <w:jc w:val="center"/>
                    <w:textAlignment w:val="center"/>
                    <w:rPr>
                      <w:rFonts w:hint="eastAsia" w:ascii="宋体" w:hAnsi="宋体" w:cs="宋体"/>
                      <w:color w:val="auto"/>
                      <w:szCs w:val="21"/>
                    </w:rPr>
                  </w:pPr>
                  <w:r>
                    <w:rPr>
                      <w:rFonts w:hint="eastAsia" w:ascii="宋体" w:hAnsi="宋体" w:cs="宋体"/>
                      <w:color w:val="auto"/>
                      <w:szCs w:val="21"/>
                    </w:rPr>
                    <w:t>腰颈椎牵引床</w:t>
                  </w:r>
                </w:p>
              </w:tc>
              <w:tc>
                <w:tcPr>
                  <w:tcW w:w="2109" w:type="dxa"/>
                  <w:noWrap/>
                  <w:vAlign w:val="center"/>
                </w:tcPr>
                <w:p w14:paraId="2481D56A">
                  <w:pPr>
                    <w:jc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3E51123">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2211D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16F4E094">
                  <w:pPr>
                    <w:widowControl/>
                    <w:jc w:val="center"/>
                    <w:textAlignment w:val="bottom"/>
                    <w:rPr>
                      <w:rFonts w:hint="eastAsia" w:ascii="宋体" w:hAnsi="宋体" w:cs="宋体"/>
                      <w:color w:val="auto"/>
                      <w:szCs w:val="21"/>
                    </w:rPr>
                  </w:pPr>
                </w:p>
              </w:tc>
              <w:tc>
                <w:tcPr>
                  <w:tcW w:w="2979" w:type="dxa"/>
                  <w:noWrap/>
                  <w:vAlign w:val="center"/>
                </w:tcPr>
                <w:p w14:paraId="4B58454A">
                  <w:pPr>
                    <w:widowControl/>
                    <w:jc w:val="center"/>
                    <w:textAlignment w:val="center"/>
                    <w:rPr>
                      <w:rFonts w:hint="eastAsia" w:ascii="宋体" w:hAnsi="宋体" w:cs="宋体"/>
                      <w:color w:val="auto"/>
                      <w:szCs w:val="21"/>
                    </w:rPr>
                  </w:pPr>
                  <w:r>
                    <w:rPr>
                      <w:rFonts w:hint="eastAsia" w:ascii="宋体" w:hAnsi="宋体" w:cs="宋体"/>
                      <w:color w:val="auto"/>
                      <w:szCs w:val="21"/>
                    </w:rPr>
                    <w:t>污水处理站</w:t>
                  </w:r>
                </w:p>
              </w:tc>
              <w:tc>
                <w:tcPr>
                  <w:tcW w:w="2109" w:type="dxa"/>
                  <w:noWrap/>
                  <w:vAlign w:val="center"/>
                </w:tcPr>
                <w:p w14:paraId="1466F23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处理规模10m³/d</w:t>
                  </w:r>
                </w:p>
              </w:tc>
              <w:tc>
                <w:tcPr>
                  <w:tcW w:w="1810" w:type="dxa"/>
                  <w:noWrap/>
                  <w:vAlign w:val="center"/>
                </w:tcPr>
                <w:p w14:paraId="4C66E2A6">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1BBE9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224EF23E">
                  <w:pPr>
                    <w:widowControl/>
                    <w:jc w:val="center"/>
                    <w:textAlignment w:val="bottom"/>
                    <w:rPr>
                      <w:rFonts w:hint="eastAsia" w:ascii="宋体" w:hAnsi="宋体" w:cs="宋体"/>
                      <w:color w:val="auto"/>
                      <w:szCs w:val="21"/>
                    </w:rPr>
                  </w:pPr>
                </w:p>
              </w:tc>
              <w:tc>
                <w:tcPr>
                  <w:tcW w:w="2979" w:type="dxa"/>
                  <w:noWrap/>
                  <w:vAlign w:val="center"/>
                </w:tcPr>
                <w:p w14:paraId="49B0005A">
                  <w:pPr>
                    <w:widowControl/>
                    <w:jc w:val="center"/>
                    <w:textAlignment w:val="center"/>
                    <w:rPr>
                      <w:rFonts w:hint="eastAsia" w:ascii="宋体" w:hAnsi="宋体" w:cs="宋体"/>
                      <w:color w:val="auto"/>
                      <w:szCs w:val="21"/>
                    </w:rPr>
                  </w:pPr>
                  <w:r>
                    <w:rPr>
                      <w:rFonts w:hint="eastAsia" w:ascii="宋体" w:hAnsi="宋体" w:cs="宋体"/>
                      <w:color w:val="auto"/>
                      <w:szCs w:val="21"/>
                    </w:rPr>
                    <w:t>发电机</w:t>
                  </w:r>
                </w:p>
              </w:tc>
              <w:tc>
                <w:tcPr>
                  <w:tcW w:w="2109" w:type="dxa"/>
                  <w:noWrap/>
                  <w:vAlign w:val="center"/>
                </w:tcPr>
                <w:p w14:paraId="000A4FA5">
                  <w:pPr>
                    <w:widowControl/>
                    <w:jc w:val="center"/>
                    <w:textAlignment w:val="center"/>
                    <w:rPr>
                      <w:rFonts w:hint="eastAsia" w:ascii="宋体" w:hAnsi="宋体" w:cs="宋体"/>
                      <w:color w:val="auto"/>
                      <w:szCs w:val="21"/>
                    </w:rPr>
                  </w:pPr>
                  <w:r>
                    <w:rPr>
                      <w:rFonts w:hint="eastAsia" w:ascii="宋体" w:hAnsi="宋体" w:cs="宋体"/>
                      <w:color w:val="auto"/>
                      <w:szCs w:val="21"/>
                    </w:rPr>
                    <w:t>50KW</w:t>
                  </w:r>
                </w:p>
              </w:tc>
              <w:tc>
                <w:tcPr>
                  <w:tcW w:w="1810" w:type="dxa"/>
                  <w:noWrap/>
                  <w:vAlign w:val="center"/>
                </w:tcPr>
                <w:p w14:paraId="269E2357">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6BFAE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797A2F41">
                  <w:pPr>
                    <w:widowControl/>
                    <w:jc w:val="center"/>
                    <w:textAlignment w:val="bottom"/>
                    <w:rPr>
                      <w:rFonts w:hint="eastAsia" w:ascii="宋体" w:hAnsi="宋体" w:cs="宋体"/>
                      <w:color w:val="auto"/>
                      <w:szCs w:val="21"/>
                    </w:rPr>
                  </w:pPr>
                </w:p>
              </w:tc>
              <w:tc>
                <w:tcPr>
                  <w:tcW w:w="2979" w:type="dxa"/>
                  <w:noWrap/>
                  <w:vAlign w:val="center"/>
                </w:tcPr>
                <w:p w14:paraId="5F73D60F">
                  <w:pPr>
                    <w:widowControl/>
                    <w:jc w:val="center"/>
                    <w:textAlignment w:val="center"/>
                    <w:rPr>
                      <w:rFonts w:hint="eastAsia" w:ascii="宋体" w:hAnsi="宋体" w:cs="宋体"/>
                      <w:color w:val="auto"/>
                      <w:szCs w:val="21"/>
                    </w:rPr>
                  </w:pPr>
                  <w:r>
                    <w:rPr>
                      <w:rFonts w:hint="eastAsia" w:ascii="宋体" w:hAnsi="宋体" w:cs="宋体"/>
                      <w:color w:val="auto"/>
                      <w:szCs w:val="21"/>
                    </w:rPr>
                    <w:t>监控系统</w:t>
                  </w:r>
                </w:p>
              </w:tc>
              <w:tc>
                <w:tcPr>
                  <w:tcW w:w="2109" w:type="dxa"/>
                  <w:noWrap/>
                  <w:vAlign w:val="center"/>
                </w:tcPr>
                <w:p w14:paraId="79E7EA9E">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120A230">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10C99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923" w:type="dxa"/>
                  <w:vMerge w:val="continue"/>
                  <w:noWrap/>
                  <w:vAlign w:val="center"/>
                </w:tcPr>
                <w:p w14:paraId="14CD145D">
                  <w:pPr>
                    <w:widowControl/>
                    <w:jc w:val="center"/>
                    <w:textAlignment w:val="bottom"/>
                    <w:rPr>
                      <w:rFonts w:hint="eastAsia" w:ascii="宋体" w:hAnsi="宋体" w:cs="宋体"/>
                      <w:color w:val="auto"/>
                      <w:szCs w:val="21"/>
                    </w:rPr>
                  </w:pPr>
                </w:p>
              </w:tc>
              <w:tc>
                <w:tcPr>
                  <w:tcW w:w="2979" w:type="dxa"/>
                  <w:noWrap/>
                  <w:vAlign w:val="center"/>
                </w:tcPr>
                <w:p w14:paraId="1A92E577">
                  <w:pPr>
                    <w:widowControl/>
                    <w:jc w:val="center"/>
                    <w:textAlignment w:val="center"/>
                    <w:rPr>
                      <w:rFonts w:hint="eastAsia" w:ascii="宋体" w:hAnsi="宋体" w:cs="宋体"/>
                      <w:color w:val="auto"/>
                      <w:szCs w:val="21"/>
                    </w:rPr>
                  </w:pPr>
                  <w:r>
                    <w:rPr>
                      <w:rFonts w:hint="eastAsia" w:ascii="宋体" w:hAnsi="宋体" w:cs="宋体"/>
                      <w:color w:val="auto"/>
                      <w:szCs w:val="21"/>
                    </w:rPr>
                    <w:t>病床</w:t>
                  </w:r>
                </w:p>
              </w:tc>
              <w:tc>
                <w:tcPr>
                  <w:tcW w:w="2109" w:type="dxa"/>
                  <w:noWrap/>
                  <w:vAlign w:val="center"/>
                </w:tcPr>
                <w:p w14:paraId="1079CA1E">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手摇式二折病床</w:t>
                  </w:r>
                </w:p>
              </w:tc>
              <w:tc>
                <w:tcPr>
                  <w:tcW w:w="1810" w:type="dxa"/>
                  <w:noWrap/>
                  <w:vAlign w:val="center"/>
                </w:tcPr>
                <w:p w14:paraId="2B4BAA1B">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26</w:t>
                  </w:r>
                </w:p>
              </w:tc>
            </w:tr>
            <w:tr w14:paraId="52243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923" w:type="dxa"/>
                  <w:vMerge w:val="continue"/>
                  <w:noWrap/>
                  <w:vAlign w:val="center"/>
                </w:tcPr>
                <w:p w14:paraId="201AE08B">
                  <w:pPr>
                    <w:widowControl/>
                    <w:jc w:val="center"/>
                    <w:textAlignment w:val="bottom"/>
                    <w:rPr>
                      <w:rFonts w:hint="eastAsia" w:ascii="宋体" w:hAnsi="宋体" w:cs="宋体"/>
                      <w:color w:val="auto"/>
                      <w:szCs w:val="21"/>
                    </w:rPr>
                  </w:pPr>
                </w:p>
              </w:tc>
              <w:tc>
                <w:tcPr>
                  <w:tcW w:w="2979" w:type="dxa"/>
                  <w:noWrap/>
                  <w:vAlign w:val="center"/>
                </w:tcPr>
                <w:p w14:paraId="4224FC47">
                  <w:pPr>
                    <w:widowControl/>
                    <w:jc w:val="center"/>
                    <w:textAlignment w:val="center"/>
                    <w:rPr>
                      <w:rFonts w:hint="eastAsia" w:ascii="宋体" w:hAnsi="宋体" w:cs="宋体"/>
                      <w:color w:val="auto"/>
                      <w:szCs w:val="21"/>
                    </w:rPr>
                  </w:pPr>
                  <w:r>
                    <w:rPr>
                      <w:rFonts w:hint="eastAsia" w:ascii="宋体" w:hAnsi="宋体" w:cs="宋体"/>
                      <w:color w:val="auto"/>
                      <w:szCs w:val="21"/>
                    </w:rPr>
                    <w:t>床头呼叫系统</w:t>
                  </w:r>
                </w:p>
              </w:tc>
              <w:tc>
                <w:tcPr>
                  <w:tcW w:w="2109" w:type="dxa"/>
                  <w:noWrap/>
                  <w:vAlign w:val="center"/>
                </w:tcPr>
                <w:p w14:paraId="1FEF0A15">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0629CC0">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26</w:t>
                  </w:r>
                </w:p>
              </w:tc>
            </w:tr>
            <w:tr w14:paraId="41E30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1AEDCFB">
                  <w:pPr>
                    <w:widowControl/>
                    <w:jc w:val="center"/>
                    <w:textAlignment w:val="bottom"/>
                    <w:rPr>
                      <w:rFonts w:hint="eastAsia" w:ascii="宋体" w:hAnsi="宋体" w:cs="宋体"/>
                      <w:color w:val="auto"/>
                      <w:szCs w:val="21"/>
                    </w:rPr>
                  </w:pPr>
                </w:p>
              </w:tc>
              <w:tc>
                <w:tcPr>
                  <w:tcW w:w="2979" w:type="dxa"/>
                  <w:noWrap/>
                  <w:vAlign w:val="center"/>
                </w:tcPr>
                <w:p w14:paraId="3C60662C">
                  <w:pPr>
                    <w:widowControl/>
                    <w:jc w:val="center"/>
                    <w:textAlignment w:val="center"/>
                    <w:rPr>
                      <w:rFonts w:hint="eastAsia" w:ascii="宋体" w:hAnsi="宋体" w:cs="宋体"/>
                      <w:color w:val="auto"/>
                      <w:szCs w:val="21"/>
                    </w:rPr>
                  </w:pPr>
                  <w:r>
                    <w:rPr>
                      <w:rFonts w:hint="eastAsia" w:ascii="宋体" w:hAnsi="宋体" w:cs="宋体"/>
                      <w:color w:val="auto"/>
                      <w:szCs w:val="21"/>
                    </w:rPr>
                    <w:t>床旁监护仪</w:t>
                  </w:r>
                </w:p>
              </w:tc>
              <w:tc>
                <w:tcPr>
                  <w:tcW w:w="2109" w:type="dxa"/>
                  <w:noWrap/>
                  <w:vAlign w:val="center"/>
                </w:tcPr>
                <w:p w14:paraId="593C696B">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7DA519FD">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26</w:t>
                  </w:r>
                </w:p>
              </w:tc>
            </w:tr>
            <w:tr w14:paraId="6DCB7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CFFE63F">
                  <w:pPr>
                    <w:widowControl/>
                    <w:jc w:val="center"/>
                    <w:textAlignment w:val="bottom"/>
                    <w:rPr>
                      <w:rFonts w:hint="eastAsia" w:ascii="宋体" w:hAnsi="宋体" w:cs="宋体"/>
                      <w:color w:val="auto"/>
                      <w:szCs w:val="21"/>
                    </w:rPr>
                  </w:pPr>
                </w:p>
              </w:tc>
              <w:tc>
                <w:tcPr>
                  <w:tcW w:w="2979" w:type="dxa"/>
                  <w:noWrap/>
                  <w:vAlign w:val="center"/>
                </w:tcPr>
                <w:p w14:paraId="4030C35F">
                  <w:pPr>
                    <w:widowControl/>
                    <w:jc w:val="center"/>
                    <w:textAlignment w:val="center"/>
                    <w:rPr>
                      <w:rFonts w:hint="eastAsia" w:ascii="宋体" w:hAnsi="宋体" w:cs="宋体"/>
                      <w:color w:val="auto"/>
                      <w:szCs w:val="21"/>
                    </w:rPr>
                  </w:pPr>
                  <w:r>
                    <w:rPr>
                      <w:rFonts w:hint="eastAsia" w:ascii="宋体" w:hAnsi="宋体" w:cs="宋体"/>
                      <w:color w:val="auto"/>
                      <w:szCs w:val="21"/>
                    </w:rPr>
                    <w:t>口腔综合治疗机</w:t>
                  </w:r>
                </w:p>
              </w:tc>
              <w:tc>
                <w:tcPr>
                  <w:tcW w:w="2109" w:type="dxa"/>
                  <w:noWrap/>
                  <w:vAlign w:val="center"/>
                </w:tcPr>
                <w:p w14:paraId="29C3EE1A">
                  <w:pPr>
                    <w:jc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C922613">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5</w:t>
                  </w:r>
                </w:p>
              </w:tc>
            </w:tr>
            <w:tr w14:paraId="4976C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2985063">
                  <w:pPr>
                    <w:widowControl/>
                    <w:jc w:val="center"/>
                    <w:textAlignment w:val="bottom"/>
                    <w:rPr>
                      <w:rFonts w:hint="eastAsia" w:ascii="宋体" w:hAnsi="宋体" w:cs="宋体"/>
                      <w:color w:val="auto"/>
                      <w:szCs w:val="21"/>
                    </w:rPr>
                  </w:pPr>
                </w:p>
              </w:tc>
              <w:tc>
                <w:tcPr>
                  <w:tcW w:w="2979" w:type="dxa"/>
                  <w:noWrap/>
                  <w:vAlign w:val="center"/>
                </w:tcPr>
                <w:p w14:paraId="1850B504">
                  <w:pPr>
                    <w:widowControl/>
                    <w:jc w:val="center"/>
                    <w:textAlignment w:val="center"/>
                    <w:rPr>
                      <w:rFonts w:hint="eastAsia" w:ascii="宋体" w:hAnsi="宋体" w:cs="宋体"/>
                      <w:color w:val="auto"/>
                      <w:szCs w:val="21"/>
                    </w:rPr>
                  </w:pPr>
                  <w:r>
                    <w:rPr>
                      <w:rFonts w:hint="eastAsia" w:ascii="宋体" w:hAnsi="宋体" w:cs="宋体"/>
                      <w:color w:val="auto"/>
                      <w:szCs w:val="21"/>
                    </w:rPr>
                    <w:t>口腔牙周治疗</w:t>
                  </w:r>
                </w:p>
              </w:tc>
              <w:tc>
                <w:tcPr>
                  <w:tcW w:w="2109" w:type="dxa"/>
                  <w:noWrap/>
                  <w:vAlign w:val="center"/>
                </w:tcPr>
                <w:p w14:paraId="6B3D2621">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3ECAB5D">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5</w:t>
                  </w:r>
                </w:p>
              </w:tc>
            </w:tr>
            <w:tr w14:paraId="7DB29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restart"/>
                  <w:noWrap/>
                  <w:vAlign w:val="center"/>
                </w:tcPr>
                <w:p w14:paraId="6DB6829C">
                  <w:pPr>
                    <w:widowControl/>
                    <w:jc w:val="center"/>
                    <w:textAlignment w:val="bottom"/>
                    <w:rPr>
                      <w:rFonts w:hint="eastAsia" w:ascii="宋体" w:hAnsi="宋体" w:cs="宋体"/>
                      <w:color w:val="auto"/>
                      <w:szCs w:val="21"/>
                    </w:rPr>
                  </w:pPr>
                  <w:r>
                    <w:rPr>
                      <w:rFonts w:hint="eastAsia" w:ascii="宋体" w:hAnsi="宋体" w:cs="宋体"/>
                      <w:color w:val="auto"/>
                      <w:szCs w:val="21"/>
                    </w:rPr>
                    <w:t>九龙卫生院业务用房</w:t>
                  </w:r>
                </w:p>
              </w:tc>
              <w:tc>
                <w:tcPr>
                  <w:tcW w:w="2979" w:type="dxa"/>
                  <w:noWrap/>
                  <w:vAlign w:val="center"/>
                </w:tcPr>
                <w:p w14:paraId="0DBD9615">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污水处理站</w:t>
                  </w:r>
                </w:p>
              </w:tc>
              <w:tc>
                <w:tcPr>
                  <w:tcW w:w="2109" w:type="dxa"/>
                  <w:noWrap/>
                  <w:vAlign w:val="center"/>
                </w:tcPr>
                <w:p w14:paraId="3D335D66">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处理规模20m³/d</w:t>
                  </w:r>
                </w:p>
              </w:tc>
              <w:tc>
                <w:tcPr>
                  <w:tcW w:w="1810" w:type="dxa"/>
                  <w:noWrap/>
                  <w:vAlign w:val="center"/>
                </w:tcPr>
                <w:p w14:paraId="7692ED9D">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42998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886583C">
                  <w:pPr>
                    <w:widowControl/>
                    <w:jc w:val="center"/>
                    <w:textAlignment w:val="bottom"/>
                    <w:rPr>
                      <w:rFonts w:hint="eastAsia" w:ascii="宋体" w:hAnsi="宋体" w:cs="宋体"/>
                      <w:color w:val="auto"/>
                      <w:szCs w:val="21"/>
                    </w:rPr>
                  </w:pPr>
                </w:p>
              </w:tc>
              <w:tc>
                <w:tcPr>
                  <w:tcW w:w="2979" w:type="dxa"/>
                  <w:noWrap/>
                  <w:vAlign w:val="center"/>
                </w:tcPr>
                <w:p w14:paraId="64F3D3AE">
                  <w:pPr>
                    <w:widowControl/>
                    <w:jc w:val="center"/>
                    <w:textAlignment w:val="center"/>
                    <w:rPr>
                      <w:rFonts w:hint="eastAsia" w:ascii="宋体" w:hAnsi="宋体" w:cs="宋体"/>
                      <w:color w:val="auto"/>
                      <w:szCs w:val="21"/>
                    </w:rPr>
                  </w:pPr>
                  <w:r>
                    <w:rPr>
                      <w:rFonts w:hint="eastAsia" w:ascii="宋体" w:hAnsi="宋体" w:cs="宋体"/>
                      <w:color w:val="auto"/>
                      <w:szCs w:val="21"/>
                    </w:rPr>
                    <w:t>病床</w:t>
                  </w:r>
                </w:p>
              </w:tc>
              <w:tc>
                <w:tcPr>
                  <w:tcW w:w="2109" w:type="dxa"/>
                  <w:noWrap/>
                  <w:vAlign w:val="center"/>
                </w:tcPr>
                <w:p w14:paraId="790CAAE6">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手摇式二折病床</w:t>
                  </w:r>
                </w:p>
              </w:tc>
              <w:tc>
                <w:tcPr>
                  <w:tcW w:w="1810" w:type="dxa"/>
                  <w:noWrap/>
                  <w:vAlign w:val="center"/>
                </w:tcPr>
                <w:p w14:paraId="760540F2">
                  <w:pPr>
                    <w:widowControl/>
                    <w:jc w:val="center"/>
                    <w:textAlignment w:val="bottom"/>
                    <w:rPr>
                      <w:rFonts w:hint="eastAsia" w:ascii="宋体" w:hAnsi="宋体" w:cs="宋体"/>
                      <w:color w:val="auto"/>
                      <w:szCs w:val="21"/>
                    </w:rPr>
                  </w:pPr>
                  <w:r>
                    <w:rPr>
                      <w:rFonts w:hint="eastAsia" w:ascii="宋体" w:hAnsi="宋体" w:cs="宋体"/>
                      <w:color w:val="auto"/>
                      <w:szCs w:val="21"/>
                    </w:rPr>
                    <w:t>27</w:t>
                  </w:r>
                </w:p>
              </w:tc>
            </w:tr>
            <w:tr w14:paraId="01DC7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17BBB5A5">
                  <w:pPr>
                    <w:widowControl/>
                    <w:jc w:val="center"/>
                    <w:textAlignment w:val="bottom"/>
                    <w:rPr>
                      <w:rFonts w:hint="eastAsia" w:ascii="宋体" w:hAnsi="宋体" w:cs="宋体"/>
                      <w:color w:val="auto"/>
                      <w:szCs w:val="21"/>
                    </w:rPr>
                  </w:pPr>
                </w:p>
              </w:tc>
              <w:tc>
                <w:tcPr>
                  <w:tcW w:w="2979" w:type="dxa"/>
                  <w:noWrap/>
                  <w:vAlign w:val="center"/>
                </w:tcPr>
                <w:p w14:paraId="1734499E">
                  <w:pPr>
                    <w:widowControl/>
                    <w:jc w:val="center"/>
                    <w:textAlignment w:val="center"/>
                    <w:rPr>
                      <w:rFonts w:hint="eastAsia" w:ascii="宋体" w:hAnsi="宋体" w:cs="宋体"/>
                      <w:color w:val="auto"/>
                      <w:szCs w:val="21"/>
                    </w:rPr>
                  </w:pPr>
                  <w:r>
                    <w:rPr>
                      <w:rFonts w:hint="eastAsia" w:ascii="宋体" w:hAnsi="宋体" w:cs="宋体"/>
                      <w:color w:val="auto"/>
                      <w:szCs w:val="21"/>
                    </w:rPr>
                    <w:t>床头呼叫系统</w:t>
                  </w:r>
                </w:p>
              </w:tc>
              <w:tc>
                <w:tcPr>
                  <w:tcW w:w="2109" w:type="dxa"/>
                  <w:noWrap/>
                  <w:vAlign w:val="center"/>
                </w:tcPr>
                <w:p w14:paraId="4BF90199">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ABF2433">
                  <w:pPr>
                    <w:widowControl/>
                    <w:jc w:val="center"/>
                    <w:textAlignment w:val="bottom"/>
                    <w:rPr>
                      <w:rFonts w:hint="eastAsia" w:ascii="宋体" w:hAnsi="宋体" w:cs="宋体"/>
                      <w:color w:val="auto"/>
                      <w:szCs w:val="21"/>
                    </w:rPr>
                  </w:pPr>
                  <w:r>
                    <w:rPr>
                      <w:rFonts w:hint="eastAsia" w:ascii="宋体" w:hAnsi="宋体" w:cs="宋体"/>
                      <w:color w:val="auto"/>
                      <w:szCs w:val="21"/>
                    </w:rPr>
                    <w:t>27</w:t>
                  </w:r>
                </w:p>
              </w:tc>
            </w:tr>
            <w:tr w14:paraId="66C69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18CA401">
                  <w:pPr>
                    <w:widowControl/>
                    <w:jc w:val="center"/>
                    <w:textAlignment w:val="bottom"/>
                    <w:rPr>
                      <w:rFonts w:hint="eastAsia" w:ascii="宋体" w:hAnsi="宋体" w:cs="宋体"/>
                      <w:color w:val="auto"/>
                      <w:szCs w:val="21"/>
                    </w:rPr>
                  </w:pPr>
                </w:p>
              </w:tc>
              <w:tc>
                <w:tcPr>
                  <w:tcW w:w="2979" w:type="dxa"/>
                  <w:noWrap/>
                  <w:vAlign w:val="center"/>
                </w:tcPr>
                <w:p w14:paraId="0B7C611B">
                  <w:pPr>
                    <w:widowControl/>
                    <w:jc w:val="center"/>
                    <w:textAlignment w:val="center"/>
                    <w:rPr>
                      <w:rFonts w:hint="eastAsia" w:ascii="宋体" w:hAnsi="宋体" w:cs="宋体"/>
                      <w:color w:val="auto"/>
                      <w:szCs w:val="21"/>
                    </w:rPr>
                  </w:pPr>
                  <w:r>
                    <w:rPr>
                      <w:rFonts w:hint="eastAsia" w:ascii="宋体" w:hAnsi="宋体" w:cs="宋体"/>
                      <w:color w:val="auto"/>
                      <w:szCs w:val="21"/>
                    </w:rPr>
                    <w:t>手机消毒一体机</w:t>
                  </w:r>
                </w:p>
              </w:tc>
              <w:tc>
                <w:tcPr>
                  <w:tcW w:w="2109" w:type="dxa"/>
                  <w:noWrap/>
                  <w:vAlign w:val="center"/>
                </w:tcPr>
                <w:p w14:paraId="3DA60FC3">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6B77314">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11431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6CA88119">
                  <w:pPr>
                    <w:widowControl/>
                    <w:jc w:val="center"/>
                    <w:textAlignment w:val="bottom"/>
                    <w:rPr>
                      <w:rFonts w:hint="eastAsia" w:ascii="宋体" w:hAnsi="宋体" w:cs="宋体"/>
                      <w:color w:val="auto"/>
                      <w:szCs w:val="21"/>
                    </w:rPr>
                  </w:pPr>
                </w:p>
              </w:tc>
              <w:tc>
                <w:tcPr>
                  <w:tcW w:w="2979" w:type="dxa"/>
                  <w:noWrap/>
                  <w:vAlign w:val="center"/>
                </w:tcPr>
                <w:p w14:paraId="176D9C23">
                  <w:pPr>
                    <w:widowControl/>
                    <w:jc w:val="center"/>
                    <w:textAlignment w:val="center"/>
                    <w:rPr>
                      <w:rFonts w:hint="eastAsia" w:ascii="宋体" w:hAnsi="宋体" w:cs="宋体"/>
                      <w:color w:val="auto"/>
                      <w:szCs w:val="21"/>
                    </w:rPr>
                  </w:pPr>
                  <w:r>
                    <w:rPr>
                      <w:rFonts w:hint="eastAsia" w:ascii="宋体" w:hAnsi="宋体" w:cs="宋体"/>
                      <w:color w:val="auto"/>
                      <w:szCs w:val="21"/>
                    </w:rPr>
                    <w:t>器械柜</w:t>
                  </w:r>
                </w:p>
              </w:tc>
              <w:tc>
                <w:tcPr>
                  <w:tcW w:w="2109" w:type="dxa"/>
                  <w:noWrap/>
                  <w:vAlign w:val="center"/>
                </w:tcPr>
                <w:p w14:paraId="630BAE86">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2333347">
                  <w:pPr>
                    <w:widowControl/>
                    <w:jc w:val="center"/>
                    <w:textAlignment w:val="bottom"/>
                    <w:rPr>
                      <w:rFonts w:hint="eastAsia" w:ascii="宋体" w:hAnsi="宋体" w:cs="宋体"/>
                      <w:color w:val="auto"/>
                      <w:szCs w:val="21"/>
                    </w:rPr>
                  </w:pPr>
                  <w:r>
                    <w:rPr>
                      <w:rFonts w:hint="eastAsia" w:ascii="宋体" w:hAnsi="宋体" w:cs="宋体"/>
                      <w:color w:val="auto"/>
                      <w:szCs w:val="21"/>
                    </w:rPr>
                    <w:t>2</w:t>
                  </w:r>
                </w:p>
              </w:tc>
            </w:tr>
            <w:tr w14:paraId="6C8E8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65CE6C2">
                  <w:pPr>
                    <w:widowControl/>
                    <w:jc w:val="center"/>
                    <w:textAlignment w:val="bottom"/>
                    <w:rPr>
                      <w:rFonts w:hint="eastAsia" w:ascii="宋体" w:hAnsi="宋体" w:cs="宋体"/>
                      <w:color w:val="auto"/>
                      <w:szCs w:val="21"/>
                    </w:rPr>
                  </w:pPr>
                </w:p>
              </w:tc>
              <w:tc>
                <w:tcPr>
                  <w:tcW w:w="2979" w:type="dxa"/>
                  <w:noWrap/>
                  <w:vAlign w:val="center"/>
                </w:tcPr>
                <w:p w14:paraId="450D9225">
                  <w:pPr>
                    <w:widowControl/>
                    <w:jc w:val="center"/>
                    <w:textAlignment w:val="center"/>
                    <w:rPr>
                      <w:rFonts w:hint="eastAsia" w:ascii="宋体" w:hAnsi="宋体" w:cs="宋体"/>
                      <w:color w:val="auto"/>
                      <w:szCs w:val="21"/>
                    </w:rPr>
                  </w:pPr>
                  <w:r>
                    <w:rPr>
                      <w:rFonts w:hint="eastAsia" w:ascii="宋体" w:hAnsi="宋体" w:cs="宋体"/>
                      <w:color w:val="auto"/>
                      <w:szCs w:val="21"/>
                    </w:rPr>
                    <w:t>心电监护仪</w:t>
                  </w:r>
                </w:p>
              </w:tc>
              <w:tc>
                <w:tcPr>
                  <w:tcW w:w="2109" w:type="dxa"/>
                  <w:noWrap/>
                  <w:vAlign w:val="center"/>
                </w:tcPr>
                <w:p w14:paraId="34AC5DF9">
                  <w:pPr>
                    <w:jc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39DECB4">
                  <w:pPr>
                    <w:widowControl/>
                    <w:jc w:val="center"/>
                    <w:textAlignment w:val="bottom"/>
                    <w:rPr>
                      <w:rFonts w:hint="eastAsia" w:ascii="宋体" w:hAnsi="宋体" w:cs="宋体"/>
                      <w:color w:val="auto"/>
                      <w:szCs w:val="21"/>
                    </w:rPr>
                  </w:pPr>
                  <w:r>
                    <w:rPr>
                      <w:rFonts w:hint="eastAsia" w:ascii="宋体" w:hAnsi="宋体" w:cs="宋体"/>
                      <w:color w:val="auto"/>
                      <w:szCs w:val="21"/>
                    </w:rPr>
                    <w:t>2</w:t>
                  </w:r>
                </w:p>
              </w:tc>
            </w:tr>
            <w:tr w14:paraId="5693C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2F7492B">
                  <w:pPr>
                    <w:widowControl/>
                    <w:jc w:val="center"/>
                    <w:textAlignment w:val="bottom"/>
                    <w:rPr>
                      <w:rFonts w:hint="eastAsia" w:ascii="宋体" w:hAnsi="宋体" w:cs="宋体"/>
                      <w:color w:val="auto"/>
                      <w:szCs w:val="21"/>
                    </w:rPr>
                  </w:pPr>
                </w:p>
              </w:tc>
              <w:tc>
                <w:tcPr>
                  <w:tcW w:w="2979" w:type="dxa"/>
                  <w:noWrap/>
                  <w:vAlign w:val="center"/>
                </w:tcPr>
                <w:p w14:paraId="53BECA51">
                  <w:pPr>
                    <w:widowControl/>
                    <w:jc w:val="center"/>
                    <w:textAlignment w:val="center"/>
                    <w:rPr>
                      <w:rFonts w:hint="eastAsia" w:ascii="宋体" w:hAnsi="宋体" w:cs="宋体"/>
                      <w:color w:val="auto"/>
                      <w:szCs w:val="21"/>
                    </w:rPr>
                  </w:pPr>
                  <w:r>
                    <w:rPr>
                      <w:rFonts w:hint="eastAsia" w:ascii="宋体" w:hAnsi="宋体" w:cs="宋体"/>
                      <w:color w:val="auto"/>
                      <w:szCs w:val="21"/>
                    </w:rPr>
                    <w:t>动态心电图</w:t>
                  </w:r>
                </w:p>
              </w:tc>
              <w:tc>
                <w:tcPr>
                  <w:tcW w:w="2109" w:type="dxa"/>
                  <w:noWrap/>
                  <w:vAlign w:val="center"/>
                </w:tcPr>
                <w:p w14:paraId="59645B24">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ECG-125OC</w:t>
                  </w:r>
                </w:p>
              </w:tc>
              <w:tc>
                <w:tcPr>
                  <w:tcW w:w="1810" w:type="dxa"/>
                  <w:noWrap/>
                  <w:vAlign w:val="center"/>
                </w:tcPr>
                <w:p w14:paraId="7A096C7C">
                  <w:pPr>
                    <w:widowControl/>
                    <w:jc w:val="center"/>
                    <w:textAlignment w:val="center"/>
                    <w:rPr>
                      <w:rFonts w:hint="eastAsia" w:ascii="宋体" w:hAnsi="宋体" w:cs="宋体"/>
                      <w:color w:val="auto"/>
                      <w:szCs w:val="21"/>
                    </w:rPr>
                  </w:pPr>
                  <w:r>
                    <w:rPr>
                      <w:rFonts w:hint="eastAsia" w:ascii="宋体" w:hAnsi="宋体" w:cs="宋体"/>
                      <w:color w:val="auto"/>
                      <w:szCs w:val="21"/>
                    </w:rPr>
                    <w:t>2</w:t>
                  </w:r>
                </w:p>
              </w:tc>
            </w:tr>
            <w:tr w14:paraId="78053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7F36FCEC">
                  <w:pPr>
                    <w:widowControl/>
                    <w:jc w:val="center"/>
                    <w:textAlignment w:val="bottom"/>
                    <w:rPr>
                      <w:rFonts w:hint="eastAsia" w:ascii="宋体" w:hAnsi="宋体" w:cs="宋体"/>
                      <w:color w:val="auto"/>
                      <w:szCs w:val="21"/>
                    </w:rPr>
                  </w:pPr>
                </w:p>
              </w:tc>
              <w:tc>
                <w:tcPr>
                  <w:tcW w:w="2979" w:type="dxa"/>
                  <w:noWrap/>
                  <w:vAlign w:val="center"/>
                </w:tcPr>
                <w:p w14:paraId="7B91EBA8">
                  <w:pPr>
                    <w:widowControl/>
                    <w:jc w:val="center"/>
                    <w:textAlignment w:val="center"/>
                    <w:rPr>
                      <w:rFonts w:hint="eastAsia" w:ascii="宋体" w:hAnsi="宋体" w:cs="宋体"/>
                      <w:color w:val="auto"/>
                      <w:szCs w:val="21"/>
                    </w:rPr>
                  </w:pPr>
                  <w:r>
                    <w:rPr>
                      <w:rFonts w:hint="eastAsia" w:ascii="宋体" w:hAnsi="宋体" w:cs="宋体"/>
                      <w:color w:val="auto"/>
                      <w:szCs w:val="21"/>
                    </w:rPr>
                    <w:t>十二导联心电图</w:t>
                  </w:r>
                </w:p>
              </w:tc>
              <w:tc>
                <w:tcPr>
                  <w:tcW w:w="2109" w:type="dxa"/>
                  <w:noWrap/>
                  <w:vAlign w:val="center"/>
                </w:tcPr>
                <w:p w14:paraId="280A8B09">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784AD9D">
                  <w:pPr>
                    <w:widowControl/>
                    <w:jc w:val="center"/>
                    <w:textAlignment w:val="center"/>
                    <w:rPr>
                      <w:rFonts w:hint="eastAsia" w:ascii="宋体" w:hAnsi="宋体" w:cs="宋体"/>
                      <w:color w:val="auto"/>
                      <w:szCs w:val="21"/>
                    </w:rPr>
                  </w:pPr>
                  <w:r>
                    <w:rPr>
                      <w:rFonts w:hint="eastAsia" w:ascii="宋体" w:hAnsi="宋体" w:cs="宋体"/>
                      <w:color w:val="auto"/>
                      <w:szCs w:val="21"/>
                    </w:rPr>
                    <w:t>3</w:t>
                  </w:r>
                </w:p>
              </w:tc>
            </w:tr>
            <w:tr w14:paraId="59C3B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7AE63F6A">
                  <w:pPr>
                    <w:widowControl/>
                    <w:jc w:val="center"/>
                    <w:textAlignment w:val="bottom"/>
                    <w:rPr>
                      <w:rFonts w:hint="eastAsia" w:ascii="宋体" w:hAnsi="宋体" w:cs="宋体"/>
                      <w:color w:val="auto"/>
                      <w:szCs w:val="21"/>
                    </w:rPr>
                  </w:pPr>
                </w:p>
              </w:tc>
              <w:tc>
                <w:tcPr>
                  <w:tcW w:w="2979" w:type="dxa"/>
                  <w:noWrap/>
                  <w:vAlign w:val="center"/>
                </w:tcPr>
                <w:p w14:paraId="6E1BCA0E">
                  <w:pPr>
                    <w:widowControl/>
                    <w:jc w:val="center"/>
                    <w:textAlignment w:val="center"/>
                    <w:rPr>
                      <w:rFonts w:hint="eastAsia" w:ascii="宋体" w:hAnsi="宋体" w:cs="宋体"/>
                      <w:color w:val="auto"/>
                      <w:szCs w:val="21"/>
                    </w:rPr>
                  </w:pPr>
                  <w:r>
                    <w:rPr>
                      <w:rFonts w:hint="eastAsia" w:ascii="宋体" w:hAnsi="宋体" w:cs="宋体"/>
                      <w:color w:val="auto"/>
                      <w:szCs w:val="21"/>
                    </w:rPr>
                    <w:t>中频治疗仪</w:t>
                  </w:r>
                </w:p>
              </w:tc>
              <w:tc>
                <w:tcPr>
                  <w:tcW w:w="2109" w:type="dxa"/>
                  <w:noWrap/>
                  <w:vAlign w:val="center"/>
                </w:tcPr>
                <w:p w14:paraId="3B23615D">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J48A</w:t>
                  </w:r>
                </w:p>
              </w:tc>
              <w:tc>
                <w:tcPr>
                  <w:tcW w:w="1810" w:type="dxa"/>
                  <w:noWrap/>
                  <w:vAlign w:val="center"/>
                </w:tcPr>
                <w:p w14:paraId="575B0460">
                  <w:pPr>
                    <w:widowControl/>
                    <w:jc w:val="center"/>
                    <w:textAlignment w:val="center"/>
                    <w:rPr>
                      <w:rFonts w:hint="eastAsia" w:ascii="宋体" w:hAnsi="宋体" w:cs="宋体"/>
                      <w:color w:val="auto"/>
                      <w:szCs w:val="21"/>
                    </w:rPr>
                  </w:pPr>
                  <w:r>
                    <w:rPr>
                      <w:rFonts w:hint="eastAsia" w:ascii="宋体" w:hAnsi="宋体" w:cs="宋体"/>
                      <w:color w:val="auto"/>
                      <w:szCs w:val="21"/>
                    </w:rPr>
                    <w:t>3</w:t>
                  </w:r>
                </w:p>
              </w:tc>
            </w:tr>
            <w:tr w14:paraId="2DCA2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923" w:type="dxa"/>
                  <w:vMerge w:val="continue"/>
                  <w:noWrap/>
                  <w:vAlign w:val="center"/>
                </w:tcPr>
                <w:p w14:paraId="455077C7">
                  <w:pPr>
                    <w:widowControl/>
                    <w:jc w:val="center"/>
                    <w:textAlignment w:val="bottom"/>
                    <w:rPr>
                      <w:rFonts w:hint="eastAsia" w:ascii="宋体" w:hAnsi="宋体" w:cs="宋体"/>
                      <w:color w:val="auto"/>
                      <w:szCs w:val="21"/>
                    </w:rPr>
                  </w:pPr>
                </w:p>
              </w:tc>
              <w:tc>
                <w:tcPr>
                  <w:tcW w:w="2979" w:type="dxa"/>
                  <w:noWrap/>
                  <w:vAlign w:val="center"/>
                </w:tcPr>
                <w:p w14:paraId="3B0FF6A5">
                  <w:pPr>
                    <w:widowControl/>
                    <w:jc w:val="center"/>
                    <w:textAlignment w:val="center"/>
                    <w:rPr>
                      <w:rFonts w:hint="eastAsia" w:ascii="宋体" w:hAnsi="宋体" w:cs="宋体"/>
                      <w:color w:val="auto"/>
                      <w:szCs w:val="21"/>
                    </w:rPr>
                  </w:pPr>
                  <w:r>
                    <w:rPr>
                      <w:rFonts w:hint="eastAsia" w:ascii="宋体" w:hAnsi="宋体" w:cs="宋体"/>
                      <w:color w:val="auto"/>
                      <w:szCs w:val="21"/>
                    </w:rPr>
                    <w:t>移动式平行杆</w:t>
                  </w:r>
                </w:p>
              </w:tc>
              <w:tc>
                <w:tcPr>
                  <w:tcW w:w="2109" w:type="dxa"/>
                  <w:noWrap/>
                  <w:vAlign w:val="center"/>
                </w:tcPr>
                <w:p w14:paraId="6E75DA40">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A42BFF0">
                  <w:pPr>
                    <w:widowControl/>
                    <w:jc w:val="center"/>
                    <w:textAlignment w:val="center"/>
                    <w:rPr>
                      <w:rFonts w:hint="eastAsia" w:ascii="宋体" w:hAnsi="宋体" w:cs="宋体"/>
                      <w:color w:val="auto"/>
                      <w:szCs w:val="21"/>
                    </w:rPr>
                  </w:pPr>
                  <w:r>
                    <w:rPr>
                      <w:rFonts w:hint="eastAsia" w:ascii="宋体" w:hAnsi="宋体" w:cs="宋体"/>
                      <w:color w:val="auto"/>
                      <w:szCs w:val="21"/>
                    </w:rPr>
                    <w:t>1</w:t>
                  </w:r>
                </w:p>
              </w:tc>
            </w:tr>
            <w:tr w14:paraId="29FFA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F9CD4D7">
                  <w:pPr>
                    <w:widowControl/>
                    <w:jc w:val="center"/>
                    <w:textAlignment w:val="bottom"/>
                    <w:rPr>
                      <w:rFonts w:hint="eastAsia" w:ascii="宋体" w:hAnsi="宋体" w:cs="宋体"/>
                      <w:color w:val="auto"/>
                      <w:szCs w:val="21"/>
                    </w:rPr>
                  </w:pPr>
                </w:p>
              </w:tc>
              <w:tc>
                <w:tcPr>
                  <w:tcW w:w="2979" w:type="dxa"/>
                  <w:noWrap/>
                  <w:vAlign w:val="center"/>
                </w:tcPr>
                <w:p w14:paraId="7E9E011C">
                  <w:pPr>
                    <w:widowControl/>
                    <w:jc w:val="center"/>
                    <w:textAlignment w:val="center"/>
                    <w:rPr>
                      <w:rFonts w:hint="eastAsia" w:ascii="宋体" w:hAnsi="宋体" w:cs="宋体"/>
                      <w:color w:val="auto"/>
                      <w:szCs w:val="21"/>
                    </w:rPr>
                  </w:pPr>
                  <w:r>
                    <w:rPr>
                      <w:rFonts w:hint="eastAsia" w:ascii="宋体" w:hAnsi="宋体" w:cs="宋体"/>
                      <w:color w:val="auto"/>
                      <w:szCs w:val="21"/>
                    </w:rPr>
                    <w:t>输液椅</w:t>
                  </w:r>
                </w:p>
              </w:tc>
              <w:tc>
                <w:tcPr>
                  <w:tcW w:w="2109" w:type="dxa"/>
                  <w:noWrap/>
                  <w:vAlign w:val="center"/>
                </w:tcPr>
                <w:p w14:paraId="0E9D9A8B">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4F3E7447">
                  <w:pPr>
                    <w:widowControl/>
                    <w:jc w:val="center"/>
                    <w:textAlignment w:val="center"/>
                    <w:rPr>
                      <w:rFonts w:hint="eastAsia" w:ascii="宋体" w:hAnsi="宋体" w:cs="宋体"/>
                      <w:color w:val="auto"/>
                      <w:szCs w:val="21"/>
                    </w:rPr>
                  </w:pPr>
                  <w:r>
                    <w:rPr>
                      <w:rFonts w:hint="eastAsia" w:ascii="宋体" w:hAnsi="宋体" w:cs="宋体"/>
                      <w:color w:val="auto"/>
                      <w:szCs w:val="21"/>
                    </w:rPr>
                    <w:t>50</w:t>
                  </w:r>
                </w:p>
              </w:tc>
            </w:tr>
            <w:tr w14:paraId="6C3E1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ECEB6B0">
                  <w:pPr>
                    <w:widowControl/>
                    <w:jc w:val="center"/>
                    <w:textAlignment w:val="bottom"/>
                    <w:rPr>
                      <w:rFonts w:hint="eastAsia" w:ascii="宋体" w:hAnsi="宋体" w:cs="宋体"/>
                      <w:color w:val="auto"/>
                      <w:szCs w:val="21"/>
                    </w:rPr>
                  </w:pPr>
                </w:p>
              </w:tc>
              <w:tc>
                <w:tcPr>
                  <w:tcW w:w="2979" w:type="dxa"/>
                  <w:noWrap/>
                  <w:vAlign w:val="center"/>
                </w:tcPr>
                <w:p w14:paraId="6B43560D">
                  <w:pPr>
                    <w:widowControl/>
                    <w:jc w:val="center"/>
                    <w:textAlignment w:val="center"/>
                    <w:rPr>
                      <w:rFonts w:hint="eastAsia" w:ascii="宋体" w:hAnsi="宋体" w:cs="宋体"/>
                      <w:color w:val="auto"/>
                      <w:szCs w:val="21"/>
                    </w:rPr>
                  </w:pPr>
                  <w:r>
                    <w:rPr>
                      <w:rFonts w:hint="eastAsia" w:ascii="宋体" w:hAnsi="宋体" w:cs="宋体"/>
                      <w:color w:val="auto"/>
                      <w:szCs w:val="21"/>
                    </w:rPr>
                    <w:t>诊查床</w:t>
                  </w:r>
                </w:p>
              </w:tc>
              <w:tc>
                <w:tcPr>
                  <w:tcW w:w="2109" w:type="dxa"/>
                  <w:noWrap/>
                  <w:vAlign w:val="center"/>
                </w:tcPr>
                <w:p w14:paraId="114921F1">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DA7DFB6">
                  <w:pPr>
                    <w:widowControl/>
                    <w:jc w:val="center"/>
                    <w:textAlignment w:val="center"/>
                    <w:rPr>
                      <w:rFonts w:hint="eastAsia" w:ascii="宋体" w:hAnsi="宋体" w:cs="宋体"/>
                      <w:color w:val="auto"/>
                      <w:szCs w:val="21"/>
                    </w:rPr>
                  </w:pPr>
                  <w:r>
                    <w:rPr>
                      <w:rFonts w:hint="eastAsia" w:ascii="宋体" w:hAnsi="宋体" w:cs="宋体"/>
                      <w:color w:val="auto"/>
                      <w:szCs w:val="21"/>
                    </w:rPr>
                    <w:t>6</w:t>
                  </w:r>
                </w:p>
              </w:tc>
            </w:tr>
            <w:tr w14:paraId="20AC4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24D31992">
                  <w:pPr>
                    <w:widowControl/>
                    <w:jc w:val="center"/>
                    <w:textAlignment w:val="bottom"/>
                    <w:rPr>
                      <w:rFonts w:hint="eastAsia" w:ascii="宋体" w:hAnsi="宋体" w:cs="宋体"/>
                      <w:color w:val="auto"/>
                      <w:szCs w:val="21"/>
                    </w:rPr>
                  </w:pPr>
                </w:p>
              </w:tc>
              <w:tc>
                <w:tcPr>
                  <w:tcW w:w="2979" w:type="dxa"/>
                  <w:noWrap/>
                  <w:vAlign w:val="center"/>
                </w:tcPr>
                <w:p w14:paraId="5188A9AA">
                  <w:pPr>
                    <w:widowControl/>
                    <w:jc w:val="center"/>
                    <w:textAlignment w:val="center"/>
                    <w:rPr>
                      <w:rFonts w:hint="eastAsia" w:ascii="宋体" w:hAnsi="宋体" w:cs="宋体"/>
                      <w:color w:val="auto"/>
                      <w:szCs w:val="21"/>
                    </w:rPr>
                  </w:pPr>
                  <w:r>
                    <w:rPr>
                      <w:rFonts w:hint="eastAsia" w:ascii="宋体" w:hAnsi="宋体" w:cs="宋体"/>
                      <w:color w:val="auto"/>
                      <w:szCs w:val="21"/>
                    </w:rPr>
                    <w:t>理疗床</w:t>
                  </w:r>
                </w:p>
              </w:tc>
              <w:tc>
                <w:tcPr>
                  <w:tcW w:w="2109" w:type="dxa"/>
                  <w:noWrap/>
                  <w:vAlign w:val="center"/>
                </w:tcPr>
                <w:p w14:paraId="02E1BE5F">
                  <w:pPr>
                    <w:jc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950ED4C">
                  <w:pPr>
                    <w:widowControl/>
                    <w:jc w:val="center"/>
                    <w:textAlignment w:val="center"/>
                    <w:rPr>
                      <w:rFonts w:hint="eastAsia" w:ascii="宋体" w:hAnsi="宋体" w:cs="宋体"/>
                      <w:color w:val="auto"/>
                      <w:szCs w:val="21"/>
                    </w:rPr>
                  </w:pPr>
                  <w:r>
                    <w:rPr>
                      <w:rFonts w:hint="eastAsia" w:ascii="宋体" w:hAnsi="宋体" w:cs="宋体"/>
                      <w:color w:val="auto"/>
                      <w:szCs w:val="21"/>
                    </w:rPr>
                    <w:t>6</w:t>
                  </w:r>
                </w:p>
              </w:tc>
            </w:tr>
            <w:tr w14:paraId="1284D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CDC9535">
                  <w:pPr>
                    <w:widowControl/>
                    <w:jc w:val="center"/>
                    <w:textAlignment w:val="bottom"/>
                    <w:rPr>
                      <w:rFonts w:hint="eastAsia" w:ascii="宋体" w:hAnsi="宋体" w:cs="宋体"/>
                      <w:color w:val="auto"/>
                      <w:szCs w:val="21"/>
                    </w:rPr>
                  </w:pPr>
                </w:p>
              </w:tc>
              <w:tc>
                <w:tcPr>
                  <w:tcW w:w="2979" w:type="dxa"/>
                  <w:noWrap/>
                  <w:vAlign w:val="center"/>
                </w:tcPr>
                <w:p w14:paraId="0554D252">
                  <w:pPr>
                    <w:widowControl/>
                    <w:jc w:val="center"/>
                    <w:textAlignment w:val="center"/>
                    <w:rPr>
                      <w:rFonts w:hint="eastAsia" w:ascii="宋体" w:hAnsi="宋体" w:cs="宋体"/>
                      <w:color w:val="auto"/>
                      <w:szCs w:val="21"/>
                    </w:rPr>
                  </w:pPr>
                  <w:r>
                    <w:rPr>
                      <w:rFonts w:hint="eastAsia" w:ascii="宋体" w:hAnsi="宋体" w:cs="宋体"/>
                      <w:color w:val="auto"/>
                      <w:szCs w:val="21"/>
                    </w:rPr>
                    <w:t>会议桌</w:t>
                  </w:r>
                </w:p>
              </w:tc>
              <w:tc>
                <w:tcPr>
                  <w:tcW w:w="2109" w:type="dxa"/>
                  <w:noWrap/>
                  <w:vAlign w:val="center"/>
                </w:tcPr>
                <w:p w14:paraId="221552E1">
                  <w:pPr>
                    <w:widowControl/>
                    <w:jc w:val="center"/>
                    <w:textAlignment w:val="bottom"/>
                    <w:rPr>
                      <w:rFonts w:hint="eastAsia" w:ascii="宋体" w:hAnsi="宋体" w:cs="宋体"/>
                      <w:color w:val="auto"/>
                      <w:szCs w:val="21"/>
                    </w:rPr>
                  </w:pPr>
                  <w:r>
                    <w:rPr>
                      <w:rFonts w:hint="eastAsia" w:ascii="宋体" w:hAnsi="宋体" w:cs="宋体"/>
                      <w:color w:val="auto"/>
                      <w:szCs w:val="21"/>
                    </w:rPr>
                    <w:t>2.1米</w:t>
                  </w:r>
                </w:p>
              </w:tc>
              <w:tc>
                <w:tcPr>
                  <w:tcW w:w="1810" w:type="dxa"/>
                  <w:noWrap/>
                  <w:vAlign w:val="center"/>
                </w:tcPr>
                <w:p w14:paraId="27195955">
                  <w:pPr>
                    <w:widowControl/>
                    <w:jc w:val="center"/>
                    <w:textAlignment w:val="center"/>
                    <w:rPr>
                      <w:rFonts w:hint="eastAsia" w:ascii="宋体" w:hAnsi="宋体" w:cs="宋体"/>
                      <w:color w:val="auto"/>
                      <w:szCs w:val="21"/>
                    </w:rPr>
                  </w:pPr>
                  <w:r>
                    <w:rPr>
                      <w:rFonts w:hint="eastAsia" w:ascii="宋体" w:hAnsi="宋体" w:cs="宋体"/>
                      <w:color w:val="auto"/>
                      <w:szCs w:val="21"/>
                    </w:rPr>
                    <w:t>1</w:t>
                  </w:r>
                </w:p>
              </w:tc>
            </w:tr>
            <w:tr w14:paraId="2F2D9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C854F5C">
                  <w:pPr>
                    <w:widowControl/>
                    <w:jc w:val="center"/>
                    <w:textAlignment w:val="bottom"/>
                    <w:rPr>
                      <w:rFonts w:hint="eastAsia" w:ascii="宋体" w:hAnsi="宋体" w:cs="宋体"/>
                      <w:color w:val="auto"/>
                      <w:szCs w:val="21"/>
                    </w:rPr>
                  </w:pPr>
                </w:p>
              </w:tc>
              <w:tc>
                <w:tcPr>
                  <w:tcW w:w="2979" w:type="dxa"/>
                  <w:noWrap/>
                  <w:vAlign w:val="center"/>
                </w:tcPr>
                <w:p w14:paraId="71423F68">
                  <w:pPr>
                    <w:widowControl/>
                    <w:jc w:val="center"/>
                    <w:textAlignment w:val="center"/>
                    <w:rPr>
                      <w:rFonts w:hint="eastAsia" w:ascii="宋体" w:hAnsi="宋体" w:cs="宋体"/>
                      <w:color w:val="auto"/>
                      <w:szCs w:val="21"/>
                    </w:rPr>
                  </w:pPr>
                  <w:r>
                    <w:rPr>
                      <w:rFonts w:hint="eastAsia" w:ascii="宋体" w:hAnsi="宋体" w:cs="宋体"/>
                      <w:color w:val="auto"/>
                      <w:szCs w:val="21"/>
                    </w:rPr>
                    <w:t>会议桌椅子</w:t>
                  </w:r>
                </w:p>
              </w:tc>
              <w:tc>
                <w:tcPr>
                  <w:tcW w:w="2109" w:type="dxa"/>
                  <w:noWrap/>
                  <w:vAlign w:val="center"/>
                </w:tcPr>
                <w:p w14:paraId="15876176">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5B295E8">
                  <w:pPr>
                    <w:widowControl/>
                    <w:jc w:val="center"/>
                    <w:textAlignment w:val="center"/>
                    <w:rPr>
                      <w:rFonts w:hint="eastAsia" w:ascii="宋体" w:hAnsi="宋体" w:cs="宋体"/>
                      <w:color w:val="auto"/>
                      <w:szCs w:val="21"/>
                    </w:rPr>
                  </w:pPr>
                  <w:r>
                    <w:rPr>
                      <w:rFonts w:hint="eastAsia" w:ascii="宋体" w:hAnsi="宋体" w:cs="宋体"/>
                      <w:color w:val="auto"/>
                      <w:szCs w:val="21"/>
                    </w:rPr>
                    <w:t>8</w:t>
                  </w:r>
                </w:p>
              </w:tc>
            </w:tr>
            <w:tr w14:paraId="33AFF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2B782C0">
                  <w:pPr>
                    <w:widowControl/>
                    <w:jc w:val="center"/>
                    <w:textAlignment w:val="bottom"/>
                    <w:rPr>
                      <w:rFonts w:hint="eastAsia" w:ascii="宋体" w:hAnsi="宋体" w:cs="宋体"/>
                      <w:color w:val="auto"/>
                      <w:szCs w:val="21"/>
                    </w:rPr>
                  </w:pPr>
                </w:p>
              </w:tc>
              <w:tc>
                <w:tcPr>
                  <w:tcW w:w="2979" w:type="dxa"/>
                  <w:noWrap/>
                  <w:vAlign w:val="center"/>
                </w:tcPr>
                <w:p w14:paraId="551F9EC5">
                  <w:pPr>
                    <w:widowControl/>
                    <w:jc w:val="center"/>
                    <w:textAlignment w:val="center"/>
                    <w:rPr>
                      <w:rFonts w:hint="eastAsia" w:ascii="宋体" w:hAnsi="宋体" w:cs="宋体"/>
                      <w:color w:val="auto"/>
                      <w:szCs w:val="21"/>
                    </w:rPr>
                  </w:pPr>
                  <w:r>
                    <w:rPr>
                      <w:rFonts w:hint="eastAsia" w:ascii="宋体" w:hAnsi="宋体" w:cs="宋体"/>
                      <w:color w:val="auto"/>
                      <w:szCs w:val="21"/>
                    </w:rPr>
                    <w:t>LED显示屏</w:t>
                  </w:r>
                </w:p>
              </w:tc>
              <w:tc>
                <w:tcPr>
                  <w:tcW w:w="2109" w:type="dxa"/>
                  <w:noWrap/>
                  <w:vAlign w:val="center"/>
                </w:tcPr>
                <w:p w14:paraId="391ACD0D">
                  <w:pPr>
                    <w:widowControl/>
                    <w:jc w:val="center"/>
                    <w:textAlignment w:val="bottom"/>
                    <w:rPr>
                      <w:rFonts w:hint="eastAsia" w:ascii="宋体" w:hAnsi="宋体" w:cs="宋体"/>
                      <w:color w:val="auto"/>
                      <w:szCs w:val="21"/>
                    </w:rPr>
                  </w:pPr>
                  <w:r>
                    <w:rPr>
                      <w:rFonts w:hint="eastAsia" w:ascii="宋体" w:hAnsi="宋体" w:cs="宋体"/>
                      <w:color w:val="auto"/>
                      <w:szCs w:val="21"/>
                    </w:rPr>
                    <w:t>3.2*1.6</w:t>
                  </w:r>
                </w:p>
              </w:tc>
              <w:tc>
                <w:tcPr>
                  <w:tcW w:w="1810" w:type="dxa"/>
                  <w:noWrap/>
                  <w:vAlign w:val="center"/>
                </w:tcPr>
                <w:p w14:paraId="54394244">
                  <w:pPr>
                    <w:widowControl/>
                    <w:jc w:val="center"/>
                    <w:textAlignment w:val="center"/>
                    <w:rPr>
                      <w:rFonts w:hint="eastAsia" w:ascii="宋体" w:hAnsi="宋体" w:cs="宋体"/>
                      <w:color w:val="auto"/>
                      <w:szCs w:val="21"/>
                    </w:rPr>
                  </w:pPr>
                  <w:r>
                    <w:rPr>
                      <w:rFonts w:hint="eastAsia" w:ascii="宋体" w:hAnsi="宋体" w:cs="宋体"/>
                      <w:color w:val="auto"/>
                      <w:szCs w:val="21"/>
                    </w:rPr>
                    <w:t>1</w:t>
                  </w:r>
                </w:p>
              </w:tc>
            </w:tr>
            <w:tr w14:paraId="2BE69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17D47C0">
                  <w:pPr>
                    <w:widowControl/>
                    <w:jc w:val="center"/>
                    <w:textAlignment w:val="bottom"/>
                    <w:rPr>
                      <w:rFonts w:hint="eastAsia" w:ascii="宋体" w:hAnsi="宋体" w:cs="宋体"/>
                      <w:color w:val="auto"/>
                      <w:szCs w:val="21"/>
                    </w:rPr>
                  </w:pPr>
                </w:p>
              </w:tc>
              <w:tc>
                <w:tcPr>
                  <w:tcW w:w="2979" w:type="dxa"/>
                  <w:noWrap/>
                  <w:vAlign w:val="center"/>
                </w:tcPr>
                <w:p w14:paraId="3E364E7E">
                  <w:pPr>
                    <w:widowControl/>
                    <w:jc w:val="center"/>
                    <w:textAlignment w:val="center"/>
                    <w:rPr>
                      <w:rFonts w:hint="eastAsia" w:ascii="宋体" w:hAnsi="宋体" w:cs="宋体"/>
                      <w:color w:val="auto"/>
                      <w:szCs w:val="21"/>
                    </w:rPr>
                  </w:pPr>
                  <w:r>
                    <w:rPr>
                      <w:rFonts w:hint="eastAsia" w:ascii="宋体" w:hAnsi="宋体" w:cs="宋体"/>
                      <w:color w:val="auto"/>
                      <w:szCs w:val="21"/>
                    </w:rPr>
                    <w:t>电脑</w:t>
                  </w:r>
                </w:p>
              </w:tc>
              <w:tc>
                <w:tcPr>
                  <w:tcW w:w="2109" w:type="dxa"/>
                  <w:noWrap/>
                  <w:vAlign w:val="center"/>
                </w:tcPr>
                <w:p w14:paraId="446E0507">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4BC3A6E6">
                  <w:pPr>
                    <w:widowControl/>
                    <w:jc w:val="center"/>
                    <w:textAlignment w:val="center"/>
                    <w:rPr>
                      <w:rFonts w:hint="eastAsia" w:ascii="宋体" w:hAnsi="宋体" w:cs="宋体"/>
                      <w:color w:val="auto"/>
                      <w:szCs w:val="21"/>
                    </w:rPr>
                  </w:pPr>
                  <w:r>
                    <w:rPr>
                      <w:rFonts w:hint="eastAsia" w:ascii="宋体" w:hAnsi="宋体" w:cs="宋体"/>
                      <w:color w:val="auto"/>
                      <w:szCs w:val="21"/>
                    </w:rPr>
                    <w:t>10</w:t>
                  </w:r>
                </w:p>
              </w:tc>
            </w:tr>
            <w:tr w14:paraId="2F04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87DE2E0">
                  <w:pPr>
                    <w:widowControl/>
                    <w:jc w:val="center"/>
                    <w:textAlignment w:val="bottom"/>
                    <w:rPr>
                      <w:rFonts w:hint="eastAsia" w:ascii="宋体" w:hAnsi="宋体" w:cs="宋体"/>
                      <w:color w:val="auto"/>
                      <w:szCs w:val="21"/>
                    </w:rPr>
                  </w:pPr>
                </w:p>
              </w:tc>
              <w:tc>
                <w:tcPr>
                  <w:tcW w:w="2979" w:type="dxa"/>
                  <w:noWrap/>
                  <w:vAlign w:val="center"/>
                </w:tcPr>
                <w:p w14:paraId="207573E8">
                  <w:pPr>
                    <w:widowControl/>
                    <w:jc w:val="center"/>
                    <w:textAlignment w:val="center"/>
                    <w:rPr>
                      <w:rFonts w:hint="eastAsia" w:ascii="宋体" w:hAnsi="宋体" w:cs="宋体"/>
                      <w:color w:val="auto"/>
                      <w:szCs w:val="21"/>
                    </w:rPr>
                  </w:pPr>
                  <w:r>
                    <w:rPr>
                      <w:rFonts w:hint="eastAsia" w:ascii="宋体" w:hAnsi="宋体" w:cs="宋体"/>
                      <w:color w:val="auto"/>
                      <w:szCs w:val="21"/>
                    </w:rPr>
                    <w:t>打印机</w:t>
                  </w:r>
                </w:p>
              </w:tc>
              <w:tc>
                <w:tcPr>
                  <w:tcW w:w="2109" w:type="dxa"/>
                  <w:noWrap/>
                  <w:vAlign w:val="center"/>
                </w:tcPr>
                <w:p w14:paraId="54EC5E87">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AF33351">
                  <w:pPr>
                    <w:widowControl/>
                    <w:jc w:val="center"/>
                    <w:textAlignment w:val="center"/>
                    <w:rPr>
                      <w:rFonts w:hint="eastAsia" w:ascii="宋体" w:hAnsi="宋体" w:cs="宋体"/>
                      <w:color w:val="auto"/>
                      <w:szCs w:val="21"/>
                    </w:rPr>
                  </w:pPr>
                  <w:r>
                    <w:rPr>
                      <w:rFonts w:hint="eastAsia" w:ascii="宋体" w:hAnsi="宋体" w:cs="宋体"/>
                      <w:color w:val="auto"/>
                      <w:szCs w:val="21"/>
                    </w:rPr>
                    <w:t>10</w:t>
                  </w:r>
                </w:p>
              </w:tc>
            </w:tr>
            <w:tr w14:paraId="7DA59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81CDB5C">
                  <w:pPr>
                    <w:widowControl/>
                    <w:jc w:val="center"/>
                    <w:textAlignment w:val="bottom"/>
                    <w:rPr>
                      <w:rFonts w:hint="eastAsia" w:ascii="宋体" w:hAnsi="宋体" w:cs="宋体"/>
                      <w:color w:val="auto"/>
                      <w:szCs w:val="21"/>
                    </w:rPr>
                  </w:pPr>
                </w:p>
              </w:tc>
              <w:tc>
                <w:tcPr>
                  <w:tcW w:w="2979" w:type="dxa"/>
                  <w:noWrap/>
                  <w:vAlign w:val="center"/>
                </w:tcPr>
                <w:p w14:paraId="66184D88">
                  <w:pPr>
                    <w:widowControl/>
                    <w:jc w:val="center"/>
                    <w:textAlignment w:val="center"/>
                    <w:rPr>
                      <w:rFonts w:hint="eastAsia" w:ascii="宋体" w:hAnsi="宋体" w:cs="宋体"/>
                      <w:color w:val="auto"/>
                      <w:szCs w:val="21"/>
                    </w:rPr>
                  </w:pPr>
                  <w:r>
                    <w:rPr>
                      <w:rFonts w:hint="eastAsia" w:ascii="宋体" w:hAnsi="宋体" w:cs="宋体"/>
                      <w:color w:val="auto"/>
                      <w:szCs w:val="21"/>
                    </w:rPr>
                    <w:t>口腔综合治疗机</w:t>
                  </w:r>
                </w:p>
              </w:tc>
              <w:tc>
                <w:tcPr>
                  <w:tcW w:w="2109" w:type="dxa"/>
                  <w:noWrap/>
                  <w:vAlign w:val="center"/>
                </w:tcPr>
                <w:p w14:paraId="4D6356F0">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770B0AAD">
                  <w:pPr>
                    <w:widowControl/>
                    <w:jc w:val="center"/>
                    <w:textAlignment w:val="center"/>
                    <w:rPr>
                      <w:rFonts w:hint="eastAsia" w:ascii="宋体" w:hAnsi="宋体" w:cs="宋体"/>
                      <w:color w:val="auto"/>
                      <w:szCs w:val="21"/>
                    </w:rPr>
                  </w:pPr>
                  <w:r>
                    <w:rPr>
                      <w:rFonts w:hint="eastAsia" w:ascii="宋体" w:hAnsi="宋体" w:cs="宋体"/>
                      <w:color w:val="auto"/>
                      <w:szCs w:val="21"/>
                    </w:rPr>
                    <w:t>5</w:t>
                  </w:r>
                </w:p>
              </w:tc>
            </w:tr>
            <w:tr w14:paraId="4B58F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4E086B6">
                  <w:pPr>
                    <w:widowControl/>
                    <w:jc w:val="center"/>
                    <w:textAlignment w:val="bottom"/>
                    <w:rPr>
                      <w:rFonts w:hint="eastAsia" w:ascii="宋体" w:hAnsi="宋体" w:cs="宋体"/>
                      <w:color w:val="auto"/>
                      <w:szCs w:val="21"/>
                    </w:rPr>
                  </w:pPr>
                </w:p>
              </w:tc>
              <w:tc>
                <w:tcPr>
                  <w:tcW w:w="2979" w:type="dxa"/>
                  <w:noWrap/>
                  <w:vAlign w:val="center"/>
                </w:tcPr>
                <w:p w14:paraId="449CD30D">
                  <w:pPr>
                    <w:widowControl/>
                    <w:jc w:val="center"/>
                    <w:textAlignment w:val="center"/>
                    <w:rPr>
                      <w:rFonts w:hint="eastAsia" w:ascii="宋体" w:hAnsi="宋体" w:cs="宋体"/>
                      <w:color w:val="auto"/>
                      <w:szCs w:val="21"/>
                    </w:rPr>
                  </w:pPr>
                  <w:r>
                    <w:rPr>
                      <w:rFonts w:hint="eastAsia" w:ascii="宋体" w:hAnsi="宋体" w:cs="宋体"/>
                      <w:color w:val="auto"/>
                      <w:szCs w:val="21"/>
                    </w:rPr>
                    <w:t>口腔牙周治疗仪</w:t>
                  </w:r>
                </w:p>
              </w:tc>
              <w:tc>
                <w:tcPr>
                  <w:tcW w:w="2109" w:type="dxa"/>
                  <w:noWrap/>
                  <w:vAlign w:val="center"/>
                </w:tcPr>
                <w:p w14:paraId="4F5978E2">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67F43CE">
                  <w:pPr>
                    <w:widowControl/>
                    <w:jc w:val="center"/>
                    <w:textAlignment w:val="center"/>
                    <w:rPr>
                      <w:rFonts w:hint="eastAsia" w:ascii="宋体" w:hAnsi="宋体" w:cs="宋体"/>
                      <w:color w:val="auto"/>
                      <w:szCs w:val="21"/>
                    </w:rPr>
                  </w:pPr>
                  <w:r>
                    <w:rPr>
                      <w:rFonts w:hint="eastAsia" w:ascii="宋体" w:hAnsi="宋体" w:cs="宋体"/>
                      <w:color w:val="auto"/>
                      <w:szCs w:val="21"/>
                    </w:rPr>
                    <w:t>5</w:t>
                  </w:r>
                </w:p>
              </w:tc>
            </w:tr>
            <w:tr w14:paraId="204BE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2F0F3BCF">
                  <w:pPr>
                    <w:widowControl/>
                    <w:jc w:val="center"/>
                    <w:textAlignment w:val="bottom"/>
                    <w:rPr>
                      <w:rFonts w:hint="eastAsia" w:ascii="宋体" w:hAnsi="宋体" w:cs="宋体"/>
                      <w:color w:val="auto"/>
                      <w:szCs w:val="21"/>
                    </w:rPr>
                  </w:pPr>
                </w:p>
              </w:tc>
              <w:tc>
                <w:tcPr>
                  <w:tcW w:w="2979" w:type="dxa"/>
                  <w:noWrap/>
                  <w:vAlign w:val="center"/>
                </w:tcPr>
                <w:p w14:paraId="76765275">
                  <w:pPr>
                    <w:widowControl/>
                    <w:jc w:val="center"/>
                    <w:textAlignment w:val="center"/>
                    <w:rPr>
                      <w:rFonts w:hint="eastAsia" w:ascii="宋体" w:hAnsi="宋体" w:cs="宋体"/>
                      <w:color w:val="auto"/>
                      <w:szCs w:val="21"/>
                    </w:rPr>
                  </w:pPr>
                  <w:r>
                    <w:rPr>
                      <w:rFonts w:hint="eastAsia" w:ascii="宋体" w:hAnsi="宋体" w:cs="宋体"/>
                      <w:color w:val="auto"/>
                      <w:szCs w:val="21"/>
                    </w:rPr>
                    <w:t>床旁监护仪</w:t>
                  </w:r>
                </w:p>
              </w:tc>
              <w:tc>
                <w:tcPr>
                  <w:tcW w:w="2109" w:type="dxa"/>
                  <w:noWrap/>
                  <w:vAlign w:val="center"/>
                </w:tcPr>
                <w:p w14:paraId="34463FAD">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6059C5A">
                  <w:pPr>
                    <w:widowControl/>
                    <w:jc w:val="center"/>
                    <w:textAlignment w:val="center"/>
                    <w:rPr>
                      <w:rFonts w:hint="eastAsia" w:ascii="宋体" w:hAnsi="宋体" w:cs="宋体"/>
                      <w:color w:val="auto"/>
                      <w:szCs w:val="21"/>
                    </w:rPr>
                  </w:pPr>
                  <w:r>
                    <w:rPr>
                      <w:rFonts w:hint="eastAsia" w:ascii="宋体" w:hAnsi="宋体" w:cs="宋体"/>
                      <w:color w:val="auto"/>
                      <w:szCs w:val="21"/>
                    </w:rPr>
                    <w:t>27</w:t>
                  </w:r>
                </w:p>
              </w:tc>
            </w:tr>
            <w:bookmarkEnd w:id="23"/>
          </w:tbl>
          <w:p w14:paraId="1BE81787">
            <w:pPr>
              <w:numPr>
                <w:ilvl w:val="0"/>
                <w:numId w:val="8"/>
              </w:numPr>
              <w:adjustRightInd w:val="0"/>
              <w:snapToGrid w:val="0"/>
              <w:spacing w:line="360" w:lineRule="auto"/>
              <w:rPr>
                <w:b/>
                <w:bCs/>
                <w:color w:val="auto"/>
                <w:sz w:val="24"/>
              </w:rPr>
            </w:pPr>
            <w:r>
              <w:rPr>
                <w:b/>
                <w:bCs/>
                <w:color w:val="auto"/>
                <w:sz w:val="24"/>
              </w:rPr>
              <w:t>原辅材料及能源消耗</w:t>
            </w:r>
          </w:p>
          <w:p w14:paraId="31DB47F2">
            <w:pPr>
              <w:pStyle w:val="8"/>
              <w:adjustRightInd w:val="0"/>
              <w:spacing w:line="360" w:lineRule="auto"/>
              <w:ind w:firstLine="480"/>
              <w:rPr>
                <w:color w:val="auto"/>
                <w:szCs w:val="24"/>
              </w:rPr>
            </w:pPr>
            <w:r>
              <w:rPr>
                <w:rFonts w:hint="eastAsia"/>
                <w:color w:val="auto"/>
                <w:szCs w:val="24"/>
              </w:rPr>
              <w:t>（1）主要原辅材料</w:t>
            </w:r>
          </w:p>
          <w:p w14:paraId="4463E7B4">
            <w:pPr>
              <w:pStyle w:val="8"/>
              <w:adjustRightInd w:val="0"/>
              <w:spacing w:line="360" w:lineRule="auto"/>
              <w:ind w:firstLine="480"/>
              <w:rPr>
                <w:color w:val="auto"/>
                <w:szCs w:val="24"/>
              </w:rPr>
            </w:pPr>
            <w:r>
              <w:rPr>
                <w:rFonts w:hint="eastAsia"/>
                <w:color w:val="auto"/>
                <w:szCs w:val="24"/>
              </w:rPr>
              <w:t>本</w:t>
            </w:r>
            <w:r>
              <w:rPr>
                <w:color w:val="auto"/>
                <w:szCs w:val="24"/>
              </w:rPr>
              <w:t>项目涉及4个乡镇卫生院</w:t>
            </w:r>
            <w:r>
              <w:rPr>
                <w:rFonts w:hint="eastAsia"/>
                <w:color w:val="auto"/>
                <w:szCs w:val="24"/>
              </w:rPr>
              <w:t>，</w:t>
            </w:r>
            <w:r>
              <w:rPr>
                <w:rFonts w:hint="eastAsia"/>
                <w:color w:val="auto"/>
              </w:rPr>
              <w:t>根据建设单位提供的资料，</w:t>
            </w:r>
            <w:r>
              <w:rPr>
                <w:color w:val="auto"/>
                <w:szCs w:val="24"/>
              </w:rPr>
              <w:t>项目运营期间消耗的原辅材料主要有注射器、输液管、医用棉花、纱布、中药材、氧气等。各原辅材料消耗情况见表</w:t>
            </w:r>
            <w:r>
              <w:rPr>
                <w:rFonts w:hint="eastAsia"/>
                <w:color w:val="auto"/>
                <w:szCs w:val="24"/>
              </w:rPr>
              <w:t>2</w:t>
            </w:r>
            <w:r>
              <w:rPr>
                <w:color w:val="auto"/>
                <w:szCs w:val="24"/>
              </w:rPr>
              <w:t>-</w:t>
            </w:r>
            <w:r>
              <w:rPr>
                <w:rFonts w:hint="eastAsia"/>
                <w:color w:val="auto"/>
                <w:szCs w:val="24"/>
              </w:rPr>
              <w:t>7～表2-10</w:t>
            </w:r>
            <w:r>
              <w:rPr>
                <w:color w:val="auto"/>
                <w:szCs w:val="24"/>
              </w:rPr>
              <w:t>。</w:t>
            </w:r>
          </w:p>
          <w:p w14:paraId="47BCC798">
            <w:pPr>
              <w:jc w:val="center"/>
              <w:rPr>
                <w:rFonts w:hint="eastAsia" w:ascii="宋体" w:hAnsi="宋体" w:cs="宋体"/>
                <w:b/>
                <w:color w:val="auto"/>
                <w:sz w:val="24"/>
              </w:rPr>
            </w:pPr>
            <w:bookmarkStart w:id="24" w:name="_Hlk194485197"/>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7</w:t>
            </w:r>
            <w:r>
              <w:rPr>
                <w:rFonts w:ascii="宋体" w:hAnsi="宋体" w:cs="宋体"/>
                <w:b/>
                <w:color w:val="auto"/>
                <w:sz w:val="24"/>
              </w:rPr>
              <w:t>项目</w:t>
            </w:r>
            <w:r>
              <w:rPr>
                <w:rFonts w:hint="eastAsia" w:ascii="宋体" w:hAnsi="宋体" w:cs="宋体"/>
                <w:b/>
                <w:color w:val="auto"/>
                <w:sz w:val="24"/>
              </w:rPr>
              <w:t>（四街卫生院）主要</w:t>
            </w:r>
            <w:r>
              <w:rPr>
                <w:rFonts w:ascii="宋体" w:hAnsi="宋体" w:cs="宋体"/>
                <w:b/>
                <w:color w:val="auto"/>
                <w:sz w:val="24"/>
              </w:rPr>
              <w:t>原辅材料及能源消耗情况</w:t>
            </w:r>
          </w:p>
          <w:tbl>
            <w:tblPr>
              <w:tblStyle w:val="33"/>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2271"/>
              <w:gridCol w:w="1408"/>
              <w:gridCol w:w="1557"/>
              <w:gridCol w:w="2398"/>
            </w:tblGrid>
            <w:tr w14:paraId="67E0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543" w:type="dxa"/>
                  <w:vAlign w:val="center"/>
                </w:tcPr>
                <w:p w14:paraId="3041FEF1">
                  <w:pPr>
                    <w:jc w:val="center"/>
                    <w:rPr>
                      <w:rFonts w:hint="eastAsia" w:ascii="宋体" w:hAnsi="宋体" w:cs="宋体"/>
                      <w:color w:val="auto"/>
                      <w:szCs w:val="21"/>
                    </w:rPr>
                  </w:pPr>
                  <w:r>
                    <w:rPr>
                      <w:rFonts w:hint="eastAsia" w:ascii="宋体" w:hAnsi="宋体" w:cs="宋体"/>
                      <w:color w:val="auto"/>
                      <w:szCs w:val="21"/>
                    </w:rPr>
                    <w:t>序号</w:t>
                  </w:r>
                </w:p>
              </w:tc>
              <w:tc>
                <w:tcPr>
                  <w:tcW w:w="2271" w:type="dxa"/>
                  <w:vAlign w:val="center"/>
                </w:tcPr>
                <w:p w14:paraId="6EDE2C87">
                  <w:pPr>
                    <w:jc w:val="center"/>
                    <w:rPr>
                      <w:rFonts w:hint="eastAsia" w:ascii="宋体" w:hAnsi="宋体" w:cs="宋体"/>
                      <w:color w:val="auto"/>
                      <w:szCs w:val="21"/>
                    </w:rPr>
                  </w:pPr>
                  <w:r>
                    <w:rPr>
                      <w:rFonts w:hint="eastAsia" w:ascii="宋体" w:hAnsi="宋体" w:cs="宋体"/>
                      <w:color w:val="auto"/>
                      <w:szCs w:val="21"/>
                    </w:rPr>
                    <w:t>医疗用品</w:t>
                  </w:r>
                </w:p>
              </w:tc>
              <w:tc>
                <w:tcPr>
                  <w:tcW w:w="1408" w:type="dxa"/>
                  <w:vAlign w:val="center"/>
                </w:tcPr>
                <w:p w14:paraId="5C5F3419">
                  <w:pPr>
                    <w:jc w:val="center"/>
                    <w:rPr>
                      <w:rFonts w:hint="eastAsia" w:ascii="宋体" w:hAnsi="宋体" w:cs="宋体"/>
                      <w:color w:val="auto"/>
                      <w:szCs w:val="21"/>
                    </w:rPr>
                  </w:pPr>
                  <w:r>
                    <w:rPr>
                      <w:rFonts w:hint="eastAsia" w:ascii="宋体" w:hAnsi="宋体" w:cs="宋体"/>
                      <w:color w:val="auto"/>
                      <w:szCs w:val="21"/>
                    </w:rPr>
                    <w:t>本项目用量</w:t>
                  </w:r>
                </w:p>
              </w:tc>
              <w:tc>
                <w:tcPr>
                  <w:tcW w:w="1557" w:type="dxa"/>
                  <w:vAlign w:val="center"/>
                </w:tcPr>
                <w:p w14:paraId="4B5E8311">
                  <w:pPr>
                    <w:jc w:val="center"/>
                    <w:rPr>
                      <w:rFonts w:hint="eastAsia" w:ascii="宋体" w:hAnsi="宋体" w:cs="宋体"/>
                      <w:color w:val="auto"/>
                      <w:szCs w:val="21"/>
                    </w:rPr>
                  </w:pPr>
                  <w:r>
                    <w:rPr>
                      <w:rFonts w:hint="eastAsia" w:ascii="宋体" w:hAnsi="宋体" w:cs="宋体"/>
                      <w:color w:val="auto"/>
                      <w:szCs w:val="21"/>
                    </w:rPr>
                    <w:t>院内最大存储量</w:t>
                  </w:r>
                </w:p>
              </w:tc>
              <w:tc>
                <w:tcPr>
                  <w:tcW w:w="2398" w:type="dxa"/>
                  <w:vAlign w:val="center"/>
                </w:tcPr>
                <w:p w14:paraId="03D6F0CE">
                  <w:pPr>
                    <w:jc w:val="center"/>
                    <w:rPr>
                      <w:rFonts w:hint="eastAsia" w:ascii="宋体" w:hAnsi="宋体" w:cs="宋体"/>
                      <w:color w:val="auto"/>
                      <w:szCs w:val="21"/>
                    </w:rPr>
                  </w:pPr>
                  <w:r>
                    <w:rPr>
                      <w:rFonts w:hint="eastAsia" w:ascii="宋体" w:hAnsi="宋体" w:cs="宋体"/>
                      <w:color w:val="auto"/>
                      <w:szCs w:val="21"/>
                    </w:rPr>
                    <w:t>备注</w:t>
                  </w:r>
                </w:p>
              </w:tc>
            </w:tr>
            <w:tr w14:paraId="0CBC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blHeader/>
                <w:jc w:val="center"/>
              </w:trPr>
              <w:tc>
                <w:tcPr>
                  <w:tcW w:w="543" w:type="dxa"/>
                  <w:vAlign w:val="center"/>
                </w:tcPr>
                <w:p w14:paraId="3593BCD6">
                  <w:pPr>
                    <w:jc w:val="center"/>
                    <w:rPr>
                      <w:rFonts w:hint="eastAsia" w:ascii="宋体" w:hAnsi="宋体" w:cs="宋体"/>
                      <w:color w:val="auto"/>
                      <w:szCs w:val="21"/>
                    </w:rPr>
                  </w:pPr>
                  <w:r>
                    <w:rPr>
                      <w:rFonts w:hint="eastAsia" w:ascii="宋体" w:hAnsi="宋体" w:cs="宋体"/>
                      <w:color w:val="auto"/>
                      <w:szCs w:val="21"/>
                    </w:rPr>
                    <w:t>一</w:t>
                  </w:r>
                </w:p>
              </w:tc>
              <w:tc>
                <w:tcPr>
                  <w:tcW w:w="7634" w:type="dxa"/>
                  <w:gridSpan w:val="4"/>
                  <w:vAlign w:val="center"/>
                </w:tcPr>
                <w:p w14:paraId="7FC03BA0">
                  <w:pPr>
                    <w:jc w:val="center"/>
                    <w:rPr>
                      <w:rFonts w:hint="eastAsia" w:ascii="宋体" w:hAnsi="宋体" w:cs="宋体"/>
                      <w:color w:val="auto"/>
                      <w:szCs w:val="21"/>
                    </w:rPr>
                  </w:pPr>
                  <w:r>
                    <w:rPr>
                      <w:rFonts w:hint="eastAsia" w:ascii="宋体" w:hAnsi="宋体" w:cs="宋体"/>
                      <w:color w:val="auto"/>
                      <w:szCs w:val="21"/>
                    </w:rPr>
                    <w:t>原辅料</w:t>
                  </w:r>
                </w:p>
              </w:tc>
            </w:tr>
            <w:tr w14:paraId="10F0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43" w:type="dxa"/>
                  <w:vAlign w:val="center"/>
                </w:tcPr>
                <w:p w14:paraId="30CE87F6">
                  <w:pPr>
                    <w:jc w:val="center"/>
                    <w:rPr>
                      <w:rFonts w:hint="eastAsia" w:ascii="宋体" w:hAnsi="宋体" w:cs="宋体"/>
                      <w:color w:val="auto"/>
                      <w:szCs w:val="21"/>
                    </w:rPr>
                  </w:pPr>
                  <w:r>
                    <w:rPr>
                      <w:rFonts w:hint="eastAsia" w:ascii="宋体" w:hAnsi="宋体" w:cs="宋体"/>
                      <w:color w:val="auto"/>
                      <w:szCs w:val="21"/>
                    </w:rPr>
                    <w:t>1</w:t>
                  </w:r>
                </w:p>
              </w:tc>
              <w:tc>
                <w:tcPr>
                  <w:tcW w:w="2271" w:type="dxa"/>
                  <w:vAlign w:val="center"/>
                </w:tcPr>
                <w:p w14:paraId="7E42A475">
                  <w:pPr>
                    <w:jc w:val="center"/>
                    <w:rPr>
                      <w:rFonts w:hint="eastAsia" w:ascii="宋体" w:hAnsi="宋体" w:cs="宋体"/>
                      <w:color w:val="auto"/>
                      <w:szCs w:val="21"/>
                    </w:rPr>
                  </w:pPr>
                  <w:r>
                    <w:rPr>
                      <w:rFonts w:hint="eastAsia" w:ascii="宋体" w:hAnsi="宋体" w:cs="宋体"/>
                      <w:color w:val="auto"/>
                      <w:szCs w:val="21"/>
                    </w:rPr>
                    <w:t>中药材</w:t>
                  </w:r>
                </w:p>
              </w:tc>
              <w:tc>
                <w:tcPr>
                  <w:tcW w:w="1408" w:type="dxa"/>
                  <w:vAlign w:val="center"/>
                </w:tcPr>
                <w:p w14:paraId="5DAC1044">
                  <w:pPr>
                    <w:jc w:val="center"/>
                    <w:rPr>
                      <w:rFonts w:hint="eastAsia" w:ascii="宋体" w:hAnsi="宋体" w:cs="宋体"/>
                      <w:color w:val="auto"/>
                      <w:szCs w:val="21"/>
                    </w:rPr>
                  </w:pPr>
                  <w:r>
                    <w:rPr>
                      <w:rFonts w:hint="eastAsia" w:ascii="宋体" w:hAnsi="宋体" w:cs="宋体"/>
                      <w:color w:val="auto"/>
                      <w:szCs w:val="21"/>
                    </w:rPr>
                    <w:t>0.38t/a</w:t>
                  </w:r>
                </w:p>
              </w:tc>
              <w:tc>
                <w:tcPr>
                  <w:tcW w:w="1557" w:type="dxa"/>
                  <w:vAlign w:val="center"/>
                </w:tcPr>
                <w:p w14:paraId="2CF8F2F8">
                  <w:pPr>
                    <w:jc w:val="center"/>
                    <w:rPr>
                      <w:rFonts w:hint="eastAsia" w:ascii="宋体" w:hAnsi="宋体" w:cs="宋体"/>
                      <w:color w:val="auto"/>
                      <w:szCs w:val="21"/>
                    </w:rPr>
                  </w:pPr>
                  <w:r>
                    <w:rPr>
                      <w:rFonts w:hint="eastAsia" w:ascii="宋体" w:hAnsi="宋体" w:cs="宋体"/>
                      <w:color w:val="auto"/>
                      <w:szCs w:val="21"/>
                    </w:rPr>
                    <w:t>0.1t</w:t>
                  </w:r>
                </w:p>
              </w:tc>
              <w:tc>
                <w:tcPr>
                  <w:tcW w:w="2398" w:type="dxa"/>
                  <w:vAlign w:val="center"/>
                </w:tcPr>
                <w:p w14:paraId="658DEE01">
                  <w:pPr>
                    <w:jc w:val="center"/>
                    <w:rPr>
                      <w:rFonts w:hint="eastAsia" w:ascii="宋体" w:hAnsi="宋体" w:cs="宋体"/>
                      <w:color w:val="auto"/>
                      <w:szCs w:val="21"/>
                    </w:rPr>
                  </w:pPr>
                  <w:r>
                    <w:rPr>
                      <w:rFonts w:hint="eastAsia" w:ascii="宋体" w:hAnsi="宋体" w:cs="宋体"/>
                      <w:color w:val="auto"/>
                      <w:szCs w:val="21"/>
                    </w:rPr>
                    <w:t>代煎中药量为230kg，免煎颗粒药为外购成品颗粒</w:t>
                  </w:r>
                </w:p>
              </w:tc>
            </w:tr>
            <w:tr w14:paraId="07DD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79853A6A">
                  <w:pPr>
                    <w:jc w:val="center"/>
                    <w:rPr>
                      <w:rFonts w:hint="eastAsia" w:ascii="宋体" w:hAnsi="宋体" w:cs="宋体"/>
                      <w:color w:val="auto"/>
                      <w:szCs w:val="21"/>
                    </w:rPr>
                  </w:pPr>
                  <w:r>
                    <w:rPr>
                      <w:rFonts w:hint="eastAsia" w:ascii="宋体" w:hAnsi="宋体" w:cs="宋体"/>
                      <w:color w:val="auto"/>
                      <w:szCs w:val="21"/>
                    </w:rPr>
                    <w:t>2</w:t>
                  </w:r>
                </w:p>
              </w:tc>
              <w:tc>
                <w:tcPr>
                  <w:tcW w:w="2271" w:type="dxa"/>
                  <w:vAlign w:val="center"/>
                </w:tcPr>
                <w:p w14:paraId="071EE97A">
                  <w:pPr>
                    <w:jc w:val="center"/>
                    <w:rPr>
                      <w:rFonts w:hint="eastAsia" w:ascii="宋体" w:hAnsi="宋体" w:cs="宋体"/>
                      <w:color w:val="auto"/>
                      <w:szCs w:val="21"/>
                    </w:rPr>
                  </w:pPr>
                  <w:r>
                    <w:rPr>
                      <w:rFonts w:hint="eastAsia" w:ascii="宋体" w:hAnsi="宋体" w:cs="宋体"/>
                      <w:color w:val="auto"/>
                      <w:szCs w:val="21"/>
                    </w:rPr>
                    <w:t>注射器</w:t>
                  </w:r>
                </w:p>
              </w:tc>
              <w:tc>
                <w:tcPr>
                  <w:tcW w:w="1408" w:type="dxa"/>
                  <w:vAlign w:val="center"/>
                </w:tcPr>
                <w:p w14:paraId="47EF8F43">
                  <w:pPr>
                    <w:jc w:val="center"/>
                    <w:rPr>
                      <w:rFonts w:hint="eastAsia" w:ascii="宋体" w:hAnsi="宋体" w:cs="宋体"/>
                      <w:color w:val="auto"/>
                      <w:szCs w:val="21"/>
                    </w:rPr>
                  </w:pPr>
                  <w:r>
                    <w:rPr>
                      <w:rFonts w:hint="eastAsia" w:ascii="宋体" w:hAnsi="宋体" w:cs="宋体"/>
                      <w:color w:val="auto"/>
                      <w:szCs w:val="21"/>
                    </w:rPr>
                    <w:t>19675个/a</w:t>
                  </w:r>
                </w:p>
              </w:tc>
              <w:tc>
                <w:tcPr>
                  <w:tcW w:w="1557" w:type="dxa"/>
                  <w:vAlign w:val="center"/>
                </w:tcPr>
                <w:p w14:paraId="4C57E20B">
                  <w:pPr>
                    <w:jc w:val="center"/>
                    <w:rPr>
                      <w:rFonts w:hint="eastAsia" w:ascii="宋体" w:hAnsi="宋体" w:cs="宋体"/>
                      <w:color w:val="auto"/>
                      <w:szCs w:val="21"/>
                    </w:rPr>
                  </w:pPr>
                  <w:r>
                    <w:rPr>
                      <w:rFonts w:hint="eastAsia" w:ascii="宋体" w:hAnsi="宋体" w:cs="宋体"/>
                      <w:color w:val="auto"/>
                      <w:szCs w:val="21"/>
                    </w:rPr>
                    <w:t>500个</w:t>
                  </w:r>
                </w:p>
              </w:tc>
              <w:tc>
                <w:tcPr>
                  <w:tcW w:w="2398" w:type="dxa"/>
                  <w:vAlign w:val="center"/>
                </w:tcPr>
                <w:p w14:paraId="62879EA1">
                  <w:pPr>
                    <w:jc w:val="center"/>
                    <w:rPr>
                      <w:rFonts w:hint="eastAsia" w:ascii="宋体" w:hAnsi="宋体" w:cs="宋体"/>
                      <w:color w:val="auto"/>
                      <w:szCs w:val="21"/>
                    </w:rPr>
                  </w:pPr>
                  <w:r>
                    <w:rPr>
                      <w:rFonts w:hint="eastAsia" w:ascii="宋体" w:hAnsi="宋体" w:cs="宋体"/>
                      <w:color w:val="auto"/>
                      <w:szCs w:val="21"/>
                    </w:rPr>
                    <w:t>/</w:t>
                  </w:r>
                </w:p>
              </w:tc>
            </w:tr>
            <w:tr w14:paraId="3C79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5523CCE6">
                  <w:pPr>
                    <w:jc w:val="center"/>
                    <w:rPr>
                      <w:rFonts w:hint="eastAsia" w:ascii="宋体" w:hAnsi="宋体" w:cs="宋体"/>
                      <w:color w:val="auto"/>
                      <w:szCs w:val="21"/>
                    </w:rPr>
                  </w:pPr>
                  <w:r>
                    <w:rPr>
                      <w:rFonts w:hint="eastAsia" w:ascii="宋体" w:hAnsi="宋体" w:cs="宋体"/>
                      <w:color w:val="auto"/>
                      <w:szCs w:val="21"/>
                    </w:rPr>
                    <w:t>3</w:t>
                  </w:r>
                </w:p>
              </w:tc>
              <w:tc>
                <w:tcPr>
                  <w:tcW w:w="2271" w:type="dxa"/>
                  <w:vAlign w:val="center"/>
                </w:tcPr>
                <w:p w14:paraId="597879C1">
                  <w:pPr>
                    <w:jc w:val="center"/>
                    <w:rPr>
                      <w:rFonts w:hint="eastAsia" w:ascii="宋体" w:hAnsi="宋体" w:cs="宋体"/>
                      <w:color w:val="auto"/>
                      <w:szCs w:val="21"/>
                    </w:rPr>
                  </w:pPr>
                  <w:r>
                    <w:rPr>
                      <w:rFonts w:hint="eastAsia" w:ascii="宋体" w:hAnsi="宋体" w:cs="宋体"/>
                      <w:color w:val="auto"/>
                      <w:szCs w:val="21"/>
                    </w:rPr>
                    <w:t>输液管</w:t>
                  </w:r>
                </w:p>
              </w:tc>
              <w:tc>
                <w:tcPr>
                  <w:tcW w:w="1408" w:type="dxa"/>
                  <w:vAlign w:val="center"/>
                </w:tcPr>
                <w:p w14:paraId="7DE3D805">
                  <w:pPr>
                    <w:jc w:val="center"/>
                    <w:rPr>
                      <w:rFonts w:hint="eastAsia" w:ascii="宋体" w:hAnsi="宋体" w:cs="宋体"/>
                      <w:color w:val="auto"/>
                      <w:szCs w:val="21"/>
                    </w:rPr>
                  </w:pPr>
                  <w:r>
                    <w:rPr>
                      <w:rFonts w:hint="eastAsia" w:ascii="宋体" w:hAnsi="宋体" w:cs="宋体"/>
                      <w:color w:val="auto"/>
                      <w:szCs w:val="21"/>
                    </w:rPr>
                    <w:t>38350套/a</w:t>
                  </w:r>
                </w:p>
              </w:tc>
              <w:tc>
                <w:tcPr>
                  <w:tcW w:w="1557" w:type="dxa"/>
                  <w:vAlign w:val="center"/>
                </w:tcPr>
                <w:p w14:paraId="28E34223">
                  <w:pPr>
                    <w:jc w:val="center"/>
                    <w:rPr>
                      <w:rFonts w:hint="eastAsia" w:ascii="宋体" w:hAnsi="宋体" w:cs="宋体"/>
                      <w:color w:val="auto"/>
                      <w:szCs w:val="21"/>
                    </w:rPr>
                  </w:pPr>
                  <w:r>
                    <w:rPr>
                      <w:rFonts w:hint="eastAsia" w:ascii="宋体" w:hAnsi="宋体" w:cs="宋体"/>
                      <w:color w:val="auto"/>
                      <w:szCs w:val="21"/>
                    </w:rPr>
                    <w:t>1000套</w:t>
                  </w:r>
                </w:p>
              </w:tc>
              <w:tc>
                <w:tcPr>
                  <w:tcW w:w="2398" w:type="dxa"/>
                  <w:vAlign w:val="center"/>
                </w:tcPr>
                <w:p w14:paraId="316CF82E">
                  <w:pPr>
                    <w:jc w:val="center"/>
                    <w:rPr>
                      <w:rFonts w:hint="eastAsia" w:ascii="宋体" w:hAnsi="宋体" w:cs="宋体"/>
                      <w:color w:val="auto"/>
                      <w:szCs w:val="21"/>
                    </w:rPr>
                  </w:pPr>
                  <w:r>
                    <w:rPr>
                      <w:rFonts w:hint="eastAsia" w:ascii="宋体" w:hAnsi="宋体" w:cs="宋体"/>
                      <w:color w:val="auto"/>
                      <w:szCs w:val="21"/>
                    </w:rPr>
                    <w:t>/</w:t>
                  </w:r>
                </w:p>
              </w:tc>
            </w:tr>
            <w:tr w14:paraId="4E55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284B5ADB">
                  <w:pPr>
                    <w:jc w:val="center"/>
                    <w:rPr>
                      <w:rFonts w:hint="eastAsia" w:ascii="宋体" w:hAnsi="宋体" w:cs="宋体"/>
                      <w:color w:val="auto"/>
                      <w:szCs w:val="21"/>
                    </w:rPr>
                  </w:pPr>
                  <w:r>
                    <w:rPr>
                      <w:rFonts w:hint="eastAsia" w:ascii="宋体" w:hAnsi="宋体" w:cs="宋体"/>
                      <w:color w:val="auto"/>
                      <w:szCs w:val="21"/>
                    </w:rPr>
                    <w:t>4</w:t>
                  </w:r>
                </w:p>
              </w:tc>
              <w:tc>
                <w:tcPr>
                  <w:tcW w:w="2271" w:type="dxa"/>
                  <w:vAlign w:val="center"/>
                </w:tcPr>
                <w:p w14:paraId="6DE940FF">
                  <w:pPr>
                    <w:jc w:val="center"/>
                    <w:rPr>
                      <w:rFonts w:hint="eastAsia" w:ascii="宋体" w:hAnsi="宋体" w:cs="宋体"/>
                      <w:color w:val="auto"/>
                      <w:szCs w:val="21"/>
                    </w:rPr>
                  </w:pPr>
                  <w:r>
                    <w:rPr>
                      <w:rFonts w:hint="eastAsia" w:ascii="宋体" w:hAnsi="宋体" w:cs="宋体"/>
                      <w:color w:val="auto"/>
                      <w:szCs w:val="21"/>
                    </w:rPr>
                    <w:t>医用棉签</w:t>
                  </w:r>
                </w:p>
              </w:tc>
              <w:tc>
                <w:tcPr>
                  <w:tcW w:w="1408" w:type="dxa"/>
                  <w:vAlign w:val="center"/>
                </w:tcPr>
                <w:p w14:paraId="286F74BE">
                  <w:pPr>
                    <w:jc w:val="center"/>
                    <w:rPr>
                      <w:rFonts w:hint="eastAsia" w:ascii="宋体" w:hAnsi="宋体" w:cs="宋体"/>
                      <w:color w:val="auto"/>
                      <w:szCs w:val="21"/>
                    </w:rPr>
                  </w:pPr>
                  <w:r>
                    <w:rPr>
                      <w:rFonts w:hint="eastAsia" w:ascii="宋体" w:hAnsi="宋体" w:cs="宋体"/>
                      <w:color w:val="auto"/>
                      <w:szCs w:val="21"/>
                    </w:rPr>
                    <w:t>110包/a</w:t>
                  </w:r>
                </w:p>
              </w:tc>
              <w:tc>
                <w:tcPr>
                  <w:tcW w:w="1557" w:type="dxa"/>
                  <w:vAlign w:val="center"/>
                </w:tcPr>
                <w:p w14:paraId="56DE6B79">
                  <w:pPr>
                    <w:jc w:val="center"/>
                    <w:rPr>
                      <w:rFonts w:hint="eastAsia" w:ascii="宋体" w:hAnsi="宋体" w:cs="宋体"/>
                      <w:color w:val="auto"/>
                      <w:szCs w:val="21"/>
                    </w:rPr>
                  </w:pPr>
                  <w:r>
                    <w:rPr>
                      <w:rFonts w:hint="eastAsia" w:ascii="宋体" w:hAnsi="宋体" w:cs="宋体"/>
                      <w:color w:val="auto"/>
                      <w:szCs w:val="21"/>
                    </w:rPr>
                    <w:t>50包</w:t>
                  </w:r>
                </w:p>
              </w:tc>
              <w:tc>
                <w:tcPr>
                  <w:tcW w:w="2398" w:type="dxa"/>
                  <w:vAlign w:val="center"/>
                </w:tcPr>
                <w:p w14:paraId="2DCDE19E">
                  <w:pPr>
                    <w:jc w:val="center"/>
                    <w:rPr>
                      <w:rFonts w:hint="eastAsia" w:ascii="宋体" w:hAnsi="宋体" w:cs="宋体"/>
                      <w:color w:val="auto"/>
                      <w:szCs w:val="21"/>
                    </w:rPr>
                  </w:pPr>
                  <w:r>
                    <w:rPr>
                      <w:rFonts w:hint="eastAsia" w:ascii="宋体" w:hAnsi="宋体" w:cs="宋体"/>
                      <w:color w:val="auto"/>
                      <w:szCs w:val="21"/>
                    </w:rPr>
                    <w:t>/</w:t>
                  </w:r>
                </w:p>
              </w:tc>
            </w:tr>
            <w:tr w14:paraId="62EA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34399719">
                  <w:pPr>
                    <w:jc w:val="center"/>
                    <w:rPr>
                      <w:rFonts w:hint="eastAsia" w:ascii="宋体" w:hAnsi="宋体" w:cs="宋体"/>
                      <w:color w:val="auto"/>
                      <w:szCs w:val="21"/>
                    </w:rPr>
                  </w:pPr>
                  <w:r>
                    <w:rPr>
                      <w:rFonts w:hint="eastAsia" w:ascii="宋体" w:hAnsi="宋体" w:cs="宋体"/>
                      <w:color w:val="auto"/>
                      <w:szCs w:val="21"/>
                    </w:rPr>
                    <w:t>5</w:t>
                  </w:r>
                </w:p>
              </w:tc>
              <w:tc>
                <w:tcPr>
                  <w:tcW w:w="2271" w:type="dxa"/>
                  <w:vAlign w:val="center"/>
                </w:tcPr>
                <w:p w14:paraId="2066640A">
                  <w:pPr>
                    <w:jc w:val="center"/>
                    <w:rPr>
                      <w:rFonts w:hint="eastAsia" w:ascii="宋体" w:hAnsi="宋体" w:cs="宋体"/>
                      <w:color w:val="auto"/>
                      <w:szCs w:val="21"/>
                    </w:rPr>
                  </w:pPr>
                  <w:r>
                    <w:rPr>
                      <w:rFonts w:hint="eastAsia" w:ascii="宋体" w:hAnsi="宋体" w:cs="宋体"/>
                      <w:color w:val="auto"/>
                      <w:szCs w:val="21"/>
                    </w:rPr>
                    <w:t>纱布</w:t>
                  </w:r>
                </w:p>
              </w:tc>
              <w:tc>
                <w:tcPr>
                  <w:tcW w:w="1408" w:type="dxa"/>
                  <w:vAlign w:val="center"/>
                </w:tcPr>
                <w:p w14:paraId="131891D4">
                  <w:pPr>
                    <w:jc w:val="center"/>
                    <w:rPr>
                      <w:rFonts w:hint="eastAsia" w:ascii="宋体" w:hAnsi="宋体" w:cs="宋体"/>
                      <w:color w:val="auto"/>
                      <w:szCs w:val="21"/>
                    </w:rPr>
                  </w:pPr>
                  <w:r>
                    <w:rPr>
                      <w:rFonts w:hint="eastAsia" w:ascii="宋体" w:hAnsi="宋体" w:cs="宋体"/>
                      <w:color w:val="auto"/>
                      <w:szCs w:val="21"/>
                    </w:rPr>
                    <w:t>294包/a</w:t>
                  </w:r>
                </w:p>
              </w:tc>
              <w:tc>
                <w:tcPr>
                  <w:tcW w:w="1557" w:type="dxa"/>
                  <w:vAlign w:val="center"/>
                </w:tcPr>
                <w:p w14:paraId="309F1C5A">
                  <w:pPr>
                    <w:jc w:val="center"/>
                    <w:rPr>
                      <w:rFonts w:hint="eastAsia" w:ascii="宋体" w:hAnsi="宋体" w:cs="宋体"/>
                      <w:color w:val="auto"/>
                      <w:szCs w:val="21"/>
                    </w:rPr>
                  </w:pPr>
                  <w:r>
                    <w:rPr>
                      <w:rFonts w:hint="eastAsia" w:ascii="宋体" w:hAnsi="宋体" w:cs="宋体"/>
                      <w:color w:val="auto"/>
                      <w:szCs w:val="21"/>
                    </w:rPr>
                    <w:t>20包</w:t>
                  </w:r>
                </w:p>
              </w:tc>
              <w:tc>
                <w:tcPr>
                  <w:tcW w:w="2398" w:type="dxa"/>
                  <w:vAlign w:val="center"/>
                </w:tcPr>
                <w:p w14:paraId="630F7439">
                  <w:pPr>
                    <w:jc w:val="center"/>
                    <w:rPr>
                      <w:rFonts w:hint="eastAsia" w:ascii="宋体" w:hAnsi="宋体" w:cs="宋体"/>
                      <w:color w:val="auto"/>
                      <w:szCs w:val="21"/>
                    </w:rPr>
                  </w:pPr>
                  <w:r>
                    <w:rPr>
                      <w:rFonts w:hint="eastAsia" w:ascii="宋体" w:hAnsi="宋体" w:cs="宋体"/>
                      <w:color w:val="auto"/>
                      <w:szCs w:val="21"/>
                    </w:rPr>
                    <w:t>/</w:t>
                  </w:r>
                </w:p>
              </w:tc>
            </w:tr>
            <w:tr w14:paraId="784C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43" w:type="dxa"/>
                  <w:vAlign w:val="center"/>
                </w:tcPr>
                <w:p w14:paraId="5B0F2E52">
                  <w:pPr>
                    <w:jc w:val="center"/>
                    <w:rPr>
                      <w:rFonts w:hint="eastAsia" w:ascii="宋体" w:hAnsi="宋体" w:cs="宋体"/>
                      <w:color w:val="auto"/>
                      <w:szCs w:val="21"/>
                    </w:rPr>
                  </w:pPr>
                  <w:r>
                    <w:rPr>
                      <w:rFonts w:hint="eastAsia" w:ascii="宋体" w:hAnsi="宋体" w:cs="宋体"/>
                      <w:color w:val="auto"/>
                      <w:szCs w:val="21"/>
                    </w:rPr>
                    <w:t>6</w:t>
                  </w:r>
                </w:p>
              </w:tc>
              <w:tc>
                <w:tcPr>
                  <w:tcW w:w="2271" w:type="dxa"/>
                  <w:vAlign w:val="center"/>
                </w:tcPr>
                <w:p w14:paraId="7070F98B">
                  <w:pPr>
                    <w:jc w:val="center"/>
                    <w:rPr>
                      <w:rFonts w:hint="eastAsia" w:ascii="宋体" w:hAnsi="宋体" w:cs="宋体"/>
                      <w:color w:val="auto"/>
                      <w:szCs w:val="21"/>
                    </w:rPr>
                  </w:pPr>
                  <w:r>
                    <w:rPr>
                      <w:rFonts w:hint="eastAsia" w:ascii="宋体" w:hAnsi="宋体" w:cs="宋体"/>
                      <w:color w:val="auto"/>
                      <w:szCs w:val="21"/>
                    </w:rPr>
                    <w:t>乙醇</w:t>
                  </w:r>
                </w:p>
              </w:tc>
              <w:tc>
                <w:tcPr>
                  <w:tcW w:w="1408" w:type="dxa"/>
                  <w:vAlign w:val="center"/>
                </w:tcPr>
                <w:p w14:paraId="39225011">
                  <w:pPr>
                    <w:jc w:val="center"/>
                    <w:rPr>
                      <w:rFonts w:hint="eastAsia" w:ascii="宋体" w:hAnsi="宋体" w:cs="宋体"/>
                      <w:color w:val="auto"/>
                      <w:szCs w:val="21"/>
                    </w:rPr>
                  </w:pPr>
                  <w:r>
                    <w:rPr>
                      <w:rFonts w:hint="eastAsia" w:ascii="宋体" w:hAnsi="宋体" w:cs="宋体"/>
                      <w:color w:val="auto"/>
                      <w:szCs w:val="21"/>
                    </w:rPr>
                    <w:t>0.06t/a</w:t>
                  </w:r>
                </w:p>
              </w:tc>
              <w:tc>
                <w:tcPr>
                  <w:tcW w:w="1557" w:type="dxa"/>
                  <w:vAlign w:val="center"/>
                </w:tcPr>
                <w:p w14:paraId="74667EB4">
                  <w:pPr>
                    <w:jc w:val="center"/>
                    <w:rPr>
                      <w:rFonts w:hint="eastAsia" w:ascii="宋体" w:hAnsi="宋体" w:cs="宋体"/>
                      <w:color w:val="auto"/>
                      <w:szCs w:val="21"/>
                    </w:rPr>
                  </w:pPr>
                  <w:r>
                    <w:rPr>
                      <w:rFonts w:hint="eastAsia" w:ascii="宋体" w:hAnsi="宋体" w:cs="宋体"/>
                      <w:color w:val="auto"/>
                      <w:szCs w:val="21"/>
                    </w:rPr>
                    <w:t>0.02t</w:t>
                  </w:r>
                </w:p>
              </w:tc>
              <w:tc>
                <w:tcPr>
                  <w:tcW w:w="2398" w:type="dxa"/>
                  <w:vAlign w:val="center"/>
                </w:tcPr>
                <w:p w14:paraId="1B17BA20">
                  <w:pPr>
                    <w:jc w:val="center"/>
                    <w:rPr>
                      <w:rFonts w:hint="eastAsia" w:ascii="宋体" w:hAnsi="宋体" w:cs="宋体"/>
                      <w:color w:val="auto"/>
                      <w:szCs w:val="21"/>
                    </w:rPr>
                  </w:pPr>
                  <w:r>
                    <w:rPr>
                      <w:rFonts w:hint="eastAsia" w:ascii="宋体" w:hAnsi="宋体" w:cs="宋体"/>
                      <w:color w:val="auto"/>
                      <w:szCs w:val="21"/>
                    </w:rPr>
                    <w:t>/</w:t>
                  </w:r>
                </w:p>
              </w:tc>
            </w:tr>
            <w:tr w14:paraId="26F8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3" w:type="dxa"/>
                  <w:vAlign w:val="center"/>
                </w:tcPr>
                <w:p w14:paraId="1C46C0F1">
                  <w:pPr>
                    <w:jc w:val="center"/>
                    <w:rPr>
                      <w:rFonts w:hint="eastAsia" w:ascii="宋体" w:hAnsi="宋体" w:cs="宋体"/>
                      <w:color w:val="auto"/>
                      <w:szCs w:val="21"/>
                    </w:rPr>
                  </w:pPr>
                  <w:r>
                    <w:rPr>
                      <w:rFonts w:hint="eastAsia" w:ascii="宋体" w:hAnsi="宋体" w:cs="宋体"/>
                      <w:color w:val="auto"/>
                      <w:szCs w:val="21"/>
                    </w:rPr>
                    <w:t>7</w:t>
                  </w:r>
                </w:p>
              </w:tc>
              <w:tc>
                <w:tcPr>
                  <w:tcW w:w="2271" w:type="dxa"/>
                  <w:vAlign w:val="center"/>
                </w:tcPr>
                <w:p w14:paraId="6164AEB2">
                  <w:pPr>
                    <w:jc w:val="center"/>
                    <w:rPr>
                      <w:rFonts w:hint="eastAsia" w:ascii="宋体" w:hAnsi="宋体" w:cs="宋体"/>
                      <w:color w:val="auto"/>
                      <w:szCs w:val="21"/>
                    </w:rPr>
                  </w:pPr>
                  <w:r>
                    <w:rPr>
                      <w:rFonts w:hint="eastAsia" w:ascii="宋体" w:hAnsi="宋体" w:cs="宋体"/>
                      <w:color w:val="auto"/>
                      <w:szCs w:val="21"/>
                    </w:rPr>
                    <w:t>氧气</w:t>
                  </w:r>
                </w:p>
              </w:tc>
              <w:tc>
                <w:tcPr>
                  <w:tcW w:w="1408" w:type="dxa"/>
                  <w:vAlign w:val="center"/>
                </w:tcPr>
                <w:p w14:paraId="6E8ED800">
                  <w:pPr>
                    <w:jc w:val="center"/>
                    <w:rPr>
                      <w:rFonts w:hint="eastAsia" w:ascii="宋体" w:hAnsi="宋体" w:cs="宋体"/>
                      <w:color w:val="auto"/>
                      <w:szCs w:val="21"/>
                    </w:rPr>
                  </w:pPr>
                  <w:r>
                    <w:rPr>
                      <w:rFonts w:hint="eastAsia"/>
                      <w:color w:val="auto"/>
                      <w:szCs w:val="21"/>
                    </w:rPr>
                    <w:t>5.4</w:t>
                  </w:r>
                  <w:r>
                    <w:rPr>
                      <w:rFonts w:hint="eastAsia" w:ascii="宋体" w:hAnsi="宋体" w:cs="宋体"/>
                      <w:color w:val="auto"/>
                      <w:szCs w:val="21"/>
                    </w:rPr>
                    <w:t>t/a</w:t>
                  </w:r>
                </w:p>
              </w:tc>
              <w:tc>
                <w:tcPr>
                  <w:tcW w:w="1557" w:type="dxa"/>
                  <w:vAlign w:val="center"/>
                </w:tcPr>
                <w:p w14:paraId="79016312">
                  <w:pPr>
                    <w:jc w:val="center"/>
                    <w:rPr>
                      <w:rFonts w:hint="eastAsia" w:ascii="宋体" w:hAnsi="宋体" w:cs="宋体"/>
                      <w:color w:val="auto"/>
                      <w:szCs w:val="21"/>
                    </w:rPr>
                  </w:pPr>
                  <w:r>
                    <w:rPr>
                      <w:rFonts w:hint="eastAsia"/>
                      <w:color w:val="auto"/>
                      <w:szCs w:val="21"/>
                    </w:rPr>
                    <w:t>1.35</w:t>
                  </w:r>
                  <w:r>
                    <w:rPr>
                      <w:rFonts w:hint="eastAsia" w:ascii="宋体" w:hAnsi="宋体" w:cs="宋体"/>
                      <w:color w:val="auto"/>
                      <w:szCs w:val="21"/>
                    </w:rPr>
                    <w:t>t/a</w:t>
                  </w:r>
                </w:p>
              </w:tc>
              <w:tc>
                <w:tcPr>
                  <w:tcW w:w="2398" w:type="dxa"/>
                  <w:vAlign w:val="center"/>
                </w:tcPr>
                <w:p w14:paraId="4542991B">
                  <w:pPr>
                    <w:jc w:val="center"/>
                    <w:rPr>
                      <w:rFonts w:hint="eastAsia" w:ascii="宋体" w:hAnsi="宋体" w:cs="宋体"/>
                      <w:color w:val="auto"/>
                      <w:szCs w:val="21"/>
                    </w:rPr>
                  </w:pPr>
                  <w:r>
                    <w:rPr>
                      <w:rFonts w:hint="eastAsia" w:ascii="宋体" w:hAnsi="宋体" w:cs="宋体"/>
                      <w:color w:val="auto"/>
                      <w:szCs w:val="21"/>
                    </w:rPr>
                    <w:t>/</w:t>
                  </w:r>
                </w:p>
              </w:tc>
            </w:tr>
            <w:tr w14:paraId="4B46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43" w:type="dxa"/>
                  <w:vAlign w:val="center"/>
                </w:tcPr>
                <w:p w14:paraId="28322533">
                  <w:pPr>
                    <w:jc w:val="center"/>
                    <w:rPr>
                      <w:rFonts w:hint="eastAsia" w:ascii="宋体" w:hAnsi="宋体" w:cs="宋体"/>
                      <w:color w:val="auto"/>
                      <w:szCs w:val="21"/>
                    </w:rPr>
                  </w:pPr>
                  <w:r>
                    <w:rPr>
                      <w:rFonts w:hint="eastAsia" w:ascii="宋体" w:hAnsi="宋体" w:cs="宋体"/>
                      <w:color w:val="auto"/>
                      <w:szCs w:val="21"/>
                    </w:rPr>
                    <w:t>8</w:t>
                  </w:r>
                </w:p>
              </w:tc>
              <w:tc>
                <w:tcPr>
                  <w:tcW w:w="2271" w:type="dxa"/>
                  <w:vAlign w:val="center"/>
                </w:tcPr>
                <w:p w14:paraId="26C9D931">
                  <w:pPr>
                    <w:jc w:val="center"/>
                    <w:rPr>
                      <w:rFonts w:hint="eastAsia" w:ascii="宋体" w:hAnsi="宋体" w:cs="宋体"/>
                      <w:color w:val="auto"/>
                      <w:szCs w:val="21"/>
                    </w:rPr>
                  </w:pPr>
                  <w:r>
                    <w:rPr>
                      <w:rFonts w:hint="eastAsia"/>
                      <w:color w:val="auto"/>
                      <w:szCs w:val="21"/>
                    </w:rPr>
                    <w:t>二氧化氯</w:t>
                  </w:r>
                </w:p>
              </w:tc>
              <w:tc>
                <w:tcPr>
                  <w:tcW w:w="1408" w:type="dxa"/>
                  <w:vAlign w:val="center"/>
                </w:tcPr>
                <w:p w14:paraId="289DE11A">
                  <w:pPr>
                    <w:jc w:val="center"/>
                    <w:rPr>
                      <w:rFonts w:hint="eastAsia" w:ascii="宋体" w:hAnsi="宋体" w:cs="宋体"/>
                      <w:color w:val="auto"/>
                      <w:szCs w:val="21"/>
                    </w:rPr>
                  </w:pPr>
                  <w:r>
                    <w:rPr>
                      <w:rFonts w:hint="eastAsia" w:ascii="宋体" w:hAnsi="宋体" w:cs="宋体"/>
                      <w:color w:val="auto"/>
                      <w:szCs w:val="21"/>
                    </w:rPr>
                    <w:t>0.6t/a</w:t>
                  </w:r>
                </w:p>
              </w:tc>
              <w:tc>
                <w:tcPr>
                  <w:tcW w:w="1557" w:type="dxa"/>
                  <w:vAlign w:val="center"/>
                </w:tcPr>
                <w:p w14:paraId="4BD1740B">
                  <w:pPr>
                    <w:jc w:val="center"/>
                    <w:rPr>
                      <w:rFonts w:hint="eastAsia" w:ascii="宋体" w:hAnsi="宋体" w:cs="宋体"/>
                      <w:color w:val="auto"/>
                      <w:szCs w:val="21"/>
                    </w:rPr>
                  </w:pPr>
                  <w:r>
                    <w:rPr>
                      <w:rFonts w:hint="eastAsia"/>
                      <w:color w:val="auto"/>
                      <w:szCs w:val="21"/>
                    </w:rPr>
                    <w:t>0.2</w:t>
                  </w:r>
                  <w:r>
                    <w:rPr>
                      <w:rFonts w:hint="eastAsia" w:ascii="宋体" w:hAnsi="宋体" w:cs="宋体"/>
                      <w:color w:val="auto"/>
                      <w:szCs w:val="21"/>
                    </w:rPr>
                    <w:t>t/a</w:t>
                  </w:r>
                </w:p>
              </w:tc>
              <w:tc>
                <w:tcPr>
                  <w:tcW w:w="2398" w:type="dxa"/>
                  <w:vAlign w:val="center"/>
                </w:tcPr>
                <w:p w14:paraId="3D5D9C6B">
                  <w:pPr>
                    <w:jc w:val="center"/>
                    <w:rPr>
                      <w:rFonts w:hint="eastAsia" w:ascii="宋体" w:hAnsi="宋体" w:cs="宋体"/>
                      <w:color w:val="auto"/>
                      <w:szCs w:val="21"/>
                    </w:rPr>
                  </w:pPr>
                  <w:r>
                    <w:rPr>
                      <w:rFonts w:hint="eastAsia" w:ascii="宋体" w:hAnsi="宋体" w:cs="宋体"/>
                      <w:color w:val="auto"/>
                      <w:szCs w:val="21"/>
                    </w:rPr>
                    <w:t>/</w:t>
                  </w:r>
                </w:p>
              </w:tc>
            </w:tr>
            <w:tr w14:paraId="63B0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6BBE3AB8">
                  <w:pPr>
                    <w:jc w:val="center"/>
                    <w:rPr>
                      <w:rFonts w:hint="eastAsia" w:ascii="宋体" w:hAnsi="宋体" w:cs="宋体"/>
                      <w:color w:val="auto"/>
                      <w:szCs w:val="21"/>
                    </w:rPr>
                  </w:pPr>
                  <w:r>
                    <w:rPr>
                      <w:rFonts w:hint="eastAsia" w:ascii="宋体" w:hAnsi="宋体" w:cs="宋体"/>
                      <w:color w:val="auto"/>
                      <w:szCs w:val="21"/>
                    </w:rPr>
                    <w:t>9</w:t>
                  </w:r>
                </w:p>
              </w:tc>
              <w:tc>
                <w:tcPr>
                  <w:tcW w:w="2271" w:type="dxa"/>
                  <w:vAlign w:val="center"/>
                </w:tcPr>
                <w:p w14:paraId="7BDF9AB4">
                  <w:pPr>
                    <w:jc w:val="center"/>
                    <w:rPr>
                      <w:rFonts w:hint="eastAsia" w:ascii="宋体" w:hAnsi="宋体" w:cs="宋体"/>
                      <w:color w:val="auto"/>
                      <w:szCs w:val="21"/>
                    </w:rPr>
                  </w:pPr>
                  <w:r>
                    <w:rPr>
                      <w:rFonts w:hint="eastAsia" w:ascii="宋体" w:hAnsi="宋体" w:cs="宋体"/>
                      <w:color w:val="auto"/>
                      <w:szCs w:val="21"/>
                    </w:rPr>
                    <w:t>除臭剂</w:t>
                  </w:r>
                </w:p>
              </w:tc>
              <w:tc>
                <w:tcPr>
                  <w:tcW w:w="1408" w:type="dxa"/>
                  <w:vAlign w:val="center"/>
                </w:tcPr>
                <w:p w14:paraId="4C3EE0F4">
                  <w:pPr>
                    <w:jc w:val="center"/>
                    <w:rPr>
                      <w:color w:val="auto"/>
                      <w:szCs w:val="21"/>
                    </w:rPr>
                  </w:pPr>
                  <w:r>
                    <w:rPr>
                      <w:rFonts w:hint="eastAsia"/>
                      <w:color w:val="auto"/>
                      <w:szCs w:val="21"/>
                    </w:rPr>
                    <w:t>0.1</w:t>
                  </w:r>
                  <w:r>
                    <w:rPr>
                      <w:rFonts w:hint="eastAsia" w:ascii="宋体" w:hAnsi="宋体" w:cs="宋体"/>
                      <w:color w:val="auto"/>
                      <w:szCs w:val="21"/>
                    </w:rPr>
                    <w:t>t/a</w:t>
                  </w:r>
                </w:p>
              </w:tc>
              <w:tc>
                <w:tcPr>
                  <w:tcW w:w="1557" w:type="dxa"/>
                  <w:vAlign w:val="center"/>
                </w:tcPr>
                <w:p w14:paraId="2348CA55">
                  <w:pPr>
                    <w:jc w:val="center"/>
                    <w:rPr>
                      <w:rFonts w:hint="eastAsia" w:ascii="宋体" w:hAnsi="宋体" w:cs="宋体"/>
                      <w:color w:val="auto"/>
                      <w:szCs w:val="21"/>
                    </w:rPr>
                  </w:pPr>
                  <w:r>
                    <w:rPr>
                      <w:rFonts w:hint="eastAsia" w:ascii="宋体" w:hAnsi="宋体" w:cs="宋体"/>
                      <w:color w:val="auto"/>
                      <w:szCs w:val="21"/>
                    </w:rPr>
                    <w:t>0.05t</w:t>
                  </w:r>
                </w:p>
              </w:tc>
              <w:tc>
                <w:tcPr>
                  <w:tcW w:w="2398" w:type="dxa"/>
                  <w:vAlign w:val="center"/>
                </w:tcPr>
                <w:p w14:paraId="3A86E29D">
                  <w:pPr>
                    <w:jc w:val="center"/>
                    <w:rPr>
                      <w:rFonts w:hint="eastAsia" w:ascii="宋体" w:hAnsi="宋体" w:cs="宋体"/>
                      <w:color w:val="auto"/>
                      <w:szCs w:val="21"/>
                    </w:rPr>
                  </w:pPr>
                  <w:r>
                    <w:rPr>
                      <w:rFonts w:hint="eastAsia" w:ascii="宋体" w:hAnsi="宋体" w:cs="宋体"/>
                      <w:color w:val="auto"/>
                      <w:szCs w:val="21"/>
                    </w:rPr>
                    <w:t>污水处理站除臭使用</w:t>
                  </w:r>
                </w:p>
              </w:tc>
            </w:tr>
            <w:tr w14:paraId="463F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0591A79A">
                  <w:pPr>
                    <w:jc w:val="center"/>
                    <w:rPr>
                      <w:rFonts w:hint="eastAsia" w:ascii="宋体" w:hAnsi="宋体" w:cs="宋体"/>
                      <w:color w:val="auto"/>
                      <w:szCs w:val="21"/>
                    </w:rPr>
                  </w:pPr>
                  <w:r>
                    <w:rPr>
                      <w:rFonts w:hint="eastAsia" w:ascii="宋体" w:hAnsi="宋体" w:cs="宋体"/>
                      <w:color w:val="auto"/>
                      <w:szCs w:val="21"/>
                    </w:rPr>
                    <w:t>二</w:t>
                  </w:r>
                </w:p>
              </w:tc>
              <w:tc>
                <w:tcPr>
                  <w:tcW w:w="7634" w:type="dxa"/>
                  <w:gridSpan w:val="4"/>
                  <w:vAlign w:val="center"/>
                </w:tcPr>
                <w:p w14:paraId="3FD76B61">
                  <w:pPr>
                    <w:jc w:val="center"/>
                    <w:rPr>
                      <w:rFonts w:hint="eastAsia" w:ascii="宋体" w:hAnsi="宋体" w:cs="宋体"/>
                      <w:color w:val="auto"/>
                      <w:szCs w:val="21"/>
                    </w:rPr>
                  </w:pPr>
                  <w:r>
                    <w:rPr>
                      <w:rFonts w:hint="eastAsia" w:ascii="宋体" w:hAnsi="宋体" w:cs="宋体"/>
                      <w:color w:val="auto"/>
                      <w:szCs w:val="21"/>
                    </w:rPr>
                    <w:t>能源</w:t>
                  </w:r>
                </w:p>
              </w:tc>
            </w:tr>
            <w:tr w14:paraId="439B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02303DF4">
                  <w:pPr>
                    <w:jc w:val="center"/>
                    <w:rPr>
                      <w:rFonts w:hint="eastAsia" w:ascii="宋体" w:hAnsi="宋体" w:cs="宋体"/>
                      <w:color w:val="auto"/>
                      <w:szCs w:val="21"/>
                    </w:rPr>
                  </w:pPr>
                  <w:r>
                    <w:rPr>
                      <w:rFonts w:hint="eastAsia" w:ascii="宋体" w:hAnsi="宋体" w:cs="宋体"/>
                      <w:color w:val="auto"/>
                      <w:szCs w:val="21"/>
                    </w:rPr>
                    <w:t>1</w:t>
                  </w:r>
                </w:p>
              </w:tc>
              <w:tc>
                <w:tcPr>
                  <w:tcW w:w="2271" w:type="dxa"/>
                  <w:vAlign w:val="center"/>
                </w:tcPr>
                <w:p w14:paraId="0FC564A7">
                  <w:pPr>
                    <w:jc w:val="center"/>
                    <w:rPr>
                      <w:rFonts w:hint="eastAsia" w:ascii="宋体" w:hAnsi="宋体" w:cs="宋体"/>
                      <w:color w:val="auto"/>
                      <w:szCs w:val="21"/>
                    </w:rPr>
                  </w:pPr>
                  <w:r>
                    <w:rPr>
                      <w:rFonts w:hint="eastAsia" w:ascii="宋体" w:hAnsi="宋体" w:cs="宋体"/>
                      <w:color w:val="auto"/>
                      <w:szCs w:val="21"/>
                    </w:rPr>
                    <w:t>水</w:t>
                  </w:r>
                </w:p>
              </w:tc>
              <w:tc>
                <w:tcPr>
                  <w:tcW w:w="1408" w:type="dxa"/>
                  <w:vAlign w:val="center"/>
                </w:tcPr>
                <w:p w14:paraId="22B31830">
                  <w:pPr>
                    <w:jc w:val="center"/>
                    <w:rPr>
                      <w:rFonts w:hint="eastAsia" w:ascii="宋体" w:hAnsi="宋体" w:cs="宋体"/>
                      <w:color w:val="auto"/>
                      <w:szCs w:val="21"/>
                    </w:rPr>
                  </w:pPr>
                  <w:r>
                    <w:rPr>
                      <w:rFonts w:hint="eastAsia" w:ascii="宋体" w:hAnsi="宋体" w:cs="宋体"/>
                      <w:color w:val="auto"/>
                      <w:szCs w:val="21"/>
                    </w:rPr>
                    <w:t>3047.75t/a</w:t>
                  </w:r>
                </w:p>
              </w:tc>
              <w:tc>
                <w:tcPr>
                  <w:tcW w:w="1557" w:type="dxa"/>
                  <w:vAlign w:val="center"/>
                </w:tcPr>
                <w:p w14:paraId="4BB3B8C9">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48C4DE92">
                  <w:pPr>
                    <w:jc w:val="center"/>
                    <w:rPr>
                      <w:rFonts w:hint="eastAsia" w:ascii="宋体" w:hAnsi="宋体" w:cs="宋体"/>
                      <w:color w:val="auto"/>
                      <w:szCs w:val="21"/>
                    </w:rPr>
                  </w:pPr>
                  <w:r>
                    <w:rPr>
                      <w:rFonts w:hint="eastAsia" w:ascii="宋体" w:hAnsi="宋体" w:cs="宋体"/>
                      <w:color w:val="auto"/>
                      <w:szCs w:val="21"/>
                    </w:rPr>
                    <w:t>市政供水管网</w:t>
                  </w:r>
                </w:p>
              </w:tc>
            </w:tr>
            <w:tr w14:paraId="60BD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3" w:type="dxa"/>
                  <w:vAlign w:val="center"/>
                </w:tcPr>
                <w:p w14:paraId="3B08A79A">
                  <w:pPr>
                    <w:jc w:val="center"/>
                    <w:rPr>
                      <w:rFonts w:hint="eastAsia" w:ascii="宋体" w:hAnsi="宋体" w:cs="宋体"/>
                      <w:color w:val="auto"/>
                      <w:szCs w:val="21"/>
                    </w:rPr>
                  </w:pPr>
                  <w:r>
                    <w:rPr>
                      <w:rFonts w:hint="eastAsia" w:ascii="宋体" w:hAnsi="宋体" w:cs="宋体"/>
                      <w:color w:val="auto"/>
                      <w:szCs w:val="21"/>
                    </w:rPr>
                    <w:t>2</w:t>
                  </w:r>
                </w:p>
              </w:tc>
              <w:tc>
                <w:tcPr>
                  <w:tcW w:w="2271" w:type="dxa"/>
                  <w:vAlign w:val="center"/>
                </w:tcPr>
                <w:p w14:paraId="56128501">
                  <w:pPr>
                    <w:jc w:val="center"/>
                    <w:rPr>
                      <w:rFonts w:hint="eastAsia" w:ascii="宋体" w:hAnsi="宋体" w:cs="宋体"/>
                      <w:color w:val="auto"/>
                      <w:szCs w:val="21"/>
                    </w:rPr>
                  </w:pPr>
                  <w:r>
                    <w:rPr>
                      <w:rFonts w:hint="eastAsia" w:ascii="宋体" w:hAnsi="宋体" w:cs="宋体"/>
                      <w:color w:val="auto"/>
                      <w:szCs w:val="21"/>
                    </w:rPr>
                    <w:t>电</w:t>
                  </w:r>
                </w:p>
              </w:tc>
              <w:tc>
                <w:tcPr>
                  <w:tcW w:w="1408" w:type="dxa"/>
                  <w:vAlign w:val="center"/>
                </w:tcPr>
                <w:p w14:paraId="1F854AD6">
                  <w:pPr>
                    <w:jc w:val="center"/>
                    <w:rPr>
                      <w:rFonts w:hint="eastAsia" w:ascii="宋体" w:hAnsi="宋体" w:cs="宋体"/>
                      <w:color w:val="auto"/>
                      <w:szCs w:val="21"/>
                    </w:rPr>
                  </w:pPr>
                  <w:r>
                    <w:rPr>
                      <w:rFonts w:hint="eastAsia" w:ascii="宋体" w:hAnsi="宋体" w:cs="宋体"/>
                      <w:color w:val="auto"/>
                      <w:szCs w:val="21"/>
                    </w:rPr>
                    <w:t>154721kW.h</w:t>
                  </w:r>
                </w:p>
              </w:tc>
              <w:tc>
                <w:tcPr>
                  <w:tcW w:w="1557" w:type="dxa"/>
                  <w:vAlign w:val="center"/>
                </w:tcPr>
                <w:p w14:paraId="5794B48E">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7EDF89FE">
                  <w:pPr>
                    <w:jc w:val="center"/>
                    <w:rPr>
                      <w:rFonts w:hint="eastAsia" w:ascii="宋体" w:hAnsi="宋体" w:cs="宋体"/>
                      <w:color w:val="auto"/>
                      <w:szCs w:val="21"/>
                    </w:rPr>
                  </w:pPr>
                  <w:r>
                    <w:rPr>
                      <w:rFonts w:hint="eastAsia" w:ascii="宋体" w:hAnsi="宋体" w:cs="宋体"/>
                      <w:color w:val="auto"/>
                      <w:szCs w:val="21"/>
                    </w:rPr>
                    <w:t>市政供电电网</w:t>
                  </w:r>
                </w:p>
              </w:tc>
            </w:tr>
          </w:tbl>
          <w:p w14:paraId="6CF003DC">
            <w:pPr>
              <w:spacing w:before="120" w:beforeLines="50"/>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8</w:t>
            </w:r>
            <w:r>
              <w:rPr>
                <w:rFonts w:ascii="宋体" w:hAnsi="宋体" w:cs="宋体"/>
                <w:b/>
                <w:color w:val="auto"/>
                <w:sz w:val="24"/>
              </w:rPr>
              <w:t>项目</w:t>
            </w:r>
            <w:r>
              <w:rPr>
                <w:rFonts w:hint="eastAsia" w:ascii="宋体" w:hAnsi="宋体" w:cs="宋体"/>
                <w:b/>
                <w:color w:val="auto"/>
                <w:sz w:val="24"/>
              </w:rPr>
              <w:t>（纳古卫生院）主要</w:t>
            </w:r>
            <w:r>
              <w:rPr>
                <w:b/>
                <w:bCs/>
                <w:color w:val="auto"/>
                <w:sz w:val="24"/>
              </w:rPr>
              <w:t>原辅材料及能源</w:t>
            </w:r>
            <w:r>
              <w:rPr>
                <w:rFonts w:ascii="宋体" w:hAnsi="宋体" w:cs="宋体"/>
                <w:b/>
                <w:color w:val="auto"/>
                <w:sz w:val="24"/>
              </w:rPr>
              <w:t>消耗情况</w:t>
            </w:r>
          </w:p>
          <w:tbl>
            <w:tblPr>
              <w:tblStyle w:val="33"/>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2265"/>
              <w:gridCol w:w="1405"/>
              <w:gridCol w:w="1553"/>
              <w:gridCol w:w="2392"/>
            </w:tblGrid>
            <w:tr w14:paraId="3D8F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jc w:val="center"/>
              </w:trPr>
              <w:tc>
                <w:tcPr>
                  <w:tcW w:w="542" w:type="dxa"/>
                  <w:vAlign w:val="center"/>
                </w:tcPr>
                <w:p w14:paraId="4ED0FAF8">
                  <w:pPr>
                    <w:jc w:val="center"/>
                    <w:rPr>
                      <w:rFonts w:hint="eastAsia" w:ascii="宋体" w:hAnsi="宋体" w:cs="宋体"/>
                      <w:color w:val="auto"/>
                      <w:szCs w:val="21"/>
                    </w:rPr>
                  </w:pPr>
                  <w:r>
                    <w:rPr>
                      <w:rFonts w:hint="eastAsia" w:ascii="宋体" w:hAnsi="宋体" w:cs="宋体"/>
                      <w:color w:val="auto"/>
                      <w:szCs w:val="21"/>
                    </w:rPr>
                    <w:t>序号</w:t>
                  </w:r>
                </w:p>
              </w:tc>
              <w:tc>
                <w:tcPr>
                  <w:tcW w:w="2265" w:type="dxa"/>
                  <w:vAlign w:val="center"/>
                </w:tcPr>
                <w:p w14:paraId="4238D33C">
                  <w:pPr>
                    <w:jc w:val="center"/>
                    <w:rPr>
                      <w:rFonts w:hint="eastAsia" w:ascii="宋体" w:hAnsi="宋体" w:cs="宋体"/>
                      <w:color w:val="auto"/>
                      <w:szCs w:val="21"/>
                    </w:rPr>
                  </w:pPr>
                  <w:r>
                    <w:rPr>
                      <w:rFonts w:hint="eastAsia" w:ascii="宋体" w:hAnsi="宋体" w:cs="宋体"/>
                      <w:color w:val="auto"/>
                      <w:szCs w:val="21"/>
                    </w:rPr>
                    <w:t>医疗用品</w:t>
                  </w:r>
                </w:p>
              </w:tc>
              <w:tc>
                <w:tcPr>
                  <w:tcW w:w="1405" w:type="dxa"/>
                  <w:vAlign w:val="center"/>
                </w:tcPr>
                <w:p w14:paraId="190C8828">
                  <w:pPr>
                    <w:jc w:val="center"/>
                    <w:rPr>
                      <w:rFonts w:hint="eastAsia" w:ascii="宋体" w:hAnsi="宋体" w:cs="宋体"/>
                      <w:color w:val="auto"/>
                      <w:szCs w:val="21"/>
                    </w:rPr>
                  </w:pPr>
                  <w:r>
                    <w:rPr>
                      <w:rFonts w:hint="eastAsia" w:ascii="宋体" w:hAnsi="宋体" w:cs="宋体"/>
                      <w:color w:val="auto"/>
                      <w:szCs w:val="21"/>
                    </w:rPr>
                    <w:t>用量</w:t>
                  </w:r>
                </w:p>
              </w:tc>
              <w:tc>
                <w:tcPr>
                  <w:tcW w:w="1553" w:type="dxa"/>
                  <w:vAlign w:val="center"/>
                </w:tcPr>
                <w:p w14:paraId="10D01477">
                  <w:pPr>
                    <w:jc w:val="center"/>
                    <w:rPr>
                      <w:rFonts w:hint="eastAsia" w:ascii="宋体" w:hAnsi="宋体" w:cs="宋体"/>
                      <w:color w:val="auto"/>
                      <w:szCs w:val="21"/>
                    </w:rPr>
                  </w:pPr>
                  <w:r>
                    <w:rPr>
                      <w:rFonts w:hint="eastAsia" w:ascii="宋体" w:hAnsi="宋体" w:cs="宋体"/>
                      <w:color w:val="auto"/>
                      <w:szCs w:val="21"/>
                    </w:rPr>
                    <w:t>院内最大存储量</w:t>
                  </w:r>
                </w:p>
              </w:tc>
              <w:tc>
                <w:tcPr>
                  <w:tcW w:w="2392" w:type="dxa"/>
                  <w:vAlign w:val="center"/>
                </w:tcPr>
                <w:p w14:paraId="19ADD9F9">
                  <w:pPr>
                    <w:jc w:val="center"/>
                    <w:rPr>
                      <w:rFonts w:hint="eastAsia" w:ascii="宋体" w:hAnsi="宋体" w:cs="宋体"/>
                      <w:color w:val="auto"/>
                      <w:szCs w:val="21"/>
                    </w:rPr>
                  </w:pPr>
                  <w:r>
                    <w:rPr>
                      <w:rFonts w:hint="eastAsia" w:ascii="宋体" w:hAnsi="宋体" w:cs="宋体"/>
                      <w:color w:val="auto"/>
                      <w:szCs w:val="21"/>
                    </w:rPr>
                    <w:t>备注</w:t>
                  </w:r>
                </w:p>
              </w:tc>
            </w:tr>
            <w:tr w14:paraId="02EA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blHeader/>
                <w:jc w:val="center"/>
              </w:trPr>
              <w:tc>
                <w:tcPr>
                  <w:tcW w:w="542" w:type="dxa"/>
                  <w:vAlign w:val="center"/>
                </w:tcPr>
                <w:p w14:paraId="52261EA2">
                  <w:pPr>
                    <w:jc w:val="center"/>
                    <w:rPr>
                      <w:rFonts w:hint="eastAsia" w:ascii="宋体" w:hAnsi="宋体" w:cs="宋体"/>
                      <w:color w:val="auto"/>
                      <w:szCs w:val="21"/>
                    </w:rPr>
                  </w:pPr>
                  <w:r>
                    <w:rPr>
                      <w:rFonts w:hint="eastAsia" w:ascii="宋体" w:hAnsi="宋体" w:cs="宋体"/>
                      <w:color w:val="auto"/>
                      <w:szCs w:val="21"/>
                    </w:rPr>
                    <w:t>一</w:t>
                  </w:r>
                </w:p>
              </w:tc>
              <w:tc>
                <w:tcPr>
                  <w:tcW w:w="7615" w:type="dxa"/>
                  <w:gridSpan w:val="4"/>
                  <w:vAlign w:val="center"/>
                </w:tcPr>
                <w:p w14:paraId="1B721707">
                  <w:pPr>
                    <w:jc w:val="center"/>
                    <w:rPr>
                      <w:rFonts w:hint="eastAsia" w:ascii="宋体" w:hAnsi="宋体" w:cs="宋体"/>
                      <w:color w:val="auto"/>
                      <w:szCs w:val="21"/>
                    </w:rPr>
                  </w:pPr>
                  <w:r>
                    <w:rPr>
                      <w:rFonts w:hint="eastAsia" w:ascii="宋体" w:hAnsi="宋体" w:cs="宋体"/>
                      <w:color w:val="auto"/>
                      <w:szCs w:val="21"/>
                    </w:rPr>
                    <w:t>原辅料</w:t>
                  </w:r>
                </w:p>
              </w:tc>
            </w:tr>
            <w:tr w14:paraId="5F05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6C51A702">
                  <w:pPr>
                    <w:jc w:val="center"/>
                    <w:rPr>
                      <w:rFonts w:hint="eastAsia" w:ascii="宋体" w:hAnsi="宋体" w:cs="宋体"/>
                      <w:color w:val="auto"/>
                      <w:szCs w:val="21"/>
                    </w:rPr>
                  </w:pPr>
                  <w:r>
                    <w:rPr>
                      <w:rFonts w:hint="eastAsia" w:ascii="宋体" w:hAnsi="宋体" w:cs="宋体"/>
                      <w:color w:val="auto"/>
                      <w:szCs w:val="21"/>
                    </w:rPr>
                    <w:t>1</w:t>
                  </w:r>
                </w:p>
              </w:tc>
              <w:tc>
                <w:tcPr>
                  <w:tcW w:w="2265" w:type="dxa"/>
                  <w:vAlign w:val="center"/>
                </w:tcPr>
                <w:p w14:paraId="1380F144">
                  <w:pPr>
                    <w:jc w:val="center"/>
                    <w:rPr>
                      <w:rFonts w:hint="eastAsia" w:ascii="宋体" w:hAnsi="宋体" w:cs="宋体"/>
                      <w:color w:val="auto"/>
                      <w:szCs w:val="21"/>
                    </w:rPr>
                  </w:pPr>
                  <w:r>
                    <w:rPr>
                      <w:rFonts w:hint="eastAsia" w:ascii="宋体" w:hAnsi="宋体" w:cs="宋体"/>
                      <w:color w:val="auto"/>
                      <w:szCs w:val="21"/>
                    </w:rPr>
                    <w:t>注射器</w:t>
                  </w:r>
                </w:p>
              </w:tc>
              <w:tc>
                <w:tcPr>
                  <w:tcW w:w="1405" w:type="dxa"/>
                  <w:vAlign w:val="center"/>
                </w:tcPr>
                <w:p w14:paraId="54B479B8">
                  <w:pPr>
                    <w:jc w:val="center"/>
                    <w:rPr>
                      <w:rFonts w:hint="eastAsia" w:ascii="宋体" w:hAnsi="宋体" w:cs="宋体"/>
                      <w:color w:val="auto"/>
                      <w:szCs w:val="21"/>
                    </w:rPr>
                  </w:pPr>
                  <w:r>
                    <w:rPr>
                      <w:rFonts w:hint="eastAsia" w:ascii="宋体" w:hAnsi="宋体" w:cs="宋体"/>
                      <w:color w:val="auto"/>
                      <w:szCs w:val="21"/>
                    </w:rPr>
                    <w:t>13000个/a</w:t>
                  </w:r>
                </w:p>
              </w:tc>
              <w:tc>
                <w:tcPr>
                  <w:tcW w:w="1553" w:type="dxa"/>
                  <w:vAlign w:val="center"/>
                </w:tcPr>
                <w:p w14:paraId="2AAE74A4">
                  <w:pPr>
                    <w:jc w:val="center"/>
                    <w:rPr>
                      <w:rFonts w:hint="eastAsia" w:ascii="宋体" w:hAnsi="宋体" w:cs="宋体"/>
                      <w:color w:val="auto"/>
                      <w:szCs w:val="21"/>
                    </w:rPr>
                  </w:pPr>
                  <w:r>
                    <w:rPr>
                      <w:rFonts w:hint="eastAsia" w:ascii="宋体" w:hAnsi="宋体" w:cs="宋体"/>
                      <w:color w:val="auto"/>
                      <w:szCs w:val="21"/>
                    </w:rPr>
                    <w:t>1200个</w:t>
                  </w:r>
                </w:p>
              </w:tc>
              <w:tc>
                <w:tcPr>
                  <w:tcW w:w="2392" w:type="dxa"/>
                  <w:vAlign w:val="center"/>
                </w:tcPr>
                <w:p w14:paraId="01BD8788">
                  <w:pPr>
                    <w:jc w:val="center"/>
                    <w:rPr>
                      <w:rFonts w:hint="eastAsia" w:ascii="宋体" w:hAnsi="宋体" w:cs="宋体"/>
                      <w:color w:val="auto"/>
                      <w:szCs w:val="21"/>
                    </w:rPr>
                  </w:pPr>
                  <w:r>
                    <w:rPr>
                      <w:rFonts w:hint="eastAsia" w:ascii="宋体" w:hAnsi="宋体" w:cs="宋体"/>
                      <w:color w:val="auto"/>
                      <w:szCs w:val="21"/>
                    </w:rPr>
                    <w:t>/</w:t>
                  </w:r>
                </w:p>
              </w:tc>
            </w:tr>
            <w:tr w14:paraId="15AA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618E1F52">
                  <w:pPr>
                    <w:jc w:val="center"/>
                    <w:rPr>
                      <w:rFonts w:hint="eastAsia" w:ascii="宋体" w:hAnsi="宋体" w:cs="宋体"/>
                      <w:color w:val="auto"/>
                      <w:szCs w:val="21"/>
                    </w:rPr>
                  </w:pPr>
                  <w:r>
                    <w:rPr>
                      <w:rFonts w:hint="eastAsia" w:ascii="宋体" w:hAnsi="宋体" w:cs="宋体"/>
                      <w:color w:val="auto"/>
                      <w:szCs w:val="21"/>
                    </w:rPr>
                    <w:t>2</w:t>
                  </w:r>
                </w:p>
              </w:tc>
              <w:tc>
                <w:tcPr>
                  <w:tcW w:w="2265" w:type="dxa"/>
                  <w:vAlign w:val="center"/>
                </w:tcPr>
                <w:p w14:paraId="245466EE">
                  <w:pPr>
                    <w:jc w:val="center"/>
                    <w:rPr>
                      <w:rFonts w:hint="eastAsia" w:ascii="宋体" w:hAnsi="宋体" w:cs="宋体"/>
                      <w:color w:val="auto"/>
                      <w:szCs w:val="21"/>
                    </w:rPr>
                  </w:pPr>
                  <w:r>
                    <w:rPr>
                      <w:rFonts w:hint="eastAsia" w:ascii="宋体" w:hAnsi="宋体" w:cs="宋体"/>
                      <w:color w:val="auto"/>
                      <w:szCs w:val="21"/>
                    </w:rPr>
                    <w:t>输液管</w:t>
                  </w:r>
                </w:p>
              </w:tc>
              <w:tc>
                <w:tcPr>
                  <w:tcW w:w="1405" w:type="dxa"/>
                  <w:vAlign w:val="center"/>
                </w:tcPr>
                <w:p w14:paraId="54FD7FA4">
                  <w:pPr>
                    <w:jc w:val="center"/>
                    <w:rPr>
                      <w:rFonts w:hint="eastAsia" w:ascii="宋体" w:hAnsi="宋体" w:cs="宋体"/>
                      <w:color w:val="auto"/>
                      <w:szCs w:val="21"/>
                    </w:rPr>
                  </w:pPr>
                  <w:r>
                    <w:rPr>
                      <w:rFonts w:hint="eastAsia" w:ascii="宋体" w:hAnsi="宋体" w:cs="宋体"/>
                      <w:color w:val="auto"/>
                      <w:szCs w:val="21"/>
                    </w:rPr>
                    <w:t>6000套/a</w:t>
                  </w:r>
                </w:p>
              </w:tc>
              <w:tc>
                <w:tcPr>
                  <w:tcW w:w="1553" w:type="dxa"/>
                  <w:vAlign w:val="center"/>
                </w:tcPr>
                <w:p w14:paraId="1C16A5D9">
                  <w:pPr>
                    <w:jc w:val="center"/>
                    <w:rPr>
                      <w:rFonts w:hint="eastAsia" w:ascii="宋体" w:hAnsi="宋体" w:cs="宋体"/>
                      <w:color w:val="auto"/>
                      <w:szCs w:val="21"/>
                    </w:rPr>
                  </w:pPr>
                  <w:r>
                    <w:rPr>
                      <w:rFonts w:hint="eastAsia" w:ascii="宋体" w:hAnsi="宋体" w:cs="宋体"/>
                      <w:color w:val="auto"/>
                      <w:szCs w:val="21"/>
                    </w:rPr>
                    <w:t>800套</w:t>
                  </w:r>
                </w:p>
              </w:tc>
              <w:tc>
                <w:tcPr>
                  <w:tcW w:w="2392" w:type="dxa"/>
                  <w:vAlign w:val="center"/>
                </w:tcPr>
                <w:p w14:paraId="2BE5458F">
                  <w:pPr>
                    <w:jc w:val="center"/>
                    <w:rPr>
                      <w:rFonts w:hint="eastAsia" w:ascii="宋体" w:hAnsi="宋体" w:cs="宋体"/>
                      <w:color w:val="auto"/>
                      <w:szCs w:val="21"/>
                    </w:rPr>
                  </w:pPr>
                  <w:r>
                    <w:rPr>
                      <w:rFonts w:hint="eastAsia" w:ascii="宋体" w:hAnsi="宋体" w:cs="宋体"/>
                      <w:color w:val="auto"/>
                      <w:szCs w:val="21"/>
                    </w:rPr>
                    <w:t>/</w:t>
                  </w:r>
                </w:p>
              </w:tc>
            </w:tr>
            <w:tr w14:paraId="0411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3EE43FAE">
                  <w:pPr>
                    <w:jc w:val="center"/>
                    <w:rPr>
                      <w:rFonts w:hint="eastAsia" w:ascii="宋体" w:hAnsi="宋体" w:cs="宋体"/>
                      <w:color w:val="auto"/>
                      <w:szCs w:val="21"/>
                    </w:rPr>
                  </w:pPr>
                  <w:r>
                    <w:rPr>
                      <w:rFonts w:hint="eastAsia" w:ascii="宋体" w:hAnsi="宋体" w:cs="宋体"/>
                      <w:color w:val="auto"/>
                      <w:szCs w:val="21"/>
                    </w:rPr>
                    <w:t>3</w:t>
                  </w:r>
                </w:p>
              </w:tc>
              <w:tc>
                <w:tcPr>
                  <w:tcW w:w="2265" w:type="dxa"/>
                  <w:vAlign w:val="center"/>
                </w:tcPr>
                <w:p w14:paraId="556BDE96">
                  <w:pPr>
                    <w:jc w:val="center"/>
                    <w:rPr>
                      <w:rFonts w:hint="eastAsia" w:ascii="宋体" w:hAnsi="宋体" w:cs="宋体"/>
                      <w:color w:val="auto"/>
                      <w:szCs w:val="21"/>
                    </w:rPr>
                  </w:pPr>
                  <w:r>
                    <w:rPr>
                      <w:rFonts w:hint="eastAsia" w:ascii="宋体" w:hAnsi="宋体" w:cs="宋体"/>
                      <w:color w:val="auto"/>
                      <w:szCs w:val="21"/>
                    </w:rPr>
                    <w:t>医用棉花</w:t>
                  </w:r>
                </w:p>
              </w:tc>
              <w:tc>
                <w:tcPr>
                  <w:tcW w:w="1405" w:type="dxa"/>
                  <w:vAlign w:val="center"/>
                </w:tcPr>
                <w:p w14:paraId="2646FB4F">
                  <w:pPr>
                    <w:jc w:val="center"/>
                    <w:rPr>
                      <w:rFonts w:hint="eastAsia" w:ascii="宋体" w:hAnsi="宋体" w:cs="宋体"/>
                      <w:color w:val="auto"/>
                      <w:szCs w:val="21"/>
                    </w:rPr>
                  </w:pPr>
                  <w:r>
                    <w:rPr>
                      <w:rFonts w:hint="eastAsia" w:ascii="宋体" w:hAnsi="宋体" w:cs="宋体"/>
                      <w:color w:val="auto"/>
                      <w:szCs w:val="21"/>
                    </w:rPr>
                    <w:t>240包/a</w:t>
                  </w:r>
                </w:p>
              </w:tc>
              <w:tc>
                <w:tcPr>
                  <w:tcW w:w="1553" w:type="dxa"/>
                  <w:vAlign w:val="center"/>
                </w:tcPr>
                <w:p w14:paraId="0C23BEDF">
                  <w:pPr>
                    <w:jc w:val="center"/>
                    <w:rPr>
                      <w:rFonts w:hint="eastAsia" w:ascii="宋体" w:hAnsi="宋体" w:cs="宋体"/>
                      <w:color w:val="auto"/>
                      <w:szCs w:val="21"/>
                    </w:rPr>
                  </w:pPr>
                  <w:r>
                    <w:rPr>
                      <w:rFonts w:hint="eastAsia" w:ascii="宋体" w:hAnsi="宋体" w:cs="宋体"/>
                      <w:color w:val="auto"/>
                      <w:szCs w:val="21"/>
                    </w:rPr>
                    <w:t>50包</w:t>
                  </w:r>
                </w:p>
              </w:tc>
              <w:tc>
                <w:tcPr>
                  <w:tcW w:w="2392" w:type="dxa"/>
                  <w:vAlign w:val="center"/>
                </w:tcPr>
                <w:p w14:paraId="525E3B31">
                  <w:pPr>
                    <w:jc w:val="center"/>
                    <w:rPr>
                      <w:rFonts w:hint="eastAsia" w:ascii="宋体" w:hAnsi="宋体" w:cs="宋体"/>
                      <w:color w:val="auto"/>
                      <w:szCs w:val="21"/>
                    </w:rPr>
                  </w:pPr>
                  <w:r>
                    <w:rPr>
                      <w:rFonts w:hint="eastAsia" w:ascii="宋体" w:hAnsi="宋体" w:cs="宋体"/>
                      <w:color w:val="auto"/>
                      <w:szCs w:val="21"/>
                    </w:rPr>
                    <w:t>/</w:t>
                  </w:r>
                </w:p>
              </w:tc>
            </w:tr>
            <w:tr w14:paraId="43F9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3249D0E4">
                  <w:pPr>
                    <w:jc w:val="center"/>
                    <w:rPr>
                      <w:rFonts w:hint="eastAsia" w:ascii="宋体" w:hAnsi="宋体" w:cs="宋体"/>
                      <w:color w:val="auto"/>
                      <w:szCs w:val="21"/>
                    </w:rPr>
                  </w:pPr>
                  <w:r>
                    <w:rPr>
                      <w:rFonts w:hint="eastAsia" w:ascii="宋体" w:hAnsi="宋体" w:cs="宋体"/>
                      <w:color w:val="auto"/>
                      <w:szCs w:val="21"/>
                    </w:rPr>
                    <w:t>4</w:t>
                  </w:r>
                </w:p>
              </w:tc>
              <w:tc>
                <w:tcPr>
                  <w:tcW w:w="2265" w:type="dxa"/>
                  <w:vAlign w:val="center"/>
                </w:tcPr>
                <w:p w14:paraId="54DF877B">
                  <w:pPr>
                    <w:jc w:val="center"/>
                    <w:rPr>
                      <w:rFonts w:hint="eastAsia" w:ascii="宋体" w:hAnsi="宋体" w:cs="宋体"/>
                      <w:color w:val="auto"/>
                      <w:szCs w:val="21"/>
                    </w:rPr>
                  </w:pPr>
                  <w:r>
                    <w:rPr>
                      <w:rFonts w:hint="eastAsia" w:ascii="宋体" w:hAnsi="宋体" w:cs="宋体"/>
                      <w:color w:val="auto"/>
                      <w:szCs w:val="21"/>
                    </w:rPr>
                    <w:t>纱布</w:t>
                  </w:r>
                </w:p>
              </w:tc>
              <w:tc>
                <w:tcPr>
                  <w:tcW w:w="1405" w:type="dxa"/>
                  <w:vAlign w:val="center"/>
                </w:tcPr>
                <w:p w14:paraId="1E5D4C8F">
                  <w:pPr>
                    <w:jc w:val="center"/>
                    <w:rPr>
                      <w:rFonts w:hint="eastAsia" w:ascii="宋体" w:hAnsi="宋体" w:cs="宋体"/>
                      <w:color w:val="auto"/>
                      <w:szCs w:val="21"/>
                    </w:rPr>
                  </w:pPr>
                  <w:r>
                    <w:rPr>
                      <w:rFonts w:hint="eastAsia" w:ascii="宋体" w:hAnsi="宋体" w:cs="宋体"/>
                      <w:color w:val="auto"/>
                      <w:szCs w:val="21"/>
                    </w:rPr>
                    <w:t>5600包/a</w:t>
                  </w:r>
                </w:p>
              </w:tc>
              <w:tc>
                <w:tcPr>
                  <w:tcW w:w="1553" w:type="dxa"/>
                  <w:vAlign w:val="center"/>
                </w:tcPr>
                <w:p w14:paraId="7C4EB960">
                  <w:pPr>
                    <w:jc w:val="center"/>
                    <w:rPr>
                      <w:rFonts w:hint="eastAsia" w:ascii="宋体" w:hAnsi="宋体" w:cs="宋体"/>
                      <w:color w:val="auto"/>
                      <w:szCs w:val="21"/>
                    </w:rPr>
                  </w:pPr>
                  <w:r>
                    <w:rPr>
                      <w:rFonts w:hint="eastAsia" w:ascii="宋体" w:hAnsi="宋体" w:cs="宋体"/>
                      <w:color w:val="auto"/>
                      <w:szCs w:val="21"/>
                    </w:rPr>
                    <w:t>480包</w:t>
                  </w:r>
                </w:p>
              </w:tc>
              <w:tc>
                <w:tcPr>
                  <w:tcW w:w="2392" w:type="dxa"/>
                  <w:vAlign w:val="center"/>
                </w:tcPr>
                <w:p w14:paraId="732A9740">
                  <w:pPr>
                    <w:jc w:val="center"/>
                    <w:rPr>
                      <w:rFonts w:hint="eastAsia" w:ascii="宋体" w:hAnsi="宋体" w:cs="宋体"/>
                      <w:color w:val="auto"/>
                      <w:szCs w:val="21"/>
                    </w:rPr>
                  </w:pPr>
                  <w:r>
                    <w:rPr>
                      <w:rFonts w:hint="eastAsia" w:ascii="宋体" w:hAnsi="宋体" w:cs="宋体"/>
                      <w:color w:val="auto"/>
                      <w:szCs w:val="21"/>
                    </w:rPr>
                    <w:t>/</w:t>
                  </w:r>
                </w:p>
              </w:tc>
            </w:tr>
            <w:tr w14:paraId="3FCE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42" w:type="dxa"/>
                  <w:vAlign w:val="center"/>
                </w:tcPr>
                <w:p w14:paraId="52722BDB">
                  <w:pPr>
                    <w:jc w:val="center"/>
                    <w:rPr>
                      <w:rFonts w:hint="eastAsia" w:ascii="宋体" w:hAnsi="宋体" w:cs="宋体"/>
                      <w:color w:val="auto"/>
                      <w:szCs w:val="21"/>
                    </w:rPr>
                  </w:pPr>
                  <w:r>
                    <w:rPr>
                      <w:rFonts w:hint="eastAsia" w:ascii="宋体" w:hAnsi="宋体" w:cs="宋体"/>
                      <w:color w:val="auto"/>
                      <w:szCs w:val="21"/>
                    </w:rPr>
                    <w:t>5</w:t>
                  </w:r>
                </w:p>
              </w:tc>
              <w:tc>
                <w:tcPr>
                  <w:tcW w:w="2265" w:type="dxa"/>
                  <w:vAlign w:val="center"/>
                </w:tcPr>
                <w:p w14:paraId="010941A3">
                  <w:pPr>
                    <w:jc w:val="center"/>
                    <w:rPr>
                      <w:rFonts w:hint="eastAsia" w:ascii="宋体" w:hAnsi="宋体" w:cs="宋体"/>
                      <w:color w:val="auto"/>
                      <w:szCs w:val="21"/>
                    </w:rPr>
                  </w:pPr>
                  <w:r>
                    <w:rPr>
                      <w:rFonts w:hint="eastAsia" w:ascii="宋体" w:hAnsi="宋体" w:cs="宋体"/>
                      <w:color w:val="auto"/>
                      <w:szCs w:val="21"/>
                    </w:rPr>
                    <w:t>乙醇</w:t>
                  </w:r>
                </w:p>
              </w:tc>
              <w:tc>
                <w:tcPr>
                  <w:tcW w:w="1405" w:type="dxa"/>
                  <w:vAlign w:val="center"/>
                </w:tcPr>
                <w:p w14:paraId="5B27ABDB">
                  <w:pPr>
                    <w:jc w:val="center"/>
                    <w:rPr>
                      <w:rFonts w:hint="eastAsia" w:ascii="宋体" w:hAnsi="宋体" w:cs="宋体"/>
                      <w:color w:val="auto"/>
                      <w:szCs w:val="21"/>
                    </w:rPr>
                  </w:pPr>
                  <w:r>
                    <w:rPr>
                      <w:rFonts w:hint="eastAsia" w:ascii="宋体" w:hAnsi="宋体" w:cs="宋体"/>
                      <w:color w:val="auto"/>
                      <w:szCs w:val="21"/>
                    </w:rPr>
                    <w:t>0.05</w:t>
                  </w:r>
                  <w:r>
                    <w:rPr>
                      <w:rFonts w:hint="eastAsia"/>
                      <w:color w:val="auto"/>
                      <w:szCs w:val="21"/>
                    </w:rPr>
                    <w:t>t/a</w:t>
                  </w:r>
                </w:p>
              </w:tc>
              <w:tc>
                <w:tcPr>
                  <w:tcW w:w="1553" w:type="dxa"/>
                  <w:vAlign w:val="center"/>
                </w:tcPr>
                <w:p w14:paraId="1BF8DFC2">
                  <w:pPr>
                    <w:jc w:val="center"/>
                    <w:rPr>
                      <w:rFonts w:hint="eastAsia" w:ascii="宋体" w:hAnsi="宋体" w:cs="宋体"/>
                      <w:color w:val="auto"/>
                      <w:szCs w:val="21"/>
                    </w:rPr>
                  </w:pPr>
                  <w:r>
                    <w:rPr>
                      <w:rFonts w:hint="eastAsia" w:ascii="宋体" w:hAnsi="宋体" w:cs="宋体"/>
                      <w:color w:val="auto"/>
                      <w:szCs w:val="21"/>
                    </w:rPr>
                    <w:t>0.02</w:t>
                  </w:r>
                  <w:r>
                    <w:rPr>
                      <w:rFonts w:hint="eastAsia"/>
                      <w:color w:val="auto"/>
                      <w:szCs w:val="21"/>
                    </w:rPr>
                    <w:t>t/a</w:t>
                  </w:r>
                </w:p>
              </w:tc>
              <w:tc>
                <w:tcPr>
                  <w:tcW w:w="2392" w:type="dxa"/>
                  <w:vAlign w:val="center"/>
                </w:tcPr>
                <w:p w14:paraId="35ACC355">
                  <w:pPr>
                    <w:jc w:val="center"/>
                    <w:rPr>
                      <w:rFonts w:hint="eastAsia" w:ascii="宋体" w:hAnsi="宋体" w:cs="宋体"/>
                      <w:color w:val="auto"/>
                      <w:szCs w:val="21"/>
                    </w:rPr>
                  </w:pPr>
                  <w:r>
                    <w:rPr>
                      <w:rFonts w:hint="eastAsia" w:ascii="宋体" w:hAnsi="宋体" w:cs="宋体"/>
                      <w:color w:val="auto"/>
                      <w:szCs w:val="21"/>
                    </w:rPr>
                    <w:t>/</w:t>
                  </w:r>
                </w:p>
              </w:tc>
            </w:tr>
            <w:tr w14:paraId="151D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42" w:type="dxa"/>
                  <w:vAlign w:val="center"/>
                </w:tcPr>
                <w:p w14:paraId="6E4572A6">
                  <w:pPr>
                    <w:jc w:val="center"/>
                    <w:rPr>
                      <w:rFonts w:hint="eastAsia" w:ascii="宋体" w:hAnsi="宋体" w:cs="宋体"/>
                      <w:color w:val="auto"/>
                      <w:szCs w:val="21"/>
                    </w:rPr>
                  </w:pPr>
                  <w:r>
                    <w:rPr>
                      <w:rFonts w:hint="eastAsia" w:ascii="宋体" w:hAnsi="宋体" w:cs="宋体"/>
                      <w:color w:val="auto"/>
                      <w:szCs w:val="21"/>
                    </w:rPr>
                    <w:t>6</w:t>
                  </w:r>
                </w:p>
              </w:tc>
              <w:tc>
                <w:tcPr>
                  <w:tcW w:w="2265" w:type="dxa"/>
                  <w:vAlign w:val="center"/>
                </w:tcPr>
                <w:p w14:paraId="794C4928">
                  <w:pPr>
                    <w:jc w:val="center"/>
                    <w:rPr>
                      <w:rFonts w:hint="eastAsia" w:ascii="宋体" w:hAnsi="宋体" w:cs="宋体"/>
                      <w:color w:val="auto"/>
                      <w:szCs w:val="21"/>
                    </w:rPr>
                  </w:pPr>
                  <w:r>
                    <w:rPr>
                      <w:rFonts w:hint="eastAsia" w:ascii="宋体" w:hAnsi="宋体" w:cs="宋体"/>
                      <w:color w:val="auto"/>
                      <w:szCs w:val="21"/>
                    </w:rPr>
                    <w:t>氧气</w:t>
                  </w:r>
                </w:p>
              </w:tc>
              <w:tc>
                <w:tcPr>
                  <w:tcW w:w="1405" w:type="dxa"/>
                  <w:vAlign w:val="center"/>
                </w:tcPr>
                <w:p w14:paraId="7E9F714C">
                  <w:pPr>
                    <w:jc w:val="center"/>
                    <w:rPr>
                      <w:rFonts w:hint="eastAsia" w:ascii="宋体" w:hAnsi="宋体" w:cs="宋体"/>
                      <w:color w:val="auto"/>
                      <w:szCs w:val="21"/>
                    </w:rPr>
                  </w:pPr>
                  <w:r>
                    <w:rPr>
                      <w:rFonts w:hint="eastAsia"/>
                      <w:color w:val="auto"/>
                      <w:szCs w:val="21"/>
                    </w:rPr>
                    <w:t>4.05t/a</w:t>
                  </w:r>
                </w:p>
              </w:tc>
              <w:tc>
                <w:tcPr>
                  <w:tcW w:w="1553" w:type="dxa"/>
                  <w:vAlign w:val="center"/>
                </w:tcPr>
                <w:p w14:paraId="45CA74DC">
                  <w:pPr>
                    <w:jc w:val="center"/>
                    <w:rPr>
                      <w:rFonts w:hint="eastAsia" w:ascii="宋体" w:hAnsi="宋体" w:cs="宋体"/>
                      <w:color w:val="auto"/>
                      <w:szCs w:val="21"/>
                    </w:rPr>
                  </w:pPr>
                  <w:r>
                    <w:rPr>
                      <w:rFonts w:hint="eastAsia"/>
                      <w:color w:val="auto"/>
                      <w:szCs w:val="21"/>
                    </w:rPr>
                    <w:t>1.35t/a</w:t>
                  </w:r>
                </w:p>
              </w:tc>
              <w:tc>
                <w:tcPr>
                  <w:tcW w:w="2392" w:type="dxa"/>
                  <w:vAlign w:val="center"/>
                </w:tcPr>
                <w:p w14:paraId="02F1E654">
                  <w:pPr>
                    <w:jc w:val="center"/>
                    <w:rPr>
                      <w:rFonts w:hint="eastAsia" w:ascii="宋体" w:hAnsi="宋体" w:cs="宋体"/>
                      <w:color w:val="auto"/>
                      <w:szCs w:val="21"/>
                    </w:rPr>
                  </w:pPr>
                  <w:r>
                    <w:rPr>
                      <w:rFonts w:hint="eastAsia" w:ascii="宋体" w:hAnsi="宋体" w:cs="宋体"/>
                      <w:color w:val="auto"/>
                      <w:szCs w:val="21"/>
                    </w:rPr>
                    <w:t>/</w:t>
                  </w:r>
                </w:p>
              </w:tc>
            </w:tr>
            <w:tr w14:paraId="6B68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42" w:type="dxa"/>
                  <w:vAlign w:val="center"/>
                </w:tcPr>
                <w:p w14:paraId="37134482">
                  <w:pPr>
                    <w:jc w:val="center"/>
                    <w:rPr>
                      <w:rFonts w:hint="eastAsia" w:ascii="宋体" w:hAnsi="宋体" w:cs="宋体"/>
                      <w:color w:val="auto"/>
                      <w:szCs w:val="21"/>
                    </w:rPr>
                  </w:pPr>
                  <w:r>
                    <w:rPr>
                      <w:rFonts w:hint="eastAsia" w:ascii="宋体" w:hAnsi="宋体" w:cs="宋体"/>
                      <w:color w:val="auto"/>
                      <w:szCs w:val="21"/>
                    </w:rPr>
                    <w:t>7</w:t>
                  </w:r>
                </w:p>
              </w:tc>
              <w:tc>
                <w:tcPr>
                  <w:tcW w:w="2265" w:type="dxa"/>
                  <w:vAlign w:val="center"/>
                </w:tcPr>
                <w:p w14:paraId="7937EDA3">
                  <w:pPr>
                    <w:jc w:val="center"/>
                    <w:rPr>
                      <w:rFonts w:hint="eastAsia" w:ascii="宋体" w:hAnsi="宋体" w:cs="宋体"/>
                      <w:color w:val="auto"/>
                      <w:szCs w:val="21"/>
                    </w:rPr>
                  </w:pPr>
                  <w:r>
                    <w:rPr>
                      <w:rFonts w:hint="eastAsia"/>
                      <w:color w:val="auto"/>
                      <w:szCs w:val="21"/>
                    </w:rPr>
                    <w:t>二氧化氯</w:t>
                  </w:r>
                </w:p>
              </w:tc>
              <w:tc>
                <w:tcPr>
                  <w:tcW w:w="1405" w:type="dxa"/>
                  <w:vAlign w:val="center"/>
                </w:tcPr>
                <w:p w14:paraId="71A4922E">
                  <w:pPr>
                    <w:jc w:val="center"/>
                    <w:rPr>
                      <w:rFonts w:hint="eastAsia" w:ascii="宋体" w:hAnsi="宋体" w:cs="宋体"/>
                      <w:color w:val="auto"/>
                      <w:szCs w:val="21"/>
                    </w:rPr>
                  </w:pPr>
                  <w:r>
                    <w:rPr>
                      <w:rFonts w:hint="eastAsia" w:ascii="宋体" w:hAnsi="宋体" w:cs="宋体"/>
                      <w:color w:val="auto"/>
                      <w:szCs w:val="21"/>
                    </w:rPr>
                    <w:t>0.5t/a</w:t>
                  </w:r>
                </w:p>
              </w:tc>
              <w:tc>
                <w:tcPr>
                  <w:tcW w:w="1553" w:type="dxa"/>
                  <w:vAlign w:val="center"/>
                </w:tcPr>
                <w:p w14:paraId="5188D43D">
                  <w:pPr>
                    <w:jc w:val="center"/>
                    <w:rPr>
                      <w:rFonts w:hint="eastAsia" w:ascii="宋体" w:hAnsi="宋体" w:cs="宋体"/>
                      <w:color w:val="auto"/>
                      <w:szCs w:val="21"/>
                    </w:rPr>
                  </w:pPr>
                  <w:r>
                    <w:rPr>
                      <w:rFonts w:hint="eastAsia"/>
                      <w:color w:val="auto"/>
                      <w:szCs w:val="21"/>
                    </w:rPr>
                    <w:t>0.2</w:t>
                  </w:r>
                  <w:r>
                    <w:rPr>
                      <w:rFonts w:hint="eastAsia" w:ascii="宋体" w:hAnsi="宋体" w:cs="宋体"/>
                      <w:color w:val="auto"/>
                      <w:szCs w:val="21"/>
                    </w:rPr>
                    <w:t>t/a</w:t>
                  </w:r>
                </w:p>
              </w:tc>
              <w:tc>
                <w:tcPr>
                  <w:tcW w:w="2392" w:type="dxa"/>
                  <w:vAlign w:val="center"/>
                </w:tcPr>
                <w:p w14:paraId="094306CC">
                  <w:pPr>
                    <w:jc w:val="center"/>
                    <w:rPr>
                      <w:rFonts w:hint="eastAsia" w:ascii="宋体" w:hAnsi="宋体" w:cs="宋体"/>
                      <w:color w:val="auto"/>
                      <w:szCs w:val="21"/>
                    </w:rPr>
                  </w:pPr>
                  <w:r>
                    <w:rPr>
                      <w:rFonts w:hint="eastAsia" w:ascii="宋体" w:hAnsi="宋体" w:cs="宋体"/>
                      <w:color w:val="auto"/>
                      <w:szCs w:val="21"/>
                    </w:rPr>
                    <w:t>/</w:t>
                  </w:r>
                </w:p>
              </w:tc>
            </w:tr>
            <w:tr w14:paraId="1499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42" w:type="dxa"/>
                  <w:vAlign w:val="center"/>
                </w:tcPr>
                <w:p w14:paraId="238597E1">
                  <w:pPr>
                    <w:jc w:val="center"/>
                    <w:rPr>
                      <w:rFonts w:hint="eastAsia" w:ascii="宋体" w:hAnsi="宋体" w:cs="宋体"/>
                      <w:color w:val="auto"/>
                      <w:szCs w:val="21"/>
                    </w:rPr>
                  </w:pPr>
                  <w:r>
                    <w:rPr>
                      <w:rFonts w:hint="eastAsia" w:ascii="宋体" w:hAnsi="宋体" w:cs="宋体"/>
                      <w:color w:val="auto"/>
                      <w:szCs w:val="21"/>
                    </w:rPr>
                    <w:t>8</w:t>
                  </w:r>
                </w:p>
              </w:tc>
              <w:tc>
                <w:tcPr>
                  <w:tcW w:w="2265" w:type="dxa"/>
                  <w:vAlign w:val="center"/>
                </w:tcPr>
                <w:p w14:paraId="572052A7">
                  <w:pPr>
                    <w:jc w:val="center"/>
                    <w:rPr>
                      <w:color w:val="auto"/>
                      <w:szCs w:val="21"/>
                    </w:rPr>
                  </w:pPr>
                  <w:r>
                    <w:rPr>
                      <w:rFonts w:hint="eastAsia" w:ascii="宋体" w:hAnsi="宋体" w:cs="宋体"/>
                      <w:color w:val="auto"/>
                      <w:szCs w:val="21"/>
                    </w:rPr>
                    <w:t>除臭剂</w:t>
                  </w:r>
                </w:p>
              </w:tc>
              <w:tc>
                <w:tcPr>
                  <w:tcW w:w="1405" w:type="dxa"/>
                  <w:vAlign w:val="center"/>
                </w:tcPr>
                <w:p w14:paraId="0E0FA830">
                  <w:pPr>
                    <w:jc w:val="center"/>
                    <w:rPr>
                      <w:rFonts w:hint="eastAsia" w:ascii="宋体" w:hAnsi="宋体" w:cs="宋体"/>
                      <w:color w:val="auto"/>
                      <w:szCs w:val="21"/>
                    </w:rPr>
                  </w:pPr>
                  <w:r>
                    <w:rPr>
                      <w:rFonts w:hint="eastAsia"/>
                      <w:color w:val="auto"/>
                      <w:szCs w:val="21"/>
                    </w:rPr>
                    <w:t>0.1</w:t>
                  </w:r>
                  <w:r>
                    <w:rPr>
                      <w:rFonts w:hint="eastAsia" w:ascii="宋体" w:hAnsi="宋体" w:cs="宋体"/>
                      <w:color w:val="auto"/>
                      <w:szCs w:val="21"/>
                    </w:rPr>
                    <w:t>t/a</w:t>
                  </w:r>
                </w:p>
              </w:tc>
              <w:tc>
                <w:tcPr>
                  <w:tcW w:w="1553" w:type="dxa"/>
                  <w:vAlign w:val="center"/>
                </w:tcPr>
                <w:p w14:paraId="09B3F2E9">
                  <w:pPr>
                    <w:jc w:val="center"/>
                    <w:rPr>
                      <w:color w:val="auto"/>
                      <w:szCs w:val="21"/>
                    </w:rPr>
                  </w:pPr>
                  <w:r>
                    <w:rPr>
                      <w:rFonts w:hint="eastAsia" w:ascii="宋体" w:hAnsi="宋体" w:cs="宋体"/>
                      <w:color w:val="auto"/>
                      <w:szCs w:val="21"/>
                    </w:rPr>
                    <w:t>0.05t</w:t>
                  </w:r>
                </w:p>
              </w:tc>
              <w:tc>
                <w:tcPr>
                  <w:tcW w:w="2392" w:type="dxa"/>
                  <w:vAlign w:val="center"/>
                </w:tcPr>
                <w:p w14:paraId="577A9455">
                  <w:pPr>
                    <w:jc w:val="center"/>
                    <w:rPr>
                      <w:rFonts w:hint="eastAsia" w:ascii="宋体" w:hAnsi="宋体" w:cs="宋体"/>
                      <w:color w:val="auto"/>
                      <w:szCs w:val="21"/>
                    </w:rPr>
                  </w:pPr>
                  <w:r>
                    <w:rPr>
                      <w:rFonts w:hint="eastAsia" w:ascii="宋体" w:hAnsi="宋体" w:cs="宋体"/>
                      <w:color w:val="auto"/>
                      <w:szCs w:val="21"/>
                    </w:rPr>
                    <w:t>污水处理站除臭使用</w:t>
                  </w:r>
                </w:p>
              </w:tc>
            </w:tr>
            <w:tr w14:paraId="0BEB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5C7EBC64">
                  <w:pPr>
                    <w:jc w:val="center"/>
                    <w:rPr>
                      <w:rFonts w:hint="eastAsia" w:ascii="宋体" w:hAnsi="宋体" w:cs="宋体"/>
                      <w:color w:val="auto"/>
                      <w:szCs w:val="21"/>
                    </w:rPr>
                  </w:pPr>
                  <w:r>
                    <w:rPr>
                      <w:rFonts w:hint="eastAsia" w:ascii="宋体" w:hAnsi="宋体" w:cs="宋体"/>
                      <w:color w:val="auto"/>
                      <w:szCs w:val="21"/>
                    </w:rPr>
                    <w:t>二</w:t>
                  </w:r>
                </w:p>
              </w:tc>
              <w:tc>
                <w:tcPr>
                  <w:tcW w:w="7615" w:type="dxa"/>
                  <w:gridSpan w:val="4"/>
                  <w:vAlign w:val="center"/>
                </w:tcPr>
                <w:p w14:paraId="050E2D43">
                  <w:pPr>
                    <w:jc w:val="center"/>
                    <w:rPr>
                      <w:rFonts w:hint="eastAsia" w:ascii="宋体" w:hAnsi="宋体" w:cs="宋体"/>
                      <w:color w:val="auto"/>
                      <w:szCs w:val="21"/>
                    </w:rPr>
                  </w:pPr>
                  <w:r>
                    <w:rPr>
                      <w:rFonts w:hint="eastAsia" w:ascii="宋体" w:hAnsi="宋体" w:cs="宋体"/>
                      <w:color w:val="auto"/>
                      <w:szCs w:val="21"/>
                    </w:rPr>
                    <w:t>能源</w:t>
                  </w:r>
                </w:p>
              </w:tc>
            </w:tr>
            <w:tr w14:paraId="7E34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52F15774">
                  <w:pPr>
                    <w:jc w:val="center"/>
                    <w:rPr>
                      <w:rFonts w:hint="eastAsia" w:ascii="宋体" w:hAnsi="宋体" w:cs="宋体"/>
                      <w:color w:val="auto"/>
                      <w:szCs w:val="21"/>
                    </w:rPr>
                  </w:pPr>
                  <w:r>
                    <w:rPr>
                      <w:rFonts w:hint="eastAsia" w:ascii="宋体" w:hAnsi="宋体" w:cs="宋体"/>
                      <w:color w:val="auto"/>
                      <w:szCs w:val="21"/>
                    </w:rPr>
                    <w:t>1</w:t>
                  </w:r>
                </w:p>
              </w:tc>
              <w:tc>
                <w:tcPr>
                  <w:tcW w:w="2265" w:type="dxa"/>
                  <w:vAlign w:val="center"/>
                </w:tcPr>
                <w:p w14:paraId="0FB4DC74">
                  <w:pPr>
                    <w:jc w:val="center"/>
                    <w:rPr>
                      <w:rFonts w:hint="eastAsia" w:ascii="宋体" w:hAnsi="宋体" w:cs="宋体"/>
                      <w:color w:val="auto"/>
                      <w:szCs w:val="21"/>
                    </w:rPr>
                  </w:pPr>
                  <w:r>
                    <w:rPr>
                      <w:rFonts w:hint="eastAsia" w:ascii="宋体" w:hAnsi="宋体" w:cs="宋体"/>
                      <w:color w:val="auto"/>
                      <w:szCs w:val="21"/>
                    </w:rPr>
                    <w:t>水</w:t>
                  </w:r>
                </w:p>
              </w:tc>
              <w:tc>
                <w:tcPr>
                  <w:tcW w:w="1405" w:type="dxa"/>
                  <w:vAlign w:val="center"/>
                </w:tcPr>
                <w:p w14:paraId="287A036B">
                  <w:pPr>
                    <w:jc w:val="center"/>
                    <w:rPr>
                      <w:rFonts w:hint="eastAsia" w:ascii="宋体" w:hAnsi="宋体" w:cs="宋体"/>
                      <w:color w:val="auto"/>
                      <w:szCs w:val="21"/>
                    </w:rPr>
                  </w:pPr>
                  <w:r>
                    <w:rPr>
                      <w:rFonts w:hint="eastAsia" w:ascii="宋体" w:hAnsi="宋体" w:cs="宋体"/>
                      <w:color w:val="auto"/>
                      <w:szCs w:val="21"/>
                    </w:rPr>
                    <w:t>3073.3t/a</w:t>
                  </w:r>
                </w:p>
              </w:tc>
              <w:tc>
                <w:tcPr>
                  <w:tcW w:w="1553" w:type="dxa"/>
                  <w:vAlign w:val="center"/>
                </w:tcPr>
                <w:p w14:paraId="6BE1D8F7">
                  <w:pPr>
                    <w:jc w:val="center"/>
                    <w:rPr>
                      <w:rFonts w:hint="eastAsia" w:ascii="宋体" w:hAnsi="宋体" w:cs="宋体"/>
                      <w:color w:val="auto"/>
                      <w:szCs w:val="21"/>
                    </w:rPr>
                  </w:pPr>
                  <w:r>
                    <w:rPr>
                      <w:rFonts w:hint="eastAsia" w:ascii="宋体" w:hAnsi="宋体" w:cs="宋体"/>
                      <w:color w:val="auto"/>
                      <w:szCs w:val="21"/>
                    </w:rPr>
                    <w:t>/</w:t>
                  </w:r>
                </w:p>
              </w:tc>
              <w:tc>
                <w:tcPr>
                  <w:tcW w:w="2392" w:type="dxa"/>
                  <w:vAlign w:val="center"/>
                </w:tcPr>
                <w:p w14:paraId="524D654E">
                  <w:pPr>
                    <w:jc w:val="center"/>
                    <w:rPr>
                      <w:rFonts w:hint="eastAsia" w:ascii="宋体" w:hAnsi="宋体" w:cs="宋体"/>
                      <w:color w:val="auto"/>
                      <w:szCs w:val="21"/>
                    </w:rPr>
                  </w:pPr>
                  <w:r>
                    <w:rPr>
                      <w:rFonts w:hint="eastAsia" w:ascii="宋体" w:hAnsi="宋体" w:cs="宋体"/>
                      <w:color w:val="auto"/>
                      <w:szCs w:val="21"/>
                    </w:rPr>
                    <w:t>市政供水管网</w:t>
                  </w:r>
                </w:p>
              </w:tc>
            </w:tr>
            <w:tr w14:paraId="30A0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346D436B">
                  <w:pPr>
                    <w:jc w:val="center"/>
                    <w:rPr>
                      <w:rFonts w:hint="eastAsia" w:ascii="宋体" w:hAnsi="宋体" w:cs="宋体"/>
                      <w:color w:val="auto"/>
                      <w:szCs w:val="21"/>
                    </w:rPr>
                  </w:pPr>
                  <w:r>
                    <w:rPr>
                      <w:rFonts w:hint="eastAsia" w:ascii="宋体" w:hAnsi="宋体" w:cs="宋体"/>
                      <w:color w:val="auto"/>
                      <w:szCs w:val="21"/>
                    </w:rPr>
                    <w:t>2</w:t>
                  </w:r>
                </w:p>
              </w:tc>
              <w:tc>
                <w:tcPr>
                  <w:tcW w:w="2265" w:type="dxa"/>
                  <w:vAlign w:val="center"/>
                </w:tcPr>
                <w:p w14:paraId="5EC02BEC">
                  <w:pPr>
                    <w:jc w:val="center"/>
                    <w:rPr>
                      <w:rFonts w:hint="eastAsia" w:ascii="宋体" w:hAnsi="宋体" w:cs="宋体"/>
                      <w:color w:val="auto"/>
                      <w:szCs w:val="21"/>
                    </w:rPr>
                  </w:pPr>
                  <w:r>
                    <w:rPr>
                      <w:rFonts w:hint="eastAsia" w:ascii="宋体" w:hAnsi="宋体" w:cs="宋体"/>
                      <w:color w:val="auto"/>
                      <w:szCs w:val="21"/>
                    </w:rPr>
                    <w:t>电</w:t>
                  </w:r>
                </w:p>
              </w:tc>
              <w:tc>
                <w:tcPr>
                  <w:tcW w:w="1405" w:type="dxa"/>
                  <w:vAlign w:val="center"/>
                </w:tcPr>
                <w:p w14:paraId="0D61E497">
                  <w:pPr>
                    <w:jc w:val="center"/>
                    <w:rPr>
                      <w:rFonts w:hint="eastAsia" w:ascii="宋体" w:hAnsi="宋体" w:cs="宋体"/>
                      <w:color w:val="auto"/>
                      <w:szCs w:val="21"/>
                    </w:rPr>
                  </w:pPr>
                  <w:r>
                    <w:rPr>
                      <w:rFonts w:hint="eastAsia" w:ascii="宋体" w:hAnsi="宋体" w:cs="宋体"/>
                      <w:color w:val="auto"/>
                      <w:szCs w:val="21"/>
                    </w:rPr>
                    <w:t>13521kW.h</w:t>
                  </w:r>
                </w:p>
              </w:tc>
              <w:tc>
                <w:tcPr>
                  <w:tcW w:w="1553" w:type="dxa"/>
                  <w:vAlign w:val="center"/>
                </w:tcPr>
                <w:p w14:paraId="7F8B1EE3">
                  <w:pPr>
                    <w:jc w:val="center"/>
                    <w:rPr>
                      <w:rFonts w:hint="eastAsia" w:ascii="宋体" w:hAnsi="宋体" w:cs="宋体"/>
                      <w:color w:val="auto"/>
                      <w:szCs w:val="21"/>
                    </w:rPr>
                  </w:pPr>
                  <w:r>
                    <w:rPr>
                      <w:rFonts w:hint="eastAsia" w:ascii="宋体" w:hAnsi="宋体" w:cs="宋体"/>
                      <w:color w:val="auto"/>
                      <w:szCs w:val="21"/>
                    </w:rPr>
                    <w:t>/</w:t>
                  </w:r>
                </w:p>
              </w:tc>
              <w:tc>
                <w:tcPr>
                  <w:tcW w:w="2392" w:type="dxa"/>
                  <w:vAlign w:val="center"/>
                </w:tcPr>
                <w:p w14:paraId="172CE6D9">
                  <w:pPr>
                    <w:jc w:val="center"/>
                    <w:rPr>
                      <w:rFonts w:hint="eastAsia" w:ascii="宋体" w:hAnsi="宋体" w:cs="宋体"/>
                      <w:color w:val="auto"/>
                      <w:szCs w:val="21"/>
                    </w:rPr>
                  </w:pPr>
                  <w:r>
                    <w:rPr>
                      <w:rFonts w:hint="eastAsia" w:ascii="宋体" w:hAnsi="宋体" w:cs="宋体"/>
                      <w:color w:val="auto"/>
                      <w:szCs w:val="21"/>
                    </w:rPr>
                    <w:t>市政供电电网</w:t>
                  </w:r>
                </w:p>
              </w:tc>
            </w:tr>
            <w:tr w14:paraId="616D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42" w:type="dxa"/>
                  <w:vAlign w:val="center"/>
                </w:tcPr>
                <w:p w14:paraId="25E6F3B7">
                  <w:pPr>
                    <w:jc w:val="center"/>
                    <w:rPr>
                      <w:rFonts w:hint="eastAsia" w:ascii="宋体" w:hAnsi="宋体" w:cs="宋体"/>
                      <w:color w:val="auto"/>
                      <w:szCs w:val="21"/>
                    </w:rPr>
                  </w:pPr>
                  <w:r>
                    <w:rPr>
                      <w:rFonts w:hint="eastAsia" w:ascii="宋体" w:hAnsi="宋体" w:cs="宋体"/>
                      <w:color w:val="auto"/>
                      <w:szCs w:val="21"/>
                    </w:rPr>
                    <w:t>3</w:t>
                  </w:r>
                </w:p>
              </w:tc>
              <w:tc>
                <w:tcPr>
                  <w:tcW w:w="2265" w:type="dxa"/>
                  <w:vAlign w:val="center"/>
                </w:tcPr>
                <w:p w14:paraId="28206E9A">
                  <w:pPr>
                    <w:jc w:val="center"/>
                    <w:rPr>
                      <w:rFonts w:hint="eastAsia" w:ascii="宋体" w:hAnsi="宋体" w:cs="宋体"/>
                      <w:color w:val="auto"/>
                      <w:szCs w:val="21"/>
                    </w:rPr>
                  </w:pPr>
                  <w:r>
                    <w:rPr>
                      <w:rFonts w:hint="eastAsia" w:ascii="宋体" w:hAnsi="宋体" w:cs="宋体"/>
                      <w:color w:val="auto"/>
                      <w:szCs w:val="21"/>
                    </w:rPr>
                    <w:t>柴油</w:t>
                  </w:r>
                </w:p>
              </w:tc>
              <w:tc>
                <w:tcPr>
                  <w:tcW w:w="1405" w:type="dxa"/>
                  <w:vAlign w:val="center"/>
                </w:tcPr>
                <w:p w14:paraId="7F3FC97B">
                  <w:pPr>
                    <w:jc w:val="center"/>
                    <w:rPr>
                      <w:rFonts w:hint="eastAsia" w:ascii="宋体" w:hAnsi="宋体" w:cs="宋体"/>
                      <w:color w:val="auto"/>
                      <w:szCs w:val="21"/>
                    </w:rPr>
                  </w:pPr>
                  <w:r>
                    <w:rPr>
                      <w:rFonts w:hint="eastAsia"/>
                      <w:color w:val="auto"/>
                      <w:szCs w:val="21"/>
                    </w:rPr>
                    <w:t>0.05t/a</w:t>
                  </w:r>
                </w:p>
              </w:tc>
              <w:tc>
                <w:tcPr>
                  <w:tcW w:w="1553" w:type="dxa"/>
                  <w:vAlign w:val="center"/>
                </w:tcPr>
                <w:p w14:paraId="4D217516">
                  <w:pPr>
                    <w:jc w:val="center"/>
                    <w:rPr>
                      <w:rFonts w:hint="eastAsia" w:ascii="宋体" w:hAnsi="宋体" w:cs="宋体"/>
                      <w:color w:val="auto"/>
                      <w:szCs w:val="21"/>
                    </w:rPr>
                  </w:pPr>
                  <w:r>
                    <w:rPr>
                      <w:rFonts w:hint="eastAsia"/>
                      <w:color w:val="auto"/>
                      <w:szCs w:val="21"/>
                    </w:rPr>
                    <w:t>0.05t/a</w:t>
                  </w:r>
                </w:p>
              </w:tc>
              <w:tc>
                <w:tcPr>
                  <w:tcW w:w="2392" w:type="dxa"/>
                  <w:vAlign w:val="center"/>
                </w:tcPr>
                <w:p w14:paraId="17959B25">
                  <w:pPr>
                    <w:jc w:val="center"/>
                    <w:rPr>
                      <w:rFonts w:hint="eastAsia" w:ascii="宋体" w:hAnsi="宋体" w:cs="宋体"/>
                      <w:color w:val="auto"/>
                      <w:szCs w:val="21"/>
                    </w:rPr>
                  </w:pPr>
                  <w:r>
                    <w:rPr>
                      <w:rFonts w:hint="eastAsia"/>
                      <w:color w:val="auto"/>
                      <w:szCs w:val="21"/>
                    </w:rPr>
                    <w:t>柴油发电机使用，柴油不在卫生院内暂存</w:t>
                  </w:r>
                </w:p>
              </w:tc>
            </w:tr>
          </w:tbl>
          <w:p w14:paraId="4582442B">
            <w:pPr>
              <w:spacing w:before="120" w:beforeLines="50"/>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9</w:t>
            </w:r>
            <w:r>
              <w:rPr>
                <w:rFonts w:ascii="宋体" w:hAnsi="宋体" w:cs="宋体"/>
                <w:b/>
                <w:color w:val="auto"/>
                <w:sz w:val="24"/>
              </w:rPr>
              <w:t>项目</w:t>
            </w:r>
            <w:r>
              <w:rPr>
                <w:rFonts w:hint="eastAsia" w:ascii="宋体" w:hAnsi="宋体" w:cs="宋体"/>
                <w:b/>
                <w:color w:val="auto"/>
                <w:sz w:val="24"/>
              </w:rPr>
              <w:t>（九龙卫生院）主要</w:t>
            </w:r>
            <w:r>
              <w:rPr>
                <w:b/>
                <w:bCs/>
                <w:color w:val="auto"/>
                <w:sz w:val="24"/>
              </w:rPr>
              <w:t>原辅材料及能源</w:t>
            </w:r>
            <w:r>
              <w:rPr>
                <w:rFonts w:ascii="宋体" w:hAnsi="宋体" w:cs="宋体"/>
                <w:b/>
                <w:color w:val="auto"/>
                <w:sz w:val="24"/>
              </w:rPr>
              <w:t>消耗情况</w:t>
            </w:r>
          </w:p>
          <w:tbl>
            <w:tblPr>
              <w:tblStyle w:val="33"/>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2265"/>
              <w:gridCol w:w="1405"/>
              <w:gridCol w:w="1554"/>
              <w:gridCol w:w="2392"/>
            </w:tblGrid>
            <w:tr w14:paraId="7A60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blHeader/>
                <w:jc w:val="center"/>
              </w:trPr>
              <w:tc>
                <w:tcPr>
                  <w:tcW w:w="542" w:type="dxa"/>
                  <w:vAlign w:val="center"/>
                </w:tcPr>
                <w:p w14:paraId="317E0621">
                  <w:pPr>
                    <w:jc w:val="center"/>
                    <w:rPr>
                      <w:rFonts w:hint="eastAsia" w:ascii="宋体" w:hAnsi="宋体" w:cs="宋体"/>
                      <w:color w:val="auto"/>
                      <w:szCs w:val="21"/>
                    </w:rPr>
                  </w:pPr>
                  <w:r>
                    <w:rPr>
                      <w:rFonts w:hint="eastAsia" w:ascii="宋体" w:hAnsi="宋体" w:cs="宋体"/>
                      <w:color w:val="auto"/>
                      <w:szCs w:val="21"/>
                    </w:rPr>
                    <w:t>序号</w:t>
                  </w:r>
                </w:p>
              </w:tc>
              <w:tc>
                <w:tcPr>
                  <w:tcW w:w="2265" w:type="dxa"/>
                  <w:vAlign w:val="center"/>
                </w:tcPr>
                <w:p w14:paraId="4ABDF807">
                  <w:pPr>
                    <w:jc w:val="center"/>
                    <w:rPr>
                      <w:rFonts w:hint="eastAsia" w:ascii="宋体" w:hAnsi="宋体" w:cs="宋体"/>
                      <w:color w:val="auto"/>
                      <w:szCs w:val="21"/>
                    </w:rPr>
                  </w:pPr>
                  <w:r>
                    <w:rPr>
                      <w:rFonts w:hint="eastAsia" w:ascii="宋体" w:hAnsi="宋体" w:cs="宋体"/>
                      <w:color w:val="auto"/>
                      <w:szCs w:val="21"/>
                    </w:rPr>
                    <w:t>医疗用品</w:t>
                  </w:r>
                </w:p>
              </w:tc>
              <w:tc>
                <w:tcPr>
                  <w:tcW w:w="1405" w:type="dxa"/>
                  <w:vAlign w:val="center"/>
                </w:tcPr>
                <w:p w14:paraId="74E10ECA">
                  <w:pPr>
                    <w:jc w:val="center"/>
                    <w:rPr>
                      <w:rFonts w:hint="eastAsia" w:ascii="宋体" w:hAnsi="宋体" w:cs="宋体"/>
                      <w:color w:val="auto"/>
                      <w:szCs w:val="21"/>
                    </w:rPr>
                  </w:pPr>
                  <w:r>
                    <w:rPr>
                      <w:rFonts w:hint="eastAsia" w:ascii="宋体" w:hAnsi="宋体" w:cs="宋体"/>
                      <w:color w:val="auto"/>
                      <w:szCs w:val="21"/>
                    </w:rPr>
                    <w:t>用量</w:t>
                  </w:r>
                </w:p>
              </w:tc>
              <w:tc>
                <w:tcPr>
                  <w:tcW w:w="1554" w:type="dxa"/>
                  <w:vAlign w:val="center"/>
                </w:tcPr>
                <w:p w14:paraId="79014AF3">
                  <w:pPr>
                    <w:jc w:val="center"/>
                    <w:rPr>
                      <w:rFonts w:hint="eastAsia" w:ascii="宋体" w:hAnsi="宋体" w:cs="宋体"/>
                      <w:color w:val="auto"/>
                      <w:szCs w:val="21"/>
                    </w:rPr>
                  </w:pPr>
                  <w:r>
                    <w:rPr>
                      <w:rFonts w:hint="eastAsia" w:ascii="宋体" w:hAnsi="宋体" w:cs="宋体"/>
                      <w:color w:val="auto"/>
                      <w:szCs w:val="21"/>
                    </w:rPr>
                    <w:t>院内最大存储量</w:t>
                  </w:r>
                </w:p>
              </w:tc>
              <w:tc>
                <w:tcPr>
                  <w:tcW w:w="2392" w:type="dxa"/>
                  <w:vAlign w:val="center"/>
                </w:tcPr>
                <w:p w14:paraId="41A537F3">
                  <w:pPr>
                    <w:jc w:val="center"/>
                    <w:rPr>
                      <w:rFonts w:hint="eastAsia" w:ascii="宋体" w:hAnsi="宋体" w:cs="宋体"/>
                      <w:color w:val="auto"/>
                      <w:szCs w:val="21"/>
                    </w:rPr>
                  </w:pPr>
                  <w:r>
                    <w:rPr>
                      <w:rFonts w:hint="eastAsia" w:ascii="宋体" w:hAnsi="宋体" w:cs="宋体"/>
                      <w:color w:val="auto"/>
                      <w:szCs w:val="21"/>
                    </w:rPr>
                    <w:t>备注</w:t>
                  </w:r>
                </w:p>
              </w:tc>
            </w:tr>
            <w:tr w14:paraId="7A13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42" w:type="dxa"/>
                  <w:vAlign w:val="center"/>
                </w:tcPr>
                <w:p w14:paraId="597EF247">
                  <w:pPr>
                    <w:jc w:val="center"/>
                    <w:rPr>
                      <w:rFonts w:hint="eastAsia" w:ascii="宋体" w:hAnsi="宋体" w:cs="宋体"/>
                      <w:color w:val="auto"/>
                      <w:szCs w:val="21"/>
                    </w:rPr>
                  </w:pPr>
                  <w:r>
                    <w:rPr>
                      <w:rFonts w:hint="eastAsia" w:ascii="宋体" w:hAnsi="宋体" w:cs="宋体"/>
                      <w:color w:val="auto"/>
                      <w:szCs w:val="21"/>
                    </w:rPr>
                    <w:t>一</w:t>
                  </w:r>
                </w:p>
              </w:tc>
              <w:tc>
                <w:tcPr>
                  <w:tcW w:w="7616" w:type="dxa"/>
                  <w:gridSpan w:val="4"/>
                  <w:vAlign w:val="center"/>
                </w:tcPr>
                <w:p w14:paraId="76216455">
                  <w:pPr>
                    <w:jc w:val="center"/>
                    <w:rPr>
                      <w:rFonts w:hint="eastAsia" w:ascii="宋体" w:hAnsi="宋体" w:cs="宋体"/>
                      <w:color w:val="auto"/>
                      <w:szCs w:val="21"/>
                    </w:rPr>
                  </w:pPr>
                  <w:r>
                    <w:rPr>
                      <w:rFonts w:hint="eastAsia" w:ascii="宋体" w:hAnsi="宋体" w:cs="宋体"/>
                      <w:color w:val="auto"/>
                      <w:szCs w:val="21"/>
                    </w:rPr>
                    <w:t>原辅料</w:t>
                  </w:r>
                </w:p>
              </w:tc>
            </w:tr>
            <w:tr w14:paraId="4D64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47555208">
                  <w:pPr>
                    <w:jc w:val="center"/>
                    <w:rPr>
                      <w:rFonts w:hint="eastAsia" w:ascii="宋体" w:hAnsi="宋体" w:cs="宋体"/>
                      <w:color w:val="auto"/>
                      <w:szCs w:val="21"/>
                    </w:rPr>
                  </w:pPr>
                  <w:r>
                    <w:rPr>
                      <w:rFonts w:hint="eastAsia" w:ascii="宋体" w:hAnsi="宋体" w:cs="宋体"/>
                      <w:color w:val="auto"/>
                      <w:szCs w:val="21"/>
                    </w:rPr>
                    <w:t>1</w:t>
                  </w:r>
                </w:p>
              </w:tc>
              <w:tc>
                <w:tcPr>
                  <w:tcW w:w="2265" w:type="dxa"/>
                  <w:vAlign w:val="center"/>
                </w:tcPr>
                <w:p w14:paraId="2F38C8A9">
                  <w:pPr>
                    <w:jc w:val="center"/>
                    <w:rPr>
                      <w:rFonts w:hint="eastAsia" w:ascii="宋体" w:hAnsi="宋体" w:cs="宋体"/>
                      <w:color w:val="auto"/>
                      <w:szCs w:val="21"/>
                    </w:rPr>
                  </w:pPr>
                  <w:r>
                    <w:rPr>
                      <w:rFonts w:hint="eastAsia" w:ascii="宋体" w:hAnsi="宋体" w:cs="宋体"/>
                      <w:color w:val="auto"/>
                      <w:szCs w:val="21"/>
                    </w:rPr>
                    <w:t>注射器</w:t>
                  </w:r>
                </w:p>
              </w:tc>
              <w:tc>
                <w:tcPr>
                  <w:tcW w:w="1405" w:type="dxa"/>
                  <w:vAlign w:val="center"/>
                </w:tcPr>
                <w:p w14:paraId="3076C760">
                  <w:pPr>
                    <w:jc w:val="center"/>
                    <w:rPr>
                      <w:rFonts w:hint="eastAsia" w:ascii="宋体" w:hAnsi="宋体" w:cs="宋体"/>
                      <w:color w:val="auto"/>
                      <w:szCs w:val="21"/>
                    </w:rPr>
                  </w:pPr>
                  <w:r>
                    <w:rPr>
                      <w:rFonts w:hint="eastAsia" w:ascii="宋体" w:hAnsi="宋体" w:cs="宋体"/>
                      <w:color w:val="auto"/>
                      <w:szCs w:val="21"/>
                    </w:rPr>
                    <w:t>13000个/a</w:t>
                  </w:r>
                </w:p>
              </w:tc>
              <w:tc>
                <w:tcPr>
                  <w:tcW w:w="1554" w:type="dxa"/>
                  <w:vAlign w:val="center"/>
                </w:tcPr>
                <w:p w14:paraId="57CB6865">
                  <w:pPr>
                    <w:jc w:val="center"/>
                    <w:rPr>
                      <w:rFonts w:hint="eastAsia" w:ascii="宋体" w:hAnsi="宋体" w:cs="宋体"/>
                      <w:color w:val="auto"/>
                      <w:szCs w:val="21"/>
                    </w:rPr>
                  </w:pPr>
                  <w:r>
                    <w:rPr>
                      <w:rFonts w:hint="eastAsia" w:ascii="宋体" w:hAnsi="宋体" w:cs="宋体"/>
                      <w:color w:val="auto"/>
                      <w:szCs w:val="21"/>
                    </w:rPr>
                    <w:t>500个</w:t>
                  </w:r>
                </w:p>
              </w:tc>
              <w:tc>
                <w:tcPr>
                  <w:tcW w:w="2392" w:type="dxa"/>
                  <w:vAlign w:val="center"/>
                </w:tcPr>
                <w:p w14:paraId="3170BF36">
                  <w:pPr>
                    <w:jc w:val="center"/>
                    <w:rPr>
                      <w:rFonts w:hint="eastAsia" w:ascii="宋体" w:hAnsi="宋体" w:cs="宋体"/>
                      <w:color w:val="auto"/>
                      <w:szCs w:val="21"/>
                    </w:rPr>
                  </w:pPr>
                  <w:r>
                    <w:rPr>
                      <w:rFonts w:hint="eastAsia" w:ascii="宋体" w:hAnsi="宋体" w:cs="宋体"/>
                      <w:color w:val="auto"/>
                      <w:szCs w:val="21"/>
                    </w:rPr>
                    <w:t>/</w:t>
                  </w:r>
                </w:p>
              </w:tc>
            </w:tr>
            <w:tr w14:paraId="6F7D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1C67E56C">
                  <w:pPr>
                    <w:jc w:val="center"/>
                    <w:rPr>
                      <w:rFonts w:hint="eastAsia" w:ascii="宋体" w:hAnsi="宋体" w:cs="宋体"/>
                      <w:color w:val="auto"/>
                      <w:szCs w:val="21"/>
                    </w:rPr>
                  </w:pPr>
                  <w:r>
                    <w:rPr>
                      <w:rFonts w:hint="eastAsia" w:ascii="宋体" w:hAnsi="宋体" w:cs="宋体"/>
                      <w:color w:val="auto"/>
                      <w:szCs w:val="21"/>
                    </w:rPr>
                    <w:t>2</w:t>
                  </w:r>
                </w:p>
              </w:tc>
              <w:tc>
                <w:tcPr>
                  <w:tcW w:w="2265" w:type="dxa"/>
                  <w:vAlign w:val="center"/>
                </w:tcPr>
                <w:p w14:paraId="58D913DC">
                  <w:pPr>
                    <w:jc w:val="center"/>
                    <w:rPr>
                      <w:rFonts w:hint="eastAsia" w:ascii="宋体" w:hAnsi="宋体" w:cs="宋体"/>
                      <w:color w:val="auto"/>
                      <w:szCs w:val="21"/>
                    </w:rPr>
                  </w:pPr>
                  <w:r>
                    <w:rPr>
                      <w:rFonts w:hint="eastAsia" w:ascii="宋体" w:hAnsi="宋体" w:cs="宋体"/>
                      <w:color w:val="auto"/>
                      <w:szCs w:val="21"/>
                    </w:rPr>
                    <w:t>输液管</w:t>
                  </w:r>
                </w:p>
              </w:tc>
              <w:tc>
                <w:tcPr>
                  <w:tcW w:w="1405" w:type="dxa"/>
                  <w:vAlign w:val="center"/>
                </w:tcPr>
                <w:p w14:paraId="1ADBBE88">
                  <w:pPr>
                    <w:jc w:val="center"/>
                    <w:rPr>
                      <w:rFonts w:hint="eastAsia" w:ascii="宋体" w:hAnsi="宋体" w:cs="宋体"/>
                      <w:color w:val="auto"/>
                      <w:szCs w:val="21"/>
                    </w:rPr>
                  </w:pPr>
                  <w:r>
                    <w:rPr>
                      <w:rFonts w:hint="eastAsia" w:ascii="宋体" w:hAnsi="宋体" w:cs="宋体"/>
                      <w:color w:val="auto"/>
                      <w:szCs w:val="21"/>
                    </w:rPr>
                    <w:t>12000套/a</w:t>
                  </w:r>
                </w:p>
              </w:tc>
              <w:tc>
                <w:tcPr>
                  <w:tcW w:w="1554" w:type="dxa"/>
                  <w:vAlign w:val="center"/>
                </w:tcPr>
                <w:p w14:paraId="7B29388D">
                  <w:pPr>
                    <w:jc w:val="center"/>
                    <w:rPr>
                      <w:rFonts w:hint="eastAsia" w:ascii="宋体" w:hAnsi="宋体" w:cs="宋体"/>
                      <w:color w:val="auto"/>
                      <w:szCs w:val="21"/>
                    </w:rPr>
                  </w:pPr>
                  <w:r>
                    <w:rPr>
                      <w:rFonts w:hint="eastAsia" w:ascii="宋体" w:hAnsi="宋体" w:cs="宋体"/>
                      <w:color w:val="auto"/>
                      <w:szCs w:val="21"/>
                    </w:rPr>
                    <w:t>1000套</w:t>
                  </w:r>
                </w:p>
              </w:tc>
              <w:tc>
                <w:tcPr>
                  <w:tcW w:w="2392" w:type="dxa"/>
                  <w:vAlign w:val="center"/>
                </w:tcPr>
                <w:p w14:paraId="776B6E8F">
                  <w:pPr>
                    <w:jc w:val="center"/>
                    <w:rPr>
                      <w:rFonts w:hint="eastAsia" w:ascii="宋体" w:hAnsi="宋体" w:cs="宋体"/>
                      <w:color w:val="auto"/>
                      <w:szCs w:val="21"/>
                    </w:rPr>
                  </w:pPr>
                  <w:r>
                    <w:rPr>
                      <w:rFonts w:hint="eastAsia" w:ascii="宋体" w:hAnsi="宋体" w:cs="宋体"/>
                      <w:color w:val="auto"/>
                      <w:szCs w:val="21"/>
                    </w:rPr>
                    <w:t>/</w:t>
                  </w:r>
                </w:p>
              </w:tc>
            </w:tr>
            <w:tr w14:paraId="3D09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35532221">
                  <w:pPr>
                    <w:jc w:val="center"/>
                    <w:rPr>
                      <w:rFonts w:hint="eastAsia" w:ascii="宋体" w:hAnsi="宋体" w:cs="宋体"/>
                      <w:color w:val="auto"/>
                      <w:szCs w:val="21"/>
                    </w:rPr>
                  </w:pPr>
                  <w:r>
                    <w:rPr>
                      <w:rFonts w:hint="eastAsia" w:ascii="宋体" w:hAnsi="宋体" w:cs="宋体"/>
                      <w:color w:val="auto"/>
                      <w:szCs w:val="21"/>
                    </w:rPr>
                    <w:t>3</w:t>
                  </w:r>
                </w:p>
              </w:tc>
              <w:tc>
                <w:tcPr>
                  <w:tcW w:w="2265" w:type="dxa"/>
                  <w:vAlign w:val="center"/>
                </w:tcPr>
                <w:p w14:paraId="5151090E">
                  <w:pPr>
                    <w:jc w:val="center"/>
                    <w:rPr>
                      <w:rFonts w:hint="eastAsia" w:ascii="宋体" w:hAnsi="宋体" w:cs="宋体"/>
                      <w:color w:val="auto"/>
                      <w:szCs w:val="21"/>
                    </w:rPr>
                  </w:pPr>
                  <w:r>
                    <w:rPr>
                      <w:rFonts w:hint="eastAsia" w:ascii="宋体" w:hAnsi="宋体" w:cs="宋体"/>
                      <w:color w:val="auto"/>
                      <w:szCs w:val="21"/>
                    </w:rPr>
                    <w:t>医用棉签</w:t>
                  </w:r>
                </w:p>
              </w:tc>
              <w:tc>
                <w:tcPr>
                  <w:tcW w:w="1405" w:type="dxa"/>
                  <w:vAlign w:val="center"/>
                </w:tcPr>
                <w:p w14:paraId="2CD5395A">
                  <w:pPr>
                    <w:jc w:val="center"/>
                    <w:rPr>
                      <w:rFonts w:hint="eastAsia" w:ascii="宋体" w:hAnsi="宋体" w:cs="宋体"/>
                      <w:color w:val="auto"/>
                      <w:szCs w:val="21"/>
                    </w:rPr>
                  </w:pPr>
                  <w:r>
                    <w:rPr>
                      <w:rFonts w:hint="eastAsia" w:ascii="宋体" w:hAnsi="宋体" w:cs="宋体"/>
                      <w:color w:val="auto"/>
                      <w:szCs w:val="21"/>
                    </w:rPr>
                    <w:t>80包/a</w:t>
                  </w:r>
                </w:p>
              </w:tc>
              <w:tc>
                <w:tcPr>
                  <w:tcW w:w="1554" w:type="dxa"/>
                  <w:vAlign w:val="center"/>
                </w:tcPr>
                <w:p w14:paraId="0B05EE51">
                  <w:pPr>
                    <w:jc w:val="center"/>
                    <w:rPr>
                      <w:rFonts w:hint="eastAsia" w:ascii="宋体" w:hAnsi="宋体" w:cs="宋体"/>
                      <w:color w:val="auto"/>
                      <w:szCs w:val="21"/>
                    </w:rPr>
                  </w:pPr>
                  <w:r>
                    <w:rPr>
                      <w:rFonts w:hint="eastAsia" w:ascii="宋体" w:hAnsi="宋体" w:cs="宋体"/>
                      <w:color w:val="auto"/>
                      <w:szCs w:val="21"/>
                    </w:rPr>
                    <w:t>10包</w:t>
                  </w:r>
                </w:p>
              </w:tc>
              <w:tc>
                <w:tcPr>
                  <w:tcW w:w="2392" w:type="dxa"/>
                  <w:vAlign w:val="center"/>
                </w:tcPr>
                <w:p w14:paraId="7D944AE0">
                  <w:pPr>
                    <w:jc w:val="center"/>
                    <w:rPr>
                      <w:rFonts w:hint="eastAsia" w:ascii="宋体" w:hAnsi="宋体" w:cs="宋体"/>
                      <w:color w:val="auto"/>
                      <w:szCs w:val="21"/>
                    </w:rPr>
                  </w:pPr>
                  <w:r>
                    <w:rPr>
                      <w:rFonts w:hint="eastAsia" w:ascii="宋体" w:hAnsi="宋体" w:cs="宋体"/>
                      <w:color w:val="auto"/>
                      <w:szCs w:val="21"/>
                    </w:rPr>
                    <w:t>/</w:t>
                  </w:r>
                </w:p>
              </w:tc>
            </w:tr>
            <w:tr w14:paraId="3B14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2DF74E46">
                  <w:pPr>
                    <w:jc w:val="center"/>
                    <w:rPr>
                      <w:rFonts w:hint="eastAsia" w:ascii="宋体" w:hAnsi="宋体" w:cs="宋体"/>
                      <w:color w:val="auto"/>
                      <w:szCs w:val="21"/>
                    </w:rPr>
                  </w:pPr>
                  <w:r>
                    <w:rPr>
                      <w:rFonts w:hint="eastAsia" w:ascii="宋体" w:hAnsi="宋体" w:cs="宋体"/>
                      <w:color w:val="auto"/>
                      <w:szCs w:val="21"/>
                    </w:rPr>
                    <w:t>4</w:t>
                  </w:r>
                </w:p>
              </w:tc>
              <w:tc>
                <w:tcPr>
                  <w:tcW w:w="2265" w:type="dxa"/>
                  <w:vAlign w:val="center"/>
                </w:tcPr>
                <w:p w14:paraId="03829E83">
                  <w:pPr>
                    <w:jc w:val="center"/>
                    <w:rPr>
                      <w:rFonts w:hint="eastAsia" w:ascii="宋体" w:hAnsi="宋体" w:cs="宋体"/>
                      <w:color w:val="auto"/>
                      <w:szCs w:val="21"/>
                    </w:rPr>
                  </w:pPr>
                  <w:r>
                    <w:rPr>
                      <w:rFonts w:hint="eastAsia" w:ascii="宋体" w:hAnsi="宋体" w:cs="宋体"/>
                      <w:color w:val="auto"/>
                      <w:szCs w:val="21"/>
                    </w:rPr>
                    <w:t>纱布</w:t>
                  </w:r>
                </w:p>
              </w:tc>
              <w:tc>
                <w:tcPr>
                  <w:tcW w:w="1405" w:type="dxa"/>
                  <w:vAlign w:val="center"/>
                </w:tcPr>
                <w:p w14:paraId="4507BB37">
                  <w:pPr>
                    <w:jc w:val="center"/>
                    <w:rPr>
                      <w:rFonts w:hint="eastAsia" w:ascii="宋体" w:hAnsi="宋体" w:cs="宋体"/>
                      <w:color w:val="auto"/>
                      <w:szCs w:val="21"/>
                    </w:rPr>
                  </w:pPr>
                  <w:r>
                    <w:rPr>
                      <w:rFonts w:hint="eastAsia" w:ascii="宋体" w:hAnsi="宋体" w:cs="宋体"/>
                      <w:color w:val="auto"/>
                      <w:szCs w:val="21"/>
                    </w:rPr>
                    <w:t>150包/a</w:t>
                  </w:r>
                </w:p>
              </w:tc>
              <w:tc>
                <w:tcPr>
                  <w:tcW w:w="1554" w:type="dxa"/>
                  <w:vAlign w:val="center"/>
                </w:tcPr>
                <w:p w14:paraId="54A60C97">
                  <w:pPr>
                    <w:jc w:val="center"/>
                    <w:rPr>
                      <w:rFonts w:hint="eastAsia" w:ascii="宋体" w:hAnsi="宋体" w:cs="宋体"/>
                      <w:color w:val="auto"/>
                      <w:szCs w:val="21"/>
                    </w:rPr>
                  </w:pPr>
                  <w:r>
                    <w:rPr>
                      <w:rFonts w:hint="eastAsia" w:ascii="宋体" w:hAnsi="宋体" w:cs="宋体"/>
                      <w:color w:val="auto"/>
                      <w:szCs w:val="21"/>
                    </w:rPr>
                    <w:t>20包</w:t>
                  </w:r>
                </w:p>
              </w:tc>
              <w:tc>
                <w:tcPr>
                  <w:tcW w:w="2392" w:type="dxa"/>
                  <w:vAlign w:val="center"/>
                </w:tcPr>
                <w:p w14:paraId="013DCE02">
                  <w:pPr>
                    <w:jc w:val="center"/>
                    <w:rPr>
                      <w:rFonts w:hint="eastAsia" w:ascii="宋体" w:hAnsi="宋体" w:cs="宋体"/>
                      <w:color w:val="auto"/>
                      <w:szCs w:val="21"/>
                    </w:rPr>
                  </w:pPr>
                  <w:r>
                    <w:rPr>
                      <w:rFonts w:hint="eastAsia" w:ascii="宋体" w:hAnsi="宋体" w:cs="宋体"/>
                      <w:color w:val="auto"/>
                      <w:szCs w:val="21"/>
                    </w:rPr>
                    <w:t>/</w:t>
                  </w:r>
                </w:p>
              </w:tc>
            </w:tr>
            <w:tr w14:paraId="574A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2" w:type="dxa"/>
                  <w:vAlign w:val="center"/>
                </w:tcPr>
                <w:p w14:paraId="27C98D51">
                  <w:pPr>
                    <w:jc w:val="center"/>
                    <w:rPr>
                      <w:rFonts w:hint="eastAsia" w:ascii="宋体" w:hAnsi="宋体" w:cs="宋体"/>
                      <w:color w:val="auto"/>
                      <w:szCs w:val="21"/>
                    </w:rPr>
                  </w:pPr>
                  <w:r>
                    <w:rPr>
                      <w:rFonts w:hint="eastAsia" w:ascii="宋体" w:hAnsi="宋体" w:cs="宋体"/>
                      <w:color w:val="auto"/>
                      <w:szCs w:val="21"/>
                    </w:rPr>
                    <w:t>5</w:t>
                  </w:r>
                </w:p>
              </w:tc>
              <w:tc>
                <w:tcPr>
                  <w:tcW w:w="2265" w:type="dxa"/>
                  <w:vAlign w:val="center"/>
                </w:tcPr>
                <w:p w14:paraId="7A3F3104">
                  <w:pPr>
                    <w:jc w:val="center"/>
                    <w:rPr>
                      <w:rFonts w:hint="eastAsia" w:ascii="宋体" w:hAnsi="宋体" w:cs="宋体"/>
                      <w:color w:val="auto"/>
                      <w:szCs w:val="21"/>
                    </w:rPr>
                  </w:pPr>
                  <w:r>
                    <w:rPr>
                      <w:rFonts w:hint="eastAsia" w:ascii="宋体" w:hAnsi="宋体" w:cs="宋体"/>
                      <w:color w:val="auto"/>
                      <w:szCs w:val="21"/>
                    </w:rPr>
                    <w:t>乙醇</w:t>
                  </w:r>
                </w:p>
              </w:tc>
              <w:tc>
                <w:tcPr>
                  <w:tcW w:w="1405" w:type="dxa"/>
                  <w:vAlign w:val="center"/>
                </w:tcPr>
                <w:p w14:paraId="6548696D">
                  <w:pPr>
                    <w:jc w:val="center"/>
                    <w:rPr>
                      <w:rFonts w:hint="eastAsia" w:ascii="宋体" w:hAnsi="宋体" w:cs="宋体"/>
                      <w:color w:val="auto"/>
                      <w:szCs w:val="21"/>
                    </w:rPr>
                  </w:pPr>
                  <w:r>
                    <w:rPr>
                      <w:rFonts w:hint="eastAsia" w:ascii="宋体" w:hAnsi="宋体" w:cs="宋体"/>
                      <w:color w:val="auto"/>
                      <w:szCs w:val="21"/>
                    </w:rPr>
                    <w:t>0.15t/a</w:t>
                  </w:r>
                </w:p>
              </w:tc>
              <w:tc>
                <w:tcPr>
                  <w:tcW w:w="1554" w:type="dxa"/>
                  <w:vAlign w:val="center"/>
                </w:tcPr>
                <w:p w14:paraId="260167EC">
                  <w:pPr>
                    <w:jc w:val="center"/>
                    <w:rPr>
                      <w:rFonts w:hint="eastAsia" w:ascii="宋体" w:hAnsi="宋体" w:cs="宋体"/>
                      <w:color w:val="auto"/>
                      <w:szCs w:val="21"/>
                    </w:rPr>
                  </w:pPr>
                  <w:r>
                    <w:rPr>
                      <w:rFonts w:hint="eastAsia" w:ascii="宋体" w:hAnsi="宋体" w:cs="宋体"/>
                      <w:color w:val="auto"/>
                      <w:szCs w:val="21"/>
                    </w:rPr>
                    <w:t>0.02t/a</w:t>
                  </w:r>
                </w:p>
              </w:tc>
              <w:tc>
                <w:tcPr>
                  <w:tcW w:w="2392" w:type="dxa"/>
                  <w:vAlign w:val="center"/>
                </w:tcPr>
                <w:p w14:paraId="1EFC7CBD">
                  <w:pPr>
                    <w:jc w:val="center"/>
                    <w:rPr>
                      <w:rFonts w:hint="eastAsia" w:ascii="宋体" w:hAnsi="宋体" w:cs="宋体"/>
                      <w:color w:val="auto"/>
                      <w:szCs w:val="21"/>
                    </w:rPr>
                  </w:pPr>
                  <w:r>
                    <w:rPr>
                      <w:rFonts w:hint="eastAsia" w:ascii="宋体" w:hAnsi="宋体" w:cs="宋体"/>
                      <w:color w:val="auto"/>
                      <w:szCs w:val="21"/>
                    </w:rPr>
                    <w:t>/</w:t>
                  </w:r>
                </w:p>
              </w:tc>
            </w:tr>
            <w:tr w14:paraId="1D68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4FFCD682">
                  <w:pPr>
                    <w:jc w:val="center"/>
                    <w:rPr>
                      <w:rFonts w:hint="eastAsia" w:ascii="宋体" w:hAnsi="宋体" w:cs="宋体"/>
                      <w:color w:val="auto"/>
                      <w:szCs w:val="21"/>
                    </w:rPr>
                  </w:pPr>
                  <w:r>
                    <w:rPr>
                      <w:rFonts w:hint="eastAsia" w:ascii="宋体" w:hAnsi="宋体" w:cs="宋体"/>
                      <w:color w:val="auto"/>
                      <w:szCs w:val="21"/>
                    </w:rPr>
                    <w:t>6</w:t>
                  </w:r>
                </w:p>
              </w:tc>
              <w:tc>
                <w:tcPr>
                  <w:tcW w:w="2265" w:type="dxa"/>
                  <w:vAlign w:val="center"/>
                </w:tcPr>
                <w:p w14:paraId="31BE0A13">
                  <w:pPr>
                    <w:jc w:val="center"/>
                    <w:rPr>
                      <w:rFonts w:hint="eastAsia" w:ascii="宋体" w:hAnsi="宋体" w:cs="宋体"/>
                      <w:color w:val="auto"/>
                      <w:szCs w:val="21"/>
                    </w:rPr>
                  </w:pPr>
                  <w:r>
                    <w:rPr>
                      <w:rFonts w:hint="eastAsia" w:ascii="宋体" w:hAnsi="宋体" w:cs="宋体"/>
                      <w:color w:val="auto"/>
                      <w:szCs w:val="21"/>
                    </w:rPr>
                    <w:t>氧气</w:t>
                  </w:r>
                </w:p>
              </w:tc>
              <w:tc>
                <w:tcPr>
                  <w:tcW w:w="1405" w:type="dxa"/>
                  <w:vAlign w:val="center"/>
                </w:tcPr>
                <w:p w14:paraId="6295545D">
                  <w:pPr>
                    <w:jc w:val="center"/>
                    <w:rPr>
                      <w:rFonts w:hint="eastAsia" w:ascii="宋体" w:hAnsi="宋体" w:cs="宋体"/>
                      <w:color w:val="auto"/>
                      <w:szCs w:val="21"/>
                    </w:rPr>
                  </w:pPr>
                  <w:r>
                    <w:rPr>
                      <w:rFonts w:hint="eastAsia" w:ascii="宋体" w:hAnsi="宋体" w:cs="宋体"/>
                      <w:color w:val="auto"/>
                      <w:szCs w:val="21"/>
                    </w:rPr>
                    <w:t>4.05t/a</w:t>
                  </w:r>
                </w:p>
              </w:tc>
              <w:tc>
                <w:tcPr>
                  <w:tcW w:w="1554" w:type="dxa"/>
                  <w:vAlign w:val="center"/>
                </w:tcPr>
                <w:p w14:paraId="15D26F58">
                  <w:pPr>
                    <w:jc w:val="center"/>
                    <w:rPr>
                      <w:rFonts w:hint="eastAsia" w:ascii="宋体" w:hAnsi="宋体" w:cs="宋体"/>
                      <w:color w:val="auto"/>
                      <w:szCs w:val="21"/>
                    </w:rPr>
                  </w:pPr>
                  <w:r>
                    <w:rPr>
                      <w:rFonts w:hint="eastAsia"/>
                      <w:color w:val="auto"/>
                      <w:szCs w:val="21"/>
                    </w:rPr>
                    <w:t>1.35t/a</w:t>
                  </w:r>
                </w:p>
              </w:tc>
              <w:tc>
                <w:tcPr>
                  <w:tcW w:w="2392" w:type="dxa"/>
                  <w:vAlign w:val="center"/>
                </w:tcPr>
                <w:p w14:paraId="45064A9A">
                  <w:pPr>
                    <w:jc w:val="center"/>
                    <w:rPr>
                      <w:rFonts w:hint="eastAsia" w:ascii="宋体" w:hAnsi="宋体" w:cs="宋体"/>
                      <w:color w:val="auto"/>
                      <w:szCs w:val="21"/>
                    </w:rPr>
                  </w:pPr>
                  <w:r>
                    <w:rPr>
                      <w:rFonts w:hint="eastAsia" w:ascii="宋体" w:hAnsi="宋体" w:cs="宋体"/>
                      <w:color w:val="auto"/>
                      <w:szCs w:val="21"/>
                    </w:rPr>
                    <w:t>/</w:t>
                  </w:r>
                </w:p>
              </w:tc>
            </w:tr>
            <w:tr w14:paraId="48B8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42" w:type="dxa"/>
                  <w:vAlign w:val="center"/>
                </w:tcPr>
                <w:p w14:paraId="56F2BAF8">
                  <w:pPr>
                    <w:jc w:val="center"/>
                    <w:rPr>
                      <w:rFonts w:hint="eastAsia" w:ascii="宋体" w:hAnsi="宋体" w:cs="宋体"/>
                      <w:color w:val="auto"/>
                      <w:szCs w:val="21"/>
                    </w:rPr>
                  </w:pPr>
                  <w:r>
                    <w:rPr>
                      <w:rFonts w:hint="eastAsia" w:ascii="宋体" w:hAnsi="宋体" w:cs="宋体"/>
                      <w:color w:val="auto"/>
                      <w:szCs w:val="21"/>
                    </w:rPr>
                    <w:t>7</w:t>
                  </w:r>
                </w:p>
              </w:tc>
              <w:tc>
                <w:tcPr>
                  <w:tcW w:w="2265" w:type="dxa"/>
                  <w:vAlign w:val="center"/>
                </w:tcPr>
                <w:p w14:paraId="38FBA25F">
                  <w:pPr>
                    <w:jc w:val="center"/>
                    <w:rPr>
                      <w:rFonts w:hint="eastAsia" w:ascii="宋体" w:hAnsi="宋体" w:cs="宋体"/>
                      <w:color w:val="auto"/>
                      <w:szCs w:val="21"/>
                    </w:rPr>
                  </w:pPr>
                  <w:r>
                    <w:rPr>
                      <w:rFonts w:hint="eastAsia"/>
                      <w:color w:val="auto"/>
                      <w:szCs w:val="21"/>
                    </w:rPr>
                    <w:t>二氧化氯</w:t>
                  </w:r>
                </w:p>
              </w:tc>
              <w:tc>
                <w:tcPr>
                  <w:tcW w:w="1405" w:type="dxa"/>
                  <w:vAlign w:val="center"/>
                </w:tcPr>
                <w:p w14:paraId="2890EE08">
                  <w:pPr>
                    <w:jc w:val="center"/>
                    <w:rPr>
                      <w:rFonts w:hint="eastAsia" w:ascii="宋体" w:hAnsi="宋体" w:cs="宋体"/>
                      <w:color w:val="auto"/>
                      <w:szCs w:val="21"/>
                    </w:rPr>
                  </w:pPr>
                  <w:r>
                    <w:rPr>
                      <w:rFonts w:hint="eastAsia" w:ascii="宋体" w:hAnsi="宋体" w:cs="宋体"/>
                      <w:color w:val="auto"/>
                      <w:szCs w:val="21"/>
                    </w:rPr>
                    <w:t>0.5t/a</w:t>
                  </w:r>
                </w:p>
              </w:tc>
              <w:tc>
                <w:tcPr>
                  <w:tcW w:w="1554" w:type="dxa"/>
                  <w:vAlign w:val="center"/>
                </w:tcPr>
                <w:p w14:paraId="5B086260">
                  <w:pPr>
                    <w:jc w:val="center"/>
                    <w:rPr>
                      <w:rFonts w:hint="eastAsia" w:ascii="宋体" w:hAnsi="宋体" w:cs="宋体"/>
                      <w:color w:val="auto"/>
                      <w:szCs w:val="21"/>
                    </w:rPr>
                  </w:pPr>
                  <w:r>
                    <w:rPr>
                      <w:rFonts w:hint="eastAsia"/>
                      <w:color w:val="auto"/>
                      <w:szCs w:val="21"/>
                    </w:rPr>
                    <w:t>0.2</w:t>
                  </w:r>
                  <w:r>
                    <w:rPr>
                      <w:rFonts w:hint="eastAsia" w:ascii="宋体" w:hAnsi="宋体" w:cs="宋体"/>
                      <w:color w:val="auto"/>
                      <w:szCs w:val="21"/>
                    </w:rPr>
                    <w:t>t/a</w:t>
                  </w:r>
                </w:p>
              </w:tc>
              <w:tc>
                <w:tcPr>
                  <w:tcW w:w="2392" w:type="dxa"/>
                  <w:vAlign w:val="center"/>
                </w:tcPr>
                <w:p w14:paraId="6BB2E2ED">
                  <w:pPr>
                    <w:jc w:val="center"/>
                    <w:rPr>
                      <w:rFonts w:hint="eastAsia" w:ascii="宋体" w:hAnsi="宋体" w:cs="宋体"/>
                      <w:color w:val="auto"/>
                      <w:szCs w:val="21"/>
                    </w:rPr>
                  </w:pPr>
                  <w:r>
                    <w:rPr>
                      <w:rFonts w:hint="eastAsia" w:ascii="宋体" w:hAnsi="宋体" w:cs="宋体"/>
                      <w:color w:val="auto"/>
                      <w:szCs w:val="21"/>
                    </w:rPr>
                    <w:t>/</w:t>
                  </w:r>
                </w:p>
              </w:tc>
            </w:tr>
            <w:tr w14:paraId="1DBF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42" w:type="dxa"/>
                  <w:vAlign w:val="center"/>
                </w:tcPr>
                <w:p w14:paraId="6A22A9CF">
                  <w:pPr>
                    <w:jc w:val="center"/>
                    <w:rPr>
                      <w:rFonts w:hint="eastAsia" w:ascii="宋体" w:hAnsi="宋体" w:cs="宋体"/>
                      <w:color w:val="auto"/>
                      <w:szCs w:val="21"/>
                    </w:rPr>
                  </w:pPr>
                  <w:r>
                    <w:rPr>
                      <w:rFonts w:hint="eastAsia" w:ascii="宋体" w:hAnsi="宋体" w:cs="宋体"/>
                      <w:color w:val="auto"/>
                      <w:szCs w:val="21"/>
                    </w:rPr>
                    <w:t>8</w:t>
                  </w:r>
                </w:p>
              </w:tc>
              <w:tc>
                <w:tcPr>
                  <w:tcW w:w="2265" w:type="dxa"/>
                  <w:vAlign w:val="center"/>
                </w:tcPr>
                <w:p w14:paraId="4ED95618">
                  <w:pPr>
                    <w:jc w:val="center"/>
                    <w:rPr>
                      <w:color w:val="auto"/>
                      <w:szCs w:val="21"/>
                    </w:rPr>
                  </w:pPr>
                  <w:r>
                    <w:rPr>
                      <w:rFonts w:hint="eastAsia" w:ascii="宋体" w:hAnsi="宋体" w:cs="宋体"/>
                      <w:color w:val="auto"/>
                      <w:szCs w:val="21"/>
                    </w:rPr>
                    <w:t>除臭剂</w:t>
                  </w:r>
                </w:p>
              </w:tc>
              <w:tc>
                <w:tcPr>
                  <w:tcW w:w="1405" w:type="dxa"/>
                  <w:vAlign w:val="center"/>
                </w:tcPr>
                <w:p w14:paraId="02C8C624">
                  <w:pPr>
                    <w:jc w:val="center"/>
                    <w:rPr>
                      <w:rFonts w:hint="eastAsia" w:ascii="宋体" w:hAnsi="宋体" w:cs="宋体"/>
                      <w:color w:val="auto"/>
                      <w:szCs w:val="21"/>
                    </w:rPr>
                  </w:pPr>
                  <w:r>
                    <w:rPr>
                      <w:rFonts w:hint="eastAsia"/>
                      <w:color w:val="auto"/>
                      <w:szCs w:val="21"/>
                    </w:rPr>
                    <w:t>0.1</w:t>
                  </w:r>
                  <w:r>
                    <w:rPr>
                      <w:rFonts w:hint="eastAsia" w:ascii="宋体" w:hAnsi="宋体" w:cs="宋体"/>
                      <w:color w:val="auto"/>
                      <w:szCs w:val="21"/>
                    </w:rPr>
                    <w:t>t/a</w:t>
                  </w:r>
                </w:p>
              </w:tc>
              <w:tc>
                <w:tcPr>
                  <w:tcW w:w="1554" w:type="dxa"/>
                  <w:vAlign w:val="center"/>
                </w:tcPr>
                <w:p w14:paraId="6B660A5F">
                  <w:pPr>
                    <w:jc w:val="center"/>
                    <w:rPr>
                      <w:color w:val="auto"/>
                      <w:szCs w:val="21"/>
                    </w:rPr>
                  </w:pPr>
                  <w:r>
                    <w:rPr>
                      <w:rFonts w:hint="eastAsia" w:ascii="宋体" w:hAnsi="宋体" w:cs="宋体"/>
                      <w:color w:val="auto"/>
                      <w:szCs w:val="21"/>
                    </w:rPr>
                    <w:t>0.05t</w:t>
                  </w:r>
                </w:p>
              </w:tc>
              <w:tc>
                <w:tcPr>
                  <w:tcW w:w="2392" w:type="dxa"/>
                  <w:vAlign w:val="center"/>
                </w:tcPr>
                <w:p w14:paraId="44A8E0AA">
                  <w:pPr>
                    <w:jc w:val="center"/>
                    <w:rPr>
                      <w:rFonts w:hint="eastAsia" w:ascii="宋体" w:hAnsi="宋体" w:cs="宋体"/>
                      <w:color w:val="auto"/>
                      <w:szCs w:val="21"/>
                    </w:rPr>
                  </w:pPr>
                  <w:r>
                    <w:rPr>
                      <w:rFonts w:hint="eastAsia" w:ascii="宋体" w:hAnsi="宋体" w:cs="宋体"/>
                      <w:color w:val="auto"/>
                      <w:szCs w:val="21"/>
                    </w:rPr>
                    <w:t>污水处理站除臭使用</w:t>
                  </w:r>
                </w:p>
              </w:tc>
            </w:tr>
            <w:tr w14:paraId="1B07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5EFABF03">
                  <w:pPr>
                    <w:jc w:val="center"/>
                    <w:rPr>
                      <w:rFonts w:hint="eastAsia" w:ascii="宋体" w:hAnsi="宋体" w:cs="宋体"/>
                      <w:color w:val="auto"/>
                      <w:szCs w:val="21"/>
                    </w:rPr>
                  </w:pPr>
                  <w:r>
                    <w:rPr>
                      <w:rFonts w:hint="eastAsia" w:ascii="宋体" w:hAnsi="宋体" w:cs="宋体"/>
                      <w:color w:val="auto"/>
                      <w:szCs w:val="21"/>
                    </w:rPr>
                    <w:t>二</w:t>
                  </w:r>
                </w:p>
              </w:tc>
              <w:tc>
                <w:tcPr>
                  <w:tcW w:w="7616" w:type="dxa"/>
                  <w:gridSpan w:val="4"/>
                  <w:vAlign w:val="center"/>
                </w:tcPr>
                <w:p w14:paraId="547EAEE1">
                  <w:pPr>
                    <w:jc w:val="center"/>
                    <w:rPr>
                      <w:rFonts w:hint="eastAsia" w:ascii="宋体" w:hAnsi="宋体" w:cs="宋体"/>
                      <w:color w:val="auto"/>
                      <w:szCs w:val="21"/>
                    </w:rPr>
                  </w:pPr>
                  <w:r>
                    <w:rPr>
                      <w:rFonts w:hint="eastAsia" w:ascii="宋体" w:hAnsi="宋体" w:cs="宋体"/>
                      <w:color w:val="auto"/>
                      <w:szCs w:val="21"/>
                    </w:rPr>
                    <w:t>能源</w:t>
                  </w:r>
                </w:p>
              </w:tc>
            </w:tr>
            <w:tr w14:paraId="490C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15E79A46">
                  <w:pPr>
                    <w:jc w:val="center"/>
                    <w:rPr>
                      <w:rFonts w:hint="eastAsia" w:ascii="宋体" w:hAnsi="宋体" w:cs="宋体"/>
                      <w:color w:val="auto"/>
                      <w:szCs w:val="21"/>
                    </w:rPr>
                  </w:pPr>
                  <w:r>
                    <w:rPr>
                      <w:rFonts w:hint="eastAsia" w:ascii="宋体" w:hAnsi="宋体" w:cs="宋体"/>
                      <w:color w:val="auto"/>
                      <w:szCs w:val="21"/>
                    </w:rPr>
                    <w:t>1</w:t>
                  </w:r>
                </w:p>
              </w:tc>
              <w:tc>
                <w:tcPr>
                  <w:tcW w:w="2265" w:type="dxa"/>
                  <w:vAlign w:val="center"/>
                </w:tcPr>
                <w:p w14:paraId="71163868">
                  <w:pPr>
                    <w:jc w:val="center"/>
                    <w:rPr>
                      <w:rFonts w:hint="eastAsia" w:ascii="宋体" w:hAnsi="宋体" w:cs="宋体"/>
                      <w:color w:val="auto"/>
                      <w:szCs w:val="21"/>
                    </w:rPr>
                  </w:pPr>
                  <w:r>
                    <w:rPr>
                      <w:rFonts w:hint="eastAsia" w:ascii="宋体" w:hAnsi="宋体" w:cs="宋体"/>
                      <w:color w:val="auto"/>
                      <w:szCs w:val="21"/>
                    </w:rPr>
                    <w:t>水</w:t>
                  </w:r>
                </w:p>
              </w:tc>
              <w:tc>
                <w:tcPr>
                  <w:tcW w:w="1405" w:type="dxa"/>
                  <w:vAlign w:val="center"/>
                </w:tcPr>
                <w:p w14:paraId="7C7EEAD5">
                  <w:pPr>
                    <w:jc w:val="center"/>
                    <w:rPr>
                      <w:rFonts w:hint="eastAsia" w:ascii="宋体" w:hAnsi="宋体" w:cs="宋体"/>
                      <w:color w:val="auto"/>
                      <w:szCs w:val="21"/>
                    </w:rPr>
                  </w:pPr>
                  <w:r>
                    <w:rPr>
                      <w:rFonts w:hint="eastAsia" w:ascii="宋体" w:hAnsi="宋体" w:cs="宋体"/>
                      <w:color w:val="auto"/>
                      <w:szCs w:val="21"/>
                    </w:rPr>
                    <w:t>3182.8t/a</w:t>
                  </w:r>
                </w:p>
              </w:tc>
              <w:tc>
                <w:tcPr>
                  <w:tcW w:w="1554" w:type="dxa"/>
                  <w:vAlign w:val="center"/>
                </w:tcPr>
                <w:p w14:paraId="2C03F3BA">
                  <w:pPr>
                    <w:jc w:val="center"/>
                    <w:rPr>
                      <w:rFonts w:hint="eastAsia" w:ascii="宋体" w:hAnsi="宋体" w:cs="宋体"/>
                      <w:color w:val="auto"/>
                      <w:szCs w:val="21"/>
                    </w:rPr>
                  </w:pPr>
                  <w:r>
                    <w:rPr>
                      <w:rFonts w:hint="eastAsia" w:ascii="宋体" w:hAnsi="宋体" w:cs="宋体"/>
                      <w:color w:val="auto"/>
                      <w:szCs w:val="21"/>
                    </w:rPr>
                    <w:t>/</w:t>
                  </w:r>
                </w:p>
              </w:tc>
              <w:tc>
                <w:tcPr>
                  <w:tcW w:w="2392" w:type="dxa"/>
                  <w:vAlign w:val="center"/>
                </w:tcPr>
                <w:p w14:paraId="2EA9F446">
                  <w:pPr>
                    <w:jc w:val="center"/>
                    <w:rPr>
                      <w:rFonts w:hint="eastAsia" w:ascii="宋体" w:hAnsi="宋体" w:cs="宋体"/>
                      <w:color w:val="auto"/>
                      <w:szCs w:val="21"/>
                    </w:rPr>
                  </w:pPr>
                  <w:r>
                    <w:rPr>
                      <w:rFonts w:hint="eastAsia" w:ascii="宋体" w:hAnsi="宋体" w:cs="宋体"/>
                      <w:color w:val="auto"/>
                      <w:szCs w:val="21"/>
                    </w:rPr>
                    <w:t>市政供水管网</w:t>
                  </w:r>
                </w:p>
              </w:tc>
            </w:tr>
            <w:tr w14:paraId="2997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dxa"/>
                  <w:vAlign w:val="center"/>
                </w:tcPr>
                <w:p w14:paraId="0E646208">
                  <w:pPr>
                    <w:jc w:val="center"/>
                    <w:rPr>
                      <w:rFonts w:hint="eastAsia" w:ascii="宋体" w:hAnsi="宋体" w:cs="宋体"/>
                      <w:color w:val="auto"/>
                      <w:szCs w:val="21"/>
                    </w:rPr>
                  </w:pPr>
                  <w:r>
                    <w:rPr>
                      <w:rFonts w:hint="eastAsia" w:ascii="宋体" w:hAnsi="宋体" w:cs="宋体"/>
                      <w:color w:val="auto"/>
                      <w:szCs w:val="21"/>
                    </w:rPr>
                    <w:t>2</w:t>
                  </w:r>
                </w:p>
              </w:tc>
              <w:tc>
                <w:tcPr>
                  <w:tcW w:w="2265" w:type="dxa"/>
                  <w:vAlign w:val="center"/>
                </w:tcPr>
                <w:p w14:paraId="3C1184CE">
                  <w:pPr>
                    <w:jc w:val="center"/>
                    <w:rPr>
                      <w:rFonts w:hint="eastAsia" w:ascii="宋体" w:hAnsi="宋体" w:cs="宋体"/>
                      <w:color w:val="auto"/>
                      <w:szCs w:val="21"/>
                    </w:rPr>
                  </w:pPr>
                  <w:r>
                    <w:rPr>
                      <w:rFonts w:hint="eastAsia" w:ascii="宋体" w:hAnsi="宋体" w:cs="宋体"/>
                      <w:color w:val="auto"/>
                      <w:szCs w:val="21"/>
                    </w:rPr>
                    <w:t>电</w:t>
                  </w:r>
                </w:p>
              </w:tc>
              <w:tc>
                <w:tcPr>
                  <w:tcW w:w="1405" w:type="dxa"/>
                  <w:vAlign w:val="center"/>
                </w:tcPr>
                <w:p w14:paraId="072099A6">
                  <w:pPr>
                    <w:jc w:val="center"/>
                    <w:rPr>
                      <w:rFonts w:hint="eastAsia" w:ascii="宋体" w:hAnsi="宋体" w:cs="宋体"/>
                      <w:color w:val="auto"/>
                      <w:szCs w:val="21"/>
                    </w:rPr>
                  </w:pPr>
                  <w:r>
                    <w:rPr>
                      <w:rFonts w:hint="eastAsia" w:ascii="宋体" w:hAnsi="宋体" w:cs="宋体"/>
                      <w:color w:val="auto"/>
                      <w:szCs w:val="21"/>
                    </w:rPr>
                    <w:t>10587kW.h</w:t>
                  </w:r>
                </w:p>
              </w:tc>
              <w:tc>
                <w:tcPr>
                  <w:tcW w:w="1554" w:type="dxa"/>
                  <w:vAlign w:val="center"/>
                </w:tcPr>
                <w:p w14:paraId="08B31B5F">
                  <w:pPr>
                    <w:jc w:val="center"/>
                    <w:rPr>
                      <w:rFonts w:hint="eastAsia" w:ascii="宋体" w:hAnsi="宋体" w:cs="宋体"/>
                      <w:color w:val="auto"/>
                      <w:szCs w:val="21"/>
                    </w:rPr>
                  </w:pPr>
                  <w:r>
                    <w:rPr>
                      <w:rFonts w:hint="eastAsia" w:ascii="宋体" w:hAnsi="宋体" w:cs="宋体"/>
                      <w:color w:val="auto"/>
                      <w:szCs w:val="21"/>
                    </w:rPr>
                    <w:t>/</w:t>
                  </w:r>
                </w:p>
              </w:tc>
              <w:tc>
                <w:tcPr>
                  <w:tcW w:w="2392" w:type="dxa"/>
                  <w:vAlign w:val="center"/>
                </w:tcPr>
                <w:p w14:paraId="5A2DC97A">
                  <w:pPr>
                    <w:jc w:val="center"/>
                    <w:rPr>
                      <w:rFonts w:hint="eastAsia" w:ascii="宋体" w:hAnsi="宋体" w:cs="宋体"/>
                      <w:color w:val="auto"/>
                      <w:szCs w:val="21"/>
                    </w:rPr>
                  </w:pPr>
                  <w:r>
                    <w:rPr>
                      <w:rFonts w:hint="eastAsia" w:ascii="宋体" w:hAnsi="宋体" w:cs="宋体"/>
                      <w:color w:val="auto"/>
                      <w:szCs w:val="21"/>
                    </w:rPr>
                    <w:t>市政供电电网</w:t>
                  </w:r>
                </w:p>
              </w:tc>
            </w:tr>
          </w:tbl>
          <w:p w14:paraId="28053337">
            <w:pPr>
              <w:spacing w:before="120" w:beforeLines="50"/>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10</w:t>
            </w:r>
            <w:r>
              <w:rPr>
                <w:rFonts w:ascii="宋体" w:hAnsi="宋体" w:cs="宋体"/>
                <w:b/>
                <w:color w:val="auto"/>
                <w:sz w:val="24"/>
              </w:rPr>
              <w:t>项目</w:t>
            </w:r>
            <w:r>
              <w:rPr>
                <w:rFonts w:hint="eastAsia" w:ascii="宋体" w:hAnsi="宋体" w:cs="宋体"/>
                <w:b/>
                <w:color w:val="auto"/>
                <w:sz w:val="24"/>
              </w:rPr>
              <w:t>（杨广卫生院）</w:t>
            </w:r>
            <w:r>
              <w:rPr>
                <w:rFonts w:ascii="宋体" w:hAnsi="宋体" w:cs="宋体"/>
                <w:b/>
                <w:color w:val="auto"/>
                <w:sz w:val="24"/>
              </w:rPr>
              <w:t>主要</w:t>
            </w:r>
            <w:r>
              <w:rPr>
                <w:b/>
                <w:bCs/>
                <w:color w:val="auto"/>
                <w:sz w:val="24"/>
              </w:rPr>
              <w:t>原辅材料及能源</w:t>
            </w:r>
            <w:r>
              <w:rPr>
                <w:rFonts w:ascii="宋体" w:hAnsi="宋体" w:cs="宋体"/>
                <w:b/>
                <w:color w:val="auto"/>
                <w:sz w:val="24"/>
              </w:rPr>
              <w:t>消耗情况</w:t>
            </w:r>
          </w:p>
          <w:tbl>
            <w:tblPr>
              <w:tblStyle w:val="33"/>
              <w:tblW w:w="8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2260"/>
              <w:gridCol w:w="1401"/>
              <w:gridCol w:w="1550"/>
              <w:gridCol w:w="2387"/>
            </w:tblGrid>
            <w:tr w14:paraId="19B8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blHeader/>
                <w:jc w:val="center"/>
              </w:trPr>
              <w:tc>
                <w:tcPr>
                  <w:tcW w:w="540" w:type="dxa"/>
                  <w:vAlign w:val="center"/>
                </w:tcPr>
                <w:p w14:paraId="6A8A7AED">
                  <w:pPr>
                    <w:jc w:val="center"/>
                    <w:rPr>
                      <w:rFonts w:hint="eastAsia" w:ascii="宋体" w:hAnsi="宋体" w:cs="宋体"/>
                      <w:color w:val="auto"/>
                      <w:szCs w:val="21"/>
                    </w:rPr>
                  </w:pPr>
                  <w:r>
                    <w:rPr>
                      <w:rFonts w:hint="eastAsia" w:ascii="宋体" w:hAnsi="宋体" w:cs="宋体"/>
                      <w:color w:val="auto"/>
                      <w:szCs w:val="21"/>
                    </w:rPr>
                    <w:t>序号</w:t>
                  </w:r>
                </w:p>
              </w:tc>
              <w:tc>
                <w:tcPr>
                  <w:tcW w:w="2260" w:type="dxa"/>
                  <w:vAlign w:val="center"/>
                </w:tcPr>
                <w:p w14:paraId="5D9ACDE8">
                  <w:pPr>
                    <w:jc w:val="center"/>
                    <w:rPr>
                      <w:rFonts w:hint="eastAsia" w:ascii="宋体" w:hAnsi="宋体" w:cs="宋体"/>
                      <w:color w:val="auto"/>
                      <w:szCs w:val="21"/>
                    </w:rPr>
                  </w:pPr>
                  <w:r>
                    <w:rPr>
                      <w:rFonts w:hint="eastAsia" w:ascii="宋体" w:hAnsi="宋体" w:cs="宋体"/>
                      <w:color w:val="auto"/>
                      <w:szCs w:val="21"/>
                    </w:rPr>
                    <w:t>医疗用品</w:t>
                  </w:r>
                </w:p>
              </w:tc>
              <w:tc>
                <w:tcPr>
                  <w:tcW w:w="1401" w:type="dxa"/>
                  <w:vAlign w:val="center"/>
                </w:tcPr>
                <w:p w14:paraId="16DA2822">
                  <w:pPr>
                    <w:jc w:val="center"/>
                    <w:rPr>
                      <w:rFonts w:hint="eastAsia" w:ascii="宋体" w:hAnsi="宋体" w:cs="宋体"/>
                      <w:color w:val="auto"/>
                      <w:szCs w:val="21"/>
                    </w:rPr>
                  </w:pPr>
                  <w:r>
                    <w:rPr>
                      <w:rFonts w:hint="eastAsia" w:ascii="宋体" w:hAnsi="宋体" w:cs="宋体"/>
                      <w:color w:val="auto"/>
                      <w:szCs w:val="21"/>
                    </w:rPr>
                    <w:t>用量</w:t>
                  </w:r>
                </w:p>
              </w:tc>
              <w:tc>
                <w:tcPr>
                  <w:tcW w:w="1550" w:type="dxa"/>
                  <w:vAlign w:val="center"/>
                </w:tcPr>
                <w:p w14:paraId="4A425494">
                  <w:pPr>
                    <w:jc w:val="center"/>
                    <w:rPr>
                      <w:rFonts w:hint="eastAsia" w:ascii="宋体" w:hAnsi="宋体" w:cs="宋体"/>
                      <w:color w:val="auto"/>
                      <w:szCs w:val="21"/>
                    </w:rPr>
                  </w:pPr>
                  <w:r>
                    <w:rPr>
                      <w:rFonts w:hint="eastAsia" w:ascii="宋体" w:hAnsi="宋体" w:cs="宋体"/>
                      <w:color w:val="auto"/>
                      <w:szCs w:val="21"/>
                    </w:rPr>
                    <w:t>院内最大存储量</w:t>
                  </w:r>
                </w:p>
              </w:tc>
              <w:tc>
                <w:tcPr>
                  <w:tcW w:w="2387" w:type="dxa"/>
                  <w:vAlign w:val="center"/>
                </w:tcPr>
                <w:p w14:paraId="6DB37C64">
                  <w:pPr>
                    <w:jc w:val="center"/>
                    <w:rPr>
                      <w:rFonts w:hint="eastAsia" w:ascii="宋体" w:hAnsi="宋体" w:cs="宋体"/>
                      <w:color w:val="auto"/>
                      <w:szCs w:val="21"/>
                    </w:rPr>
                  </w:pPr>
                  <w:r>
                    <w:rPr>
                      <w:rFonts w:hint="eastAsia" w:ascii="宋体" w:hAnsi="宋体" w:cs="宋体"/>
                      <w:color w:val="auto"/>
                      <w:szCs w:val="21"/>
                    </w:rPr>
                    <w:t>备注</w:t>
                  </w:r>
                </w:p>
              </w:tc>
            </w:tr>
            <w:tr w14:paraId="62B0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540" w:type="dxa"/>
                  <w:vAlign w:val="center"/>
                </w:tcPr>
                <w:p w14:paraId="43ADA0D8">
                  <w:pPr>
                    <w:jc w:val="center"/>
                    <w:rPr>
                      <w:rFonts w:hint="eastAsia" w:ascii="宋体" w:hAnsi="宋体" w:cs="宋体"/>
                      <w:color w:val="auto"/>
                      <w:szCs w:val="21"/>
                    </w:rPr>
                  </w:pPr>
                  <w:r>
                    <w:rPr>
                      <w:rFonts w:hint="eastAsia" w:ascii="宋体" w:hAnsi="宋体" w:cs="宋体"/>
                      <w:color w:val="auto"/>
                      <w:szCs w:val="21"/>
                    </w:rPr>
                    <w:t>一</w:t>
                  </w:r>
                </w:p>
              </w:tc>
              <w:tc>
                <w:tcPr>
                  <w:tcW w:w="7598" w:type="dxa"/>
                  <w:gridSpan w:val="4"/>
                  <w:vAlign w:val="center"/>
                </w:tcPr>
                <w:p w14:paraId="77005455">
                  <w:pPr>
                    <w:jc w:val="center"/>
                    <w:rPr>
                      <w:rFonts w:hint="eastAsia" w:ascii="宋体" w:hAnsi="宋体" w:cs="宋体"/>
                      <w:color w:val="auto"/>
                      <w:szCs w:val="21"/>
                    </w:rPr>
                  </w:pPr>
                  <w:r>
                    <w:rPr>
                      <w:rFonts w:hint="eastAsia" w:ascii="宋体" w:hAnsi="宋体" w:cs="宋体"/>
                      <w:color w:val="auto"/>
                      <w:szCs w:val="21"/>
                    </w:rPr>
                    <w:t>原辅料</w:t>
                  </w:r>
                </w:p>
              </w:tc>
            </w:tr>
            <w:tr w14:paraId="44DF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1FA949C6">
                  <w:pPr>
                    <w:jc w:val="center"/>
                    <w:rPr>
                      <w:rFonts w:hint="eastAsia" w:ascii="宋体" w:hAnsi="宋体" w:cs="宋体"/>
                      <w:color w:val="auto"/>
                      <w:szCs w:val="21"/>
                    </w:rPr>
                  </w:pPr>
                  <w:r>
                    <w:rPr>
                      <w:rFonts w:hint="eastAsia" w:ascii="宋体" w:hAnsi="宋体" w:cs="宋体"/>
                      <w:color w:val="auto"/>
                      <w:szCs w:val="21"/>
                    </w:rPr>
                    <w:t>2</w:t>
                  </w:r>
                </w:p>
              </w:tc>
              <w:tc>
                <w:tcPr>
                  <w:tcW w:w="2260" w:type="dxa"/>
                  <w:vAlign w:val="center"/>
                </w:tcPr>
                <w:p w14:paraId="3C7FF245">
                  <w:pPr>
                    <w:jc w:val="center"/>
                    <w:rPr>
                      <w:rFonts w:hint="eastAsia" w:ascii="宋体" w:hAnsi="宋体" w:cs="宋体"/>
                      <w:color w:val="auto"/>
                      <w:szCs w:val="21"/>
                    </w:rPr>
                  </w:pPr>
                  <w:r>
                    <w:rPr>
                      <w:rFonts w:hint="eastAsia" w:ascii="宋体" w:hAnsi="宋体" w:cs="宋体"/>
                      <w:color w:val="auto"/>
                      <w:szCs w:val="21"/>
                    </w:rPr>
                    <w:t>注射器</w:t>
                  </w:r>
                </w:p>
              </w:tc>
              <w:tc>
                <w:tcPr>
                  <w:tcW w:w="1401" w:type="dxa"/>
                  <w:vAlign w:val="center"/>
                </w:tcPr>
                <w:p w14:paraId="137E0388">
                  <w:pPr>
                    <w:jc w:val="center"/>
                    <w:rPr>
                      <w:rFonts w:hint="eastAsia" w:ascii="宋体" w:hAnsi="宋体" w:cs="宋体"/>
                      <w:color w:val="auto"/>
                      <w:szCs w:val="21"/>
                    </w:rPr>
                  </w:pPr>
                  <w:r>
                    <w:rPr>
                      <w:rFonts w:hint="eastAsia" w:ascii="宋体" w:hAnsi="宋体" w:cs="宋体"/>
                      <w:color w:val="auto"/>
                      <w:szCs w:val="21"/>
                    </w:rPr>
                    <w:t>9000个/a</w:t>
                  </w:r>
                </w:p>
              </w:tc>
              <w:tc>
                <w:tcPr>
                  <w:tcW w:w="1550" w:type="dxa"/>
                  <w:vAlign w:val="center"/>
                </w:tcPr>
                <w:p w14:paraId="645A304D">
                  <w:pPr>
                    <w:jc w:val="center"/>
                    <w:rPr>
                      <w:rFonts w:hint="eastAsia" w:ascii="宋体" w:hAnsi="宋体" w:cs="宋体"/>
                      <w:color w:val="auto"/>
                      <w:szCs w:val="21"/>
                    </w:rPr>
                  </w:pPr>
                  <w:r>
                    <w:rPr>
                      <w:rFonts w:hint="eastAsia" w:ascii="宋体" w:hAnsi="宋体" w:cs="宋体"/>
                      <w:color w:val="auto"/>
                      <w:szCs w:val="21"/>
                    </w:rPr>
                    <w:t>500个</w:t>
                  </w:r>
                </w:p>
              </w:tc>
              <w:tc>
                <w:tcPr>
                  <w:tcW w:w="2387" w:type="dxa"/>
                  <w:vAlign w:val="center"/>
                </w:tcPr>
                <w:p w14:paraId="72FBE724">
                  <w:pPr>
                    <w:jc w:val="center"/>
                    <w:rPr>
                      <w:rFonts w:hint="eastAsia" w:ascii="宋体" w:hAnsi="宋体" w:cs="宋体"/>
                      <w:color w:val="auto"/>
                      <w:szCs w:val="21"/>
                    </w:rPr>
                  </w:pPr>
                  <w:r>
                    <w:rPr>
                      <w:rFonts w:hint="eastAsia" w:ascii="宋体" w:hAnsi="宋体" w:cs="宋体"/>
                      <w:color w:val="auto"/>
                      <w:szCs w:val="21"/>
                    </w:rPr>
                    <w:t>/</w:t>
                  </w:r>
                </w:p>
              </w:tc>
            </w:tr>
            <w:tr w14:paraId="4B08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441522FA">
                  <w:pPr>
                    <w:jc w:val="center"/>
                    <w:rPr>
                      <w:rFonts w:hint="eastAsia" w:ascii="宋体" w:hAnsi="宋体" w:cs="宋体"/>
                      <w:color w:val="auto"/>
                      <w:szCs w:val="21"/>
                    </w:rPr>
                  </w:pPr>
                  <w:r>
                    <w:rPr>
                      <w:rFonts w:hint="eastAsia" w:ascii="宋体" w:hAnsi="宋体" w:cs="宋体"/>
                      <w:color w:val="auto"/>
                      <w:szCs w:val="21"/>
                    </w:rPr>
                    <w:t>3</w:t>
                  </w:r>
                </w:p>
              </w:tc>
              <w:tc>
                <w:tcPr>
                  <w:tcW w:w="2260" w:type="dxa"/>
                  <w:vAlign w:val="center"/>
                </w:tcPr>
                <w:p w14:paraId="79EBB2F9">
                  <w:pPr>
                    <w:jc w:val="center"/>
                    <w:rPr>
                      <w:rFonts w:hint="eastAsia" w:ascii="宋体" w:hAnsi="宋体" w:cs="宋体"/>
                      <w:color w:val="auto"/>
                      <w:szCs w:val="21"/>
                    </w:rPr>
                  </w:pPr>
                  <w:r>
                    <w:rPr>
                      <w:rFonts w:hint="eastAsia" w:ascii="宋体" w:hAnsi="宋体" w:cs="宋体"/>
                      <w:color w:val="auto"/>
                      <w:szCs w:val="21"/>
                    </w:rPr>
                    <w:t>输液管</w:t>
                  </w:r>
                </w:p>
              </w:tc>
              <w:tc>
                <w:tcPr>
                  <w:tcW w:w="1401" w:type="dxa"/>
                  <w:vAlign w:val="center"/>
                </w:tcPr>
                <w:p w14:paraId="623DF8B6">
                  <w:pPr>
                    <w:jc w:val="center"/>
                    <w:rPr>
                      <w:rFonts w:hint="eastAsia" w:ascii="宋体" w:hAnsi="宋体" w:cs="宋体"/>
                      <w:color w:val="auto"/>
                      <w:szCs w:val="21"/>
                    </w:rPr>
                  </w:pPr>
                  <w:r>
                    <w:rPr>
                      <w:rFonts w:hint="eastAsia" w:ascii="宋体" w:hAnsi="宋体" w:cs="宋体"/>
                      <w:color w:val="auto"/>
                      <w:szCs w:val="21"/>
                    </w:rPr>
                    <w:t>8000套/a</w:t>
                  </w:r>
                </w:p>
              </w:tc>
              <w:tc>
                <w:tcPr>
                  <w:tcW w:w="1550" w:type="dxa"/>
                  <w:vAlign w:val="center"/>
                </w:tcPr>
                <w:p w14:paraId="7E7B3A80">
                  <w:pPr>
                    <w:jc w:val="center"/>
                    <w:rPr>
                      <w:rFonts w:hint="eastAsia" w:ascii="宋体" w:hAnsi="宋体" w:cs="宋体"/>
                      <w:color w:val="auto"/>
                      <w:szCs w:val="21"/>
                    </w:rPr>
                  </w:pPr>
                  <w:r>
                    <w:rPr>
                      <w:rFonts w:hint="eastAsia" w:ascii="宋体" w:hAnsi="宋体" w:cs="宋体"/>
                      <w:color w:val="auto"/>
                      <w:szCs w:val="21"/>
                    </w:rPr>
                    <w:t>1000套</w:t>
                  </w:r>
                </w:p>
              </w:tc>
              <w:tc>
                <w:tcPr>
                  <w:tcW w:w="2387" w:type="dxa"/>
                  <w:vAlign w:val="center"/>
                </w:tcPr>
                <w:p w14:paraId="58803F47">
                  <w:pPr>
                    <w:jc w:val="center"/>
                    <w:rPr>
                      <w:rFonts w:hint="eastAsia" w:ascii="宋体" w:hAnsi="宋体" w:cs="宋体"/>
                      <w:color w:val="auto"/>
                      <w:szCs w:val="21"/>
                    </w:rPr>
                  </w:pPr>
                  <w:r>
                    <w:rPr>
                      <w:rFonts w:hint="eastAsia" w:ascii="宋体" w:hAnsi="宋体" w:cs="宋体"/>
                      <w:color w:val="auto"/>
                      <w:szCs w:val="21"/>
                    </w:rPr>
                    <w:t>/</w:t>
                  </w:r>
                </w:p>
              </w:tc>
            </w:tr>
            <w:tr w14:paraId="4C43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1D5E6248">
                  <w:pPr>
                    <w:jc w:val="center"/>
                    <w:rPr>
                      <w:rFonts w:hint="eastAsia" w:ascii="宋体" w:hAnsi="宋体" w:cs="宋体"/>
                      <w:color w:val="auto"/>
                      <w:szCs w:val="21"/>
                    </w:rPr>
                  </w:pPr>
                  <w:r>
                    <w:rPr>
                      <w:rFonts w:hint="eastAsia" w:ascii="宋体" w:hAnsi="宋体" w:cs="宋体"/>
                      <w:color w:val="auto"/>
                      <w:szCs w:val="21"/>
                    </w:rPr>
                    <w:t>4</w:t>
                  </w:r>
                </w:p>
              </w:tc>
              <w:tc>
                <w:tcPr>
                  <w:tcW w:w="2260" w:type="dxa"/>
                  <w:vAlign w:val="center"/>
                </w:tcPr>
                <w:p w14:paraId="48ED2B43">
                  <w:pPr>
                    <w:jc w:val="center"/>
                    <w:rPr>
                      <w:rFonts w:hint="eastAsia" w:ascii="宋体" w:hAnsi="宋体" w:cs="宋体"/>
                      <w:color w:val="auto"/>
                      <w:szCs w:val="21"/>
                    </w:rPr>
                  </w:pPr>
                  <w:r>
                    <w:rPr>
                      <w:rFonts w:hint="eastAsia" w:ascii="宋体" w:hAnsi="宋体" w:cs="宋体"/>
                      <w:color w:val="auto"/>
                      <w:szCs w:val="21"/>
                    </w:rPr>
                    <w:t>医用棉签</w:t>
                  </w:r>
                </w:p>
              </w:tc>
              <w:tc>
                <w:tcPr>
                  <w:tcW w:w="1401" w:type="dxa"/>
                  <w:vAlign w:val="center"/>
                </w:tcPr>
                <w:p w14:paraId="4DA191A4">
                  <w:pPr>
                    <w:jc w:val="center"/>
                    <w:rPr>
                      <w:rFonts w:hint="eastAsia" w:ascii="宋体" w:hAnsi="宋体" w:cs="宋体"/>
                      <w:color w:val="auto"/>
                      <w:szCs w:val="21"/>
                    </w:rPr>
                  </w:pPr>
                  <w:r>
                    <w:rPr>
                      <w:rFonts w:hint="eastAsia" w:ascii="宋体" w:hAnsi="宋体" w:cs="宋体"/>
                      <w:color w:val="auto"/>
                      <w:szCs w:val="21"/>
                    </w:rPr>
                    <w:t>60包/a</w:t>
                  </w:r>
                </w:p>
              </w:tc>
              <w:tc>
                <w:tcPr>
                  <w:tcW w:w="1550" w:type="dxa"/>
                  <w:vAlign w:val="center"/>
                </w:tcPr>
                <w:p w14:paraId="4A5D146C">
                  <w:pPr>
                    <w:jc w:val="center"/>
                    <w:rPr>
                      <w:rFonts w:hint="eastAsia" w:ascii="宋体" w:hAnsi="宋体" w:cs="宋体"/>
                      <w:color w:val="auto"/>
                      <w:szCs w:val="21"/>
                    </w:rPr>
                  </w:pPr>
                  <w:r>
                    <w:rPr>
                      <w:rFonts w:hint="eastAsia" w:ascii="宋体" w:hAnsi="宋体" w:cs="宋体"/>
                      <w:color w:val="auto"/>
                      <w:szCs w:val="21"/>
                    </w:rPr>
                    <w:t>10包</w:t>
                  </w:r>
                </w:p>
              </w:tc>
              <w:tc>
                <w:tcPr>
                  <w:tcW w:w="2387" w:type="dxa"/>
                  <w:vAlign w:val="center"/>
                </w:tcPr>
                <w:p w14:paraId="6FE556E3">
                  <w:pPr>
                    <w:jc w:val="center"/>
                    <w:rPr>
                      <w:rFonts w:hint="eastAsia" w:ascii="宋体" w:hAnsi="宋体" w:cs="宋体"/>
                      <w:color w:val="auto"/>
                      <w:szCs w:val="21"/>
                    </w:rPr>
                  </w:pPr>
                  <w:r>
                    <w:rPr>
                      <w:rFonts w:hint="eastAsia" w:ascii="宋体" w:hAnsi="宋体" w:cs="宋体"/>
                      <w:color w:val="auto"/>
                      <w:szCs w:val="21"/>
                    </w:rPr>
                    <w:t>/</w:t>
                  </w:r>
                </w:p>
              </w:tc>
            </w:tr>
            <w:tr w14:paraId="1074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48FA478B">
                  <w:pPr>
                    <w:jc w:val="center"/>
                    <w:rPr>
                      <w:rFonts w:hint="eastAsia" w:ascii="宋体" w:hAnsi="宋体" w:cs="宋体"/>
                      <w:color w:val="auto"/>
                      <w:szCs w:val="21"/>
                    </w:rPr>
                  </w:pPr>
                  <w:r>
                    <w:rPr>
                      <w:rFonts w:hint="eastAsia" w:ascii="宋体" w:hAnsi="宋体" w:cs="宋体"/>
                      <w:color w:val="auto"/>
                      <w:szCs w:val="21"/>
                    </w:rPr>
                    <w:t>5</w:t>
                  </w:r>
                </w:p>
              </w:tc>
              <w:tc>
                <w:tcPr>
                  <w:tcW w:w="2260" w:type="dxa"/>
                  <w:vAlign w:val="center"/>
                </w:tcPr>
                <w:p w14:paraId="44977F68">
                  <w:pPr>
                    <w:jc w:val="center"/>
                    <w:rPr>
                      <w:rFonts w:hint="eastAsia" w:ascii="宋体" w:hAnsi="宋体" w:cs="宋体"/>
                      <w:color w:val="auto"/>
                      <w:szCs w:val="21"/>
                    </w:rPr>
                  </w:pPr>
                  <w:r>
                    <w:rPr>
                      <w:rFonts w:hint="eastAsia" w:ascii="宋体" w:hAnsi="宋体" w:cs="宋体"/>
                      <w:color w:val="auto"/>
                      <w:szCs w:val="21"/>
                    </w:rPr>
                    <w:t>纱布</w:t>
                  </w:r>
                </w:p>
              </w:tc>
              <w:tc>
                <w:tcPr>
                  <w:tcW w:w="1401" w:type="dxa"/>
                  <w:vAlign w:val="center"/>
                </w:tcPr>
                <w:p w14:paraId="02FF7F71">
                  <w:pPr>
                    <w:jc w:val="center"/>
                    <w:rPr>
                      <w:rFonts w:hint="eastAsia" w:ascii="宋体" w:hAnsi="宋体" w:cs="宋体"/>
                      <w:color w:val="auto"/>
                      <w:szCs w:val="21"/>
                    </w:rPr>
                  </w:pPr>
                  <w:r>
                    <w:rPr>
                      <w:rFonts w:hint="eastAsia" w:ascii="宋体" w:hAnsi="宋体" w:cs="宋体"/>
                      <w:color w:val="auto"/>
                      <w:szCs w:val="21"/>
                    </w:rPr>
                    <w:t>90包/a</w:t>
                  </w:r>
                </w:p>
              </w:tc>
              <w:tc>
                <w:tcPr>
                  <w:tcW w:w="1550" w:type="dxa"/>
                  <w:vAlign w:val="center"/>
                </w:tcPr>
                <w:p w14:paraId="1EC8D08B">
                  <w:pPr>
                    <w:jc w:val="center"/>
                    <w:rPr>
                      <w:rFonts w:hint="eastAsia" w:ascii="宋体" w:hAnsi="宋体" w:cs="宋体"/>
                      <w:color w:val="auto"/>
                      <w:szCs w:val="21"/>
                    </w:rPr>
                  </w:pPr>
                  <w:r>
                    <w:rPr>
                      <w:rFonts w:hint="eastAsia" w:ascii="宋体" w:hAnsi="宋体" w:cs="宋体"/>
                      <w:color w:val="auto"/>
                      <w:szCs w:val="21"/>
                    </w:rPr>
                    <w:t>20包</w:t>
                  </w:r>
                </w:p>
              </w:tc>
              <w:tc>
                <w:tcPr>
                  <w:tcW w:w="2387" w:type="dxa"/>
                  <w:vAlign w:val="center"/>
                </w:tcPr>
                <w:p w14:paraId="18F52AB5">
                  <w:pPr>
                    <w:jc w:val="center"/>
                    <w:rPr>
                      <w:rFonts w:hint="eastAsia" w:ascii="宋体" w:hAnsi="宋体" w:cs="宋体"/>
                      <w:color w:val="auto"/>
                      <w:szCs w:val="21"/>
                    </w:rPr>
                  </w:pPr>
                  <w:r>
                    <w:rPr>
                      <w:rFonts w:hint="eastAsia" w:ascii="宋体" w:hAnsi="宋体" w:cs="宋体"/>
                      <w:color w:val="auto"/>
                      <w:szCs w:val="21"/>
                    </w:rPr>
                    <w:t>/</w:t>
                  </w:r>
                </w:p>
              </w:tc>
            </w:tr>
            <w:tr w14:paraId="4D22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40" w:type="dxa"/>
                  <w:vAlign w:val="center"/>
                </w:tcPr>
                <w:p w14:paraId="54F41557">
                  <w:pPr>
                    <w:jc w:val="center"/>
                    <w:rPr>
                      <w:rFonts w:hint="eastAsia" w:ascii="宋体" w:hAnsi="宋体" w:cs="宋体"/>
                      <w:color w:val="auto"/>
                      <w:szCs w:val="21"/>
                    </w:rPr>
                  </w:pPr>
                  <w:r>
                    <w:rPr>
                      <w:rFonts w:hint="eastAsia" w:ascii="宋体" w:hAnsi="宋体" w:cs="宋体"/>
                      <w:color w:val="auto"/>
                      <w:szCs w:val="21"/>
                    </w:rPr>
                    <w:t>6</w:t>
                  </w:r>
                </w:p>
              </w:tc>
              <w:tc>
                <w:tcPr>
                  <w:tcW w:w="2260" w:type="dxa"/>
                  <w:vAlign w:val="center"/>
                </w:tcPr>
                <w:p w14:paraId="32E38A97">
                  <w:pPr>
                    <w:jc w:val="center"/>
                    <w:rPr>
                      <w:rFonts w:hint="eastAsia" w:ascii="宋体" w:hAnsi="宋体" w:cs="宋体"/>
                      <w:color w:val="auto"/>
                      <w:szCs w:val="21"/>
                    </w:rPr>
                  </w:pPr>
                  <w:r>
                    <w:rPr>
                      <w:rFonts w:hint="eastAsia" w:ascii="宋体" w:hAnsi="宋体" w:cs="宋体"/>
                      <w:color w:val="auto"/>
                      <w:szCs w:val="21"/>
                    </w:rPr>
                    <w:t>乙醇</w:t>
                  </w:r>
                </w:p>
              </w:tc>
              <w:tc>
                <w:tcPr>
                  <w:tcW w:w="1401" w:type="dxa"/>
                  <w:vAlign w:val="center"/>
                </w:tcPr>
                <w:p w14:paraId="5E48907B">
                  <w:pPr>
                    <w:jc w:val="center"/>
                    <w:rPr>
                      <w:rFonts w:hint="eastAsia" w:ascii="宋体" w:hAnsi="宋体" w:cs="宋体"/>
                      <w:color w:val="auto"/>
                      <w:szCs w:val="21"/>
                    </w:rPr>
                  </w:pPr>
                  <w:r>
                    <w:rPr>
                      <w:rFonts w:hint="eastAsia" w:ascii="宋体" w:hAnsi="宋体" w:cs="宋体"/>
                      <w:color w:val="auto"/>
                      <w:szCs w:val="21"/>
                    </w:rPr>
                    <w:t>0.25t/a</w:t>
                  </w:r>
                </w:p>
              </w:tc>
              <w:tc>
                <w:tcPr>
                  <w:tcW w:w="1550" w:type="dxa"/>
                  <w:vAlign w:val="center"/>
                </w:tcPr>
                <w:p w14:paraId="20DB9F6B">
                  <w:pPr>
                    <w:jc w:val="center"/>
                    <w:rPr>
                      <w:rFonts w:hint="eastAsia" w:ascii="宋体" w:hAnsi="宋体" w:cs="宋体"/>
                      <w:color w:val="auto"/>
                      <w:szCs w:val="21"/>
                    </w:rPr>
                  </w:pPr>
                  <w:r>
                    <w:rPr>
                      <w:rFonts w:hint="eastAsia" w:ascii="宋体" w:hAnsi="宋体" w:cs="宋体"/>
                      <w:color w:val="auto"/>
                      <w:szCs w:val="21"/>
                    </w:rPr>
                    <w:t>0.02t/a</w:t>
                  </w:r>
                </w:p>
              </w:tc>
              <w:tc>
                <w:tcPr>
                  <w:tcW w:w="2387" w:type="dxa"/>
                  <w:vAlign w:val="center"/>
                </w:tcPr>
                <w:p w14:paraId="247F9275">
                  <w:pPr>
                    <w:jc w:val="center"/>
                    <w:rPr>
                      <w:rFonts w:hint="eastAsia" w:ascii="宋体" w:hAnsi="宋体" w:cs="宋体"/>
                      <w:color w:val="auto"/>
                      <w:szCs w:val="21"/>
                    </w:rPr>
                  </w:pPr>
                  <w:r>
                    <w:rPr>
                      <w:rFonts w:hint="eastAsia" w:ascii="宋体" w:hAnsi="宋体" w:cs="宋体"/>
                      <w:color w:val="auto"/>
                      <w:szCs w:val="21"/>
                    </w:rPr>
                    <w:t>/</w:t>
                  </w:r>
                </w:p>
              </w:tc>
            </w:tr>
            <w:tr w14:paraId="62CF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377EB8DF">
                  <w:pPr>
                    <w:jc w:val="center"/>
                    <w:rPr>
                      <w:rFonts w:hint="eastAsia" w:ascii="宋体" w:hAnsi="宋体" w:cs="宋体"/>
                      <w:color w:val="auto"/>
                      <w:szCs w:val="21"/>
                    </w:rPr>
                  </w:pPr>
                  <w:r>
                    <w:rPr>
                      <w:rFonts w:hint="eastAsia" w:ascii="宋体" w:hAnsi="宋体" w:cs="宋体"/>
                      <w:color w:val="auto"/>
                      <w:szCs w:val="21"/>
                    </w:rPr>
                    <w:t>7</w:t>
                  </w:r>
                </w:p>
              </w:tc>
              <w:tc>
                <w:tcPr>
                  <w:tcW w:w="2260" w:type="dxa"/>
                  <w:vAlign w:val="center"/>
                </w:tcPr>
                <w:p w14:paraId="1387240C">
                  <w:pPr>
                    <w:jc w:val="center"/>
                    <w:rPr>
                      <w:rFonts w:hint="eastAsia" w:ascii="宋体" w:hAnsi="宋体" w:cs="宋体"/>
                      <w:color w:val="auto"/>
                      <w:szCs w:val="21"/>
                    </w:rPr>
                  </w:pPr>
                  <w:r>
                    <w:rPr>
                      <w:rFonts w:hint="eastAsia" w:ascii="宋体" w:hAnsi="宋体" w:cs="宋体"/>
                      <w:color w:val="auto"/>
                      <w:szCs w:val="21"/>
                    </w:rPr>
                    <w:t>氧气</w:t>
                  </w:r>
                </w:p>
              </w:tc>
              <w:tc>
                <w:tcPr>
                  <w:tcW w:w="1401" w:type="dxa"/>
                  <w:vAlign w:val="center"/>
                </w:tcPr>
                <w:p w14:paraId="427E9C74">
                  <w:pPr>
                    <w:jc w:val="center"/>
                    <w:rPr>
                      <w:rFonts w:hint="eastAsia" w:ascii="宋体" w:hAnsi="宋体" w:cs="宋体"/>
                      <w:color w:val="auto"/>
                      <w:szCs w:val="21"/>
                    </w:rPr>
                  </w:pPr>
                  <w:r>
                    <w:rPr>
                      <w:rFonts w:hint="eastAsia" w:ascii="宋体" w:hAnsi="宋体" w:cs="宋体"/>
                      <w:color w:val="auto"/>
                      <w:szCs w:val="21"/>
                    </w:rPr>
                    <w:t>2.7t/a</w:t>
                  </w:r>
                </w:p>
              </w:tc>
              <w:tc>
                <w:tcPr>
                  <w:tcW w:w="1550" w:type="dxa"/>
                  <w:vAlign w:val="center"/>
                </w:tcPr>
                <w:p w14:paraId="0E44DB8B">
                  <w:pPr>
                    <w:jc w:val="center"/>
                    <w:rPr>
                      <w:rFonts w:hint="eastAsia" w:ascii="宋体" w:hAnsi="宋体" w:cs="宋体"/>
                      <w:color w:val="auto"/>
                      <w:szCs w:val="21"/>
                    </w:rPr>
                  </w:pPr>
                  <w:r>
                    <w:rPr>
                      <w:rFonts w:hint="eastAsia"/>
                      <w:color w:val="auto"/>
                      <w:szCs w:val="21"/>
                    </w:rPr>
                    <w:t>1.35t/a</w:t>
                  </w:r>
                </w:p>
              </w:tc>
              <w:tc>
                <w:tcPr>
                  <w:tcW w:w="2387" w:type="dxa"/>
                  <w:vAlign w:val="center"/>
                </w:tcPr>
                <w:p w14:paraId="02A72F54">
                  <w:pPr>
                    <w:jc w:val="center"/>
                    <w:rPr>
                      <w:rFonts w:hint="eastAsia" w:ascii="宋体" w:hAnsi="宋体" w:cs="宋体"/>
                      <w:color w:val="auto"/>
                      <w:szCs w:val="21"/>
                    </w:rPr>
                  </w:pPr>
                  <w:r>
                    <w:rPr>
                      <w:rFonts w:hint="eastAsia" w:ascii="宋体" w:hAnsi="宋体" w:cs="宋体"/>
                      <w:color w:val="auto"/>
                      <w:szCs w:val="21"/>
                    </w:rPr>
                    <w:t>/</w:t>
                  </w:r>
                </w:p>
              </w:tc>
            </w:tr>
            <w:tr w14:paraId="3D04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4726D9D8">
                  <w:pPr>
                    <w:jc w:val="center"/>
                    <w:rPr>
                      <w:rFonts w:hint="eastAsia" w:ascii="宋体" w:hAnsi="宋体" w:cs="宋体"/>
                      <w:color w:val="auto"/>
                      <w:szCs w:val="21"/>
                    </w:rPr>
                  </w:pPr>
                  <w:r>
                    <w:rPr>
                      <w:rFonts w:hint="eastAsia" w:ascii="宋体" w:hAnsi="宋体" w:cs="宋体"/>
                      <w:color w:val="auto"/>
                      <w:szCs w:val="21"/>
                    </w:rPr>
                    <w:t>8</w:t>
                  </w:r>
                </w:p>
              </w:tc>
              <w:tc>
                <w:tcPr>
                  <w:tcW w:w="2260" w:type="dxa"/>
                  <w:vAlign w:val="center"/>
                </w:tcPr>
                <w:p w14:paraId="38801F5E">
                  <w:pPr>
                    <w:jc w:val="center"/>
                    <w:rPr>
                      <w:color w:val="auto"/>
                      <w:szCs w:val="21"/>
                    </w:rPr>
                  </w:pPr>
                  <w:r>
                    <w:rPr>
                      <w:rFonts w:hint="eastAsia" w:ascii="宋体" w:hAnsi="宋体" w:cs="宋体"/>
                      <w:color w:val="auto"/>
                      <w:szCs w:val="21"/>
                    </w:rPr>
                    <w:t>除臭剂</w:t>
                  </w:r>
                </w:p>
              </w:tc>
              <w:tc>
                <w:tcPr>
                  <w:tcW w:w="1401" w:type="dxa"/>
                  <w:vAlign w:val="center"/>
                </w:tcPr>
                <w:p w14:paraId="26402235">
                  <w:pPr>
                    <w:jc w:val="center"/>
                    <w:rPr>
                      <w:rFonts w:hint="eastAsia" w:ascii="宋体" w:hAnsi="宋体" w:cs="宋体"/>
                      <w:color w:val="auto"/>
                      <w:szCs w:val="21"/>
                    </w:rPr>
                  </w:pPr>
                  <w:r>
                    <w:rPr>
                      <w:rFonts w:hint="eastAsia"/>
                      <w:color w:val="auto"/>
                      <w:szCs w:val="21"/>
                    </w:rPr>
                    <w:t>0.1</w:t>
                  </w:r>
                  <w:r>
                    <w:rPr>
                      <w:rFonts w:hint="eastAsia" w:ascii="宋体" w:hAnsi="宋体" w:cs="宋体"/>
                      <w:color w:val="auto"/>
                      <w:szCs w:val="21"/>
                    </w:rPr>
                    <w:t>t/a</w:t>
                  </w:r>
                </w:p>
              </w:tc>
              <w:tc>
                <w:tcPr>
                  <w:tcW w:w="1550" w:type="dxa"/>
                  <w:vAlign w:val="center"/>
                </w:tcPr>
                <w:p w14:paraId="056D028E">
                  <w:pPr>
                    <w:jc w:val="center"/>
                    <w:rPr>
                      <w:color w:val="auto"/>
                      <w:szCs w:val="21"/>
                    </w:rPr>
                  </w:pPr>
                  <w:r>
                    <w:rPr>
                      <w:rFonts w:hint="eastAsia" w:ascii="宋体" w:hAnsi="宋体" w:cs="宋体"/>
                      <w:color w:val="auto"/>
                      <w:szCs w:val="21"/>
                    </w:rPr>
                    <w:t>0.05t</w:t>
                  </w:r>
                </w:p>
              </w:tc>
              <w:tc>
                <w:tcPr>
                  <w:tcW w:w="2387" w:type="dxa"/>
                  <w:vAlign w:val="center"/>
                </w:tcPr>
                <w:p w14:paraId="4207B703">
                  <w:pPr>
                    <w:jc w:val="center"/>
                    <w:rPr>
                      <w:rFonts w:hint="eastAsia" w:ascii="宋体" w:hAnsi="宋体" w:cs="宋体"/>
                      <w:color w:val="auto"/>
                      <w:szCs w:val="21"/>
                    </w:rPr>
                  </w:pPr>
                  <w:r>
                    <w:rPr>
                      <w:rFonts w:hint="eastAsia" w:ascii="宋体" w:hAnsi="宋体" w:cs="宋体"/>
                      <w:color w:val="auto"/>
                      <w:szCs w:val="21"/>
                    </w:rPr>
                    <w:t>污水处理站除臭使用</w:t>
                  </w:r>
                </w:p>
              </w:tc>
            </w:tr>
            <w:tr w14:paraId="78CE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78A54797">
                  <w:pPr>
                    <w:jc w:val="center"/>
                    <w:rPr>
                      <w:rFonts w:hint="eastAsia" w:ascii="宋体" w:hAnsi="宋体" w:cs="宋体"/>
                      <w:color w:val="auto"/>
                      <w:szCs w:val="21"/>
                    </w:rPr>
                  </w:pPr>
                  <w:r>
                    <w:rPr>
                      <w:rFonts w:hint="eastAsia" w:ascii="宋体" w:hAnsi="宋体" w:cs="宋体"/>
                      <w:color w:val="auto"/>
                      <w:szCs w:val="21"/>
                    </w:rPr>
                    <w:t>二</w:t>
                  </w:r>
                </w:p>
              </w:tc>
              <w:tc>
                <w:tcPr>
                  <w:tcW w:w="7598" w:type="dxa"/>
                  <w:gridSpan w:val="4"/>
                  <w:vAlign w:val="center"/>
                </w:tcPr>
                <w:p w14:paraId="77B86A2E">
                  <w:pPr>
                    <w:jc w:val="center"/>
                    <w:rPr>
                      <w:rFonts w:hint="eastAsia" w:ascii="宋体" w:hAnsi="宋体" w:cs="宋体"/>
                      <w:color w:val="auto"/>
                      <w:szCs w:val="21"/>
                    </w:rPr>
                  </w:pPr>
                  <w:r>
                    <w:rPr>
                      <w:rFonts w:hint="eastAsia" w:ascii="宋体" w:hAnsi="宋体" w:cs="宋体"/>
                      <w:color w:val="auto"/>
                      <w:szCs w:val="21"/>
                    </w:rPr>
                    <w:t>能源</w:t>
                  </w:r>
                </w:p>
              </w:tc>
            </w:tr>
            <w:tr w14:paraId="7492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22BEE034">
                  <w:pPr>
                    <w:jc w:val="center"/>
                    <w:rPr>
                      <w:rFonts w:hint="eastAsia" w:ascii="宋体" w:hAnsi="宋体" w:cs="宋体"/>
                      <w:color w:val="auto"/>
                      <w:szCs w:val="21"/>
                    </w:rPr>
                  </w:pPr>
                  <w:r>
                    <w:rPr>
                      <w:rFonts w:hint="eastAsia" w:ascii="宋体" w:hAnsi="宋体" w:cs="宋体"/>
                      <w:color w:val="auto"/>
                      <w:szCs w:val="21"/>
                    </w:rPr>
                    <w:t>1</w:t>
                  </w:r>
                </w:p>
              </w:tc>
              <w:tc>
                <w:tcPr>
                  <w:tcW w:w="2260" w:type="dxa"/>
                  <w:vAlign w:val="center"/>
                </w:tcPr>
                <w:p w14:paraId="0FABEE8E">
                  <w:pPr>
                    <w:jc w:val="center"/>
                    <w:rPr>
                      <w:rFonts w:hint="eastAsia" w:ascii="宋体" w:hAnsi="宋体" w:cs="宋体"/>
                      <w:color w:val="auto"/>
                      <w:szCs w:val="21"/>
                    </w:rPr>
                  </w:pPr>
                  <w:r>
                    <w:rPr>
                      <w:rFonts w:hint="eastAsia" w:ascii="宋体" w:hAnsi="宋体" w:cs="宋体"/>
                      <w:color w:val="auto"/>
                      <w:szCs w:val="21"/>
                    </w:rPr>
                    <w:t>水</w:t>
                  </w:r>
                </w:p>
              </w:tc>
              <w:tc>
                <w:tcPr>
                  <w:tcW w:w="1401" w:type="dxa"/>
                  <w:vAlign w:val="center"/>
                </w:tcPr>
                <w:p w14:paraId="51EB71E3">
                  <w:pPr>
                    <w:jc w:val="center"/>
                    <w:rPr>
                      <w:rFonts w:hint="eastAsia" w:ascii="宋体" w:hAnsi="宋体" w:cs="宋体"/>
                      <w:color w:val="auto"/>
                      <w:szCs w:val="21"/>
                    </w:rPr>
                  </w:pPr>
                  <w:r>
                    <w:rPr>
                      <w:rFonts w:hint="eastAsia" w:ascii="宋体" w:hAnsi="宋体" w:cs="宋体"/>
                      <w:color w:val="auto"/>
                      <w:szCs w:val="21"/>
                    </w:rPr>
                    <w:t>1168t/a</w:t>
                  </w:r>
                </w:p>
              </w:tc>
              <w:tc>
                <w:tcPr>
                  <w:tcW w:w="1550" w:type="dxa"/>
                  <w:vAlign w:val="center"/>
                </w:tcPr>
                <w:p w14:paraId="507CE310">
                  <w:pPr>
                    <w:jc w:val="center"/>
                    <w:rPr>
                      <w:rFonts w:hint="eastAsia" w:ascii="宋体" w:hAnsi="宋体" w:cs="宋体"/>
                      <w:color w:val="auto"/>
                      <w:szCs w:val="21"/>
                    </w:rPr>
                  </w:pPr>
                  <w:r>
                    <w:rPr>
                      <w:rFonts w:hint="eastAsia" w:ascii="宋体" w:hAnsi="宋体" w:cs="宋体"/>
                      <w:color w:val="auto"/>
                      <w:szCs w:val="21"/>
                    </w:rPr>
                    <w:t>/</w:t>
                  </w:r>
                </w:p>
              </w:tc>
              <w:tc>
                <w:tcPr>
                  <w:tcW w:w="2387" w:type="dxa"/>
                  <w:vAlign w:val="center"/>
                </w:tcPr>
                <w:p w14:paraId="621FAF3B">
                  <w:pPr>
                    <w:jc w:val="center"/>
                    <w:rPr>
                      <w:rFonts w:hint="eastAsia" w:ascii="宋体" w:hAnsi="宋体" w:cs="宋体"/>
                      <w:color w:val="auto"/>
                      <w:szCs w:val="21"/>
                    </w:rPr>
                  </w:pPr>
                  <w:r>
                    <w:rPr>
                      <w:rFonts w:hint="eastAsia" w:ascii="宋体" w:hAnsi="宋体" w:cs="宋体"/>
                      <w:color w:val="auto"/>
                      <w:szCs w:val="21"/>
                    </w:rPr>
                    <w:t>市政供水管网</w:t>
                  </w:r>
                </w:p>
              </w:tc>
            </w:tr>
            <w:tr w14:paraId="4899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40" w:type="dxa"/>
                  <w:vAlign w:val="center"/>
                </w:tcPr>
                <w:p w14:paraId="2EF24DD2">
                  <w:pPr>
                    <w:jc w:val="center"/>
                    <w:rPr>
                      <w:rFonts w:hint="eastAsia" w:ascii="宋体" w:hAnsi="宋体" w:cs="宋体"/>
                      <w:color w:val="auto"/>
                      <w:szCs w:val="21"/>
                    </w:rPr>
                  </w:pPr>
                  <w:r>
                    <w:rPr>
                      <w:rFonts w:hint="eastAsia" w:ascii="宋体" w:hAnsi="宋体" w:cs="宋体"/>
                      <w:color w:val="auto"/>
                      <w:szCs w:val="21"/>
                    </w:rPr>
                    <w:t>2</w:t>
                  </w:r>
                </w:p>
              </w:tc>
              <w:tc>
                <w:tcPr>
                  <w:tcW w:w="2260" w:type="dxa"/>
                  <w:vAlign w:val="center"/>
                </w:tcPr>
                <w:p w14:paraId="20A040F1">
                  <w:pPr>
                    <w:jc w:val="center"/>
                    <w:rPr>
                      <w:rFonts w:hint="eastAsia" w:ascii="宋体" w:hAnsi="宋体" w:cs="宋体"/>
                      <w:color w:val="auto"/>
                      <w:szCs w:val="21"/>
                    </w:rPr>
                  </w:pPr>
                  <w:r>
                    <w:rPr>
                      <w:rFonts w:hint="eastAsia" w:ascii="宋体" w:hAnsi="宋体" w:cs="宋体"/>
                      <w:color w:val="auto"/>
                      <w:szCs w:val="21"/>
                    </w:rPr>
                    <w:t>电</w:t>
                  </w:r>
                </w:p>
              </w:tc>
              <w:tc>
                <w:tcPr>
                  <w:tcW w:w="1401" w:type="dxa"/>
                  <w:vAlign w:val="center"/>
                </w:tcPr>
                <w:p w14:paraId="3EE81440">
                  <w:pPr>
                    <w:jc w:val="center"/>
                    <w:rPr>
                      <w:rFonts w:hint="eastAsia" w:ascii="宋体" w:hAnsi="宋体" w:cs="宋体"/>
                      <w:color w:val="auto"/>
                      <w:szCs w:val="21"/>
                    </w:rPr>
                  </w:pPr>
                  <w:r>
                    <w:rPr>
                      <w:rFonts w:hint="eastAsia" w:ascii="宋体" w:hAnsi="宋体" w:cs="宋体"/>
                      <w:color w:val="auto"/>
                      <w:szCs w:val="21"/>
                    </w:rPr>
                    <w:t>123718kW.h</w:t>
                  </w:r>
                </w:p>
              </w:tc>
              <w:tc>
                <w:tcPr>
                  <w:tcW w:w="1550" w:type="dxa"/>
                  <w:vAlign w:val="center"/>
                </w:tcPr>
                <w:p w14:paraId="685DA5A7">
                  <w:pPr>
                    <w:jc w:val="center"/>
                    <w:rPr>
                      <w:rFonts w:hint="eastAsia" w:ascii="宋体" w:hAnsi="宋体" w:cs="宋体"/>
                      <w:color w:val="auto"/>
                      <w:szCs w:val="21"/>
                    </w:rPr>
                  </w:pPr>
                  <w:r>
                    <w:rPr>
                      <w:rFonts w:hint="eastAsia" w:ascii="宋体" w:hAnsi="宋体" w:cs="宋体"/>
                      <w:color w:val="auto"/>
                      <w:szCs w:val="21"/>
                    </w:rPr>
                    <w:t>/</w:t>
                  </w:r>
                </w:p>
              </w:tc>
              <w:tc>
                <w:tcPr>
                  <w:tcW w:w="2387" w:type="dxa"/>
                  <w:vAlign w:val="center"/>
                </w:tcPr>
                <w:p w14:paraId="6BA8DFAB">
                  <w:pPr>
                    <w:jc w:val="center"/>
                    <w:rPr>
                      <w:rFonts w:hint="eastAsia" w:ascii="宋体" w:hAnsi="宋体" w:cs="宋体"/>
                      <w:color w:val="auto"/>
                      <w:szCs w:val="21"/>
                    </w:rPr>
                  </w:pPr>
                  <w:r>
                    <w:rPr>
                      <w:rFonts w:hint="eastAsia" w:ascii="宋体" w:hAnsi="宋体" w:cs="宋体"/>
                      <w:color w:val="auto"/>
                      <w:szCs w:val="21"/>
                    </w:rPr>
                    <w:t>市政供电电网</w:t>
                  </w:r>
                </w:p>
              </w:tc>
            </w:tr>
            <w:bookmarkEnd w:id="24"/>
          </w:tbl>
          <w:p w14:paraId="4408335B">
            <w:pPr>
              <w:pStyle w:val="11"/>
              <w:spacing w:before="120" w:beforeLines="50" w:line="360" w:lineRule="auto"/>
              <w:rPr>
                <w:color w:val="auto"/>
                <w:kern w:val="2"/>
                <w:szCs w:val="24"/>
              </w:rPr>
            </w:pPr>
            <w:r>
              <w:rPr>
                <w:rFonts w:hint="eastAsia"/>
                <w:color w:val="auto"/>
                <w:szCs w:val="24"/>
              </w:rPr>
              <w:t>（2）主</w:t>
            </w:r>
            <w:r>
              <w:rPr>
                <w:rFonts w:hint="eastAsia"/>
                <w:color w:val="auto"/>
                <w:kern w:val="2"/>
                <w:szCs w:val="24"/>
              </w:rPr>
              <w:t>要检验试剂</w:t>
            </w:r>
          </w:p>
          <w:p w14:paraId="09A6F956">
            <w:pPr>
              <w:spacing w:line="360" w:lineRule="auto"/>
              <w:ind w:firstLine="480" w:firstLineChars="200"/>
              <w:rPr>
                <w:color w:val="auto"/>
                <w:sz w:val="24"/>
              </w:rPr>
            </w:pPr>
            <w:r>
              <w:rPr>
                <w:rFonts w:hint="eastAsia"/>
                <w:color w:val="auto"/>
                <w:sz w:val="24"/>
              </w:rPr>
              <w:t>本</w:t>
            </w:r>
            <w:r>
              <w:rPr>
                <w:color w:val="auto"/>
                <w:sz w:val="24"/>
              </w:rPr>
              <w:t>项目涉及</w:t>
            </w:r>
            <w:r>
              <w:rPr>
                <w:rFonts w:hint="eastAsia"/>
                <w:color w:val="auto"/>
                <w:sz w:val="24"/>
              </w:rPr>
              <w:t>到的2</w:t>
            </w:r>
            <w:r>
              <w:rPr>
                <w:color w:val="auto"/>
                <w:sz w:val="24"/>
              </w:rPr>
              <w:t>个卫生院</w:t>
            </w:r>
            <w:r>
              <w:rPr>
                <w:rFonts w:hint="eastAsia"/>
                <w:color w:val="auto"/>
                <w:sz w:val="24"/>
              </w:rPr>
              <w:t>设置检验科，另外2个卫生院不设置检验科，根据建设单位提供的资料，医疗试剂主要在检验使用，本次环评仅列出主要医疗试剂，详见下表。</w:t>
            </w:r>
          </w:p>
          <w:p w14:paraId="65B81276">
            <w:pPr>
              <w:ind w:firstLine="482" w:firstLineChars="200"/>
              <w:jc w:val="center"/>
              <w:rPr>
                <w:b/>
                <w:color w:val="auto"/>
                <w:sz w:val="24"/>
              </w:rPr>
            </w:pPr>
            <w:r>
              <w:rPr>
                <w:rFonts w:hint="eastAsia"/>
                <w:b/>
                <w:color w:val="auto"/>
                <w:sz w:val="24"/>
              </w:rPr>
              <w:t>表2-11 本项目主要医疗试剂一览表</w:t>
            </w:r>
          </w:p>
          <w:tbl>
            <w:tblPr>
              <w:tblStyle w:val="33"/>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4193"/>
              <w:gridCol w:w="1387"/>
              <w:gridCol w:w="1564"/>
            </w:tblGrid>
            <w:tr w14:paraId="545D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Align w:val="center"/>
                </w:tcPr>
                <w:p w14:paraId="61A917E0">
                  <w:pPr>
                    <w:jc w:val="center"/>
                    <w:rPr>
                      <w:b/>
                      <w:bCs/>
                      <w:color w:val="auto"/>
                      <w:szCs w:val="21"/>
                    </w:rPr>
                  </w:pPr>
                  <w:bookmarkStart w:id="25" w:name="_Hlk194485394"/>
                  <w:r>
                    <w:rPr>
                      <w:rFonts w:hint="eastAsia"/>
                      <w:b/>
                      <w:bCs/>
                      <w:color w:val="auto"/>
                      <w:szCs w:val="21"/>
                    </w:rPr>
                    <w:t>分区</w:t>
                  </w:r>
                </w:p>
              </w:tc>
              <w:tc>
                <w:tcPr>
                  <w:tcW w:w="4193" w:type="dxa"/>
                  <w:vAlign w:val="center"/>
                </w:tcPr>
                <w:p w14:paraId="2F05D281">
                  <w:pPr>
                    <w:jc w:val="center"/>
                    <w:rPr>
                      <w:b/>
                      <w:bCs/>
                      <w:color w:val="auto"/>
                      <w:szCs w:val="21"/>
                    </w:rPr>
                  </w:pPr>
                  <w:r>
                    <w:rPr>
                      <w:rFonts w:hint="eastAsia"/>
                      <w:b/>
                      <w:color w:val="auto"/>
                      <w:szCs w:val="21"/>
                    </w:rPr>
                    <w:t>试剂</w:t>
                  </w:r>
                  <w:r>
                    <w:rPr>
                      <w:b/>
                      <w:bCs/>
                      <w:color w:val="auto"/>
                      <w:szCs w:val="21"/>
                    </w:rPr>
                    <w:t>名称</w:t>
                  </w:r>
                </w:p>
              </w:tc>
              <w:tc>
                <w:tcPr>
                  <w:tcW w:w="1387" w:type="dxa"/>
                  <w:vAlign w:val="center"/>
                </w:tcPr>
                <w:p w14:paraId="0D696872">
                  <w:pPr>
                    <w:jc w:val="center"/>
                    <w:rPr>
                      <w:b/>
                      <w:bCs/>
                      <w:color w:val="auto"/>
                      <w:szCs w:val="21"/>
                    </w:rPr>
                  </w:pPr>
                  <w:r>
                    <w:rPr>
                      <w:b/>
                      <w:bCs/>
                      <w:color w:val="auto"/>
                      <w:szCs w:val="21"/>
                    </w:rPr>
                    <w:t>单位</w:t>
                  </w:r>
                </w:p>
              </w:tc>
              <w:tc>
                <w:tcPr>
                  <w:tcW w:w="1564" w:type="dxa"/>
                  <w:vAlign w:val="center"/>
                </w:tcPr>
                <w:p w14:paraId="1FD89F21">
                  <w:pPr>
                    <w:jc w:val="center"/>
                    <w:rPr>
                      <w:b/>
                      <w:bCs/>
                      <w:color w:val="auto"/>
                      <w:szCs w:val="21"/>
                    </w:rPr>
                  </w:pPr>
                  <w:r>
                    <w:rPr>
                      <w:b/>
                      <w:bCs/>
                      <w:color w:val="auto"/>
                      <w:szCs w:val="21"/>
                    </w:rPr>
                    <w:t>数量</w:t>
                  </w:r>
                </w:p>
              </w:tc>
            </w:tr>
            <w:tr w14:paraId="0D8D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restart"/>
                  <w:vAlign w:val="center"/>
                </w:tcPr>
                <w:p w14:paraId="20353B1E">
                  <w:pPr>
                    <w:jc w:val="center"/>
                    <w:rPr>
                      <w:color w:val="auto"/>
                      <w:szCs w:val="21"/>
                    </w:rPr>
                  </w:pPr>
                  <w:r>
                    <w:rPr>
                      <w:rFonts w:hint="eastAsia"/>
                      <w:color w:val="auto"/>
                      <w:szCs w:val="21"/>
                    </w:rPr>
                    <w:t>四街卫生院</w:t>
                  </w:r>
                </w:p>
              </w:tc>
              <w:tc>
                <w:tcPr>
                  <w:tcW w:w="4193" w:type="dxa"/>
                  <w:vAlign w:val="center"/>
                </w:tcPr>
                <w:p w14:paraId="3529B694">
                  <w:pPr>
                    <w:jc w:val="center"/>
                    <w:rPr>
                      <w:color w:val="auto"/>
                      <w:szCs w:val="21"/>
                    </w:rPr>
                  </w:pPr>
                  <w:r>
                    <w:rPr>
                      <w:rFonts w:hint="eastAsia" w:hAnsi="宋体"/>
                      <w:color w:val="auto"/>
                      <w:szCs w:val="21"/>
                    </w:rPr>
                    <w:t>血细胞分析试剂</w:t>
                  </w:r>
                </w:p>
              </w:tc>
              <w:tc>
                <w:tcPr>
                  <w:tcW w:w="1387" w:type="dxa"/>
                  <w:vAlign w:val="center"/>
                </w:tcPr>
                <w:p w14:paraId="1C4E2CF3">
                  <w:pPr>
                    <w:jc w:val="center"/>
                    <w:rPr>
                      <w:color w:val="auto"/>
                      <w:szCs w:val="21"/>
                    </w:rPr>
                  </w:pPr>
                  <w:r>
                    <w:rPr>
                      <w:rFonts w:hint="eastAsia"/>
                      <w:color w:val="auto"/>
                      <w:szCs w:val="21"/>
                    </w:rPr>
                    <w:t>L</w:t>
                  </w:r>
                </w:p>
              </w:tc>
              <w:tc>
                <w:tcPr>
                  <w:tcW w:w="1564" w:type="dxa"/>
                  <w:vAlign w:val="center"/>
                </w:tcPr>
                <w:p w14:paraId="7E1F304E">
                  <w:pPr>
                    <w:jc w:val="center"/>
                    <w:rPr>
                      <w:color w:val="auto"/>
                      <w:szCs w:val="21"/>
                    </w:rPr>
                  </w:pPr>
                  <w:r>
                    <w:rPr>
                      <w:rFonts w:hint="eastAsia"/>
                      <w:color w:val="auto"/>
                      <w:szCs w:val="21"/>
                    </w:rPr>
                    <w:t>120</w:t>
                  </w:r>
                </w:p>
              </w:tc>
            </w:tr>
            <w:tr w14:paraId="09A1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vAlign w:val="center"/>
                </w:tcPr>
                <w:p w14:paraId="770CC392">
                  <w:pPr>
                    <w:jc w:val="center"/>
                    <w:rPr>
                      <w:color w:val="auto"/>
                      <w:szCs w:val="21"/>
                    </w:rPr>
                  </w:pPr>
                </w:p>
              </w:tc>
              <w:tc>
                <w:tcPr>
                  <w:tcW w:w="4193" w:type="dxa"/>
                  <w:vAlign w:val="center"/>
                </w:tcPr>
                <w:p w14:paraId="3FB7B146">
                  <w:pPr>
                    <w:jc w:val="center"/>
                    <w:rPr>
                      <w:color w:val="auto"/>
                      <w:szCs w:val="21"/>
                    </w:rPr>
                  </w:pPr>
                  <w:r>
                    <w:rPr>
                      <w:rFonts w:hint="eastAsia"/>
                      <w:color w:val="auto"/>
                      <w:szCs w:val="21"/>
                    </w:rPr>
                    <w:t>谷丙转氨酶</w:t>
                  </w:r>
                </w:p>
              </w:tc>
              <w:tc>
                <w:tcPr>
                  <w:tcW w:w="1387" w:type="dxa"/>
                  <w:vAlign w:val="center"/>
                </w:tcPr>
                <w:p w14:paraId="0518A060">
                  <w:pPr>
                    <w:jc w:val="center"/>
                    <w:rPr>
                      <w:color w:val="auto"/>
                      <w:szCs w:val="21"/>
                    </w:rPr>
                  </w:pPr>
                  <w:r>
                    <w:rPr>
                      <w:rFonts w:hint="eastAsia"/>
                      <w:color w:val="auto"/>
                      <w:szCs w:val="21"/>
                    </w:rPr>
                    <w:t>L</w:t>
                  </w:r>
                </w:p>
              </w:tc>
              <w:tc>
                <w:tcPr>
                  <w:tcW w:w="1564" w:type="dxa"/>
                  <w:vAlign w:val="center"/>
                </w:tcPr>
                <w:p w14:paraId="1CCD4377">
                  <w:pPr>
                    <w:jc w:val="center"/>
                    <w:rPr>
                      <w:color w:val="auto"/>
                    </w:rPr>
                  </w:pPr>
                  <w:r>
                    <w:rPr>
                      <w:rFonts w:hint="eastAsia"/>
                      <w:color w:val="auto"/>
                      <w:szCs w:val="21"/>
                    </w:rPr>
                    <w:t>12</w:t>
                  </w:r>
                </w:p>
              </w:tc>
            </w:tr>
            <w:tr w14:paraId="4FFD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255D0E68">
                  <w:pPr>
                    <w:jc w:val="center"/>
                    <w:rPr>
                      <w:color w:val="auto"/>
                      <w:szCs w:val="21"/>
                    </w:rPr>
                  </w:pPr>
                </w:p>
              </w:tc>
              <w:tc>
                <w:tcPr>
                  <w:tcW w:w="4193" w:type="dxa"/>
                  <w:vAlign w:val="center"/>
                </w:tcPr>
                <w:p w14:paraId="7DFE6ED7">
                  <w:pPr>
                    <w:jc w:val="center"/>
                    <w:rPr>
                      <w:color w:val="auto"/>
                      <w:szCs w:val="21"/>
                    </w:rPr>
                  </w:pPr>
                  <w:r>
                    <w:rPr>
                      <w:rFonts w:hint="eastAsia" w:hAnsi="宋体"/>
                      <w:color w:val="auto"/>
                      <w:szCs w:val="21"/>
                    </w:rPr>
                    <w:t>甲功检测清洗液</w:t>
                  </w:r>
                </w:p>
              </w:tc>
              <w:tc>
                <w:tcPr>
                  <w:tcW w:w="1387" w:type="dxa"/>
                  <w:vAlign w:val="center"/>
                </w:tcPr>
                <w:p w14:paraId="24EF1DC0">
                  <w:pPr>
                    <w:jc w:val="center"/>
                    <w:rPr>
                      <w:color w:val="auto"/>
                      <w:szCs w:val="21"/>
                    </w:rPr>
                  </w:pPr>
                  <w:r>
                    <w:rPr>
                      <w:rFonts w:hint="eastAsia"/>
                      <w:color w:val="auto"/>
                      <w:szCs w:val="21"/>
                    </w:rPr>
                    <w:t>L</w:t>
                  </w:r>
                </w:p>
              </w:tc>
              <w:tc>
                <w:tcPr>
                  <w:tcW w:w="1564" w:type="dxa"/>
                  <w:vAlign w:val="center"/>
                </w:tcPr>
                <w:p w14:paraId="04551B1B">
                  <w:pPr>
                    <w:jc w:val="center"/>
                    <w:rPr>
                      <w:color w:val="auto"/>
                    </w:rPr>
                  </w:pPr>
                  <w:r>
                    <w:rPr>
                      <w:rFonts w:hint="eastAsia"/>
                      <w:color w:val="auto"/>
                      <w:szCs w:val="21"/>
                    </w:rPr>
                    <w:t>50</w:t>
                  </w:r>
                </w:p>
              </w:tc>
            </w:tr>
            <w:tr w14:paraId="28FA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4DCF721D">
                  <w:pPr>
                    <w:jc w:val="center"/>
                    <w:rPr>
                      <w:color w:val="auto"/>
                      <w:szCs w:val="21"/>
                    </w:rPr>
                  </w:pPr>
                </w:p>
              </w:tc>
              <w:tc>
                <w:tcPr>
                  <w:tcW w:w="4193" w:type="dxa"/>
                  <w:vAlign w:val="center"/>
                </w:tcPr>
                <w:p w14:paraId="2A599A0E">
                  <w:pPr>
                    <w:jc w:val="center"/>
                    <w:rPr>
                      <w:color w:val="auto"/>
                      <w:szCs w:val="21"/>
                    </w:rPr>
                  </w:pPr>
                  <w:r>
                    <w:rPr>
                      <w:rFonts w:hAnsi="宋体"/>
                      <w:color w:val="auto"/>
                      <w:szCs w:val="21"/>
                    </w:rPr>
                    <w:t>尿酸检测试剂</w:t>
                  </w:r>
                </w:p>
              </w:tc>
              <w:tc>
                <w:tcPr>
                  <w:tcW w:w="1387" w:type="dxa"/>
                  <w:vAlign w:val="center"/>
                </w:tcPr>
                <w:p w14:paraId="4A77C48E">
                  <w:pPr>
                    <w:jc w:val="center"/>
                    <w:rPr>
                      <w:color w:val="auto"/>
                      <w:szCs w:val="21"/>
                    </w:rPr>
                  </w:pPr>
                  <w:r>
                    <w:rPr>
                      <w:color w:val="auto"/>
                      <w:szCs w:val="21"/>
                    </w:rPr>
                    <w:t>盒</w:t>
                  </w:r>
                </w:p>
              </w:tc>
              <w:tc>
                <w:tcPr>
                  <w:tcW w:w="1564" w:type="dxa"/>
                  <w:vAlign w:val="center"/>
                </w:tcPr>
                <w:p w14:paraId="6FBC61A3">
                  <w:pPr>
                    <w:jc w:val="center"/>
                    <w:rPr>
                      <w:color w:val="auto"/>
                      <w:szCs w:val="21"/>
                    </w:rPr>
                  </w:pPr>
                  <w:r>
                    <w:rPr>
                      <w:rFonts w:hint="eastAsia"/>
                      <w:color w:val="auto"/>
                      <w:szCs w:val="21"/>
                    </w:rPr>
                    <w:t>40</w:t>
                  </w:r>
                </w:p>
              </w:tc>
            </w:tr>
            <w:tr w14:paraId="3D18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2FED84B6">
                  <w:pPr>
                    <w:jc w:val="center"/>
                    <w:rPr>
                      <w:color w:val="auto"/>
                      <w:szCs w:val="21"/>
                    </w:rPr>
                  </w:pPr>
                </w:p>
              </w:tc>
              <w:tc>
                <w:tcPr>
                  <w:tcW w:w="4193" w:type="dxa"/>
                  <w:vAlign w:val="center"/>
                </w:tcPr>
                <w:p w14:paraId="4608FFA7">
                  <w:pPr>
                    <w:jc w:val="center"/>
                    <w:rPr>
                      <w:color w:val="auto"/>
                      <w:szCs w:val="21"/>
                    </w:rPr>
                  </w:pPr>
                  <w:r>
                    <w:rPr>
                      <w:rFonts w:hAnsi="宋体"/>
                      <w:color w:val="auto"/>
                      <w:szCs w:val="21"/>
                    </w:rPr>
                    <w:t>尿素氮检测试剂</w:t>
                  </w:r>
                </w:p>
              </w:tc>
              <w:tc>
                <w:tcPr>
                  <w:tcW w:w="1387" w:type="dxa"/>
                  <w:vAlign w:val="center"/>
                </w:tcPr>
                <w:p w14:paraId="624472B9">
                  <w:pPr>
                    <w:jc w:val="center"/>
                    <w:rPr>
                      <w:color w:val="auto"/>
                      <w:szCs w:val="21"/>
                    </w:rPr>
                  </w:pPr>
                  <w:r>
                    <w:rPr>
                      <w:color w:val="auto"/>
                      <w:szCs w:val="21"/>
                    </w:rPr>
                    <w:t>盒</w:t>
                  </w:r>
                </w:p>
              </w:tc>
              <w:tc>
                <w:tcPr>
                  <w:tcW w:w="1564" w:type="dxa"/>
                  <w:vAlign w:val="center"/>
                </w:tcPr>
                <w:p w14:paraId="76F200DD">
                  <w:pPr>
                    <w:jc w:val="center"/>
                    <w:rPr>
                      <w:color w:val="auto"/>
                    </w:rPr>
                  </w:pPr>
                  <w:r>
                    <w:rPr>
                      <w:rFonts w:hint="eastAsia"/>
                      <w:color w:val="auto"/>
                      <w:szCs w:val="21"/>
                    </w:rPr>
                    <w:t>50</w:t>
                  </w:r>
                </w:p>
              </w:tc>
            </w:tr>
            <w:tr w14:paraId="7A10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61A12FCB">
                  <w:pPr>
                    <w:jc w:val="center"/>
                    <w:rPr>
                      <w:color w:val="auto"/>
                      <w:szCs w:val="21"/>
                    </w:rPr>
                  </w:pPr>
                </w:p>
              </w:tc>
              <w:tc>
                <w:tcPr>
                  <w:tcW w:w="4193" w:type="dxa"/>
                  <w:vAlign w:val="center"/>
                </w:tcPr>
                <w:p w14:paraId="7FB3670B">
                  <w:pPr>
                    <w:jc w:val="center"/>
                    <w:rPr>
                      <w:color w:val="auto"/>
                      <w:szCs w:val="21"/>
                    </w:rPr>
                  </w:pPr>
                  <w:r>
                    <w:rPr>
                      <w:rFonts w:hAnsi="宋体"/>
                      <w:color w:val="auto"/>
                      <w:szCs w:val="21"/>
                    </w:rPr>
                    <w:t>葡萄糖检测试剂</w:t>
                  </w:r>
                </w:p>
              </w:tc>
              <w:tc>
                <w:tcPr>
                  <w:tcW w:w="1387" w:type="dxa"/>
                  <w:vAlign w:val="center"/>
                </w:tcPr>
                <w:p w14:paraId="20850B35">
                  <w:pPr>
                    <w:jc w:val="center"/>
                    <w:rPr>
                      <w:color w:val="auto"/>
                      <w:szCs w:val="21"/>
                    </w:rPr>
                  </w:pPr>
                  <w:r>
                    <w:rPr>
                      <w:rFonts w:hint="eastAsia"/>
                      <w:color w:val="auto"/>
                      <w:szCs w:val="21"/>
                    </w:rPr>
                    <w:t>L</w:t>
                  </w:r>
                </w:p>
              </w:tc>
              <w:tc>
                <w:tcPr>
                  <w:tcW w:w="1564" w:type="dxa"/>
                  <w:vAlign w:val="center"/>
                </w:tcPr>
                <w:p w14:paraId="2B0BAD9F">
                  <w:pPr>
                    <w:jc w:val="center"/>
                    <w:rPr>
                      <w:color w:val="auto"/>
                      <w:szCs w:val="21"/>
                    </w:rPr>
                  </w:pPr>
                  <w:r>
                    <w:rPr>
                      <w:rFonts w:hint="eastAsia"/>
                      <w:color w:val="auto"/>
                      <w:szCs w:val="21"/>
                    </w:rPr>
                    <w:t>30</w:t>
                  </w:r>
                </w:p>
              </w:tc>
            </w:tr>
            <w:tr w14:paraId="6324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65ACC343">
                  <w:pPr>
                    <w:jc w:val="center"/>
                    <w:rPr>
                      <w:color w:val="auto"/>
                      <w:szCs w:val="21"/>
                    </w:rPr>
                  </w:pPr>
                </w:p>
              </w:tc>
              <w:tc>
                <w:tcPr>
                  <w:tcW w:w="4193" w:type="dxa"/>
                  <w:vAlign w:val="center"/>
                </w:tcPr>
                <w:p w14:paraId="2FCBE118">
                  <w:pPr>
                    <w:jc w:val="center"/>
                    <w:rPr>
                      <w:color w:val="auto"/>
                      <w:szCs w:val="21"/>
                    </w:rPr>
                  </w:pPr>
                  <w:r>
                    <w:rPr>
                      <w:rFonts w:hAnsi="宋体"/>
                      <w:color w:val="auto"/>
                      <w:szCs w:val="21"/>
                    </w:rPr>
                    <w:t>总胆固醇检测试剂</w:t>
                  </w:r>
                </w:p>
              </w:tc>
              <w:tc>
                <w:tcPr>
                  <w:tcW w:w="1387" w:type="dxa"/>
                  <w:vAlign w:val="center"/>
                </w:tcPr>
                <w:p w14:paraId="3B8723F2">
                  <w:pPr>
                    <w:jc w:val="center"/>
                    <w:rPr>
                      <w:color w:val="auto"/>
                      <w:szCs w:val="21"/>
                    </w:rPr>
                  </w:pPr>
                  <w:r>
                    <w:rPr>
                      <w:rFonts w:hint="eastAsia"/>
                      <w:color w:val="auto"/>
                      <w:szCs w:val="21"/>
                    </w:rPr>
                    <w:t>L</w:t>
                  </w:r>
                </w:p>
              </w:tc>
              <w:tc>
                <w:tcPr>
                  <w:tcW w:w="1564" w:type="dxa"/>
                  <w:vAlign w:val="center"/>
                </w:tcPr>
                <w:p w14:paraId="4A7AC6AB">
                  <w:pPr>
                    <w:jc w:val="center"/>
                    <w:rPr>
                      <w:color w:val="auto"/>
                      <w:szCs w:val="21"/>
                    </w:rPr>
                  </w:pPr>
                  <w:r>
                    <w:rPr>
                      <w:rFonts w:hint="eastAsia"/>
                      <w:color w:val="auto"/>
                      <w:szCs w:val="21"/>
                    </w:rPr>
                    <w:t>30</w:t>
                  </w:r>
                </w:p>
              </w:tc>
            </w:tr>
            <w:tr w14:paraId="2FB6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04A151F8">
                  <w:pPr>
                    <w:jc w:val="center"/>
                    <w:rPr>
                      <w:color w:val="auto"/>
                      <w:szCs w:val="21"/>
                    </w:rPr>
                  </w:pPr>
                </w:p>
              </w:tc>
              <w:tc>
                <w:tcPr>
                  <w:tcW w:w="4193" w:type="dxa"/>
                  <w:vAlign w:val="center"/>
                </w:tcPr>
                <w:p w14:paraId="3BD24540">
                  <w:pPr>
                    <w:jc w:val="center"/>
                    <w:rPr>
                      <w:color w:val="auto"/>
                      <w:szCs w:val="21"/>
                    </w:rPr>
                  </w:pPr>
                  <w:r>
                    <w:rPr>
                      <w:rFonts w:hAnsi="宋体"/>
                      <w:color w:val="auto"/>
                      <w:szCs w:val="21"/>
                    </w:rPr>
                    <w:t>电解质标准液</w:t>
                  </w:r>
                </w:p>
              </w:tc>
              <w:tc>
                <w:tcPr>
                  <w:tcW w:w="1387" w:type="dxa"/>
                  <w:vAlign w:val="center"/>
                </w:tcPr>
                <w:p w14:paraId="0CB77DE6">
                  <w:pPr>
                    <w:jc w:val="center"/>
                    <w:rPr>
                      <w:color w:val="auto"/>
                      <w:szCs w:val="21"/>
                    </w:rPr>
                  </w:pPr>
                  <w:r>
                    <w:rPr>
                      <w:rFonts w:hint="eastAsia"/>
                      <w:color w:val="auto"/>
                      <w:szCs w:val="21"/>
                    </w:rPr>
                    <w:t>L</w:t>
                  </w:r>
                </w:p>
              </w:tc>
              <w:tc>
                <w:tcPr>
                  <w:tcW w:w="1564" w:type="dxa"/>
                  <w:vAlign w:val="center"/>
                </w:tcPr>
                <w:p w14:paraId="76658544">
                  <w:pPr>
                    <w:jc w:val="center"/>
                    <w:rPr>
                      <w:color w:val="auto"/>
                      <w:szCs w:val="21"/>
                    </w:rPr>
                  </w:pPr>
                  <w:r>
                    <w:rPr>
                      <w:rFonts w:hint="eastAsia"/>
                      <w:color w:val="auto"/>
                      <w:szCs w:val="21"/>
                    </w:rPr>
                    <w:t>60</w:t>
                  </w:r>
                </w:p>
              </w:tc>
            </w:tr>
            <w:tr w14:paraId="5BD5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07A832C6">
                  <w:pPr>
                    <w:jc w:val="center"/>
                    <w:rPr>
                      <w:color w:val="auto"/>
                      <w:szCs w:val="21"/>
                    </w:rPr>
                  </w:pPr>
                </w:p>
              </w:tc>
              <w:tc>
                <w:tcPr>
                  <w:tcW w:w="4193" w:type="dxa"/>
                  <w:vAlign w:val="center"/>
                </w:tcPr>
                <w:p w14:paraId="5AB087AE">
                  <w:pPr>
                    <w:jc w:val="center"/>
                    <w:rPr>
                      <w:color w:val="auto"/>
                      <w:szCs w:val="21"/>
                    </w:rPr>
                  </w:pPr>
                  <w:r>
                    <w:rPr>
                      <w:rFonts w:hAnsi="宋体"/>
                      <w:color w:val="auto"/>
                      <w:szCs w:val="21"/>
                    </w:rPr>
                    <w:t>电解质清洗液</w:t>
                  </w:r>
                </w:p>
              </w:tc>
              <w:tc>
                <w:tcPr>
                  <w:tcW w:w="1387" w:type="dxa"/>
                  <w:vAlign w:val="center"/>
                </w:tcPr>
                <w:p w14:paraId="41520F6E">
                  <w:pPr>
                    <w:jc w:val="center"/>
                    <w:rPr>
                      <w:color w:val="auto"/>
                      <w:szCs w:val="21"/>
                    </w:rPr>
                  </w:pPr>
                  <w:r>
                    <w:rPr>
                      <w:color w:val="auto"/>
                      <w:szCs w:val="21"/>
                    </w:rPr>
                    <w:t>瓶</w:t>
                  </w:r>
                </w:p>
              </w:tc>
              <w:tc>
                <w:tcPr>
                  <w:tcW w:w="1564" w:type="dxa"/>
                  <w:vAlign w:val="center"/>
                </w:tcPr>
                <w:p w14:paraId="0426B40C">
                  <w:pPr>
                    <w:jc w:val="center"/>
                    <w:rPr>
                      <w:color w:val="auto"/>
                      <w:szCs w:val="21"/>
                    </w:rPr>
                  </w:pPr>
                  <w:r>
                    <w:rPr>
                      <w:rFonts w:hint="eastAsia"/>
                      <w:color w:val="auto"/>
                      <w:szCs w:val="21"/>
                    </w:rPr>
                    <w:t>20</w:t>
                  </w:r>
                </w:p>
              </w:tc>
            </w:tr>
            <w:tr w14:paraId="17D0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3A49FB1E">
                  <w:pPr>
                    <w:jc w:val="center"/>
                    <w:rPr>
                      <w:color w:val="auto"/>
                      <w:szCs w:val="21"/>
                    </w:rPr>
                  </w:pPr>
                </w:p>
              </w:tc>
              <w:tc>
                <w:tcPr>
                  <w:tcW w:w="4193" w:type="dxa"/>
                  <w:vAlign w:val="center"/>
                </w:tcPr>
                <w:p w14:paraId="43338770">
                  <w:pPr>
                    <w:jc w:val="center"/>
                    <w:rPr>
                      <w:color w:val="auto"/>
                      <w:szCs w:val="21"/>
                    </w:rPr>
                  </w:pPr>
                  <w:r>
                    <w:rPr>
                      <w:color w:val="auto"/>
                      <w:szCs w:val="21"/>
                    </w:rPr>
                    <w:t>75</w:t>
                  </w:r>
                  <w:r>
                    <w:rPr>
                      <w:rFonts w:hAnsi="宋体"/>
                      <w:color w:val="auto"/>
                      <w:szCs w:val="21"/>
                    </w:rPr>
                    <w:t>％医用酒精</w:t>
                  </w:r>
                </w:p>
              </w:tc>
              <w:tc>
                <w:tcPr>
                  <w:tcW w:w="1387" w:type="dxa"/>
                  <w:vAlign w:val="center"/>
                </w:tcPr>
                <w:p w14:paraId="2ADFAFDA">
                  <w:pPr>
                    <w:jc w:val="center"/>
                    <w:rPr>
                      <w:color w:val="auto"/>
                      <w:szCs w:val="21"/>
                    </w:rPr>
                  </w:pPr>
                  <w:r>
                    <w:rPr>
                      <w:color w:val="auto"/>
                      <w:szCs w:val="21"/>
                    </w:rPr>
                    <w:t>瓶</w:t>
                  </w:r>
                </w:p>
              </w:tc>
              <w:tc>
                <w:tcPr>
                  <w:tcW w:w="1564" w:type="dxa"/>
                  <w:vAlign w:val="center"/>
                </w:tcPr>
                <w:p w14:paraId="626A01B4">
                  <w:pPr>
                    <w:jc w:val="center"/>
                    <w:rPr>
                      <w:color w:val="auto"/>
                      <w:szCs w:val="21"/>
                    </w:rPr>
                  </w:pPr>
                  <w:r>
                    <w:rPr>
                      <w:rFonts w:hint="eastAsia"/>
                      <w:color w:val="auto"/>
                      <w:szCs w:val="21"/>
                    </w:rPr>
                    <w:t>20</w:t>
                  </w:r>
                </w:p>
              </w:tc>
            </w:tr>
            <w:tr w14:paraId="5E3C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2C9FCD86">
                  <w:pPr>
                    <w:jc w:val="center"/>
                    <w:rPr>
                      <w:color w:val="auto"/>
                      <w:szCs w:val="21"/>
                    </w:rPr>
                  </w:pPr>
                </w:p>
              </w:tc>
              <w:tc>
                <w:tcPr>
                  <w:tcW w:w="4193" w:type="dxa"/>
                  <w:vAlign w:val="center"/>
                </w:tcPr>
                <w:p w14:paraId="099C5F5B">
                  <w:pPr>
                    <w:jc w:val="center"/>
                    <w:rPr>
                      <w:color w:val="auto"/>
                      <w:szCs w:val="21"/>
                    </w:rPr>
                  </w:pPr>
                  <w:r>
                    <w:rPr>
                      <w:rFonts w:hAnsi="宋体"/>
                      <w:color w:val="auto"/>
                      <w:szCs w:val="21"/>
                    </w:rPr>
                    <w:t>生理盐水</w:t>
                  </w:r>
                </w:p>
              </w:tc>
              <w:tc>
                <w:tcPr>
                  <w:tcW w:w="1387" w:type="dxa"/>
                  <w:vAlign w:val="center"/>
                </w:tcPr>
                <w:p w14:paraId="4F02D916">
                  <w:pPr>
                    <w:jc w:val="center"/>
                    <w:rPr>
                      <w:color w:val="auto"/>
                      <w:szCs w:val="21"/>
                    </w:rPr>
                  </w:pPr>
                  <w:r>
                    <w:rPr>
                      <w:color w:val="auto"/>
                      <w:szCs w:val="21"/>
                    </w:rPr>
                    <w:t>瓶</w:t>
                  </w:r>
                </w:p>
              </w:tc>
              <w:tc>
                <w:tcPr>
                  <w:tcW w:w="1564" w:type="dxa"/>
                </w:tcPr>
                <w:p w14:paraId="3B4EEF38">
                  <w:pPr>
                    <w:jc w:val="center"/>
                    <w:rPr>
                      <w:color w:val="auto"/>
                    </w:rPr>
                  </w:pPr>
                  <w:r>
                    <w:rPr>
                      <w:rFonts w:hint="eastAsia"/>
                      <w:color w:val="auto"/>
                      <w:szCs w:val="21"/>
                    </w:rPr>
                    <w:t>20</w:t>
                  </w:r>
                </w:p>
              </w:tc>
            </w:tr>
            <w:tr w14:paraId="296F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3F4FA20F">
                  <w:pPr>
                    <w:jc w:val="center"/>
                    <w:rPr>
                      <w:color w:val="auto"/>
                      <w:szCs w:val="21"/>
                    </w:rPr>
                  </w:pPr>
                </w:p>
              </w:tc>
              <w:tc>
                <w:tcPr>
                  <w:tcW w:w="4193" w:type="dxa"/>
                  <w:vAlign w:val="center"/>
                </w:tcPr>
                <w:p w14:paraId="6D08FA54">
                  <w:pPr>
                    <w:jc w:val="center"/>
                    <w:rPr>
                      <w:color w:val="auto"/>
                      <w:szCs w:val="21"/>
                    </w:rPr>
                  </w:pPr>
                  <w:r>
                    <w:rPr>
                      <w:rFonts w:hint="eastAsia" w:hAnsi="宋体"/>
                      <w:color w:val="auto"/>
                      <w:szCs w:val="21"/>
                    </w:rPr>
                    <w:t>血肌酐</w:t>
                  </w:r>
                </w:p>
              </w:tc>
              <w:tc>
                <w:tcPr>
                  <w:tcW w:w="1387" w:type="dxa"/>
                  <w:vAlign w:val="center"/>
                </w:tcPr>
                <w:p w14:paraId="0C786367">
                  <w:pPr>
                    <w:jc w:val="center"/>
                    <w:rPr>
                      <w:color w:val="auto"/>
                      <w:szCs w:val="21"/>
                    </w:rPr>
                  </w:pPr>
                  <w:r>
                    <w:rPr>
                      <w:rFonts w:hint="eastAsia"/>
                      <w:color w:val="auto"/>
                      <w:szCs w:val="21"/>
                    </w:rPr>
                    <w:t>L</w:t>
                  </w:r>
                </w:p>
              </w:tc>
              <w:tc>
                <w:tcPr>
                  <w:tcW w:w="1564" w:type="dxa"/>
                </w:tcPr>
                <w:p w14:paraId="018A15B4">
                  <w:pPr>
                    <w:jc w:val="center"/>
                    <w:rPr>
                      <w:color w:val="auto"/>
                    </w:rPr>
                  </w:pPr>
                  <w:r>
                    <w:rPr>
                      <w:rFonts w:hint="eastAsia"/>
                      <w:color w:val="auto"/>
                      <w:szCs w:val="21"/>
                    </w:rPr>
                    <w:t>20</w:t>
                  </w:r>
                </w:p>
              </w:tc>
            </w:tr>
            <w:tr w14:paraId="450A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13" w:type="dxa"/>
                  <w:vMerge w:val="continue"/>
                  <w:vAlign w:val="center"/>
                </w:tcPr>
                <w:p w14:paraId="2BD4C8CD">
                  <w:pPr>
                    <w:jc w:val="center"/>
                    <w:rPr>
                      <w:color w:val="auto"/>
                      <w:szCs w:val="21"/>
                    </w:rPr>
                  </w:pPr>
                </w:p>
              </w:tc>
              <w:tc>
                <w:tcPr>
                  <w:tcW w:w="4193" w:type="dxa"/>
                  <w:vAlign w:val="center"/>
                </w:tcPr>
                <w:p w14:paraId="1D282539">
                  <w:pPr>
                    <w:jc w:val="center"/>
                    <w:rPr>
                      <w:color w:val="auto"/>
                      <w:szCs w:val="21"/>
                    </w:rPr>
                  </w:pPr>
                  <w:r>
                    <w:rPr>
                      <w:rFonts w:hint="eastAsia"/>
                      <w:color w:val="auto"/>
                      <w:szCs w:val="21"/>
                    </w:rPr>
                    <w:t>尿素氨</w:t>
                  </w:r>
                </w:p>
              </w:tc>
              <w:tc>
                <w:tcPr>
                  <w:tcW w:w="1387" w:type="dxa"/>
                  <w:vAlign w:val="center"/>
                </w:tcPr>
                <w:p w14:paraId="2828B524">
                  <w:pPr>
                    <w:jc w:val="center"/>
                    <w:rPr>
                      <w:color w:val="auto"/>
                      <w:szCs w:val="21"/>
                    </w:rPr>
                  </w:pPr>
                  <w:r>
                    <w:rPr>
                      <w:rFonts w:hint="eastAsia"/>
                      <w:color w:val="auto"/>
                      <w:szCs w:val="21"/>
                    </w:rPr>
                    <w:t>L</w:t>
                  </w:r>
                </w:p>
              </w:tc>
              <w:tc>
                <w:tcPr>
                  <w:tcW w:w="1564" w:type="dxa"/>
                  <w:vAlign w:val="center"/>
                </w:tcPr>
                <w:p w14:paraId="3CB9F577">
                  <w:pPr>
                    <w:jc w:val="center"/>
                    <w:rPr>
                      <w:color w:val="auto"/>
                      <w:szCs w:val="21"/>
                    </w:rPr>
                  </w:pPr>
                  <w:r>
                    <w:rPr>
                      <w:rFonts w:hint="eastAsia"/>
                      <w:color w:val="auto"/>
                      <w:szCs w:val="21"/>
                    </w:rPr>
                    <w:t>20</w:t>
                  </w:r>
                </w:p>
              </w:tc>
            </w:tr>
            <w:tr w14:paraId="6484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13" w:type="dxa"/>
                  <w:vMerge w:val="continue"/>
                  <w:vAlign w:val="center"/>
                </w:tcPr>
                <w:p w14:paraId="45C547AD">
                  <w:pPr>
                    <w:jc w:val="center"/>
                    <w:rPr>
                      <w:color w:val="auto"/>
                      <w:szCs w:val="21"/>
                    </w:rPr>
                  </w:pPr>
                </w:p>
              </w:tc>
              <w:tc>
                <w:tcPr>
                  <w:tcW w:w="4193" w:type="dxa"/>
                  <w:vAlign w:val="center"/>
                </w:tcPr>
                <w:p w14:paraId="3C5B8ED7">
                  <w:pPr>
                    <w:jc w:val="center"/>
                    <w:rPr>
                      <w:rFonts w:hint="eastAsia" w:hAnsi="宋体"/>
                      <w:color w:val="auto"/>
                      <w:szCs w:val="21"/>
                      <w:highlight w:val="yellow"/>
                    </w:rPr>
                  </w:pPr>
                  <w:r>
                    <w:rPr>
                      <w:rFonts w:hint="eastAsia" w:hAnsi="宋体"/>
                      <w:color w:val="auto"/>
                      <w:szCs w:val="21"/>
                    </w:rPr>
                    <w:t>胆碱酯酶</w:t>
                  </w:r>
                </w:p>
              </w:tc>
              <w:tc>
                <w:tcPr>
                  <w:tcW w:w="1387" w:type="dxa"/>
                  <w:vAlign w:val="center"/>
                </w:tcPr>
                <w:p w14:paraId="1F83A387">
                  <w:pPr>
                    <w:jc w:val="center"/>
                    <w:rPr>
                      <w:color w:val="auto"/>
                      <w:szCs w:val="21"/>
                    </w:rPr>
                  </w:pPr>
                  <w:r>
                    <w:rPr>
                      <w:rFonts w:hint="eastAsia"/>
                      <w:color w:val="auto"/>
                      <w:szCs w:val="21"/>
                    </w:rPr>
                    <w:t>L</w:t>
                  </w:r>
                </w:p>
              </w:tc>
              <w:tc>
                <w:tcPr>
                  <w:tcW w:w="1564" w:type="dxa"/>
                  <w:vAlign w:val="center"/>
                </w:tcPr>
                <w:p w14:paraId="18252838">
                  <w:pPr>
                    <w:jc w:val="center"/>
                    <w:rPr>
                      <w:color w:val="auto"/>
                      <w:szCs w:val="21"/>
                    </w:rPr>
                  </w:pPr>
                  <w:r>
                    <w:rPr>
                      <w:rFonts w:hint="eastAsia"/>
                      <w:color w:val="auto"/>
                      <w:szCs w:val="21"/>
                    </w:rPr>
                    <w:t>20</w:t>
                  </w:r>
                </w:p>
              </w:tc>
            </w:tr>
            <w:tr w14:paraId="7EF6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13" w:type="dxa"/>
                  <w:vMerge w:val="continue"/>
                  <w:vAlign w:val="center"/>
                </w:tcPr>
                <w:p w14:paraId="50D4175D">
                  <w:pPr>
                    <w:jc w:val="center"/>
                    <w:rPr>
                      <w:color w:val="auto"/>
                      <w:szCs w:val="21"/>
                    </w:rPr>
                  </w:pPr>
                </w:p>
              </w:tc>
              <w:tc>
                <w:tcPr>
                  <w:tcW w:w="4193" w:type="dxa"/>
                  <w:vAlign w:val="center"/>
                </w:tcPr>
                <w:p w14:paraId="7391267F">
                  <w:pPr>
                    <w:jc w:val="center"/>
                    <w:rPr>
                      <w:rFonts w:hint="eastAsia" w:hAnsi="宋体"/>
                      <w:color w:val="auto"/>
                      <w:szCs w:val="21"/>
                    </w:rPr>
                  </w:pPr>
                  <w:r>
                    <w:rPr>
                      <w:rFonts w:hint="eastAsia" w:hAnsi="宋体"/>
                      <w:color w:val="auto"/>
                      <w:szCs w:val="21"/>
                    </w:rPr>
                    <w:t>直接胆红素试剂</w:t>
                  </w:r>
                </w:p>
              </w:tc>
              <w:tc>
                <w:tcPr>
                  <w:tcW w:w="1387" w:type="dxa"/>
                  <w:vAlign w:val="center"/>
                </w:tcPr>
                <w:p w14:paraId="227EBC91">
                  <w:pPr>
                    <w:jc w:val="center"/>
                    <w:rPr>
                      <w:color w:val="auto"/>
                      <w:szCs w:val="21"/>
                    </w:rPr>
                  </w:pPr>
                  <w:r>
                    <w:rPr>
                      <w:color w:val="auto"/>
                      <w:szCs w:val="21"/>
                    </w:rPr>
                    <w:t>盒</w:t>
                  </w:r>
                </w:p>
              </w:tc>
              <w:tc>
                <w:tcPr>
                  <w:tcW w:w="1564" w:type="dxa"/>
                  <w:vAlign w:val="center"/>
                </w:tcPr>
                <w:p w14:paraId="7314C5D6">
                  <w:pPr>
                    <w:jc w:val="center"/>
                    <w:rPr>
                      <w:color w:val="auto"/>
                      <w:szCs w:val="21"/>
                    </w:rPr>
                  </w:pPr>
                  <w:r>
                    <w:rPr>
                      <w:rFonts w:hint="eastAsia"/>
                      <w:color w:val="auto"/>
                      <w:szCs w:val="21"/>
                    </w:rPr>
                    <w:t>40</w:t>
                  </w:r>
                </w:p>
              </w:tc>
            </w:tr>
            <w:tr w14:paraId="1B8E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13" w:type="dxa"/>
                  <w:vMerge w:val="continue"/>
                  <w:vAlign w:val="center"/>
                </w:tcPr>
                <w:p w14:paraId="578B0796">
                  <w:pPr>
                    <w:jc w:val="center"/>
                    <w:rPr>
                      <w:color w:val="auto"/>
                      <w:szCs w:val="21"/>
                    </w:rPr>
                  </w:pPr>
                </w:p>
              </w:tc>
              <w:tc>
                <w:tcPr>
                  <w:tcW w:w="4193" w:type="dxa"/>
                  <w:vAlign w:val="center"/>
                </w:tcPr>
                <w:p w14:paraId="0BAEF5D0">
                  <w:pPr>
                    <w:jc w:val="center"/>
                    <w:rPr>
                      <w:color w:val="auto"/>
                      <w:szCs w:val="21"/>
                    </w:rPr>
                  </w:pPr>
                  <w:r>
                    <w:rPr>
                      <w:rFonts w:hAnsi="宋体"/>
                      <w:color w:val="auto"/>
                      <w:szCs w:val="21"/>
                    </w:rPr>
                    <w:t>消毒液</w:t>
                  </w:r>
                </w:p>
              </w:tc>
              <w:tc>
                <w:tcPr>
                  <w:tcW w:w="1387" w:type="dxa"/>
                  <w:vAlign w:val="center"/>
                </w:tcPr>
                <w:p w14:paraId="5218EAC1">
                  <w:pPr>
                    <w:jc w:val="center"/>
                    <w:rPr>
                      <w:color w:val="auto"/>
                      <w:szCs w:val="21"/>
                    </w:rPr>
                  </w:pPr>
                  <w:r>
                    <w:rPr>
                      <w:color w:val="auto"/>
                      <w:szCs w:val="21"/>
                    </w:rPr>
                    <w:t>瓶</w:t>
                  </w:r>
                </w:p>
              </w:tc>
              <w:tc>
                <w:tcPr>
                  <w:tcW w:w="1564" w:type="dxa"/>
                  <w:vAlign w:val="center"/>
                </w:tcPr>
                <w:p w14:paraId="20F2BED0">
                  <w:pPr>
                    <w:jc w:val="center"/>
                    <w:rPr>
                      <w:color w:val="auto"/>
                    </w:rPr>
                  </w:pPr>
                  <w:r>
                    <w:rPr>
                      <w:rFonts w:hint="eastAsia"/>
                      <w:color w:val="auto"/>
                      <w:szCs w:val="21"/>
                    </w:rPr>
                    <w:t>20</w:t>
                  </w:r>
                </w:p>
              </w:tc>
            </w:tr>
            <w:tr w14:paraId="4FDF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13" w:type="dxa"/>
                  <w:vMerge w:val="continue"/>
                  <w:vAlign w:val="center"/>
                </w:tcPr>
                <w:p w14:paraId="579038CA">
                  <w:pPr>
                    <w:jc w:val="center"/>
                    <w:rPr>
                      <w:color w:val="auto"/>
                      <w:szCs w:val="21"/>
                    </w:rPr>
                  </w:pPr>
                </w:p>
              </w:tc>
              <w:tc>
                <w:tcPr>
                  <w:tcW w:w="4193" w:type="dxa"/>
                  <w:vAlign w:val="center"/>
                </w:tcPr>
                <w:p w14:paraId="52DF8AA1">
                  <w:pPr>
                    <w:jc w:val="center"/>
                    <w:rPr>
                      <w:color w:val="auto"/>
                      <w:szCs w:val="21"/>
                    </w:rPr>
                  </w:pPr>
                  <w:r>
                    <w:rPr>
                      <w:rFonts w:hAnsi="宋体"/>
                      <w:color w:val="auto"/>
                      <w:szCs w:val="21"/>
                    </w:rPr>
                    <w:t>氢氧化钠溶液</w:t>
                  </w:r>
                </w:p>
              </w:tc>
              <w:tc>
                <w:tcPr>
                  <w:tcW w:w="1387" w:type="dxa"/>
                  <w:vAlign w:val="center"/>
                </w:tcPr>
                <w:p w14:paraId="64D615E2">
                  <w:pPr>
                    <w:jc w:val="center"/>
                    <w:rPr>
                      <w:color w:val="auto"/>
                      <w:szCs w:val="21"/>
                    </w:rPr>
                  </w:pPr>
                  <w:r>
                    <w:rPr>
                      <w:rFonts w:hint="eastAsia"/>
                      <w:color w:val="auto"/>
                      <w:szCs w:val="21"/>
                    </w:rPr>
                    <w:t>t</w:t>
                  </w:r>
                </w:p>
              </w:tc>
              <w:tc>
                <w:tcPr>
                  <w:tcW w:w="1564" w:type="dxa"/>
                  <w:vAlign w:val="center"/>
                </w:tcPr>
                <w:p w14:paraId="04125F50">
                  <w:pPr>
                    <w:jc w:val="center"/>
                    <w:rPr>
                      <w:color w:val="auto"/>
                      <w:szCs w:val="21"/>
                    </w:rPr>
                  </w:pPr>
                  <w:r>
                    <w:rPr>
                      <w:rFonts w:hint="eastAsia"/>
                      <w:color w:val="auto"/>
                      <w:szCs w:val="21"/>
                    </w:rPr>
                    <w:t>0.05</w:t>
                  </w:r>
                </w:p>
              </w:tc>
            </w:tr>
            <w:tr w14:paraId="18FA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restart"/>
                  <w:vAlign w:val="center"/>
                </w:tcPr>
                <w:p w14:paraId="421677CE">
                  <w:pPr>
                    <w:jc w:val="center"/>
                    <w:rPr>
                      <w:color w:val="auto"/>
                      <w:szCs w:val="21"/>
                    </w:rPr>
                  </w:pPr>
                  <w:r>
                    <w:rPr>
                      <w:rFonts w:hint="eastAsia"/>
                      <w:color w:val="auto"/>
                      <w:szCs w:val="21"/>
                    </w:rPr>
                    <w:t>纳古卫生院</w:t>
                  </w:r>
                </w:p>
              </w:tc>
              <w:tc>
                <w:tcPr>
                  <w:tcW w:w="4193" w:type="dxa"/>
                  <w:vAlign w:val="center"/>
                </w:tcPr>
                <w:p w14:paraId="72FEE18A">
                  <w:pPr>
                    <w:jc w:val="center"/>
                    <w:rPr>
                      <w:rFonts w:hint="eastAsia" w:hAnsi="宋体"/>
                      <w:color w:val="auto"/>
                      <w:szCs w:val="21"/>
                    </w:rPr>
                  </w:pPr>
                  <w:r>
                    <w:rPr>
                      <w:rFonts w:hAnsi="宋体"/>
                      <w:color w:val="auto"/>
                      <w:szCs w:val="21"/>
                    </w:rPr>
                    <w:t>电解质标准液</w:t>
                  </w:r>
                </w:p>
              </w:tc>
              <w:tc>
                <w:tcPr>
                  <w:tcW w:w="1387" w:type="dxa"/>
                  <w:vAlign w:val="center"/>
                </w:tcPr>
                <w:p w14:paraId="371F64D1">
                  <w:pPr>
                    <w:jc w:val="center"/>
                    <w:rPr>
                      <w:color w:val="auto"/>
                      <w:szCs w:val="21"/>
                    </w:rPr>
                  </w:pPr>
                  <w:r>
                    <w:rPr>
                      <w:rFonts w:hint="eastAsia"/>
                      <w:color w:val="auto"/>
                      <w:szCs w:val="21"/>
                    </w:rPr>
                    <w:t>L</w:t>
                  </w:r>
                </w:p>
              </w:tc>
              <w:tc>
                <w:tcPr>
                  <w:tcW w:w="1564" w:type="dxa"/>
                  <w:vAlign w:val="center"/>
                </w:tcPr>
                <w:p w14:paraId="4A6B7F2A">
                  <w:pPr>
                    <w:jc w:val="center"/>
                    <w:rPr>
                      <w:color w:val="auto"/>
                      <w:szCs w:val="21"/>
                    </w:rPr>
                  </w:pPr>
                  <w:r>
                    <w:rPr>
                      <w:rFonts w:hint="eastAsia"/>
                      <w:color w:val="auto"/>
                      <w:szCs w:val="21"/>
                    </w:rPr>
                    <w:t>28</w:t>
                  </w:r>
                </w:p>
              </w:tc>
            </w:tr>
            <w:tr w14:paraId="004F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continue"/>
                  <w:vAlign w:val="center"/>
                </w:tcPr>
                <w:p w14:paraId="569842A3">
                  <w:pPr>
                    <w:jc w:val="center"/>
                    <w:rPr>
                      <w:color w:val="auto"/>
                      <w:szCs w:val="21"/>
                    </w:rPr>
                  </w:pPr>
                </w:p>
              </w:tc>
              <w:tc>
                <w:tcPr>
                  <w:tcW w:w="4193" w:type="dxa"/>
                  <w:vAlign w:val="center"/>
                </w:tcPr>
                <w:p w14:paraId="2A4158CF">
                  <w:pPr>
                    <w:jc w:val="center"/>
                    <w:rPr>
                      <w:rFonts w:hint="eastAsia" w:hAnsi="宋体"/>
                      <w:color w:val="auto"/>
                      <w:szCs w:val="21"/>
                    </w:rPr>
                  </w:pPr>
                  <w:r>
                    <w:rPr>
                      <w:rFonts w:hint="eastAsia" w:hAnsi="宋体"/>
                      <w:color w:val="auto"/>
                      <w:szCs w:val="21"/>
                    </w:rPr>
                    <w:t>总蛋白测定试剂</w:t>
                  </w:r>
                </w:p>
              </w:tc>
              <w:tc>
                <w:tcPr>
                  <w:tcW w:w="1387" w:type="dxa"/>
                  <w:vAlign w:val="center"/>
                </w:tcPr>
                <w:p w14:paraId="27F8BEC3">
                  <w:pPr>
                    <w:jc w:val="center"/>
                    <w:rPr>
                      <w:color w:val="auto"/>
                      <w:szCs w:val="21"/>
                    </w:rPr>
                  </w:pPr>
                  <w:r>
                    <w:rPr>
                      <w:rFonts w:hint="eastAsia"/>
                      <w:color w:val="auto"/>
                      <w:szCs w:val="21"/>
                    </w:rPr>
                    <w:t>45ml*6/盒</w:t>
                  </w:r>
                </w:p>
              </w:tc>
              <w:tc>
                <w:tcPr>
                  <w:tcW w:w="1564" w:type="dxa"/>
                  <w:vAlign w:val="center"/>
                </w:tcPr>
                <w:p w14:paraId="0CBB1636">
                  <w:pPr>
                    <w:jc w:val="center"/>
                    <w:rPr>
                      <w:color w:val="auto"/>
                      <w:szCs w:val="21"/>
                    </w:rPr>
                  </w:pPr>
                  <w:r>
                    <w:rPr>
                      <w:rFonts w:hint="eastAsia"/>
                      <w:color w:val="auto"/>
                      <w:szCs w:val="21"/>
                    </w:rPr>
                    <w:t>150盒</w:t>
                  </w:r>
                </w:p>
              </w:tc>
            </w:tr>
            <w:tr w14:paraId="241D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continue"/>
                  <w:vAlign w:val="center"/>
                </w:tcPr>
                <w:p w14:paraId="0EB1BD1A">
                  <w:pPr>
                    <w:jc w:val="center"/>
                    <w:rPr>
                      <w:color w:val="auto"/>
                      <w:szCs w:val="21"/>
                    </w:rPr>
                  </w:pPr>
                </w:p>
              </w:tc>
              <w:tc>
                <w:tcPr>
                  <w:tcW w:w="4193" w:type="dxa"/>
                  <w:vAlign w:val="center"/>
                </w:tcPr>
                <w:p w14:paraId="53B0504F">
                  <w:pPr>
                    <w:jc w:val="center"/>
                    <w:rPr>
                      <w:rFonts w:hint="eastAsia" w:hAnsi="宋体"/>
                      <w:color w:val="auto"/>
                      <w:szCs w:val="21"/>
                    </w:rPr>
                  </w:pPr>
                  <w:r>
                    <w:rPr>
                      <w:rFonts w:hint="eastAsia" w:hAnsi="宋体"/>
                      <w:color w:val="auto"/>
                      <w:szCs w:val="21"/>
                    </w:rPr>
                    <w:t>参比液</w:t>
                  </w:r>
                </w:p>
              </w:tc>
              <w:tc>
                <w:tcPr>
                  <w:tcW w:w="1387" w:type="dxa"/>
                  <w:vAlign w:val="center"/>
                </w:tcPr>
                <w:p w14:paraId="2E05C1F2">
                  <w:pPr>
                    <w:jc w:val="center"/>
                    <w:rPr>
                      <w:color w:val="auto"/>
                      <w:szCs w:val="21"/>
                    </w:rPr>
                  </w:pPr>
                  <w:r>
                    <w:rPr>
                      <w:rFonts w:hint="eastAsia"/>
                      <w:color w:val="auto"/>
                      <w:szCs w:val="21"/>
                    </w:rPr>
                    <w:t>L</w:t>
                  </w:r>
                </w:p>
              </w:tc>
              <w:tc>
                <w:tcPr>
                  <w:tcW w:w="1564" w:type="dxa"/>
                  <w:vAlign w:val="center"/>
                </w:tcPr>
                <w:p w14:paraId="2DEE2566">
                  <w:pPr>
                    <w:jc w:val="center"/>
                    <w:rPr>
                      <w:color w:val="auto"/>
                      <w:szCs w:val="21"/>
                    </w:rPr>
                  </w:pPr>
                  <w:r>
                    <w:rPr>
                      <w:rFonts w:hint="eastAsia"/>
                      <w:color w:val="auto"/>
                      <w:szCs w:val="21"/>
                    </w:rPr>
                    <w:t>10</w:t>
                  </w:r>
                </w:p>
              </w:tc>
            </w:tr>
            <w:tr w14:paraId="03FE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continue"/>
                  <w:vAlign w:val="center"/>
                </w:tcPr>
                <w:p w14:paraId="1DDC4893">
                  <w:pPr>
                    <w:jc w:val="center"/>
                    <w:rPr>
                      <w:color w:val="auto"/>
                      <w:szCs w:val="21"/>
                    </w:rPr>
                  </w:pPr>
                </w:p>
              </w:tc>
              <w:tc>
                <w:tcPr>
                  <w:tcW w:w="4193" w:type="dxa"/>
                  <w:vAlign w:val="center"/>
                </w:tcPr>
                <w:p w14:paraId="26D8DF95">
                  <w:pPr>
                    <w:jc w:val="center"/>
                    <w:rPr>
                      <w:rFonts w:hint="eastAsia" w:hAnsi="宋体"/>
                      <w:color w:val="auto"/>
                      <w:szCs w:val="21"/>
                    </w:rPr>
                  </w:pPr>
                  <w:r>
                    <w:rPr>
                      <w:color w:val="auto"/>
                      <w:szCs w:val="21"/>
                    </w:rPr>
                    <w:t>75</w:t>
                  </w:r>
                  <w:r>
                    <w:rPr>
                      <w:rFonts w:hAnsi="宋体"/>
                      <w:color w:val="auto"/>
                      <w:szCs w:val="21"/>
                    </w:rPr>
                    <w:t>％医用酒精</w:t>
                  </w:r>
                </w:p>
              </w:tc>
              <w:tc>
                <w:tcPr>
                  <w:tcW w:w="1387" w:type="dxa"/>
                  <w:vAlign w:val="center"/>
                </w:tcPr>
                <w:p w14:paraId="69062919">
                  <w:pPr>
                    <w:jc w:val="center"/>
                    <w:rPr>
                      <w:color w:val="auto"/>
                      <w:szCs w:val="21"/>
                    </w:rPr>
                  </w:pPr>
                  <w:r>
                    <w:rPr>
                      <w:color w:val="auto"/>
                      <w:szCs w:val="21"/>
                    </w:rPr>
                    <w:t>瓶</w:t>
                  </w:r>
                </w:p>
              </w:tc>
              <w:tc>
                <w:tcPr>
                  <w:tcW w:w="1564" w:type="dxa"/>
                  <w:vAlign w:val="center"/>
                </w:tcPr>
                <w:p w14:paraId="2C639959">
                  <w:pPr>
                    <w:jc w:val="center"/>
                    <w:rPr>
                      <w:color w:val="auto"/>
                      <w:szCs w:val="21"/>
                    </w:rPr>
                  </w:pPr>
                  <w:r>
                    <w:rPr>
                      <w:rFonts w:hint="eastAsia"/>
                      <w:color w:val="auto"/>
                      <w:szCs w:val="21"/>
                    </w:rPr>
                    <w:t>10</w:t>
                  </w:r>
                </w:p>
              </w:tc>
            </w:tr>
            <w:tr w14:paraId="4B23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continue"/>
                  <w:vAlign w:val="center"/>
                </w:tcPr>
                <w:p w14:paraId="5BA90B27">
                  <w:pPr>
                    <w:jc w:val="center"/>
                    <w:rPr>
                      <w:color w:val="auto"/>
                      <w:szCs w:val="21"/>
                    </w:rPr>
                  </w:pPr>
                </w:p>
              </w:tc>
              <w:tc>
                <w:tcPr>
                  <w:tcW w:w="4193" w:type="dxa"/>
                  <w:vAlign w:val="center"/>
                </w:tcPr>
                <w:p w14:paraId="7F1DBB6B">
                  <w:pPr>
                    <w:jc w:val="center"/>
                    <w:rPr>
                      <w:color w:val="auto"/>
                      <w:szCs w:val="21"/>
                    </w:rPr>
                  </w:pPr>
                  <w:r>
                    <w:rPr>
                      <w:rFonts w:hAnsi="宋体"/>
                      <w:color w:val="auto"/>
                      <w:szCs w:val="21"/>
                    </w:rPr>
                    <w:t>消毒液</w:t>
                  </w:r>
                </w:p>
              </w:tc>
              <w:tc>
                <w:tcPr>
                  <w:tcW w:w="1387" w:type="dxa"/>
                  <w:vAlign w:val="center"/>
                </w:tcPr>
                <w:p w14:paraId="32ABF96C">
                  <w:pPr>
                    <w:jc w:val="center"/>
                    <w:rPr>
                      <w:color w:val="auto"/>
                      <w:szCs w:val="21"/>
                    </w:rPr>
                  </w:pPr>
                  <w:r>
                    <w:rPr>
                      <w:color w:val="auto"/>
                      <w:szCs w:val="21"/>
                    </w:rPr>
                    <w:t>瓶</w:t>
                  </w:r>
                </w:p>
              </w:tc>
              <w:tc>
                <w:tcPr>
                  <w:tcW w:w="1564" w:type="dxa"/>
                  <w:vAlign w:val="center"/>
                </w:tcPr>
                <w:p w14:paraId="0A8C8053">
                  <w:pPr>
                    <w:jc w:val="center"/>
                    <w:rPr>
                      <w:color w:val="auto"/>
                      <w:szCs w:val="21"/>
                    </w:rPr>
                  </w:pPr>
                  <w:r>
                    <w:rPr>
                      <w:rFonts w:hint="eastAsia"/>
                      <w:color w:val="auto"/>
                      <w:szCs w:val="21"/>
                    </w:rPr>
                    <w:t>10</w:t>
                  </w:r>
                </w:p>
              </w:tc>
            </w:tr>
            <w:tr w14:paraId="6A4B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continue"/>
                  <w:vAlign w:val="center"/>
                </w:tcPr>
                <w:p w14:paraId="32A4F983">
                  <w:pPr>
                    <w:jc w:val="center"/>
                    <w:rPr>
                      <w:color w:val="auto"/>
                      <w:szCs w:val="21"/>
                    </w:rPr>
                  </w:pPr>
                </w:p>
              </w:tc>
              <w:tc>
                <w:tcPr>
                  <w:tcW w:w="4193" w:type="dxa"/>
                  <w:vAlign w:val="center"/>
                </w:tcPr>
                <w:p w14:paraId="7E04F00D">
                  <w:pPr>
                    <w:jc w:val="center"/>
                    <w:rPr>
                      <w:rFonts w:hint="eastAsia" w:hAnsi="宋体"/>
                      <w:color w:val="auto"/>
                      <w:szCs w:val="21"/>
                    </w:rPr>
                  </w:pPr>
                  <w:r>
                    <w:rPr>
                      <w:rFonts w:hAnsi="宋体"/>
                      <w:color w:val="auto"/>
                      <w:szCs w:val="21"/>
                    </w:rPr>
                    <w:t>电解质清洗液</w:t>
                  </w:r>
                </w:p>
              </w:tc>
              <w:tc>
                <w:tcPr>
                  <w:tcW w:w="1387" w:type="dxa"/>
                  <w:vAlign w:val="center"/>
                </w:tcPr>
                <w:p w14:paraId="1E7A1E48">
                  <w:pPr>
                    <w:jc w:val="center"/>
                    <w:rPr>
                      <w:color w:val="auto"/>
                      <w:szCs w:val="21"/>
                    </w:rPr>
                  </w:pPr>
                  <w:r>
                    <w:rPr>
                      <w:color w:val="auto"/>
                      <w:szCs w:val="21"/>
                    </w:rPr>
                    <w:t>瓶</w:t>
                  </w:r>
                </w:p>
              </w:tc>
              <w:tc>
                <w:tcPr>
                  <w:tcW w:w="1564" w:type="dxa"/>
                  <w:vAlign w:val="center"/>
                </w:tcPr>
                <w:p w14:paraId="4DE877DD">
                  <w:pPr>
                    <w:jc w:val="center"/>
                    <w:rPr>
                      <w:color w:val="auto"/>
                      <w:szCs w:val="21"/>
                    </w:rPr>
                  </w:pPr>
                  <w:r>
                    <w:rPr>
                      <w:rFonts w:hint="eastAsia"/>
                      <w:color w:val="auto"/>
                      <w:szCs w:val="21"/>
                    </w:rPr>
                    <w:t>10</w:t>
                  </w:r>
                </w:p>
              </w:tc>
            </w:tr>
            <w:bookmarkEnd w:id="25"/>
          </w:tbl>
          <w:p w14:paraId="60FB0F8C">
            <w:pPr>
              <w:adjustRightInd w:val="0"/>
              <w:snapToGrid w:val="0"/>
              <w:spacing w:before="120" w:beforeLines="50" w:line="360" w:lineRule="auto"/>
              <w:rPr>
                <w:b/>
                <w:bCs/>
                <w:color w:val="auto"/>
                <w:sz w:val="24"/>
              </w:rPr>
            </w:pPr>
            <w:r>
              <w:rPr>
                <w:rFonts w:hint="eastAsia"/>
                <w:b/>
                <w:bCs/>
                <w:color w:val="auto"/>
                <w:sz w:val="24"/>
              </w:rPr>
              <w:t>七</w:t>
            </w:r>
            <w:r>
              <w:rPr>
                <w:b/>
                <w:bCs/>
                <w:color w:val="auto"/>
                <w:sz w:val="24"/>
              </w:rPr>
              <w:t>、建设规模</w:t>
            </w:r>
          </w:p>
          <w:p w14:paraId="1A905484">
            <w:pPr>
              <w:spacing w:line="360" w:lineRule="auto"/>
              <w:ind w:firstLine="480" w:firstLineChars="200"/>
              <w:rPr>
                <w:color w:val="auto"/>
                <w:sz w:val="24"/>
              </w:rPr>
            </w:pPr>
            <w:r>
              <w:rPr>
                <w:color w:val="auto"/>
                <w:sz w:val="24"/>
              </w:rPr>
              <w:t>项目</w:t>
            </w:r>
            <w:bookmarkStart w:id="26" w:name="_Hlk194485573"/>
            <w:r>
              <w:rPr>
                <w:color w:val="auto"/>
                <w:sz w:val="24"/>
              </w:rPr>
              <w:t>建成后，</w:t>
            </w:r>
            <w:r>
              <w:rPr>
                <w:rFonts w:hint="eastAsia"/>
                <w:color w:val="auto"/>
                <w:sz w:val="24"/>
              </w:rPr>
              <w:t>纳古卫生院本次新增</w:t>
            </w:r>
            <w:r>
              <w:rPr>
                <w:color w:val="auto"/>
                <w:sz w:val="24"/>
              </w:rPr>
              <w:t>床位</w:t>
            </w:r>
            <w:r>
              <w:rPr>
                <w:rFonts w:hint="eastAsia"/>
                <w:color w:val="auto"/>
                <w:sz w:val="24"/>
              </w:rPr>
              <w:t>26床，新增门诊</w:t>
            </w:r>
            <w:r>
              <w:rPr>
                <w:color w:val="auto"/>
                <w:sz w:val="24"/>
              </w:rPr>
              <w:t>病人</w:t>
            </w:r>
            <w:r>
              <w:rPr>
                <w:rFonts w:hint="eastAsia"/>
                <w:color w:val="auto"/>
                <w:sz w:val="24"/>
              </w:rPr>
              <w:t>按10</w:t>
            </w:r>
            <w:r>
              <w:rPr>
                <w:color w:val="auto"/>
                <w:sz w:val="24"/>
              </w:rPr>
              <w:t>人</w:t>
            </w:r>
            <w:r>
              <w:rPr>
                <w:rFonts w:hint="eastAsia"/>
                <w:color w:val="auto"/>
                <w:sz w:val="24"/>
              </w:rPr>
              <w:t>/d计</w:t>
            </w:r>
            <w:r>
              <w:rPr>
                <w:color w:val="auto"/>
                <w:sz w:val="24"/>
              </w:rPr>
              <w:t>。</w:t>
            </w:r>
            <w:r>
              <w:rPr>
                <w:rFonts w:hint="eastAsia"/>
                <w:color w:val="auto"/>
                <w:sz w:val="24"/>
              </w:rPr>
              <w:t>四街卫生院本次新增</w:t>
            </w:r>
            <w:r>
              <w:rPr>
                <w:color w:val="auto"/>
                <w:sz w:val="24"/>
              </w:rPr>
              <w:t>床位</w:t>
            </w:r>
            <w:r>
              <w:rPr>
                <w:rFonts w:hint="eastAsia"/>
                <w:color w:val="auto"/>
                <w:sz w:val="24"/>
              </w:rPr>
              <w:t>25床，新增门诊</w:t>
            </w:r>
            <w:r>
              <w:rPr>
                <w:color w:val="auto"/>
                <w:sz w:val="24"/>
              </w:rPr>
              <w:t>病人</w:t>
            </w:r>
            <w:r>
              <w:rPr>
                <w:rFonts w:hint="eastAsia"/>
                <w:color w:val="auto"/>
                <w:sz w:val="24"/>
              </w:rPr>
              <w:t>按30</w:t>
            </w:r>
            <w:r>
              <w:rPr>
                <w:color w:val="auto"/>
                <w:sz w:val="24"/>
              </w:rPr>
              <w:t>人</w:t>
            </w:r>
            <w:r>
              <w:rPr>
                <w:rFonts w:hint="eastAsia"/>
                <w:color w:val="auto"/>
                <w:sz w:val="24"/>
              </w:rPr>
              <w:t>/d计</w:t>
            </w:r>
            <w:r>
              <w:rPr>
                <w:color w:val="auto"/>
                <w:sz w:val="24"/>
              </w:rPr>
              <w:t>。</w:t>
            </w:r>
            <w:r>
              <w:rPr>
                <w:rFonts w:hint="eastAsia"/>
                <w:color w:val="auto"/>
                <w:sz w:val="24"/>
              </w:rPr>
              <w:t>九龙卫生院本次新增</w:t>
            </w:r>
            <w:r>
              <w:rPr>
                <w:color w:val="auto"/>
                <w:sz w:val="24"/>
              </w:rPr>
              <w:t>床位</w:t>
            </w:r>
            <w:r>
              <w:rPr>
                <w:rFonts w:hint="eastAsia"/>
                <w:color w:val="auto"/>
                <w:sz w:val="24"/>
              </w:rPr>
              <w:t>27床，新增门诊</w:t>
            </w:r>
            <w:r>
              <w:rPr>
                <w:color w:val="auto"/>
                <w:sz w:val="24"/>
              </w:rPr>
              <w:t>病人</w:t>
            </w:r>
            <w:r>
              <w:rPr>
                <w:rFonts w:hint="eastAsia"/>
                <w:color w:val="auto"/>
                <w:sz w:val="24"/>
              </w:rPr>
              <w:t>按21</w:t>
            </w:r>
            <w:r>
              <w:rPr>
                <w:color w:val="auto"/>
                <w:sz w:val="24"/>
              </w:rPr>
              <w:t>人</w:t>
            </w:r>
            <w:r>
              <w:rPr>
                <w:rFonts w:hint="eastAsia"/>
                <w:color w:val="auto"/>
                <w:sz w:val="24"/>
              </w:rPr>
              <w:t>/d计。杨广卫生院本次新增</w:t>
            </w:r>
            <w:r>
              <w:rPr>
                <w:color w:val="auto"/>
                <w:sz w:val="24"/>
              </w:rPr>
              <w:t>床位</w:t>
            </w:r>
            <w:r>
              <w:rPr>
                <w:rFonts w:hint="eastAsia"/>
                <w:color w:val="auto"/>
                <w:sz w:val="24"/>
              </w:rPr>
              <w:t>25床，新增门诊</w:t>
            </w:r>
            <w:r>
              <w:rPr>
                <w:color w:val="auto"/>
                <w:sz w:val="24"/>
              </w:rPr>
              <w:t>病人</w:t>
            </w:r>
            <w:r>
              <w:rPr>
                <w:rFonts w:hint="eastAsia"/>
                <w:color w:val="auto"/>
                <w:sz w:val="24"/>
              </w:rPr>
              <w:t>按10</w:t>
            </w:r>
            <w:r>
              <w:rPr>
                <w:color w:val="auto"/>
                <w:sz w:val="24"/>
              </w:rPr>
              <w:t>人</w:t>
            </w:r>
            <w:r>
              <w:rPr>
                <w:rFonts w:hint="eastAsia"/>
                <w:color w:val="auto"/>
                <w:sz w:val="24"/>
              </w:rPr>
              <w:t>/d计</w:t>
            </w:r>
            <w:r>
              <w:rPr>
                <w:color w:val="auto"/>
                <w:sz w:val="24"/>
              </w:rPr>
              <w:t>。</w:t>
            </w:r>
          </w:p>
          <w:bookmarkEnd w:id="26"/>
          <w:p w14:paraId="2E06F996">
            <w:pPr>
              <w:adjustRightInd w:val="0"/>
              <w:snapToGrid w:val="0"/>
              <w:spacing w:line="360" w:lineRule="auto"/>
              <w:rPr>
                <w:b/>
                <w:bCs/>
                <w:color w:val="auto"/>
                <w:sz w:val="24"/>
              </w:rPr>
            </w:pPr>
            <w:r>
              <w:rPr>
                <w:rFonts w:hint="eastAsia"/>
                <w:b/>
                <w:bCs/>
                <w:color w:val="auto"/>
                <w:sz w:val="24"/>
              </w:rPr>
              <w:t>八</w:t>
            </w:r>
            <w:r>
              <w:rPr>
                <w:b/>
                <w:bCs/>
                <w:color w:val="auto"/>
                <w:sz w:val="24"/>
              </w:rPr>
              <w:t>、劳动定员及工作制度</w:t>
            </w:r>
          </w:p>
          <w:p w14:paraId="5CA1BAB8">
            <w:pPr>
              <w:spacing w:line="360" w:lineRule="auto"/>
              <w:ind w:firstLine="480" w:firstLineChars="200"/>
              <w:rPr>
                <w:color w:val="auto"/>
                <w:sz w:val="24"/>
              </w:rPr>
            </w:pPr>
            <w:r>
              <w:rPr>
                <w:color w:val="auto"/>
                <w:sz w:val="24"/>
              </w:rPr>
              <w:t>劳动定员：</w:t>
            </w:r>
            <w:bookmarkStart w:id="27" w:name="_Hlk194485709"/>
            <w:r>
              <w:rPr>
                <w:color w:val="auto"/>
                <w:sz w:val="24"/>
              </w:rPr>
              <w:t>本项目建成后，从</w:t>
            </w:r>
            <w:r>
              <w:rPr>
                <w:rFonts w:hint="eastAsia"/>
                <w:color w:val="auto"/>
                <w:sz w:val="24"/>
              </w:rPr>
              <w:t>卫生院</w:t>
            </w:r>
            <w:r>
              <w:rPr>
                <w:color w:val="auto"/>
                <w:sz w:val="24"/>
              </w:rPr>
              <w:t>现有职工进行调配，不新增人员。</w:t>
            </w:r>
            <w:r>
              <w:rPr>
                <w:rFonts w:hint="eastAsia"/>
                <w:color w:val="auto"/>
                <w:sz w:val="24"/>
              </w:rPr>
              <w:t>九龙卫生院</w:t>
            </w:r>
            <w:r>
              <w:rPr>
                <w:color w:val="auto"/>
                <w:sz w:val="24"/>
              </w:rPr>
              <w:t>全院现有职工</w:t>
            </w:r>
            <w:r>
              <w:rPr>
                <w:rFonts w:hint="eastAsia"/>
                <w:color w:val="auto"/>
                <w:sz w:val="24"/>
              </w:rPr>
              <w:t>34</w:t>
            </w:r>
            <w:r>
              <w:rPr>
                <w:color w:val="auto"/>
                <w:sz w:val="24"/>
              </w:rPr>
              <w:t>人</w:t>
            </w:r>
            <w:r>
              <w:rPr>
                <w:rFonts w:hint="eastAsia"/>
                <w:color w:val="auto"/>
                <w:sz w:val="24"/>
              </w:rPr>
              <w:t>；纳古卫生院</w:t>
            </w:r>
            <w:r>
              <w:rPr>
                <w:color w:val="auto"/>
                <w:sz w:val="24"/>
              </w:rPr>
              <w:t>全院现有职工</w:t>
            </w:r>
            <w:r>
              <w:rPr>
                <w:rFonts w:hint="eastAsia"/>
                <w:color w:val="auto"/>
                <w:sz w:val="24"/>
              </w:rPr>
              <w:t>29</w:t>
            </w:r>
            <w:r>
              <w:rPr>
                <w:color w:val="auto"/>
                <w:sz w:val="24"/>
              </w:rPr>
              <w:t>人</w:t>
            </w:r>
            <w:r>
              <w:rPr>
                <w:rFonts w:hint="eastAsia"/>
                <w:color w:val="auto"/>
                <w:sz w:val="24"/>
              </w:rPr>
              <w:t>；四街卫生院</w:t>
            </w:r>
            <w:r>
              <w:rPr>
                <w:color w:val="auto"/>
                <w:sz w:val="24"/>
              </w:rPr>
              <w:t>全院现有职工</w:t>
            </w:r>
            <w:r>
              <w:rPr>
                <w:rFonts w:hint="eastAsia"/>
                <w:color w:val="auto"/>
                <w:sz w:val="24"/>
              </w:rPr>
              <w:t>54</w:t>
            </w:r>
            <w:r>
              <w:rPr>
                <w:color w:val="auto"/>
                <w:sz w:val="24"/>
              </w:rPr>
              <w:t>人</w:t>
            </w:r>
            <w:r>
              <w:rPr>
                <w:rFonts w:hint="eastAsia"/>
                <w:color w:val="auto"/>
                <w:sz w:val="24"/>
              </w:rPr>
              <w:t>；杨广卫生院</w:t>
            </w:r>
            <w:r>
              <w:rPr>
                <w:color w:val="auto"/>
                <w:sz w:val="24"/>
              </w:rPr>
              <w:t>全院现有职工</w:t>
            </w:r>
            <w:r>
              <w:rPr>
                <w:rFonts w:hint="eastAsia"/>
                <w:color w:val="auto"/>
                <w:sz w:val="24"/>
              </w:rPr>
              <w:t>62</w:t>
            </w:r>
            <w:r>
              <w:rPr>
                <w:color w:val="auto"/>
                <w:sz w:val="24"/>
              </w:rPr>
              <w:t>人。</w:t>
            </w:r>
          </w:p>
          <w:p w14:paraId="43850CC5">
            <w:pPr>
              <w:spacing w:line="360" w:lineRule="auto"/>
              <w:ind w:left="479" w:leftChars="228"/>
              <w:jc w:val="left"/>
              <w:outlineLvl w:val="1"/>
              <w:rPr>
                <w:color w:val="auto"/>
                <w:sz w:val="24"/>
              </w:rPr>
            </w:pPr>
            <w:r>
              <w:rPr>
                <w:color w:val="auto"/>
                <w:sz w:val="24"/>
              </w:rPr>
              <w:t>工作制度：</w:t>
            </w:r>
            <w:r>
              <w:rPr>
                <w:rFonts w:hint="eastAsia"/>
                <w:color w:val="auto"/>
                <w:sz w:val="24"/>
              </w:rPr>
              <w:t>卫生院</w:t>
            </w:r>
            <w:r>
              <w:rPr>
                <w:color w:val="auto"/>
                <w:sz w:val="24"/>
              </w:rPr>
              <w:t>全年运营365天，</w:t>
            </w:r>
            <w:r>
              <w:rPr>
                <w:rFonts w:hint="eastAsia"/>
                <w:color w:val="auto"/>
                <w:sz w:val="24"/>
              </w:rPr>
              <w:t>施行三班制，</w:t>
            </w:r>
            <w:r>
              <w:rPr>
                <w:color w:val="auto"/>
                <w:sz w:val="24"/>
              </w:rPr>
              <w:t>每天24小时营业</w:t>
            </w:r>
            <w:bookmarkEnd w:id="27"/>
            <w:r>
              <w:rPr>
                <w:color w:val="auto"/>
                <w:sz w:val="24"/>
              </w:rPr>
              <w:t>。</w:t>
            </w:r>
          </w:p>
          <w:p w14:paraId="6247B8EE">
            <w:pPr>
              <w:adjustRightInd w:val="0"/>
              <w:snapToGrid w:val="0"/>
              <w:spacing w:line="360" w:lineRule="auto"/>
              <w:rPr>
                <w:b/>
                <w:bCs/>
                <w:color w:val="auto"/>
                <w:sz w:val="24"/>
              </w:rPr>
            </w:pPr>
            <w:r>
              <w:rPr>
                <w:rFonts w:hint="eastAsia"/>
                <w:b/>
                <w:bCs/>
                <w:color w:val="auto"/>
                <w:sz w:val="24"/>
              </w:rPr>
              <w:t>九</w:t>
            </w:r>
            <w:r>
              <w:rPr>
                <w:b/>
                <w:bCs/>
                <w:color w:val="auto"/>
                <w:sz w:val="24"/>
              </w:rPr>
              <w:t>、给排水及水平衡图</w:t>
            </w:r>
          </w:p>
          <w:p w14:paraId="748E7AB8">
            <w:pPr>
              <w:spacing w:line="360" w:lineRule="auto"/>
              <w:ind w:firstLine="480" w:firstLineChars="200"/>
              <w:rPr>
                <w:color w:val="auto"/>
                <w:sz w:val="24"/>
              </w:rPr>
            </w:pPr>
            <w:r>
              <w:rPr>
                <w:color w:val="auto"/>
                <w:sz w:val="24"/>
              </w:rPr>
              <w:t>1、给水</w:t>
            </w:r>
          </w:p>
          <w:p w14:paraId="1906D324">
            <w:pPr>
              <w:spacing w:line="360" w:lineRule="auto"/>
              <w:ind w:firstLine="480" w:firstLineChars="200"/>
              <w:rPr>
                <w:color w:val="auto"/>
                <w:sz w:val="24"/>
              </w:rPr>
            </w:pPr>
            <w:bookmarkStart w:id="28" w:name="_Hlk194485758"/>
            <w:r>
              <w:rPr>
                <w:color w:val="auto"/>
                <w:sz w:val="24"/>
              </w:rPr>
              <w:t>本项目给水来自市政供水管网，水源由自来水供给</w:t>
            </w:r>
            <w:r>
              <w:rPr>
                <w:rFonts w:hint="eastAsia"/>
                <w:color w:val="auto"/>
                <w:sz w:val="24"/>
              </w:rPr>
              <w:t>。</w:t>
            </w:r>
            <w:bookmarkEnd w:id="28"/>
            <w:r>
              <w:rPr>
                <w:color w:val="auto"/>
                <w:kern w:val="0"/>
                <w:sz w:val="24"/>
              </w:rPr>
              <w:t>项目用水定额及用水量依据《云南省地方标准用水定额》（DB53/T168-2019）</w:t>
            </w:r>
            <w:r>
              <w:rPr>
                <w:color w:val="auto"/>
                <w:sz w:val="24"/>
              </w:rPr>
              <w:t>进行核算。</w:t>
            </w:r>
            <w:r>
              <w:rPr>
                <w:rFonts w:hint="eastAsia"/>
                <w:color w:val="auto"/>
                <w:sz w:val="24"/>
              </w:rPr>
              <w:t>本项目涉及4个卫生院，每一个卫生院用水分别核算如下：</w:t>
            </w:r>
          </w:p>
          <w:p w14:paraId="35DECDF1">
            <w:pPr>
              <w:adjustRightInd w:val="0"/>
              <w:snapToGrid w:val="0"/>
              <w:spacing w:line="360" w:lineRule="auto"/>
              <w:ind w:firstLine="482" w:firstLineChars="200"/>
              <w:jc w:val="left"/>
              <w:rPr>
                <w:rFonts w:hint="eastAsia" w:hAnsi="宋体"/>
                <w:b/>
                <w:bCs/>
                <w:color w:val="auto"/>
                <w:sz w:val="24"/>
              </w:rPr>
            </w:pPr>
            <w:r>
              <w:rPr>
                <w:rFonts w:hint="eastAsia" w:hAnsi="宋体"/>
                <w:b/>
                <w:bCs/>
                <w:color w:val="auto"/>
                <w:sz w:val="24"/>
              </w:rPr>
              <w:t>a、纳古卫生院</w:t>
            </w:r>
          </w:p>
          <w:p w14:paraId="3F8F636D">
            <w:pPr>
              <w:adjustRightInd w:val="0"/>
              <w:snapToGrid w:val="0"/>
              <w:spacing w:line="360" w:lineRule="auto"/>
              <w:ind w:firstLine="480" w:firstLineChars="200"/>
              <w:jc w:val="left"/>
              <w:rPr>
                <w:rFonts w:hint="eastAsia" w:hAnsi="宋体"/>
                <w:color w:val="auto"/>
                <w:sz w:val="24"/>
              </w:rPr>
            </w:pPr>
            <w:r>
              <w:rPr>
                <w:rFonts w:hint="eastAsia" w:hAnsi="宋体"/>
                <w:color w:val="auto"/>
                <w:sz w:val="24"/>
              </w:rPr>
              <w:t>（1）门诊人员用水</w:t>
            </w:r>
          </w:p>
          <w:p w14:paraId="7AE6345F">
            <w:pPr>
              <w:adjustRightInd w:val="0"/>
              <w:snapToGrid w:val="0"/>
              <w:spacing w:line="360" w:lineRule="auto"/>
              <w:ind w:firstLine="480" w:firstLineChars="200"/>
              <w:jc w:val="left"/>
              <w:rPr>
                <w:color w:val="auto"/>
                <w:sz w:val="24"/>
              </w:rPr>
            </w:pPr>
            <w:r>
              <w:rPr>
                <w:color w:val="auto"/>
                <w:sz w:val="24"/>
              </w:rPr>
              <w:t>根据可研报告，</w:t>
            </w:r>
            <w:r>
              <w:rPr>
                <w:rFonts w:hint="eastAsia"/>
                <w:color w:val="auto"/>
                <w:sz w:val="24"/>
              </w:rPr>
              <w:t>本</w:t>
            </w:r>
            <w:r>
              <w:rPr>
                <w:color w:val="auto"/>
                <w:sz w:val="24"/>
              </w:rPr>
              <w:t>项目</w:t>
            </w:r>
            <w:r>
              <w:rPr>
                <w:rFonts w:hint="eastAsia"/>
                <w:color w:val="auto"/>
                <w:sz w:val="24"/>
              </w:rPr>
              <w:t>建成后</w:t>
            </w:r>
            <w:r>
              <w:rPr>
                <w:color w:val="auto"/>
                <w:sz w:val="24"/>
              </w:rPr>
              <w:t>门诊急诊</w:t>
            </w:r>
            <w:r>
              <w:rPr>
                <w:rFonts w:hint="eastAsia"/>
                <w:color w:val="auto"/>
                <w:sz w:val="24"/>
              </w:rPr>
              <w:t>新增</w:t>
            </w:r>
            <w:r>
              <w:rPr>
                <w:color w:val="auto"/>
                <w:sz w:val="24"/>
              </w:rPr>
              <w:t>病人</w:t>
            </w:r>
            <w:r>
              <w:rPr>
                <w:rFonts w:hint="eastAsia"/>
                <w:color w:val="auto"/>
                <w:sz w:val="24"/>
              </w:rPr>
              <w:t>按10</w:t>
            </w:r>
            <w:r>
              <w:rPr>
                <w:color w:val="auto"/>
                <w:sz w:val="24"/>
              </w:rPr>
              <w:t>人/d，按照《云南省地方标准</w:t>
            </w:r>
            <w:r>
              <w:rPr>
                <w:rFonts w:hint="eastAsia"/>
                <w:color w:val="auto"/>
                <w:sz w:val="24"/>
              </w:rPr>
              <w:t>—</w:t>
            </w:r>
            <w:r>
              <w:rPr>
                <w:color w:val="auto"/>
                <w:sz w:val="24"/>
              </w:rPr>
              <w:t>用水定额》（DB53/T168-20</w:t>
            </w:r>
            <w:r>
              <w:rPr>
                <w:rFonts w:hint="eastAsia"/>
                <w:color w:val="auto"/>
                <w:sz w:val="24"/>
              </w:rPr>
              <w:t>19</w:t>
            </w:r>
            <w:r>
              <w:rPr>
                <w:color w:val="auto"/>
                <w:sz w:val="24"/>
              </w:rPr>
              <w:t>），门诊（含行政及医护人员</w:t>
            </w:r>
            <w:r>
              <w:rPr>
                <w:rFonts w:hint="eastAsia"/>
                <w:color w:val="auto"/>
                <w:sz w:val="24"/>
              </w:rPr>
              <w:t>、</w:t>
            </w:r>
            <w:r>
              <w:rPr>
                <w:color w:val="auto"/>
                <w:sz w:val="24"/>
              </w:rPr>
              <w:t>附属设施等）综合用水量按20L/（人·次）计，则</w:t>
            </w:r>
            <w:r>
              <w:rPr>
                <w:rFonts w:hint="eastAsia"/>
                <w:color w:val="auto"/>
                <w:sz w:val="24"/>
              </w:rPr>
              <w:t>综合</w:t>
            </w:r>
            <w:r>
              <w:rPr>
                <w:color w:val="auto"/>
                <w:sz w:val="24"/>
              </w:rPr>
              <w:t>楼</w:t>
            </w:r>
            <w:r>
              <w:rPr>
                <w:rFonts w:hint="eastAsia"/>
                <w:color w:val="auto"/>
                <w:sz w:val="24"/>
              </w:rPr>
              <w:t>门诊人员</w:t>
            </w:r>
            <w:r>
              <w:rPr>
                <w:color w:val="auto"/>
                <w:sz w:val="24"/>
              </w:rPr>
              <w:t>用水量为</w:t>
            </w:r>
            <w:r>
              <w:rPr>
                <w:rFonts w:hint="eastAsia"/>
                <w:color w:val="auto"/>
                <w:sz w:val="24"/>
              </w:rPr>
              <w:t>0.2</w:t>
            </w:r>
            <w:r>
              <w:rPr>
                <w:color w:val="auto"/>
                <w:sz w:val="24"/>
              </w:rPr>
              <w:t>m</w:t>
            </w:r>
            <w:r>
              <w:rPr>
                <w:color w:val="auto"/>
                <w:sz w:val="24"/>
                <w:vertAlign w:val="superscript"/>
              </w:rPr>
              <w:t>3</w:t>
            </w:r>
            <w:r>
              <w:rPr>
                <w:color w:val="auto"/>
                <w:sz w:val="24"/>
              </w:rPr>
              <w:t>/d</w:t>
            </w:r>
            <w:r>
              <w:rPr>
                <w:rFonts w:hint="eastAsia"/>
                <w:color w:val="auto"/>
                <w:sz w:val="24"/>
              </w:rPr>
              <w:t>，产污系数按0.85计，则综合楼废水量为0.17</w:t>
            </w:r>
            <w:r>
              <w:rPr>
                <w:color w:val="auto"/>
                <w:sz w:val="24"/>
              </w:rPr>
              <w:t>m</w:t>
            </w:r>
            <w:r>
              <w:rPr>
                <w:color w:val="auto"/>
                <w:sz w:val="24"/>
                <w:vertAlign w:val="superscript"/>
              </w:rPr>
              <w:t>3</w:t>
            </w:r>
            <w:r>
              <w:rPr>
                <w:color w:val="auto"/>
                <w:sz w:val="24"/>
              </w:rPr>
              <w:t>/d</w:t>
            </w:r>
            <w:r>
              <w:rPr>
                <w:rFonts w:hint="eastAsia"/>
                <w:color w:val="auto"/>
                <w:sz w:val="24"/>
              </w:rPr>
              <w:t>。</w:t>
            </w:r>
          </w:p>
          <w:p w14:paraId="6C74104D">
            <w:pPr>
              <w:pStyle w:val="18"/>
              <w:spacing w:line="360" w:lineRule="auto"/>
              <w:ind w:firstLine="480" w:firstLineChars="200"/>
              <w:rPr>
                <w:rFonts w:hAnsi="Times New Roman" w:eastAsia="宋体"/>
                <w:color w:val="auto"/>
                <w:sz w:val="24"/>
              </w:rPr>
            </w:pPr>
            <w:r>
              <w:rPr>
                <w:rFonts w:hAnsi="Times New Roman" w:eastAsia="宋体"/>
                <w:color w:val="auto"/>
                <w:sz w:val="24"/>
              </w:rPr>
              <w:t>（2）</w:t>
            </w:r>
            <w:r>
              <w:rPr>
                <w:rFonts w:hint="eastAsia" w:hAnsi="Times New Roman" w:eastAsia="宋体"/>
                <w:color w:val="auto"/>
                <w:sz w:val="24"/>
              </w:rPr>
              <w:t>住院病床</w:t>
            </w:r>
            <w:r>
              <w:rPr>
                <w:rFonts w:hAnsi="Times New Roman" w:eastAsia="宋体"/>
                <w:color w:val="auto"/>
                <w:sz w:val="24"/>
              </w:rPr>
              <w:t>用水</w:t>
            </w:r>
          </w:p>
          <w:p w14:paraId="3BA25A7A">
            <w:pPr>
              <w:spacing w:line="360" w:lineRule="auto"/>
              <w:ind w:firstLine="480" w:firstLineChars="200"/>
              <w:rPr>
                <w:color w:val="auto"/>
                <w:sz w:val="24"/>
              </w:rPr>
            </w:pPr>
            <w:r>
              <w:rPr>
                <w:rFonts w:hint="eastAsia"/>
                <w:color w:val="auto"/>
                <w:sz w:val="24"/>
              </w:rPr>
              <w:t>本项目建成后，新增26张</w:t>
            </w:r>
            <w:r>
              <w:rPr>
                <w:color w:val="auto"/>
                <w:sz w:val="24"/>
              </w:rPr>
              <w:t>床位，</w:t>
            </w:r>
            <w:r>
              <w:rPr>
                <w:bCs/>
                <w:color w:val="auto"/>
                <w:sz w:val="24"/>
              </w:rPr>
              <w:t>用水量以满员计算。</w:t>
            </w:r>
            <w:r>
              <w:rPr>
                <w:color w:val="auto"/>
                <w:sz w:val="24"/>
              </w:rPr>
              <w:t>按照《云南省地方标准—用水定额》（DB53/T168-201</w:t>
            </w:r>
            <w:r>
              <w:rPr>
                <w:rFonts w:hint="eastAsia"/>
                <w:color w:val="auto"/>
                <w:sz w:val="24"/>
              </w:rPr>
              <w:t>9</w:t>
            </w:r>
            <w:r>
              <w:rPr>
                <w:color w:val="auto"/>
                <w:sz w:val="24"/>
              </w:rPr>
              <w:t>），病房内带洗浴用水量按300L/（床.d）[含行政及医护人员、附属设施等综合用水]计，则项目</w:t>
            </w:r>
            <w:r>
              <w:rPr>
                <w:rFonts w:hint="eastAsia"/>
                <w:color w:val="auto"/>
                <w:sz w:val="24"/>
              </w:rPr>
              <w:t>新增病床</w:t>
            </w:r>
            <w:r>
              <w:rPr>
                <w:color w:val="auto"/>
                <w:sz w:val="24"/>
              </w:rPr>
              <w:t>用水量为</w:t>
            </w:r>
            <w:r>
              <w:rPr>
                <w:rFonts w:hint="eastAsia"/>
                <w:color w:val="auto"/>
                <w:sz w:val="24"/>
              </w:rPr>
              <w:t>7.8</w:t>
            </w:r>
            <w:r>
              <w:rPr>
                <w:color w:val="auto"/>
                <w:sz w:val="24"/>
              </w:rPr>
              <w:t>m</w:t>
            </w:r>
            <w:r>
              <w:rPr>
                <w:color w:val="auto"/>
                <w:sz w:val="24"/>
                <w:vertAlign w:val="superscript"/>
              </w:rPr>
              <w:t>3</w:t>
            </w:r>
            <w:r>
              <w:rPr>
                <w:color w:val="auto"/>
                <w:sz w:val="24"/>
              </w:rPr>
              <w:t>/d</w:t>
            </w:r>
            <w:r>
              <w:rPr>
                <w:rFonts w:hint="eastAsia"/>
                <w:color w:val="auto"/>
                <w:sz w:val="24"/>
              </w:rPr>
              <w:t>，产污系数按0.85计，则病床废水量为6.63</w:t>
            </w:r>
            <w:r>
              <w:rPr>
                <w:color w:val="auto"/>
                <w:sz w:val="24"/>
              </w:rPr>
              <w:t>m</w:t>
            </w:r>
            <w:r>
              <w:rPr>
                <w:color w:val="auto"/>
                <w:sz w:val="24"/>
                <w:vertAlign w:val="superscript"/>
              </w:rPr>
              <w:t>3</w:t>
            </w:r>
            <w:r>
              <w:rPr>
                <w:color w:val="auto"/>
                <w:sz w:val="24"/>
              </w:rPr>
              <w:t>/d</w:t>
            </w:r>
            <w:r>
              <w:rPr>
                <w:rFonts w:hint="eastAsia"/>
                <w:color w:val="auto"/>
                <w:sz w:val="24"/>
              </w:rPr>
              <w:t>。</w:t>
            </w:r>
          </w:p>
          <w:p w14:paraId="5E75C193">
            <w:pPr>
              <w:spacing w:line="360" w:lineRule="auto"/>
              <w:ind w:firstLine="480" w:firstLineChars="200"/>
              <w:rPr>
                <w:color w:val="auto"/>
                <w:sz w:val="24"/>
              </w:rPr>
            </w:pPr>
            <w:r>
              <w:rPr>
                <w:rFonts w:hint="eastAsia"/>
                <w:color w:val="auto"/>
                <w:sz w:val="24"/>
              </w:rPr>
              <w:t>（3）口腔科</w:t>
            </w:r>
            <w:r>
              <w:rPr>
                <w:color w:val="auto"/>
                <w:sz w:val="24"/>
              </w:rPr>
              <w:t>用水</w:t>
            </w:r>
          </w:p>
          <w:p w14:paraId="66901AA3">
            <w:pPr>
              <w:spacing w:line="360" w:lineRule="auto"/>
              <w:ind w:firstLine="480" w:firstLineChars="200"/>
              <w:rPr>
                <w:color w:val="auto"/>
                <w:sz w:val="24"/>
              </w:rPr>
            </w:pPr>
            <w:r>
              <w:rPr>
                <w:rFonts w:hint="eastAsia"/>
                <w:color w:val="auto"/>
                <w:sz w:val="24"/>
              </w:rPr>
              <w:t>本项目建成以后，纳古卫生院口腔科不使用涉及含汞等重金属药剂，不产生含重金属废水。</w:t>
            </w:r>
          </w:p>
          <w:p w14:paraId="415AD12E">
            <w:pPr>
              <w:spacing w:line="360" w:lineRule="auto"/>
              <w:ind w:firstLine="480" w:firstLineChars="200"/>
              <w:rPr>
                <w:color w:val="auto"/>
                <w:sz w:val="24"/>
              </w:rPr>
            </w:pPr>
            <w:r>
              <w:rPr>
                <w:rFonts w:hint="eastAsia"/>
                <w:color w:val="auto"/>
                <w:sz w:val="24"/>
              </w:rPr>
              <w:t>（4）检验科用水</w:t>
            </w:r>
          </w:p>
          <w:p w14:paraId="5417B61D">
            <w:pPr>
              <w:spacing w:line="360" w:lineRule="auto"/>
              <w:ind w:firstLine="480" w:firstLineChars="200"/>
              <w:rPr>
                <w:color w:val="auto"/>
                <w:sz w:val="24"/>
              </w:rPr>
            </w:pPr>
            <w:r>
              <w:rPr>
                <w:rFonts w:hint="eastAsia"/>
                <w:color w:val="auto"/>
                <w:sz w:val="24"/>
              </w:rPr>
              <w:t>本项目建成以后，增加部分检验设备。目前卫生院所用试剂多为成套试剂盒，试剂盒内配有分析和测定所需的全部试剂，使用时直接加入检验设备中，不需自制试剂，无制剂用水，无检测废液产生。本项目绝大多数耗材（试管、滴管、量杯等）均为一次性用品，用过直接作为医疗废物处置，无重复利用。检验室用水主要是对检验室用过的非一次性容器、托盘及诊疗仪器设备进行清洗消毒</w:t>
            </w:r>
            <w:r>
              <w:rPr>
                <w:color w:val="auto"/>
                <w:sz w:val="24"/>
              </w:rPr>
              <w:t>。</w:t>
            </w:r>
            <w:r>
              <w:rPr>
                <w:rFonts w:hint="eastAsia"/>
                <w:color w:val="auto"/>
                <w:sz w:val="24"/>
              </w:rPr>
              <w:t>类比同规模卫生院运行情况，检测检验用水量约为</w:t>
            </w:r>
            <w:r>
              <w:rPr>
                <w:color w:val="auto"/>
                <w:sz w:val="24"/>
              </w:rPr>
              <w:t>2L/</w:t>
            </w:r>
            <w:r>
              <w:rPr>
                <w:rFonts w:hint="eastAsia"/>
                <w:color w:val="auto"/>
                <w:sz w:val="24"/>
              </w:rPr>
              <w:t>人</w:t>
            </w:r>
            <w:r>
              <w:rPr>
                <w:color w:val="auto"/>
                <w:sz w:val="24"/>
              </w:rPr>
              <w:t>•</w:t>
            </w:r>
            <w:r>
              <w:rPr>
                <w:rFonts w:hint="eastAsia"/>
                <w:color w:val="auto"/>
                <w:sz w:val="24"/>
              </w:rPr>
              <w:t>次，本项目每日需要化验人数（含就诊人员及体检人员）按10人计，则检验室用水量为0.02</w:t>
            </w:r>
            <w:r>
              <w:rPr>
                <w:color w:val="auto"/>
                <w:sz w:val="24"/>
              </w:rPr>
              <w:t>m</w:t>
            </w:r>
            <w:r>
              <w:rPr>
                <w:color w:val="auto"/>
                <w:sz w:val="24"/>
                <w:vertAlign w:val="superscript"/>
              </w:rPr>
              <w:t>3</w:t>
            </w:r>
            <w:r>
              <w:rPr>
                <w:color w:val="auto"/>
                <w:sz w:val="24"/>
              </w:rPr>
              <w:t>/d</w:t>
            </w:r>
            <w:r>
              <w:rPr>
                <w:rFonts w:hint="eastAsia"/>
                <w:color w:val="auto"/>
                <w:sz w:val="24"/>
              </w:rPr>
              <w:t xml:space="preserve">。 </w:t>
            </w:r>
          </w:p>
          <w:p w14:paraId="2CB25FA9">
            <w:pPr>
              <w:spacing w:line="360" w:lineRule="auto"/>
              <w:ind w:firstLine="480" w:firstLineChars="200"/>
              <w:rPr>
                <w:color w:val="auto"/>
                <w:sz w:val="24"/>
              </w:rPr>
            </w:pPr>
            <w:r>
              <w:rPr>
                <w:rFonts w:hint="eastAsia"/>
                <w:color w:val="auto"/>
                <w:sz w:val="24"/>
              </w:rPr>
              <w:t>本项目检验科不需自制试剂，无制剂废水。检验室产生的废试剂和耗材经专用容器收集后作为医疗废物进行处置。检验科产生的检验污水主要是对检验用过的非一次性容器、托盘及诊疗仪器设备进行清洗消毒产生的。</w:t>
            </w:r>
            <w:r>
              <w:rPr>
                <w:color w:val="auto"/>
                <w:sz w:val="24"/>
              </w:rPr>
              <w:t>产生的废水主要为酸性废水。</w:t>
            </w:r>
            <w:r>
              <w:rPr>
                <w:rFonts w:hint="eastAsia"/>
                <w:color w:val="auto"/>
                <w:sz w:val="24"/>
              </w:rPr>
              <w:t>检验科清洗废水</w:t>
            </w:r>
            <w:r>
              <w:rPr>
                <w:color w:val="auto"/>
                <w:sz w:val="24"/>
              </w:rPr>
              <w:t>经桶</w:t>
            </w:r>
            <w:r>
              <w:rPr>
                <w:rFonts w:hint="eastAsia"/>
                <w:color w:val="auto"/>
                <w:sz w:val="24"/>
              </w:rPr>
              <w:t>2个50L的收集桶</w:t>
            </w:r>
            <w:r>
              <w:rPr>
                <w:color w:val="auto"/>
                <w:sz w:val="24"/>
              </w:rPr>
              <w:t>收集酸性废水</w:t>
            </w:r>
            <w:r>
              <w:rPr>
                <w:rFonts w:hint="eastAsia"/>
                <w:color w:val="auto"/>
                <w:sz w:val="24"/>
              </w:rPr>
              <w:t>（两备两用）</w:t>
            </w:r>
            <w:r>
              <w:rPr>
                <w:color w:val="auto"/>
                <w:sz w:val="24"/>
              </w:rPr>
              <w:t>收集后，酸碱中和反应</w:t>
            </w:r>
            <w:r>
              <w:rPr>
                <w:rFonts w:hint="eastAsia"/>
                <w:color w:val="auto"/>
                <w:sz w:val="24"/>
              </w:rPr>
              <w:t>（</w:t>
            </w:r>
            <w:r>
              <w:rPr>
                <w:color w:val="auto"/>
                <w:sz w:val="24"/>
              </w:rPr>
              <w:t>和至pH7-8</w:t>
            </w:r>
            <w:r>
              <w:rPr>
                <w:rFonts w:hint="eastAsia"/>
                <w:color w:val="auto"/>
                <w:sz w:val="24"/>
              </w:rPr>
              <w:t>）</w:t>
            </w:r>
            <w:r>
              <w:rPr>
                <w:color w:val="auto"/>
                <w:sz w:val="24"/>
              </w:rPr>
              <w:t>，预处理后排入化粪池，最终进入</w:t>
            </w:r>
            <w:r>
              <w:rPr>
                <w:rFonts w:hint="eastAsia"/>
                <w:color w:val="auto"/>
                <w:sz w:val="24"/>
              </w:rPr>
              <w:t>卫生院</w:t>
            </w:r>
            <w:r>
              <w:rPr>
                <w:color w:val="auto"/>
                <w:sz w:val="24"/>
              </w:rPr>
              <w:t>污水处理站处理</w:t>
            </w:r>
            <w:r>
              <w:rPr>
                <w:rFonts w:hint="eastAsia"/>
                <w:color w:val="auto"/>
                <w:sz w:val="24"/>
              </w:rPr>
              <w:t xml:space="preserve">。项目检验污水量按用水量的 </w:t>
            </w:r>
            <w:r>
              <w:rPr>
                <w:color w:val="auto"/>
                <w:sz w:val="24"/>
              </w:rPr>
              <w:t>85%</w:t>
            </w:r>
            <w:r>
              <w:rPr>
                <w:rFonts w:hint="eastAsia"/>
                <w:color w:val="auto"/>
                <w:sz w:val="24"/>
              </w:rPr>
              <w:t>计，则检验污水产生量为0.017</w:t>
            </w:r>
            <w:r>
              <w:rPr>
                <w:color w:val="auto"/>
                <w:sz w:val="24"/>
              </w:rPr>
              <w:t>m</w:t>
            </w:r>
            <w:r>
              <w:rPr>
                <w:color w:val="auto"/>
                <w:sz w:val="24"/>
                <w:vertAlign w:val="superscript"/>
              </w:rPr>
              <w:t>3</w:t>
            </w:r>
            <w:r>
              <w:rPr>
                <w:color w:val="auto"/>
                <w:sz w:val="24"/>
              </w:rPr>
              <w:t>/d</w:t>
            </w:r>
            <w:r>
              <w:rPr>
                <w:rFonts w:hint="eastAsia"/>
                <w:color w:val="auto"/>
                <w:sz w:val="24"/>
              </w:rPr>
              <w:t>。</w:t>
            </w:r>
          </w:p>
          <w:p w14:paraId="520CAA2A">
            <w:pPr>
              <w:adjustRightInd w:val="0"/>
              <w:snapToGrid w:val="0"/>
              <w:spacing w:line="360" w:lineRule="auto"/>
              <w:ind w:firstLine="482" w:firstLineChars="200"/>
              <w:jc w:val="left"/>
              <w:rPr>
                <w:rFonts w:hint="eastAsia" w:hAnsi="宋体"/>
                <w:b/>
                <w:bCs/>
                <w:color w:val="auto"/>
                <w:sz w:val="24"/>
              </w:rPr>
            </w:pPr>
            <w:r>
              <w:rPr>
                <w:rFonts w:hint="eastAsia" w:hAnsi="宋体"/>
                <w:b/>
                <w:bCs/>
                <w:color w:val="auto"/>
                <w:sz w:val="24"/>
              </w:rPr>
              <w:t>b、四街卫生院</w:t>
            </w:r>
          </w:p>
          <w:p w14:paraId="4AE8E9F2">
            <w:pPr>
              <w:spacing w:line="360" w:lineRule="auto"/>
              <w:ind w:firstLine="480" w:firstLineChars="200"/>
              <w:rPr>
                <w:color w:val="auto"/>
                <w:sz w:val="24"/>
              </w:rPr>
            </w:pPr>
            <w:r>
              <w:rPr>
                <w:rFonts w:hint="eastAsia"/>
                <w:color w:val="auto"/>
                <w:sz w:val="24"/>
              </w:rPr>
              <w:t>（1）</w:t>
            </w:r>
            <w:r>
              <w:rPr>
                <w:color w:val="auto"/>
                <w:sz w:val="24"/>
              </w:rPr>
              <w:t>门诊用水</w:t>
            </w:r>
          </w:p>
          <w:p w14:paraId="6463B6D6">
            <w:pPr>
              <w:adjustRightInd w:val="0"/>
              <w:snapToGrid w:val="0"/>
              <w:spacing w:line="360" w:lineRule="auto"/>
              <w:ind w:firstLine="480" w:firstLineChars="200"/>
              <w:jc w:val="left"/>
              <w:rPr>
                <w:color w:val="auto"/>
                <w:sz w:val="24"/>
              </w:rPr>
            </w:pPr>
            <w:r>
              <w:rPr>
                <w:color w:val="auto"/>
                <w:sz w:val="24"/>
              </w:rPr>
              <w:t>根据可研报告，</w:t>
            </w:r>
            <w:r>
              <w:rPr>
                <w:rFonts w:hint="eastAsia"/>
                <w:color w:val="auto"/>
                <w:sz w:val="24"/>
              </w:rPr>
              <w:t>本</w:t>
            </w:r>
            <w:r>
              <w:rPr>
                <w:color w:val="auto"/>
                <w:sz w:val="24"/>
              </w:rPr>
              <w:t>项目</w:t>
            </w:r>
            <w:r>
              <w:rPr>
                <w:rFonts w:hint="eastAsia"/>
                <w:color w:val="auto"/>
                <w:sz w:val="24"/>
              </w:rPr>
              <w:t>建成后</w:t>
            </w:r>
            <w:r>
              <w:rPr>
                <w:color w:val="auto"/>
                <w:sz w:val="24"/>
              </w:rPr>
              <w:t>门诊急诊</w:t>
            </w:r>
            <w:r>
              <w:rPr>
                <w:rFonts w:hint="eastAsia"/>
                <w:color w:val="auto"/>
                <w:sz w:val="24"/>
              </w:rPr>
              <w:t>新增</w:t>
            </w:r>
            <w:r>
              <w:rPr>
                <w:color w:val="auto"/>
                <w:sz w:val="24"/>
              </w:rPr>
              <w:t>病人</w:t>
            </w:r>
            <w:r>
              <w:rPr>
                <w:rFonts w:hint="eastAsia"/>
                <w:color w:val="auto"/>
                <w:sz w:val="24"/>
              </w:rPr>
              <w:t>按30</w:t>
            </w:r>
            <w:r>
              <w:rPr>
                <w:color w:val="auto"/>
                <w:sz w:val="24"/>
              </w:rPr>
              <w:t>人/d，按照《云南省地方标准</w:t>
            </w:r>
            <w:r>
              <w:rPr>
                <w:rFonts w:hint="eastAsia"/>
                <w:color w:val="auto"/>
                <w:sz w:val="24"/>
              </w:rPr>
              <w:t>—</w:t>
            </w:r>
            <w:r>
              <w:rPr>
                <w:color w:val="auto"/>
                <w:sz w:val="24"/>
              </w:rPr>
              <w:t>用水定额》（DB53/T168-20</w:t>
            </w:r>
            <w:r>
              <w:rPr>
                <w:rFonts w:hint="eastAsia"/>
                <w:color w:val="auto"/>
                <w:sz w:val="24"/>
              </w:rPr>
              <w:t>19</w:t>
            </w:r>
            <w:r>
              <w:rPr>
                <w:color w:val="auto"/>
                <w:sz w:val="24"/>
              </w:rPr>
              <w:t>），门诊（含行政及医护人员</w:t>
            </w:r>
            <w:r>
              <w:rPr>
                <w:rFonts w:hint="eastAsia"/>
                <w:color w:val="auto"/>
                <w:sz w:val="24"/>
              </w:rPr>
              <w:t>、</w:t>
            </w:r>
            <w:r>
              <w:rPr>
                <w:color w:val="auto"/>
                <w:sz w:val="24"/>
              </w:rPr>
              <w:t>附属设施等）综合用水量按20L/（人·次）计，则</w:t>
            </w:r>
            <w:r>
              <w:rPr>
                <w:rFonts w:hint="eastAsia"/>
                <w:color w:val="auto"/>
                <w:sz w:val="24"/>
              </w:rPr>
              <w:t>综合</w:t>
            </w:r>
            <w:r>
              <w:rPr>
                <w:color w:val="auto"/>
                <w:sz w:val="24"/>
              </w:rPr>
              <w:t>楼用水量为</w:t>
            </w:r>
            <w:r>
              <w:rPr>
                <w:rFonts w:hint="eastAsia"/>
                <w:color w:val="auto"/>
                <w:sz w:val="24"/>
              </w:rPr>
              <w:t>0.6</w:t>
            </w:r>
            <w:r>
              <w:rPr>
                <w:color w:val="auto"/>
                <w:sz w:val="24"/>
              </w:rPr>
              <w:t>m</w:t>
            </w:r>
            <w:r>
              <w:rPr>
                <w:color w:val="auto"/>
                <w:sz w:val="24"/>
                <w:vertAlign w:val="superscript"/>
              </w:rPr>
              <w:t>3</w:t>
            </w:r>
            <w:r>
              <w:rPr>
                <w:color w:val="auto"/>
                <w:sz w:val="24"/>
              </w:rPr>
              <w:t>/d</w:t>
            </w:r>
            <w:r>
              <w:rPr>
                <w:rFonts w:hint="eastAsia"/>
                <w:color w:val="auto"/>
                <w:sz w:val="24"/>
              </w:rPr>
              <w:t>，产污系数按0.85计，则综合楼废水量为0.51</w:t>
            </w:r>
            <w:r>
              <w:rPr>
                <w:color w:val="auto"/>
                <w:sz w:val="24"/>
              </w:rPr>
              <w:t>m</w:t>
            </w:r>
            <w:r>
              <w:rPr>
                <w:color w:val="auto"/>
                <w:sz w:val="24"/>
                <w:vertAlign w:val="superscript"/>
              </w:rPr>
              <w:t>3</w:t>
            </w:r>
            <w:r>
              <w:rPr>
                <w:color w:val="auto"/>
                <w:sz w:val="24"/>
              </w:rPr>
              <w:t>/d</w:t>
            </w:r>
            <w:r>
              <w:rPr>
                <w:rFonts w:hint="eastAsia"/>
                <w:color w:val="auto"/>
                <w:sz w:val="24"/>
              </w:rPr>
              <w:t>。</w:t>
            </w:r>
          </w:p>
          <w:p w14:paraId="606A2C59">
            <w:pPr>
              <w:spacing w:line="360" w:lineRule="auto"/>
              <w:ind w:firstLine="480" w:firstLineChars="200"/>
              <w:rPr>
                <w:color w:val="auto"/>
                <w:sz w:val="24"/>
              </w:rPr>
            </w:pPr>
            <w:r>
              <w:rPr>
                <w:rFonts w:hint="eastAsia"/>
                <w:color w:val="auto"/>
                <w:sz w:val="24"/>
              </w:rPr>
              <w:t>（2）住院病床</w:t>
            </w:r>
            <w:r>
              <w:rPr>
                <w:color w:val="auto"/>
                <w:sz w:val="24"/>
              </w:rPr>
              <w:t>用水</w:t>
            </w:r>
          </w:p>
          <w:p w14:paraId="64342ECB">
            <w:pPr>
              <w:spacing w:line="360" w:lineRule="auto"/>
              <w:ind w:firstLine="480" w:firstLineChars="200"/>
              <w:rPr>
                <w:color w:val="auto"/>
                <w:sz w:val="24"/>
              </w:rPr>
            </w:pPr>
            <w:r>
              <w:rPr>
                <w:rFonts w:hint="eastAsia"/>
                <w:color w:val="auto"/>
                <w:sz w:val="24"/>
              </w:rPr>
              <w:t>本项目建成后，新增25张</w:t>
            </w:r>
            <w:r>
              <w:rPr>
                <w:color w:val="auto"/>
                <w:sz w:val="24"/>
              </w:rPr>
              <w:t>床位，</w:t>
            </w:r>
            <w:r>
              <w:rPr>
                <w:bCs/>
                <w:color w:val="auto"/>
                <w:sz w:val="24"/>
              </w:rPr>
              <w:t>用水量以满员计算。</w:t>
            </w:r>
            <w:r>
              <w:rPr>
                <w:color w:val="auto"/>
                <w:sz w:val="24"/>
              </w:rPr>
              <w:t>按照《云南省地方标准—用水定额》（DB53/T168-201</w:t>
            </w:r>
            <w:r>
              <w:rPr>
                <w:rFonts w:hint="eastAsia"/>
                <w:color w:val="auto"/>
                <w:sz w:val="24"/>
              </w:rPr>
              <w:t>9</w:t>
            </w:r>
            <w:r>
              <w:rPr>
                <w:color w:val="auto"/>
                <w:sz w:val="24"/>
              </w:rPr>
              <w:t>），病房内带洗浴用水量按300L/（床.d）</w:t>
            </w:r>
            <w:r>
              <w:rPr>
                <w:rFonts w:hint="eastAsia"/>
                <w:color w:val="auto"/>
                <w:sz w:val="24"/>
              </w:rPr>
              <w:t>（</w:t>
            </w:r>
            <w:r>
              <w:rPr>
                <w:color w:val="auto"/>
                <w:sz w:val="24"/>
              </w:rPr>
              <w:t>含行政及医护人员附属设施等综合用水计</w:t>
            </w:r>
            <w:r>
              <w:rPr>
                <w:rFonts w:hint="eastAsia"/>
                <w:color w:val="auto"/>
                <w:sz w:val="24"/>
              </w:rPr>
              <w:t>）</w:t>
            </w:r>
            <w:r>
              <w:rPr>
                <w:color w:val="auto"/>
                <w:sz w:val="24"/>
              </w:rPr>
              <w:t>，则项目</w:t>
            </w:r>
            <w:r>
              <w:rPr>
                <w:rFonts w:hint="eastAsia"/>
                <w:color w:val="auto"/>
                <w:sz w:val="24"/>
              </w:rPr>
              <w:t>新增病床</w:t>
            </w:r>
            <w:r>
              <w:rPr>
                <w:color w:val="auto"/>
                <w:sz w:val="24"/>
              </w:rPr>
              <w:t>用水量为</w:t>
            </w:r>
            <w:r>
              <w:rPr>
                <w:rFonts w:hint="eastAsia"/>
                <w:color w:val="auto"/>
                <w:sz w:val="24"/>
              </w:rPr>
              <w:t>7.5</w:t>
            </w:r>
            <w:r>
              <w:rPr>
                <w:color w:val="auto"/>
                <w:sz w:val="24"/>
              </w:rPr>
              <w:t>m</w:t>
            </w:r>
            <w:r>
              <w:rPr>
                <w:color w:val="auto"/>
                <w:sz w:val="24"/>
                <w:vertAlign w:val="superscript"/>
              </w:rPr>
              <w:t>3</w:t>
            </w:r>
            <w:r>
              <w:rPr>
                <w:color w:val="auto"/>
                <w:sz w:val="24"/>
              </w:rPr>
              <w:t>/d</w:t>
            </w:r>
            <w:r>
              <w:rPr>
                <w:rFonts w:hint="eastAsia"/>
                <w:color w:val="auto"/>
                <w:sz w:val="24"/>
              </w:rPr>
              <w:t>，产污系数按0.85计，则病床废水量为6.38</w:t>
            </w:r>
            <w:r>
              <w:rPr>
                <w:color w:val="auto"/>
                <w:sz w:val="24"/>
              </w:rPr>
              <w:t>m</w:t>
            </w:r>
            <w:r>
              <w:rPr>
                <w:color w:val="auto"/>
                <w:sz w:val="24"/>
                <w:vertAlign w:val="superscript"/>
              </w:rPr>
              <w:t>3</w:t>
            </w:r>
            <w:r>
              <w:rPr>
                <w:color w:val="auto"/>
                <w:sz w:val="24"/>
              </w:rPr>
              <w:t>/d</w:t>
            </w:r>
            <w:r>
              <w:rPr>
                <w:rFonts w:hint="eastAsia"/>
                <w:color w:val="auto"/>
                <w:sz w:val="24"/>
              </w:rPr>
              <w:t>。</w:t>
            </w:r>
          </w:p>
          <w:p w14:paraId="40F40121">
            <w:pPr>
              <w:spacing w:line="360" w:lineRule="auto"/>
              <w:ind w:firstLine="480" w:firstLineChars="200"/>
              <w:rPr>
                <w:color w:val="auto"/>
                <w:sz w:val="24"/>
              </w:rPr>
            </w:pPr>
            <w:r>
              <w:rPr>
                <w:rFonts w:hint="eastAsia"/>
                <w:color w:val="auto"/>
                <w:sz w:val="24"/>
              </w:rPr>
              <w:t>（3）</w:t>
            </w:r>
            <w:r>
              <w:rPr>
                <w:color w:val="auto"/>
                <w:sz w:val="24"/>
              </w:rPr>
              <w:t>煎药设备清洗用水</w:t>
            </w:r>
          </w:p>
          <w:p w14:paraId="6BDC3197">
            <w:pPr>
              <w:spacing w:line="360" w:lineRule="auto"/>
              <w:ind w:firstLine="480" w:firstLineChars="200"/>
              <w:rPr>
                <w:color w:val="auto"/>
                <w:sz w:val="24"/>
              </w:rPr>
            </w:pPr>
            <w:r>
              <w:rPr>
                <w:rFonts w:hint="eastAsia"/>
                <w:color w:val="auto"/>
                <w:sz w:val="24"/>
              </w:rPr>
              <w:t>本项目建成后，1层设置中医科，</w:t>
            </w:r>
            <w:r>
              <w:rPr>
                <w:color w:val="auto"/>
                <w:sz w:val="24"/>
              </w:rPr>
              <w:t>项目煎药设备需进行清洗，清洗水用量为0.</w:t>
            </w:r>
            <w:r>
              <w:rPr>
                <w:rFonts w:hint="eastAsia"/>
                <w:color w:val="auto"/>
                <w:sz w:val="24"/>
              </w:rPr>
              <w:t>2</w:t>
            </w:r>
            <w:r>
              <w:rPr>
                <w:color w:val="auto"/>
                <w:sz w:val="24"/>
              </w:rPr>
              <w:t>m</w:t>
            </w:r>
            <w:r>
              <w:rPr>
                <w:color w:val="auto"/>
                <w:sz w:val="24"/>
                <w:vertAlign w:val="superscript"/>
              </w:rPr>
              <w:t>3</w:t>
            </w:r>
            <w:r>
              <w:rPr>
                <w:color w:val="auto"/>
                <w:sz w:val="24"/>
              </w:rPr>
              <w:t>/d</w:t>
            </w:r>
            <w:r>
              <w:rPr>
                <w:rFonts w:hint="eastAsia"/>
                <w:color w:val="auto"/>
                <w:sz w:val="24"/>
              </w:rPr>
              <w:t>，产污系数按0.85计，则</w:t>
            </w:r>
            <w:r>
              <w:rPr>
                <w:color w:val="auto"/>
                <w:sz w:val="24"/>
              </w:rPr>
              <w:t>煎药设备清洗</w:t>
            </w:r>
            <w:r>
              <w:rPr>
                <w:rFonts w:hint="eastAsia"/>
                <w:color w:val="auto"/>
                <w:sz w:val="24"/>
              </w:rPr>
              <w:t>废水量为0.17</w:t>
            </w:r>
            <w:r>
              <w:rPr>
                <w:color w:val="auto"/>
                <w:sz w:val="24"/>
              </w:rPr>
              <w:t>m</w:t>
            </w:r>
            <w:r>
              <w:rPr>
                <w:color w:val="auto"/>
                <w:sz w:val="24"/>
                <w:vertAlign w:val="superscript"/>
              </w:rPr>
              <w:t>3</w:t>
            </w:r>
            <w:r>
              <w:rPr>
                <w:color w:val="auto"/>
                <w:sz w:val="24"/>
              </w:rPr>
              <w:t>/d</w:t>
            </w:r>
            <w:r>
              <w:rPr>
                <w:rFonts w:hint="eastAsia"/>
                <w:color w:val="auto"/>
                <w:sz w:val="24"/>
              </w:rPr>
              <w:t>。</w:t>
            </w:r>
          </w:p>
          <w:p w14:paraId="79676F8E">
            <w:pPr>
              <w:spacing w:line="360" w:lineRule="auto"/>
              <w:ind w:firstLine="480" w:firstLineChars="200"/>
              <w:rPr>
                <w:color w:val="auto"/>
                <w:sz w:val="24"/>
              </w:rPr>
            </w:pPr>
            <w:r>
              <w:rPr>
                <w:rFonts w:hint="eastAsia"/>
                <w:color w:val="auto"/>
                <w:sz w:val="24"/>
              </w:rPr>
              <w:t>（4）口腔科</w:t>
            </w:r>
            <w:r>
              <w:rPr>
                <w:color w:val="auto"/>
                <w:sz w:val="24"/>
              </w:rPr>
              <w:t>用水</w:t>
            </w:r>
          </w:p>
          <w:p w14:paraId="102F849D">
            <w:pPr>
              <w:spacing w:line="360" w:lineRule="auto"/>
              <w:ind w:firstLine="720" w:firstLineChars="300"/>
              <w:rPr>
                <w:color w:val="auto"/>
                <w:sz w:val="24"/>
              </w:rPr>
            </w:pPr>
            <w:r>
              <w:rPr>
                <w:rFonts w:hint="eastAsia"/>
                <w:color w:val="auto"/>
                <w:sz w:val="24"/>
              </w:rPr>
              <w:t>本项目建成以后，四街卫生院口腔科由现有的综合楼搬迁至本项目拟建业务用房1层，口腔科不使用涉及含汞等重金属药剂，不产生含重金属废水。</w:t>
            </w:r>
          </w:p>
          <w:p w14:paraId="09FF2F6A">
            <w:pPr>
              <w:spacing w:line="360" w:lineRule="auto"/>
              <w:ind w:firstLine="480" w:firstLineChars="200"/>
              <w:rPr>
                <w:color w:val="auto"/>
                <w:sz w:val="24"/>
              </w:rPr>
            </w:pPr>
            <w:r>
              <w:rPr>
                <w:rFonts w:hint="eastAsia"/>
                <w:color w:val="auto"/>
                <w:sz w:val="24"/>
              </w:rPr>
              <w:t>（5）检验科用水</w:t>
            </w:r>
          </w:p>
          <w:p w14:paraId="1DCAA7B6">
            <w:pPr>
              <w:spacing w:line="360" w:lineRule="auto"/>
              <w:ind w:firstLine="480" w:firstLineChars="200"/>
              <w:rPr>
                <w:color w:val="auto"/>
                <w:sz w:val="24"/>
              </w:rPr>
            </w:pPr>
            <w:r>
              <w:rPr>
                <w:rFonts w:hint="eastAsia"/>
                <w:color w:val="auto"/>
                <w:sz w:val="24"/>
              </w:rPr>
              <w:t>本项目建成以后，检验科将搬至新建综合楼的一层。目前卫生院所用试剂多为成套试剂盒，试剂盒内配有分析和测定所需的全部试剂，使用时直接加入检验设备中，不需自制试剂，无制剂用水，无检测废液产生。本项目绝大多数耗材（试管、滴管、量杯等）均为一次性用品，用过直接作为医疗废物处置，无重复利用。检验室用水主要是对检验室用过的非一次性容器、托盘及诊疗仪器设备进行清洗消毒</w:t>
            </w:r>
            <w:r>
              <w:rPr>
                <w:color w:val="auto"/>
                <w:sz w:val="24"/>
              </w:rPr>
              <w:t>。</w:t>
            </w:r>
            <w:r>
              <w:rPr>
                <w:rFonts w:hint="eastAsia"/>
                <w:color w:val="auto"/>
                <w:sz w:val="24"/>
              </w:rPr>
              <w:t>类比同规模卫生院运行情况，检测检验用水量约为</w:t>
            </w:r>
            <w:r>
              <w:rPr>
                <w:color w:val="auto"/>
                <w:sz w:val="24"/>
              </w:rPr>
              <w:t>2L/</w:t>
            </w:r>
            <w:r>
              <w:rPr>
                <w:rFonts w:hint="eastAsia"/>
                <w:color w:val="auto"/>
                <w:sz w:val="24"/>
              </w:rPr>
              <w:t>人</w:t>
            </w:r>
            <w:r>
              <w:rPr>
                <w:color w:val="auto"/>
                <w:sz w:val="24"/>
              </w:rPr>
              <w:t>•</w:t>
            </w:r>
            <w:r>
              <w:rPr>
                <w:rFonts w:hint="eastAsia"/>
                <w:color w:val="auto"/>
                <w:sz w:val="24"/>
              </w:rPr>
              <w:t>次，本项目每日需要化验人数（含就诊人员及体检人员）按25人计，则检验室用水量为0.05</w:t>
            </w:r>
            <w:r>
              <w:rPr>
                <w:color w:val="auto"/>
                <w:sz w:val="24"/>
              </w:rPr>
              <w:t>m</w:t>
            </w:r>
            <w:r>
              <w:rPr>
                <w:color w:val="auto"/>
                <w:sz w:val="24"/>
                <w:vertAlign w:val="superscript"/>
              </w:rPr>
              <w:t>3</w:t>
            </w:r>
            <w:r>
              <w:rPr>
                <w:color w:val="auto"/>
                <w:sz w:val="24"/>
              </w:rPr>
              <w:t>/d</w:t>
            </w:r>
            <w:r>
              <w:rPr>
                <w:rFonts w:hint="eastAsia"/>
                <w:color w:val="auto"/>
                <w:sz w:val="24"/>
              </w:rPr>
              <w:t xml:space="preserve">。 </w:t>
            </w:r>
          </w:p>
          <w:p w14:paraId="0290BF6C">
            <w:pPr>
              <w:spacing w:line="360" w:lineRule="auto"/>
              <w:ind w:firstLine="480" w:firstLineChars="200"/>
              <w:rPr>
                <w:color w:val="auto"/>
                <w:sz w:val="24"/>
              </w:rPr>
            </w:pPr>
            <w:r>
              <w:rPr>
                <w:rFonts w:hint="eastAsia"/>
                <w:color w:val="auto"/>
                <w:sz w:val="24"/>
              </w:rPr>
              <w:t>本项目检验科不需自制试剂，无制剂废水。检验室产生的废试剂和耗材经专用容器收集后作为医疗废物进行处置。检验科产生的检验污水主要是对检验用过的非一次性容器、托盘及诊疗仪器设备进行清洗消毒产生的。</w:t>
            </w:r>
            <w:r>
              <w:rPr>
                <w:color w:val="auto"/>
                <w:sz w:val="24"/>
              </w:rPr>
              <w:t>产生的废水主要为酸性废水。</w:t>
            </w:r>
            <w:r>
              <w:rPr>
                <w:rFonts w:hint="eastAsia"/>
                <w:color w:val="auto"/>
                <w:sz w:val="24"/>
              </w:rPr>
              <w:t>检验科清洗废水</w:t>
            </w:r>
            <w:r>
              <w:rPr>
                <w:color w:val="auto"/>
                <w:sz w:val="24"/>
              </w:rPr>
              <w:t>经桶</w:t>
            </w:r>
            <w:r>
              <w:rPr>
                <w:rFonts w:hint="eastAsia"/>
                <w:color w:val="auto"/>
                <w:sz w:val="24"/>
              </w:rPr>
              <w:t>4个50L的收集桶</w:t>
            </w:r>
            <w:r>
              <w:rPr>
                <w:color w:val="auto"/>
                <w:sz w:val="24"/>
              </w:rPr>
              <w:t>收集酸性废水</w:t>
            </w:r>
            <w:r>
              <w:rPr>
                <w:rFonts w:hint="eastAsia"/>
                <w:color w:val="auto"/>
                <w:sz w:val="24"/>
              </w:rPr>
              <w:t>（两备两用）</w:t>
            </w:r>
            <w:r>
              <w:rPr>
                <w:color w:val="auto"/>
                <w:sz w:val="24"/>
              </w:rPr>
              <w:t>收集后，酸碱中和反应</w:t>
            </w:r>
            <w:r>
              <w:rPr>
                <w:rFonts w:hint="eastAsia"/>
                <w:color w:val="auto"/>
                <w:sz w:val="24"/>
              </w:rPr>
              <w:t>（</w:t>
            </w:r>
            <w:r>
              <w:rPr>
                <w:color w:val="auto"/>
                <w:sz w:val="24"/>
              </w:rPr>
              <w:t>和至pH7-8</w:t>
            </w:r>
            <w:r>
              <w:rPr>
                <w:rFonts w:hint="eastAsia"/>
                <w:color w:val="auto"/>
                <w:sz w:val="24"/>
              </w:rPr>
              <w:t>）</w:t>
            </w:r>
            <w:r>
              <w:rPr>
                <w:color w:val="auto"/>
                <w:sz w:val="24"/>
              </w:rPr>
              <w:t>，预处理后排入化粪池，最终进入</w:t>
            </w:r>
            <w:r>
              <w:rPr>
                <w:rFonts w:hint="eastAsia"/>
                <w:color w:val="auto"/>
                <w:sz w:val="24"/>
              </w:rPr>
              <w:t>卫生院</w:t>
            </w:r>
            <w:r>
              <w:rPr>
                <w:color w:val="auto"/>
                <w:sz w:val="24"/>
              </w:rPr>
              <w:t>污水处理站处理</w:t>
            </w:r>
            <w:r>
              <w:rPr>
                <w:rFonts w:hint="eastAsia"/>
                <w:color w:val="auto"/>
                <w:sz w:val="24"/>
              </w:rPr>
              <w:t xml:space="preserve">。项目检验污水量按用水量的 </w:t>
            </w:r>
            <w:r>
              <w:rPr>
                <w:color w:val="auto"/>
                <w:sz w:val="24"/>
              </w:rPr>
              <w:t>85%</w:t>
            </w:r>
            <w:r>
              <w:rPr>
                <w:rFonts w:hint="eastAsia"/>
                <w:color w:val="auto"/>
                <w:sz w:val="24"/>
              </w:rPr>
              <w:t>计，则检验污水产生量为0.04</w:t>
            </w:r>
            <w:r>
              <w:rPr>
                <w:color w:val="auto"/>
                <w:sz w:val="24"/>
              </w:rPr>
              <w:t>m</w:t>
            </w:r>
            <w:r>
              <w:rPr>
                <w:color w:val="auto"/>
                <w:sz w:val="24"/>
                <w:vertAlign w:val="superscript"/>
              </w:rPr>
              <w:t>3</w:t>
            </w:r>
            <w:r>
              <w:rPr>
                <w:color w:val="auto"/>
                <w:sz w:val="24"/>
              </w:rPr>
              <w:t>/d</w:t>
            </w:r>
            <w:r>
              <w:rPr>
                <w:rFonts w:hint="eastAsia"/>
                <w:color w:val="auto"/>
                <w:sz w:val="24"/>
              </w:rPr>
              <w:t>。</w:t>
            </w:r>
          </w:p>
          <w:p w14:paraId="060C3E99">
            <w:pPr>
              <w:adjustRightInd w:val="0"/>
              <w:snapToGrid w:val="0"/>
              <w:spacing w:line="360" w:lineRule="auto"/>
              <w:ind w:firstLine="482" w:firstLineChars="200"/>
              <w:jc w:val="left"/>
              <w:rPr>
                <w:rFonts w:hint="eastAsia" w:hAnsi="宋体"/>
                <w:b/>
                <w:bCs/>
                <w:color w:val="auto"/>
                <w:sz w:val="24"/>
              </w:rPr>
            </w:pPr>
            <w:r>
              <w:rPr>
                <w:rFonts w:hint="eastAsia" w:hAnsi="宋体"/>
                <w:b/>
                <w:bCs/>
                <w:color w:val="auto"/>
                <w:sz w:val="24"/>
              </w:rPr>
              <w:t>c、九龙卫生院</w:t>
            </w:r>
          </w:p>
          <w:p w14:paraId="1ECA1514">
            <w:pPr>
              <w:spacing w:line="360" w:lineRule="auto"/>
              <w:ind w:firstLine="480" w:firstLineChars="200"/>
              <w:rPr>
                <w:color w:val="auto"/>
                <w:sz w:val="24"/>
              </w:rPr>
            </w:pPr>
            <w:r>
              <w:rPr>
                <w:rFonts w:hint="eastAsia"/>
                <w:color w:val="auto"/>
                <w:sz w:val="24"/>
              </w:rPr>
              <w:t>（1）</w:t>
            </w:r>
            <w:r>
              <w:rPr>
                <w:color w:val="auto"/>
                <w:sz w:val="24"/>
              </w:rPr>
              <w:t>门诊</w:t>
            </w:r>
            <w:r>
              <w:rPr>
                <w:rFonts w:hint="eastAsia"/>
                <w:color w:val="auto"/>
                <w:sz w:val="24"/>
              </w:rPr>
              <w:t>人员</w:t>
            </w:r>
            <w:r>
              <w:rPr>
                <w:color w:val="auto"/>
                <w:sz w:val="24"/>
              </w:rPr>
              <w:t>用水</w:t>
            </w:r>
          </w:p>
          <w:p w14:paraId="49977227">
            <w:pPr>
              <w:adjustRightInd w:val="0"/>
              <w:snapToGrid w:val="0"/>
              <w:spacing w:line="360" w:lineRule="auto"/>
              <w:ind w:firstLine="480" w:firstLineChars="200"/>
              <w:jc w:val="left"/>
              <w:rPr>
                <w:color w:val="auto"/>
                <w:sz w:val="24"/>
              </w:rPr>
            </w:pPr>
            <w:r>
              <w:rPr>
                <w:color w:val="auto"/>
                <w:sz w:val="24"/>
              </w:rPr>
              <w:t>根据可研报告，</w:t>
            </w:r>
            <w:r>
              <w:rPr>
                <w:rFonts w:hint="eastAsia"/>
                <w:color w:val="auto"/>
                <w:sz w:val="24"/>
              </w:rPr>
              <w:t>本</w:t>
            </w:r>
            <w:r>
              <w:rPr>
                <w:color w:val="auto"/>
                <w:sz w:val="24"/>
              </w:rPr>
              <w:t>项目</w:t>
            </w:r>
            <w:r>
              <w:rPr>
                <w:rFonts w:hint="eastAsia"/>
                <w:color w:val="auto"/>
                <w:sz w:val="24"/>
              </w:rPr>
              <w:t>建成后</w:t>
            </w:r>
            <w:r>
              <w:rPr>
                <w:color w:val="auto"/>
                <w:sz w:val="24"/>
              </w:rPr>
              <w:t>门诊</w:t>
            </w:r>
            <w:r>
              <w:rPr>
                <w:rFonts w:hint="eastAsia"/>
                <w:color w:val="auto"/>
                <w:sz w:val="24"/>
              </w:rPr>
              <w:t>新增</w:t>
            </w:r>
            <w:r>
              <w:rPr>
                <w:color w:val="auto"/>
                <w:sz w:val="24"/>
              </w:rPr>
              <w:t>病人</w:t>
            </w:r>
            <w:r>
              <w:rPr>
                <w:rFonts w:hint="eastAsia"/>
                <w:color w:val="auto"/>
                <w:sz w:val="24"/>
              </w:rPr>
              <w:t>按21</w:t>
            </w:r>
            <w:r>
              <w:rPr>
                <w:color w:val="auto"/>
                <w:sz w:val="24"/>
              </w:rPr>
              <w:t>人/d，按照《云南省地方标准</w:t>
            </w:r>
            <w:r>
              <w:rPr>
                <w:rFonts w:hint="eastAsia"/>
                <w:color w:val="auto"/>
                <w:sz w:val="24"/>
              </w:rPr>
              <w:t>—</w:t>
            </w:r>
            <w:r>
              <w:rPr>
                <w:color w:val="auto"/>
                <w:sz w:val="24"/>
              </w:rPr>
              <w:t>用水定额》（DB53/T168-20</w:t>
            </w:r>
            <w:r>
              <w:rPr>
                <w:rFonts w:hint="eastAsia"/>
                <w:color w:val="auto"/>
                <w:sz w:val="24"/>
              </w:rPr>
              <w:t>19</w:t>
            </w:r>
            <w:r>
              <w:rPr>
                <w:color w:val="auto"/>
                <w:sz w:val="24"/>
              </w:rPr>
              <w:t>），门诊（含行政及医护人员</w:t>
            </w:r>
            <w:r>
              <w:rPr>
                <w:rFonts w:hint="eastAsia"/>
                <w:color w:val="auto"/>
                <w:sz w:val="24"/>
              </w:rPr>
              <w:t>、</w:t>
            </w:r>
            <w:r>
              <w:rPr>
                <w:color w:val="auto"/>
                <w:sz w:val="24"/>
              </w:rPr>
              <w:t>附属设施等）综合用水量按20L/（人·次）计，则</w:t>
            </w:r>
            <w:r>
              <w:rPr>
                <w:rFonts w:hint="eastAsia"/>
                <w:color w:val="auto"/>
                <w:sz w:val="24"/>
              </w:rPr>
              <w:t>综合</w:t>
            </w:r>
            <w:r>
              <w:rPr>
                <w:color w:val="auto"/>
                <w:sz w:val="24"/>
              </w:rPr>
              <w:t>楼用水量为</w:t>
            </w:r>
            <w:r>
              <w:rPr>
                <w:rFonts w:hint="eastAsia"/>
                <w:color w:val="auto"/>
                <w:sz w:val="24"/>
              </w:rPr>
              <w:t>0.42</w:t>
            </w:r>
            <w:r>
              <w:rPr>
                <w:color w:val="auto"/>
                <w:sz w:val="24"/>
              </w:rPr>
              <w:t>m</w:t>
            </w:r>
            <w:r>
              <w:rPr>
                <w:color w:val="auto"/>
                <w:sz w:val="24"/>
                <w:vertAlign w:val="superscript"/>
              </w:rPr>
              <w:t>3</w:t>
            </w:r>
            <w:r>
              <w:rPr>
                <w:color w:val="auto"/>
                <w:sz w:val="24"/>
              </w:rPr>
              <w:t>/d</w:t>
            </w:r>
            <w:r>
              <w:rPr>
                <w:rFonts w:hint="eastAsia"/>
                <w:color w:val="auto"/>
                <w:sz w:val="24"/>
              </w:rPr>
              <w:t>，产污系数按0.85计，则综合楼废水量为0.36</w:t>
            </w:r>
            <w:r>
              <w:rPr>
                <w:color w:val="auto"/>
                <w:sz w:val="24"/>
              </w:rPr>
              <w:t>m</w:t>
            </w:r>
            <w:r>
              <w:rPr>
                <w:color w:val="auto"/>
                <w:sz w:val="24"/>
                <w:vertAlign w:val="superscript"/>
              </w:rPr>
              <w:t>3</w:t>
            </w:r>
            <w:r>
              <w:rPr>
                <w:color w:val="auto"/>
                <w:sz w:val="24"/>
              </w:rPr>
              <w:t>/d</w:t>
            </w:r>
            <w:r>
              <w:rPr>
                <w:rFonts w:hint="eastAsia"/>
                <w:color w:val="auto"/>
                <w:sz w:val="24"/>
              </w:rPr>
              <w:t>。</w:t>
            </w:r>
          </w:p>
          <w:p w14:paraId="52032137">
            <w:pPr>
              <w:spacing w:line="360" w:lineRule="auto"/>
              <w:ind w:firstLine="480" w:firstLineChars="200"/>
              <w:rPr>
                <w:color w:val="auto"/>
                <w:sz w:val="24"/>
              </w:rPr>
            </w:pPr>
            <w:r>
              <w:rPr>
                <w:rFonts w:hint="eastAsia"/>
                <w:color w:val="auto"/>
                <w:sz w:val="24"/>
              </w:rPr>
              <w:t>（2）住院病床</w:t>
            </w:r>
            <w:r>
              <w:rPr>
                <w:color w:val="auto"/>
                <w:sz w:val="24"/>
              </w:rPr>
              <w:t>用水</w:t>
            </w:r>
          </w:p>
          <w:p w14:paraId="5D1E1172">
            <w:pPr>
              <w:spacing w:line="360" w:lineRule="auto"/>
              <w:ind w:firstLine="480" w:firstLineChars="200"/>
              <w:rPr>
                <w:color w:val="auto"/>
                <w:sz w:val="24"/>
              </w:rPr>
            </w:pPr>
            <w:r>
              <w:rPr>
                <w:rFonts w:hint="eastAsia"/>
                <w:color w:val="auto"/>
                <w:sz w:val="24"/>
              </w:rPr>
              <w:t>本项目建成后，新增27张</w:t>
            </w:r>
            <w:r>
              <w:rPr>
                <w:color w:val="auto"/>
                <w:sz w:val="24"/>
              </w:rPr>
              <w:t>床位，</w:t>
            </w:r>
            <w:r>
              <w:rPr>
                <w:bCs/>
                <w:color w:val="auto"/>
                <w:sz w:val="24"/>
              </w:rPr>
              <w:t>用水量以满员计算。</w:t>
            </w:r>
            <w:r>
              <w:rPr>
                <w:color w:val="auto"/>
                <w:sz w:val="24"/>
              </w:rPr>
              <w:t>按照《云南省地方标准—用水定额》（DB53/T168-201</w:t>
            </w:r>
            <w:r>
              <w:rPr>
                <w:rFonts w:hint="eastAsia"/>
                <w:color w:val="auto"/>
                <w:sz w:val="24"/>
              </w:rPr>
              <w:t>9</w:t>
            </w:r>
            <w:r>
              <w:rPr>
                <w:color w:val="auto"/>
                <w:sz w:val="24"/>
              </w:rPr>
              <w:t>），病房内带洗浴用水量按300L/（床.d）[含行政及医护人员、附属设施等综合用水]计，则项目</w:t>
            </w:r>
            <w:r>
              <w:rPr>
                <w:rFonts w:hint="eastAsia"/>
                <w:color w:val="auto"/>
                <w:sz w:val="24"/>
              </w:rPr>
              <w:t>新增病床</w:t>
            </w:r>
            <w:r>
              <w:rPr>
                <w:color w:val="auto"/>
                <w:sz w:val="24"/>
              </w:rPr>
              <w:t>用水量为</w:t>
            </w:r>
            <w:r>
              <w:rPr>
                <w:rFonts w:hint="eastAsia"/>
                <w:color w:val="auto"/>
                <w:sz w:val="24"/>
              </w:rPr>
              <w:t>8.1</w:t>
            </w:r>
            <w:r>
              <w:rPr>
                <w:color w:val="auto"/>
                <w:sz w:val="24"/>
              </w:rPr>
              <w:t>m</w:t>
            </w:r>
            <w:r>
              <w:rPr>
                <w:color w:val="auto"/>
                <w:sz w:val="24"/>
                <w:vertAlign w:val="superscript"/>
              </w:rPr>
              <w:t>3</w:t>
            </w:r>
            <w:r>
              <w:rPr>
                <w:color w:val="auto"/>
                <w:sz w:val="24"/>
              </w:rPr>
              <w:t>/d</w:t>
            </w:r>
            <w:r>
              <w:rPr>
                <w:rFonts w:hint="eastAsia"/>
                <w:color w:val="auto"/>
                <w:sz w:val="24"/>
              </w:rPr>
              <w:t>，产污系数按0.85计，则病床废水量为6.81</w:t>
            </w:r>
            <w:r>
              <w:rPr>
                <w:color w:val="auto"/>
                <w:sz w:val="24"/>
              </w:rPr>
              <w:t>m</w:t>
            </w:r>
            <w:r>
              <w:rPr>
                <w:color w:val="auto"/>
                <w:sz w:val="24"/>
                <w:vertAlign w:val="superscript"/>
              </w:rPr>
              <w:t>3</w:t>
            </w:r>
            <w:r>
              <w:rPr>
                <w:color w:val="auto"/>
                <w:sz w:val="24"/>
              </w:rPr>
              <w:t>/d</w:t>
            </w:r>
            <w:r>
              <w:rPr>
                <w:rFonts w:hint="eastAsia"/>
                <w:color w:val="auto"/>
                <w:sz w:val="24"/>
              </w:rPr>
              <w:t>。</w:t>
            </w:r>
          </w:p>
          <w:p w14:paraId="659033C7">
            <w:pPr>
              <w:spacing w:line="360" w:lineRule="auto"/>
              <w:ind w:firstLine="480" w:firstLineChars="200"/>
              <w:rPr>
                <w:color w:val="auto"/>
                <w:sz w:val="24"/>
              </w:rPr>
            </w:pPr>
            <w:r>
              <w:rPr>
                <w:rFonts w:hint="eastAsia"/>
                <w:color w:val="auto"/>
                <w:sz w:val="24"/>
              </w:rPr>
              <w:t>（3）口腔科</w:t>
            </w:r>
            <w:r>
              <w:rPr>
                <w:color w:val="auto"/>
                <w:sz w:val="24"/>
              </w:rPr>
              <w:t>用水</w:t>
            </w:r>
          </w:p>
          <w:p w14:paraId="681F52AD">
            <w:pPr>
              <w:spacing w:line="360" w:lineRule="auto"/>
              <w:ind w:firstLine="480" w:firstLineChars="200"/>
              <w:rPr>
                <w:color w:val="auto"/>
                <w:sz w:val="24"/>
              </w:rPr>
            </w:pPr>
            <w:r>
              <w:rPr>
                <w:rFonts w:hint="eastAsia"/>
                <w:color w:val="auto"/>
                <w:sz w:val="24"/>
              </w:rPr>
              <w:t>本项目建成以后，九龙卫生院口腔科不使用涉及含汞等重金属药剂，不产生含重金属废水。</w:t>
            </w:r>
          </w:p>
          <w:p w14:paraId="14B39A95">
            <w:pPr>
              <w:adjustRightInd w:val="0"/>
              <w:snapToGrid w:val="0"/>
              <w:spacing w:line="360" w:lineRule="auto"/>
              <w:ind w:firstLine="482" w:firstLineChars="200"/>
              <w:jc w:val="left"/>
              <w:rPr>
                <w:rFonts w:hint="eastAsia" w:hAnsi="宋体"/>
                <w:b/>
                <w:bCs/>
                <w:color w:val="auto"/>
                <w:sz w:val="24"/>
              </w:rPr>
            </w:pPr>
            <w:r>
              <w:rPr>
                <w:rFonts w:hint="eastAsia" w:hAnsi="宋体"/>
                <w:b/>
                <w:bCs/>
                <w:color w:val="auto"/>
                <w:sz w:val="24"/>
              </w:rPr>
              <w:t>c、杨广卫生院</w:t>
            </w:r>
          </w:p>
          <w:p w14:paraId="493DF08A">
            <w:pPr>
              <w:spacing w:line="360" w:lineRule="auto"/>
              <w:ind w:firstLine="480" w:firstLineChars="200"/>
              <w:rPr>
                <w:color w:val="auto"/>
                <w:sz w:val="24"/>
              </w:rPr>
            </w:pPr>
            <w:r>
              <w:rPr>
                <w:rFonts w:hint="eastAsia"/>
                <w:color w:val="auto"/>
                <w:sz w:val="24"/>
              </w:rPr>
              <w:t>（1）</w:t>
            </w:r>
            <w:r>
              <w:rPr>
                <w:color w:val="auto"/>
                <w:sz w:val="24"/>
              </w:rPr>
              <w:t>门诊用水</w:t>
            </w:r>
          </w:p>
          <w:p w14:paraId="6841B0A0">
            <w:pPr>
              <w:adjustRightInd w:val="0"/>
              <w:snapToGrid w:val="0"/>
              <w:spacing w:line="360" w:lineRule="auto"/>
              <w:ind w:firstLine="480" w:firstLineChars="200"/>
              <w:jc w:val="left"/>
              <w:rPr>
                <w:color w:val="auto"/>
                <w:sz w:val="24"/>
              </w:rPr>
            </w:pPr>
            <w:r>
              <w:rPr>
                <w:color w:val="auto"/>
                <w:sz w:val="24"/>
              </w:rPr>
              <w:t>根据可研报告，</w:t>
            </w:r>
            <w:r>
              <w:rPr>
                <w:rFonts w:hint="eastAsia"/>
                <w:color w:val="auto"/>
                <w:sz w:val="24"/>
              </w:rPr>
              <w:t>本</w:t>
            </w:r>
            <w:r>
              <w:rPr>
                <w:color w:val="auto"/>
                <w:sz w:val="24"/>
              </w:rPr>
              <w:t>项目</w:t>
            </w:r>
            <w:r>
              <w:rPr>
                <w:rFonts w:hint="eastAsia"/>
                <w:color w:val="auto"/>
                <w:sz w:val="24"/>
              </w:rPr>
              <w:t>建成后</w:t>
            </w:r>
            <w:r>
              <w:rPr>
                <w:color w:val="auto"/>
                <w:sz w:val="24"/>
              </w:rPr>
              <w:t>门诊急诊</w:t>
            </w:r>
            <w:r>
              <w:rPr>
                <w:rFonts w:hint="eastAsia"/>
                <w:color w:val="auto"/>
                <w:sz w:val="24"/>
              </w:rPr>
              <w:t>新增</w:t>
            </w:r>
            <w:r>
              <w:rPr>
                <w:color w:val="auto"/>
                <w:sz w:val="24"/>
              </w:rPr>
              <w:t>病人</w:t>
            </w:r>
            <w:r>
              <w:rPr>
                <w:rFonts w:hint="eastAsia"/>
                <w:color w:val="auto"/>
                <w:sz w:val="24"/>
              </w:rPr>
              <w:t>按10</w:t>
            </w:r>
            <w:r>
              <w:rPr>
                <w:color w:val="auto"/>
                <w:sz w:val="24"/>
              </w:rPr>
              <w:t>人/d，按照《云南省地方标准</w:t>
            </w:r>
            <w:r>
              <w:rPr>
                <w:rFonts w:hint="eastAsia"/>
                <w:color w:val="auto"/>
                <w:sz w:val="24"/>
              </w:rPr>
              <w:t>—</w:t>
            </w:r>
            <w:r>
              <w:rPr>
                <w:color w:val="auto"/>
                <w:sz w:val="24"/>
              </w:rPr>
              <w:t>用水定额》（DB53/T168-20</w:t>
            </w:r>
            <w:r>
              <w:rPr>
                <w:rFonts w:hint="eastAsia"/>
                <w:color w:val="auto"/>
                <w:sz w:val="24"/>
              </w:rPr>
              <w:t>19</w:t>
            </w:r>
            <w:r>
              <w:rPr>
                <w:color w:val="auto"/>
                <w:sz w:val="24"/>
              </w:rPr>
              <w:t>），门诊（含行政及医护人员</w:t>
            </w:r>
            <w:r>
              <w:rPr>
                <w:rFonts w:hint="eastAsia"/>
                <w:color w:val="auto"/>
                <w:sz w:val="24"/>
              </w:rPr>
              <w:t>、</w:t>
            </w:r>
            <w:r>
              <w:rPr>
                <w:color w:val="auto"/>
                <w:sz w:val="24"/>
              </w:rPr>
              <w:t>附属设施等）综合用水量按20L/（人·次）计，则</w:t>
            </w:r>
            <w:r>
              <w:rPr>
                <w:rFonts w:hint="eastAsia"/>
                <w:color w:val="auto"/>
                <w:sz w:val="24"/>
              </w:rPr>
              <w:t>综合</w:t>
            </w:r>
            <w:r>
              <w:rPr>
                <w:color w:val="auto"/>
                <w:sz w:val="24"/>
              </w:rPr>
              <w:t>楼用水量为</w:t>
            </w:r>
            <w:r>
              <w:rPr>
                <w:rFonts w:hint="eastAsia"/>
                <w:color w:val="auto"/>
                <w:sz w:val="24"/>
              </w:rPr>
              <w:t>0.2</w:t>
            </w:r>
            <w:r>
              <w:rPr>
                <w:color w:val="auto"/>
                <w:sz w:val="24"/>
              </w:rPr>
              <w:t>m</w:t>
            </w:r>
            <w:r>
              <w:rPr>
                <w:color w:val="auto"/>
                <w:sz w:val="24"/>
                <w:vertAlign w:val="superscript"/>
              </w:rPr>
              <w:t>3</w:t>
            </w:r>
            <w:r>
              <w:rPr>
                <w:color w:val="auto"/>
                <w:sz w:val="24"/>
              </w:rPr>
              <w:t>/d</w:t>
            </w:r>
            <w:r>
              <w:rPr>
                <w:rFonts w:hint="eastAsia"/>
                <w:color w:val="auto"/>
                <w:sz w:val="24"/>
              </w:rPr>
              <w:t>，产污系数按0.85计，则综合楼废水量为0.17</w:t>
            </w:r>
            <w:r>
              <w:rPr>
                <w:color w:val="auto"/>
                <w:sz w:val="24"/>
              </w:rPr>
              <w:t>m</w:t>
            </w:r>
            <w:r>
              <w:rPr>
                <w:color w:val="auto"/>
                <w:sz w:val="24"/>
                <w:vertAlign w:val="superscript"/>
              </w:rPr>
              <w:t>3</w:t>
            </w:r>
            <w:r>
              <w:rPr>
                <w:color w:val="auto"/>
                <w:sz w:val="24"/>
              </w:rPr>
              <w:t>/d</w:t>
            </w:r>
            <w:r>
              <w:rPr>
                <w:rFonts w:hint="eastAsia"/>
                <w:color w:val="auto"/>
                <w:sz w:val="24"/>
              </w:rPr>
              <w:t>。</w:t>
            </w:r>
          </w:p>
          <w:p w14:paraId="3B21E9CE">
            <w:pPr>
              <w:spacing w:line="360" w:lineRule="auto"/>
              <w:ind w:firstLine="480" w:firstLineChars="200"/>
              <w:rPr>
                <w:color w:val="auto"/>
                <w:sz w:val="24"/>
              </w:rPr>
            </w:pPr>
            <w:r>
              <w:rPr>
                <w:rFonts w:hint="eastAsia"/>
                <w:color w:val="auto"/>
                <w:sz w:val="24"/>
              </w:rPr>
              <w:t>（2）住院病床</w:t>
            </w:r>
            <w:r>
              <w:rPr>
                <w:color w:val="auto"/>
                <w:sz w:val="24"/>
              </w:rPr>
              <w:t>用水</w:t>
            </w:r>
          </w:p>
          <w:p w14:paraId="1F134B18">
            <w:pPr>
              <w:spacing w:line="360" w:lineRule="auto"/>
              <w:ind w:firstLine="480" w:firstLineChars="200"/>
              <w:rPr>
                <w:color w:val="auto"/>
                <w:sz w:val="24"/>
              </w:rPr>
            </w:pPr>
            <w:r>
              <w:rPr>
                <w:rFonts w:hint="eastAsia"/>
                <w:color w:val="auto"/>
                <w:sz w:val="24"/>
              </w:rPr>
              <w:t>本项目建成后，新增25张</w:t>
            </w:r>
            <w:r>
              <w:rPr>
                <w:color w:val="auto"/>
                <w:sz w:val="24"/>
              </w:rPr>
              <w:t>床位，</w:t>
            </w:r>
            <w:r>
              <w:rPr>
                <w:bCs/>
                <w:color w:val="auto"/>
                <w:sz w:val="24"/>
              </w:rPr>
              <w:t>用水量以满员计算。</w:t>
            </w:r>
            <w:r>
              <w:rPr>
                <w:color w:val="auto"/>
                <w:sz w:val="24"/>
              </w:rPr>
              <w:t>按照《云南省地方标准—用水定额》（DB53/T168-201</w:t>
            </w:r>
            <w:r>
              <w:rPr>
                <w:rFonts w:hint="eastAsia"/>
                <w:color w:val="auto"/>
                <w:sz w:val="24"/>
              </w:rPr>
              <w:t>9</w:t>
            </w:r>
            <w:r>
              <w:rPr>
                <w:color w:val="auto"/>
                <w:sz w:val="24"/>
              </w:rPr>
              <w:t>），病房内带洗浴用水量按300L/（床.d）</w:t>
            </w:r>
            <w:r>
              <w:rPr>
                <w:rFonts w:hint="eastAsia"/>
                <w:color w:val="auto"/>
                <w:sz w:val="24"/>
              </w:rPr>
              <w:t>（</w:t>
            </w:r>
            <w:r>
              <w:rPr>
                <w:color w:val="auto"/>
                <w:sz w:val="24"/>
              </w:rPr>
              <w:t>含行政及医护人员附属设施等综合用水计</w:t>
            </w:r>
            <w:r>
              <w:rPr>
                <w:rFonts w:hint="eastAsia"/>
                <w:color w:val="auto"/>
                <w:sz w:val="24"/>
              </w:rPr>
              <w:t>）</w:t>
            </w:r>
            <w:r>
              <w:rPr>
                <w:color w:val="auto"/>
                <w:sz w:val="24"/>
              </w:rPr>
              <w:t>，则项目</w:t>
            </w:r>
            <w:r>
              <w:rPr>
                <w:rFonts w:hint="eastAsia"/>
                <w:color w:val="auto"/>
                <w:sz w:val="24"/>
              </w:rPr>
              <w:t>新增病床</w:t>
            </w:r>
            <w:r>
              <w:rPr>
                <w:color w:val="auto"/>
                <w:sz w:val="24"/>
              </w:rPr>
              <w:t>用水量为</w:t>
            </w:r>
            <w:r>
              <w:rPr>
                <w:rFonts w:hint="eastAsia"/>
                <w:color w:val="auto"/>
                <w:sz w:val="24"/>
              </w:rPr>
              <w:t>7.5</w:t>
            </w:r>
            <w:r>
              <w:rPr>
                <w:color w:val="auto"/>
                <w:sz w:val="24"/>
              </w:rPr>
              <w:t>m</w:t>
            </w:r>
            <w:r>
              <w:rPr>
                <w:color w:val="auto"/>
                <w:sz w:val="24"/>
                <w:vertAlign w:val="superscript"/>
              </w:rPr>
              <w:t>3</w:t>
            </w:r>
            <w:r>
              <w:rPr>
                <w:color w:val="auto"/>
                <w:sz w:val="24"/>
              </w:rPr>
              <w:t>/d</w:t>
            </w:r>
            <w:r>
              <w:rPr>
                <w:rFonts w:hint="eastAsia"/>
                <w:color w:val="auto"/>
                <w:sz w:val="24"/>
              </w:rPr>
              <w:t>，产污系数按0.85计，则病床废水量为6.375</w:t>
            </w:r>
            <w:r>
              <w:rPr>
                <w:color w:val="auto"/>
                <w:sz w:val="24"/>
              </w:rPr>
              <w:t>m</w:t>
            </w:r>
            <w:r>
              <w:rPr>
                <w:color w:val="auto"/>
                <w:sz w:val="24"/>
                <w:vertAlign w:val="superscript"/>
              </w:rPr>
              <w:t>3</w:t>
            </w:r>
            <w:r>
              <w:rPr>
                <w:color w:val="auto"/>
                <w:sz w:val="24"/>
              </w:rPr>
              <w:t>/d</w:t>
            </w:r>
            <w:r>
              <w:rPr>
                <w:rFonts w:hint="eastAsia"/>
                <w:color w:val="auto"/>
                <w:sz w:val="24"/>
              </w:rPr>
              <w:t>。</w:t>
            </w:r>
          </w:p>
          <w:p w14:paraId="4234A798">
            <w:pPr>
              <w:spacing w:line="360" w:lineRule="auto"/>
              <w:ind w:firstLine="480" w:firstLineChars="200"/>
              <w:rPr>
                <w:color w:val="auto"/>
                <w:sz w:val="24"/>
              </w:rPr>
            </w:pPr>
            <w:r>
              <w:rPr>
                <w:rFonts w:hint="eastAsia"/>
                <w:color w:val="auto"/>
                <w:sz w:val="24"/>
              </w:rPr>
              <w:t>（3）洗衣房用水</w:t>
            </w:r>
          </w:p>
          <w:p w14:paraId="790E3DD1">
            <w:pPr>
              <w:spacing w:line="360" w:lineRule="auto"/>
              <w:ind w:firstLine="480" w:firstLineChars="200"/>
              <w:rPr>
                <w:color w:val="auto"/>
                <w:sz w:val="24"/>
              </w:rPr>
            </w:pPr>
            <w:r>
              <w:rPr>
                <w:rFonts w:hint="eastAsia"/>
                <w:color w:val="auto"/>
                <w:sz w:val="24"/>
              </w:rPr>
              <w:t>本项目建成后，综合楼4楼将设置洗衣房，根据业主提供资料，项目综合楼顶层洗衣房每天清洗病服和被褥约15套，日最大用水量为0.3</w:t>
            </w:r>
            <w:r>
              <w:rPr>
                <w:color w:val="auto"/>
                <w:sz w:val="24"/>
              </w:rPr>
              <w:t>m</w:t>
            </w:r>
            <w:r>
              <w:rPr>
                <w:color w:val="auto"/>
                <w:sz w:val="24"/>
                <w:vertAlign w:val="superscript"/>
              </w:rPr>
              <w:t>3</w:t>
            </w:r>
            <w:r>
              <w:rPr>
                <w:color w:val="auto"/>
                <w:sz w:val="24"/>
              </w:rPr>
              <w:t>/d</w:t>
            </w:r>
            <w:r>
              <w:rPr>
                <w:rFonts w:hint="eastAsia"/>
                <w:color w:val="auto"/>
                <w:sz w:val="24"/>
              </w:rPr>
              <w:t>，产污系数按0.85计，则洗衣房清洗废水量为0.26</w:t>
            </w:r>
            <w:r>
              <w:rPr>
                <w:color w:val="auto"/>
                <w:sz w:val="24"/>
              </w:rPr>
              <w:t>m</w:t>
            </w:r>
            <w:r>
              <w:rPr>
                <w:color w:val="auto"/>
                <w:sz w:val="24"/>
                <w:vertAlign w:val="superscript"/>
              </w:rPr>
              <w:t>3</w:t>
            </w:r>
            <w:r>
              <w:rPr>
                <w:color w:val="auto"/>
                <w:sz w:val="24"/>
              </w:rPr>
              <w:t>/d</w:t>
            </w:r>
            <w:r>
              <w:rPr>
                <w:rFonts w:hint="eastAsia"/>
                <w:color w:val="auto"/>
                <w:sz w:val="24"/>
              </w:rPr>
              <w:t>。</w:t>
            </w:r>
          </w:p>
          <w:p w14:paraId="326685B2">
            <w:pPr>
              <w:pStyle w:val="14"/>
              <w:rPr>
                <w:color w:val="auto"/>
                <w:sz w:val="24"/>
                <w:szCs w:val="24"/>
              </w:rPr>
            </w:pPr>
            <w:r>
              <w:rPr>
                <w:rFonts w:hint="eastAsia"/>
                <w:color w:val="auto"/>
                <w:sz w:val="24"/>
                <w:szCs w:val="24"/>
              </w:rPr>
              <w:t xml:space="preserve">    （4）口腔科用水</w:t>
            </w:r>
          </w:p>
          <w:p w14:paraId="2223C06D">
            <w:pPr>
              <w:spacing w:line="360" w:lineRule="auto"/>
              <w:ind w:firstLine="480" w:firstLineChars="200"/>
              <w:rPr>
                <w:color w:val="auto"/>
                <w:sz w:val="24"/>
              </w:rPr>
            </w:pPr>
            <w:r>
              <w:rPr>
                <w:rFonts w:hint="eastAsia"/>
                <w:color w:val="auto"/>
                <w:sz w:val="24"/>
              </w:rPr>
              <w:t>本项目建成以后，九龙卫生院口腔科不使用涉及含汞等重金属药剂，不产生含重金属废水。</w:t>
            </w:r>
          </w:p>
          <w:p w14:paraId="5099E95E">
            <w:pPr>
              <w:spacing w:line="360" w:lineRule="auto"/>
              <w:ind w:firstLine="480" w:firstLineChars="200"/>
              <w:rPr>
                <w:color w:val="auto"/>
                <w:sz w:val="24"/>
              </w:rPr>
            </w:pPr>
            <w:r>
              <w:rPr>
                <w:color w:val="auto"/>
                <w:sz w:val="24"/>
              </w:rPr>
              <w:t>2、排水</w:t>
            </w:r>
          </w:p>
          <w:p w14:paraId="3B9A97D6">
            <w:pPr>
              <w:spacing w:line="360" w:lineRule="auto"/>
              <w:ind w:firstLine="480" w:firstLineChars="200"/>
              <w:rPr>
                <w:color w:val="auto"/>
                <w:sz w:val="24"/>
              </w:rPr>
            </w:pPr>
            <w:r>
              <w:rPr>
                <w:rFonts w:hint="eastAsia"/>
                <w:color w:val="auto"/>
                <w:sz w:val="24"/>
              </w:rPr>
              <w:t>各</w:t>
            </w:r>
            <w:r>
              <w:rPr>
                <w:bCs/>
                <w:color w:val="auto"/>
                <w:sz w:val="24"/>
              </w:rPr>
              <w:t>项目不涉及同位素诊疗，不产生放射性废水；放射科装置均采用数字成像技术，不出湿胶片，不产生洗印废水。</w:t>
            </w:r>
          </w:p>
          <w:p w14:paraId="34BFBAAB">
            <w:pPr>
              <w:spacing w:line="360" w:lineRule="auto"/>
              <w:ind w:firstLine="480" w:firstLineChars="200"/>
              <w:rPr>
                <w:color w:val="auto"/>
                <w:sz w:val="24"/>
              </w:rPr>
            </w:pPr>
            <w:r>
              <w:rPr>
                <w:rFonts w:hint="eastAsia"/>
                <w:color w:val="auto"/>
                <w:sz w:val="24"/>
              </w:rPr>
              <w:t>本项目涉及4个卫生院，各卫生院</w:t>
            </w:r>
            <w:r>
              <w:rPr>
                <w:color w:val="auto"/>
                <w:sz w:val="24"/>
              </w:rPr>
              <w:t>项目</w:t>
            </w:r>
            <w:r>
              <w:rPr>
                <w:rFonts w:hint="eastAsia"/>
                <w:color w:val="auto"/>
                <w:sz w:val="24"/>
              </w:rPr>
              <w:t>区</w:t>
            </w:r>
            <w:r>
              <w:rPr>
                <w:color w:val="auto"/>
                <w:sz w:val="24"/>
              </w:rPr>
              <w:t>内</w:t>
            </w:r>
            <w:r>
              <w:rPr>
                <w:rFonts w:hint="eastAsia"/>
                <w:color w:val="auto"/>
                <w:sz w:val="24"/>
              </w:rPr>
              <w:t>均</w:t>
            </w:r>
            <w:r>
              <w:rPr>
                <w:color w:val="auto"/>
                <w:sz w:val="24"/>
              </w:rPr>
              <w:t>采用雨污分流制排水系统。</w:t>
            </w:r>
          </w:p>
          <w:p w14:paraId="3A69085D">
            <w:pPr>
              <w:spacing w:line="360" w:lineRule="auto"/>
              <w:rPr>
                <w:color w:val="auto"/>
                <w:sz w:val="24"/>
              </w:rPr>
            </w:pPr>
            <w:r>
              <w:rPr>
                <w:rFonts w:hint="eastAsia"/>
                <w:color w:val="auto"/>
                <w:sz w:val="24"/>
              </w:rPr>
              <w:t>本项目</w:t>
            </w:r>
            <w:bookmarkStart w:id="29" w:name="_Hlk194486172"/>
            <w:r>
              <w:rPr>
                <w:rFonts w:hint="eastAsia"/>
                <w:color w:val="auto"/>
                <w:sz w:val="24"/>
              </w:rPr>
              <w:t>纳古卫生院产生的医疗废水经本次自建的污水处理站处理达标后外排至市政污水管网后进入纳古镇污水处理厂处理。本项目杨广卫生院产生的医疗废水经本次自建的污水处理站处理达标后外排至市政污水管网后进入通海县第一污水处理厂处理。本项目九龙卫生院产生医疗废水和现有项目产生的医疗废水经本次自建的污水处理站处理后排入市政污水管网进入通海县第二污水处理厂处理。本项目四街卫生院产生医疗废水和现有项目产生的医疗废水经本次自建的污水处理站处理后排入市政污水管网进入通海县第二污水处理厂处理。项目涉及的四个卫生院，仅纳古卫生院未设置食堂和住宿区，其余三个卫生院产生的生活污水经生活污水化粪池处理后直接排入市政污水管网进入污水处理厂处理。</w:t>
            </w:r>
          </w:p>
          <w:bookmarkEnd w:id="29"/>
          <w:p w14:paraId="6A72B43F">
            <w:pPr>
              <w:spacing w:line="360" w:lineRule="auto"/>
              <w:ind w:firstLine="480" w:firstLineChars="200"/>
              <w:rPr>
                <w:bCs/>
                <w:color w:val="auto"/>
                <w:sz w:val="24"/>
              </w:rPr>
            </w:pPr>
            <w:r>
              <w:rPr>
                <w:bCs/>
                <w:color w:val="auto"/>
                <w:sz w:val="24"/>
              </w:rPr>
              <w:t>根据2024年7月17日由杨广镇人民政府出具的《关于通海县杨广卫生院生活污水能进入通海县第一污水处理厂处理的证明》（详见附件），杨广镇卫生院属于通海县第一污水处理厂截污范围内，项目污水经预处理达标后的废水纳入集镇管网收集。收集后通过污水主管进入通海县第</w:t>
            </w:r>
            <w:r>
              <w:rPr>
                <w:rFonts w:hint="eastAsia"/>
                <w:bCs/>
                <w:color w:val="auto"/>
                <w:sz w:val="24"/>
              </w:rPr>
              <w:t>一</w:t>
            </w:r>
            <w:r>
              <w:rPr>
                <w:bCs/>
                <w:color w:val="auto"/>
                <w:sz w:val="24"/>
              </w:rPr>
              <w:t>污水处理厂处理。</w:t>
            </w:r>
            <w:r>
              <w:rPr>
                <w:rFonts w:hint="eastAsia"/>
                <w:bCs/>
                <w:color w:val="auto"/>
                <w:sz w:val="24"/>
              </w:rPr>
              <w:t>根据2024年7月9日由通海县人民政府九龙街道办事处出具的《关于通海县九龙卫生院生活污水能够进入通海县第二污水处理厂的证明》（详见附件）和2024年7月9日由通海县人民政府出具的《关于通海县四街卫生院生活污水能够进入通海县第二污水处理厂的证明》（详见附件），九龙卫生院和四街卫生院属于通海县第二污水处理厂截污范围内，项目经预处理达标后的废水纳入集镇管网收集</w:t>
            </w:r>
            <w:r>
              <w:rPr>
                <w:color w:val="auto"/>
                <w:sz w:val="24"/>
              </w:rPr>
              <w:t>。</w:t>
            </w:r>
            <w:r>
              <w:rPr>
                <w:bCs/>
                <w:color w:val="auto"/>
                <w:sz w:val="24"/>
              </w:rPr>
              <w:t>收集后通过污水主管进入通海县第</w:t>
            </w:r>
            <w:r>
              <w:rPr>
                <w:rFonts w:hint="eastAsia"/>
                <w:bCs/>
                <w:color w:val="auto"/>
                <w:sz w:val="24"/>
              </w:rPr>
              <w:t>二</w:t>
            </w:r>
            <w:r>
              <w:rPr>
                <w:bCs/>
                <w:color w:val="auto"/>
                <w:sz w:val="24"/>
              </w:rPr>
              <w:t>污水处理厂处理。根据2024年7月9日由通海县纳古镇人民政府出具的《关于通海县纳古镇卫生院生活污水能够进入纳古纳古污水处理厂的证明》（详见附件），纳古镇卫生院属于纳古镇污水处理厂截污范围内，项目污水经预处理达标后的废水纳入集镇管网收集。收集后通过污水主管进入纳古镇污水处理厂处理。</w:t>
            </w:r>
          </w:p>
          <w:p w14:paraId="4D79B445">
            <w:pPr>
              <w:numPr>
                <w:ilvl w:val="0"/>
                <w:numId w:val="9"/>
              </w:numPr>
              <w:spacing w:line="360" w:lineRule="auto"/>
              <w:ind w:firstLine="480" w:firstLineChars="200"/>
              <w:rPr>
                <w:color w:val="auto"/>
                <w:sz w:val="24"/>
              </w:rPr>
            </w:pPr>
            <w:r>
              <w:rPr>
                <w:color w:val="auto"/>
                <w:sz w:val="24"/>
              </w:rPr>
              <w:t>水平衡图</w:t>
            </w:r>
          </w:p>
          <w:p w14:paraId="51059DAC">
            <w:pPr>
              <w:pStyle w:val="18"/>
              <w:rPr>
                <w:b/>
                <w:color w:val="auto"/>
                <w:sz w:val="24"/>
              </w:rPr>
            </w:pPr>
            <w:r>
              <w:rPr>
                <w:b/>
                <w:color w:val="auto"/>
                <w:sz w:val="24"/>
              </w:rPr>
              <w:object>
                <v:shape id="_x0000_i1025" o:spt="75" type="#_x0000_t75" style="height:237.75pt;width:400.5pt;" o:ole="t" filled="f" o:preferrelative="t" stroked="f" coordsize="21600,21600">
                  <v:path/>
                  <v:fill on="f" focussize="0,0"/>
                  <v:stroke on="f" joinstyle="miter"/>
                  <v:imagedata r:id="rId11" o:title=""/>
                  <o:lock v:ext="edit" aspectratio="f"/>
                  <w10:wrap type="none"/>
                  <w10:anchorlock/>
                </v:shape>
                <o:OLEObject Type="Embed" ProgID="Visio.Drawing.15" ShapeID="_x0000_i1025" DrawAspect="Content" ObjectID="_1468075725" r:id="rId10">
                  <o:LockedField>false</o:LockedField>
                </o:OLEObject>
              </w:object>
            </w:r>
          </w:p>
          <w:p w14:paraId="5F7EAAD2">
            <w:pPr>
              <w:pStyle w:val="31"/>
              <w:ind w:firstLine="0" w:firstLineChars="0"/>
              <w:jc w:val="center"/>
              <w:rPr>
                <w:b/>
                <w:bCs/>
                <w:color w:val="auto"/>
              </w:rPr>
            </w:pPr>
            <w:r>
              <w:rPr>
                <w:rFonts w:hint="eastAsia"/>
                <w:b/>
                <w:bCs/>
                <w:color w:val="auto"/>
              </w:rPr>
              <w:t>图2-1  纳古卫生院水平衡图（单位：m</w:t>
            </w:r>
            <w:r>
              <w:rPr>
                <w:rFonts w:hint="eastAsia"/>
                <w:b/>
                <w:bCs/>
                <w:color w:val="auto"/>
                <w:vertAlign w:val="superscript"/>
              </w:rPr>
              <w:t>3</w:t>
            </w:r>
            <w:r>
              <w:rPr>
                <w:rFonts w:hint="eastAsia"/>
                <w:b/>
                <w:bCs/>
                <w:color w:val="auto"/>
              </w:rPr>
              <w:t>/d）</w:t>
            </w:r>
          </w:p>
          <w:p w14:paraId="196C243E">
            <w:pPr>
              <w:rPr>
                <w:b/>
                <w:bCs/>
                <w:color w:val="auto"/>
              </w:rPr>
            </w:pPr>
          </w:p>
          <w:p w14:paraId="64B70BDA">
            <w:pPr>
              <w:pStyle w:val="31"/>
              <w:ind w:firstLine="0" w:firstLineChars="0"/>
              <w:jc w:val="center"/>
              <w:rPr>
                <w:b/>
                <w:bCs/>
                <w:color w:val="auto"/>
              </w:rPr>
            </w:pPr>
            <w:r>
              <w:rPr>
                <w:rFonts w:hint="eastAsia"/>
                <w:b/>
                <w:bCs/>
                <w:color w:val="auto"/>
              </w:rPr>
              <w:object>
                <v:shape id="_x0000_i1026" o:spt="75" type="#_x0000_t75" style="height:327.75pt;width:401.25pt;" o:ole="t" filled="f" o:preferrelative="t" stroked="f" coordsize="21600,21600">
                  <v:path/>
                  <v:fill on="f" focussize="0,0"/>
                  <v:stroke on="f" joinstyle="miter"/>
                  <v:imagedata r:id="rId13" o:title=""/>
                  <o:lock v:ext="edit" aspectratio="f"/>
                  <w10:wrap type="none"/>
                  <w10:anchorlock/>
                </v:shape>
                <o:OLEObject Type="Embed" ProgID="Visio.Drawing.15" ShapeID="_x0000_i1026" DrawAspect="Content" ObjectID="_1468075726" r:id="rId12">
                  <o:LockedField>false</o:LockedField>
                </o:OLEObject>
              </w:object>
            </w:r>
            <w:r>
              <w:rPr>
                <w:rFonts w:hint="eastAsia"/>
                <w:b/>
                <w:bCs/>
                <w:color w:val="auto"/>
              </w:rPr>
              <w:t>图2-2  四街卫生院水平衡图（单位：m</w:t>
            </w:r>
            <w:r>
              <w:rPr>
                <w:rFonts w:hint="eastAsia"/>
                <w:b/>
                <w:bCs/>
                <w:color w:val="auto"/>
                <w:vertAlign w:val="superscript"/>
              </w:rPr>
              <w:t>3</w:t>
            </w:r>
            <w:r>
              <w:rPr>
                <w:rFonts w:hint="eastAsia"/>
                <w:b/>
                <w:bCs/>
                <w:color w:val="auto"/>
              </w:rPr>
              <w:t>/d）</w:t>
            </w:r>
          </w:p>
          <w:p w14:paraId="5D4EA646">
            <w:pPr>
              <w:pStyle w:val="31"/>
              <w:ind w:firstLine="0" w:firstLineChars="0"/>
              <w:jc w:val="center"/>
              <w:rPr>
                <w:b/>
                <w:bCs/>
                <w:color w:val="auto"/>
              </w:rPr>
            </w:pPr>
            <w:r>
              <w:rPr>
                <w:rFonts w:hint="eastAsia"/>
                <w:b/>
                <w:bCs/>
                <w:color w:val="auto"/>
              </w:rPr>
              <w:object>
                <v:shape id="_x0000_i1027" o:spt="75" type="#_x0000_t75" style="height:297.75pt;width:401.25pt;" o:ole="t" filled="f" o:preferrelative="t" stroked="f" coordsize="21600,21600">
                  <v:path/>
                  <v:fill on="f" focussize="0,0"/>
                  <v:stroke on="f" joinstyle="miter"/>
                  <v:imagedata r:id="rId15" o:title=""/>
                  <o:lock v:ext="edit" aspectratio="f"/>
                  <w10:wrap type="none"/>
                  <w10:anchorlock/>
                </v:shape>
                <o:OLEObject Type="Embed" ProgID="Visio.Drawing.15" ShapeID="_x0000_i1027" DrawAspect="Content" ObjectID="_1468075727" r:id="rId14">
                  <o:LockedField>false</o:LockedField>
                </o:OLEObject>
              </w:object>
            </w:r>
            <w:r>
              <w:rPr>
                <w:rFonts w:hint="eastAsia"/>
                <w:b/>
                <w:bCs/>
                <w:color w:val="auto"/>
              </w:rPr>
              <w:t>图2-3  九龙卫生院水平衡图（单位：m</w:t>
            </w:r>
            <w:r>
              <w:rPr>
                <w:rFonts w:hint="eastAsia"/>
                <w:b/>
                <w:bCs/>
                <w:color w:val="auto"/>
                <w:vertAlign w:val="superscript"/>
              </w:rPr>
              <w:t>3</w:t>
            </w:r>
            <w:r>
              <w:rPr>
                <w:rFonts w:hint="eastAsia"/>
                <w:b/>
                <w:bCs/>
                <w:color w:val="auto"/>
              </w:rPr>
              <w:t>/d）</w:t>
            </w:r>
          </w:p>
          <w:p w14:paraId="2D4DC3D7">
            <w:pPr>
              <w:pStyle w:val="31"/>
              <w:ind w:firstLine="0" w:firstLineChars="0"/>
              <w:jc w:val="center"/>
              <w:rPr>
                <w:b/>
                <w:bCs/>
                <w:color w:val="auto"/>
              </w:rPr>
            </w:pPr>
            <w:r>
              <w:rPr>
                <w:rFonts w:hint="eastAsia"/>
                <w:b/>
                <w:bCs/>
                <w:color w:val="auto"/>
              </w:rPr>
              <w:object>
                <v:shape id="_x0000_i1028" o:spt="75" type="#_x0000_t75" style="height:304.5pt;width:401.25pt;" o:ole="t" filled="f" o:preferrelative="t" stroked="f" coordsize="21600,21600">
                  <v:path/>
                  <v:fill on="f" focussize="0,0"/>
                  <v:stroke on="f" joinstyle="miter"/>
                  <v:imagedata r:id="rId17" o:title=""/>
                  <o:lock v:ext="edit" aspectratio="f"/>
                  <w10:wrap type="none"/>
                  <w10:anchorlock/>
                </v:shape>
                <o:OLEObject Type="Embed" ProgID="Visio.Drawing.15" ShapeID="_x0000_i1028" DrawAspect="Content" ObjectID="_1468075728" r:id="rId16">
                  <o:LockedField>false</o:LockedField>
                </o:OLEObject>
              </w:object>
            </w:r>
            <w:r>
              <w:rPr>
                <w:rFonts w:hint="eastAsia"/>
                <w:b/>
                <w:bCs/>
                <w:color w:val="auto"/>
              </w:rPr>
              <w:t>图2-4  杨广卫生院水平衡图（单位：m</w:t>
            </w:r>
            <w:r>
              <w:rPr>
                <w:rFonts w:hint="eastAsia"/>
                <w:b/>
                <w:bCs/>
                <w:color w:val="auto"/>
                <w:vertAlign w:val="superscript"/>
              </w:rPr>
              <w:t>3</w:t>
            </w:r>
            <w:r>
              <w:rPr>
                <w:rFonts w:hint="eastAsia"/>
                <w:b/>
                <w:bCs/>
                <w:color w:val="auto"/>
              </w:rPr>
              <w:t>/d）</w:t>
            </w:r>
          </w:p>
          <w:p w14:paraId="2615D8EC">
            <w:pPr>
              <w:adjustRightInd w:val="0"/>
              <w:snapToGrid w:val="0"/>
              <w:spacing w:line="360" w:lineRule="auto"/>
              <w:rPr>
                <w:rFonts w:hint="eastAsia"/>
                <w:b/>
                <w:bCs/>
                <w:color w:val="auto"/>
                <w:sz w:val="24"/>
              </w:rPr>
            </w:pPr>
          </w:p>
          <w:p w14:paraId="1B5EE4FA">
            <w:pPr>
              <w:adjustRightInd w:val="0"/>
              <w:snapToGrid w:val="0"/>
              <w:spacing w:line="360" w:lineRule="auto"/>
              <w:rPr>
                <w:b/>
                <w:bCs/>
                <w:color w:val="auto"/>
                <w:sz w:val="24"/>
              </w:rPr>
            </w:pPr>
            <w:r>
              <w:rPr>
                <w:rFonts w:hint="eastAsia"/>
                <w:b/>
                <w:bCs/>
                <w:color w:val="auto"/>
                <w:sz w:val="24"/>
              </w:rPr>
              <w:t>十</w:t>
            </w:r>
            <w:r>
              <w:rPr>
                <w:b/>
                <w:bCs/>
                <w:color w:val="auto"/>
                <w:sz w:val="24"/>
              </w:rPr>
              <w:t>、项目环保投资</w:t>
            </w:r>
          </w:p>
          <w:p w14:paraId="22830471">
            <w:pPr>
              <w:pStyle w:val="14"/>
              <w:spacing w:before="0" w:after="0" w:line="360" w:lineRule="auto"/>
              <w:ind w:right="0" w:firstLine="480" w:firstLineChars="200"/>
              <w:rPr>
                <w:color w:val="auto"/>
                <w:sz w:val="24"/>
                <w:szCs w:val="24"/>
              </w:rPr>
            </w:pPr>
            <w:bookmarkStart w:id="30" w:name="_Hlk194486568"/>
            <w:r>
              <w:rPr>
                <w:color w:val="auto"/>
                <w:sz w:val="24"/>
                <w:szCs w:val="24"/>
              </w:rPr>
              <w:t>本项目建设投资为</w:t>
            </w:r>
            <w:r>
              <w:rPr>
                <w:rFonts w:hint="eastAsia"/>
                <w:color w:val="auto"/>
                <w:sz w:val="24"/>
                <w:szCs w:val="24"/>
              </w:rPr>
              <w:t>5747.99</w:t>
            </w:r>
            <w:r>
              <w:rPr>
                <w:color w:val="auto"/>
                <w:sz w:val="24"/>
                <w:szCs w:val="24"/>
              </w:rPr>
              <w:t>万元，</w:t>
            </w:r>
            <w:r>
              <w:rPr>
                <w:rFonts w:hint="eastAsia"/>
                <w:color w:val="auto"/>
                <w:sz w:val="24"/>
                <w:szCs w:val="24"/>
              </w:rPr>
              <w:t>项目涉及4个卫生院，纳古卫生院环保投资为15.5万元，四街卫生院环保投资为24.5万元，九龙卫生院环保投资为28万元，杨广卫生院环保投资为16万元，本项目</w:t>
            </w:r>
            <w:r>
              <w:rPr>
                <w:color w:val="auto"/>
                <w:sz w:val="24"/>
                <w:szCs w:val="24"/>
              </w:rPr>
              <w:t>环保投资</w:t>
            </w:r>
            <w:r>
              <w:rPr>
                <w:rFonts w:hint="eastAsia"/>
                <w:color w:val="auto"/>
                <w:sz w:val="24"/>
                <w:szCs w:val="24"/>
              </w:rPr>
              <w:t>共计</w:t>
            </w:r>
            <w:r>
              <w:rPr>
                <w:color w:val="auto"/>
                <w:sz w:val="24"/>
                <w:szCs w:val="24"/>
              </w:rPr>
              <w:t>为</w:t>
            </w:r>
            <w:r>
              <w:rPr>
                <w:rFonts w:hint="eastAsia"/>
                <w:color w:val="auto"/>
                <w:sz w:val="24"/>
                <w:szCs w:val="24"/>
              </w:rPr>
              <w:t>84</w:t>
            </w:r>
            <w:r>
              <w:rPr>
                <w:color w:val="auto"/>
                <w:sz w:val="24"/>
                <w:szCs w:val="24"/>
              </w:rPr>
              <w:t>万元，占总投资比例</w:t>
            </w:r>
            <w:r>
              <w:rPr>
                <w:rFonts w:hint="eastAsia"/>
                <w:color w:val="auto"/>
                <w:sz w:val="24"/>
                <w:szCs w:val="24"/>
              </w:rPr>
              <w:t>1.46</w:t>
            </w:r>
            <w:r>
              <w:rPr>
                <w:color w:val="auto"/>
                <w:sz w:val="24"/>
                <w:szCs w:val="24"/>
              </w:rPr>
              <w:t>%，</w:t>
            </w:r>
            <w:bookmarkEnd w:id="30"/>
            <w:r>
              <w:rPr>
                <w:color w:val="auto"/>
                <w:sz w:val="24"/>
                <w:szCs w:val="24"/>
              </w:rPr>
              <w:t>环保投资情况见表2-</w:t>
            </w:r>
            <w:r>
              <w:rPr>
                <w:rFonts w:hint="eastAsia"/>
                <w:color w:val="auto"/>
                <w:sz w:val="24"/>
                <w:szCs w:val="24"/>
              </w:rPr>
              <w:t>12~表2-15</w:t>
            </w:r>
            <w:r>
              <w:rPr>
                <w:color w:val="auto"/>
                <w:sz w:val="24"/>
                <w:szCs w:val="24"/>
              </w:rPr>
              <w:t>。</w:t>
            </w:r>
          </w:p>
          <w:p w14:paraId="174E30AE">
            <w:pPr>
              <w:jc w:val="center"/>
              <w:rPr>
                <w:b/>
                <w:color w:val="auto"/>
                <w:sz w:val="24"/>
              </w:rPr>
            </w:pPr>
            <w:r>
              <w:rPr>
                <w:b/>
                <w:color w:val="auto"/>
                <w:sz w:val="24"/>
              </w:rPr>
              <w:t>表2-</w:t>
            </w:r>
            <w:r>
              <w:rPr>
                <w:rFonts w:hint="eastAsia"/>
                <w:b/>
                <w:color w:val="auto"/>
                <w:sz w:val="24"/>
              </w:rPr>
              <w:t>12</w:t>
            </w:r>
            <w:r>
              <w:rPr>
                <w:b/>
                <w:color w:val="auto"/>
                <w:sz w:val="24"/>
              </w:rPr>
              <w:t>项目</w:t>
            </w:r>
            <w:r>
              <w:rPr>
                <w:rFonts w:hint="eastAsia"/>
                <w:b/>
                <w:color w:val="auto"/>
                <w:sz w:val="24"/>
              </w:rPr>
              <w:t>（纳古卫生院）</w:t>
            </w:r>
            <w:r>
              <w:rPr>
                <w:b/>
                <w:color w:val="auto"/>
                <w:sz w:val="24"/>
              </w:rPr>
              <w:t>环保投资一览表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163"/>
              <w:gridCol w:w="1475"/>
              <w:gridCol w:w="3340"/>
              <w:gridCol w:w="1100"/>
            </w:tblGrid>
            <w:tr w14:paraId="135D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2DAE3D95">
                  <w:pPr>
                    <w:pStyle w:val="32"/>
                    <w:adjustRightInd w:val="0"/>
                    <w:snapToGrid w:val="0"/>
                    <w:spacing w:after="0"/>
                    <w:ind w:left="0" w:leftChars="0" w:firstLine="0" w:firstLineChars="0"/>
                    <w:jc w:val="center"/>
                    <w:rPr>
                      <w:b/>
                      <w:color w:val="auto"/>
                      <w:sz w:val="21"/>
                      <w:szCs w:val="21"/>
                    </w:rPr>
                  </w:pPr>
                  <w:bookmarkStart w:id="31" w:name="_Hlk194486624"/>
                  <w:bookmarkStart w:id="32" w:name="_Hlk194486699"/>
                  <w:r>
                    <w:rPr>
                      <w:b/>
                      <w:color w:val="auto"/>
                      <w:sz w:val="21"/>
                      <w:szCs w:val="21"/>
                    </w:rPr>
                    <w:t>时段</w:t>
                  </w:r>
                </w:p>
              </w:tc>
              <w:tc>
                <w:tcPr>
                  <w:tcW w:w="1645" w:type="pct"/>
                  <w:gridSpan w:val="2"/>
                  <w:vAlign w:val="center"/>
                </w:tcPr>
                <w:p w14:paraId="107D43B7">
                  <w:pPr>
                    <w:pStyle w:val="32"/>
                    <w:adjustRightInd w:val="0"/>
                    <w:snapToGrid w:val="0"/>
                    <w:spacing w:after="0"/>
                    <w:ind w:left="0" w:leftChars="0" w:firstLine="0" w:firstLineChars="0"/>
                    <w:jc w:val="center"/>
                    <w:rPr>
                      <w:b/>
                      <w:color w:val="auto"/>
                      <w:sz w:val="21"/>
                      <w:szCs w:val="21"/>
                    </w:rPr>
                  </w:pPr>
                  <w:r>
                    <w:rPr>
                      <w:b/>
                      <w:color w:val="auto"/>
                      <w:sz w:val="21"/>
                      <w:szCs w:val="21"/>
                    </w:rPr>
                    <w:t>项目名称</w:t>
                  </w:r>
                </w:p>
              </w:tc>
              <w:tc>
                <w:tcPr>
                  <w:tcW w:w="2083" w:type="pct"/>
                  <w:vAlign w:val="center"/>
                </w:tcPr>
                <w:p w14:paraId="309B7B01">
                  <w:pPr>
                    <w:pStyle w:val="32"/>
                    <w:adjustRightInd w:val="0"/>
                    <w:snapToGrid w:val="0"/>
                    <w:spacing w:after="0"/>
                    <w:ind w:left="0" w:leftChars="0" w:firstLine="0" w:firstLineChars="0"/>
                    <w:jc w:val="center"/>
                    <w:rPr>
                      <w:b/>
                      <w:color w:val="auto"/>
                      <w:sz w:val="21"/>
                      <w:szCs w:val="21"/>
                    </w:rPr>
                  </w:pPr>
                  <w:r>
                    <w:rPr>
                      <w:b/>
                      <w:color w:val="auto"/>
                      <w:sz w:val="21"/>
                      <w:szCs w:val="21"/>
                    </w:rPr>
                    <w:t>治理措施</w:t>
                  </w:r>
                </w:p>
              </w:tc>
              <w:tc>
                <w:tcPr>
                  <w:tcW w:w="686" w:type="pct"/>
                  <w:vAlign w:val="center"/>
                </w:tcPr>
                <w:p w14:paraId="57CA9FB1">
                  <w:pPr>
                    <w:pStyle w:val="32"/>
                    <w:adjustRightInd w:val="0"/>
                    <w:snapToGrid w:val="0"/>
                    <w:spacing w:after="0"/>
                    <w:ind w:left="0" w:leftChars="0" w:firstLine="0" w:firstLineChars="0"/>
                    <w:jc w:val="center"/>
                    <w:rPr>
                      <w:b/>
                      <w:color w:val="auto"/>
                      <w:sz w:val="21"/>
                      <w:szCs w:val="21"/>
                    </w:rPr>
                  </w:pPr>
                  <w:r>
                    <w:rPr>
                      <w:b/>
                      <w:color w:val="auto"/>
                      <w:sz w:val="21"/>
                      <w:szCs w:val="21"/>
                    </w:rPr>
                    <w:t>投资</w:t>
                  </w:r>
                </w:p>
              </w:tc>
            </w:tr>
            <w:tr w14:paraId="3B55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0" w:type="pct"/>
                  <w:gridSpan w:val="3"/>
                  <w:vAlign w:val="center"/>
                </w:tcPr>
                <w:p w14:paraId="782DE155">
                  <w:pPr>
                    <w:pStyle w:val="32"/>
                    <w:adjustRightInd w:val="0"/>
                    <w:snapToGrid w:val="0"/>
                    <w:spacing w:after="0"/>
                    <w:ind w:left="0" w:leftChars="0" w:firstLine="0" w:firstLineChars="0"/>
                    <w:jc w:val="center"/>
                    <w:rPr>
                      <w:bCs/>
                      <w:color w:val="auto"/>
                      <w:sz w:val="21"/>
                      <w:szCs w:val="21"/>
                    </w:rPr>
                  </w:pPr>
                  <w:r>
                    <w:rPr>
                      <w:bCs/>
                      <w:color w:val="auto"/>
                      <w:sz w:val="21"/>
                      <w:szCs w:val="21"/>
                    </w:rPr>
                    <w:t>施工期污染防治措施</w:t>
                  </w:r>
                </w:p>
              </w:tc>
              <w:tc>
                <w:tcPr>
                  <w:tcW w:w="2083" w:type="pct"/>
                  <w:vAlign w:val="center"/>
                </w:tcPr>
                <w:p w14:paraId="132A6DA5">
                  <w:pPr>
                    <w:pStyle w:val="32"/>
                    <w:adjustRightInd w:val="0"/>
                    <w:snapToGrid w:val="0"/>
                    <w:spacing w:after="0"/>
                    <w:ind w:left="0" w:leftChars="0" w:firstLine="0" w:firstLineChars="0"/>
                    <w:jc w:val="center"/>
                    <w:rPr>
                      <w:bCs/>
                      <w:color w:val="auto"/>
                      <w:sz w:val="21"/>
                      <w:szCs w:val="21"/>
                    </w:rPr>
                  </w:pPr>
                  <w:r>
                    <w:rPr>
                      <w:bCs/>
                      <w:color w:val="auto"/>
                      <w:sz w:val="21"/>
                      <w:szCs w:val="21"/>
                    </w:rPr>
                    <w:t>洒水降尘、固废清运</w:t>
                  </w:r>
                  <w:r>
                    <w:rPr>
                      <w:rFonts w:hint="eastAsia"/>
                      <w:bCs/>
                      <w:color w:val="auto"/>
                      <w:sz w:val="21"/>
                      <w:szCs w:val="21"/>
                    </w:rPr>
                    <w:t>、</w:t>
                  </w:r>
                  <w:r>
                    <w:rPr>
                      <w:color w:val="auto"/>
                      <w:sz w:val="21"/>
                      <w:szCs w:val="21"/>
                    </w:rPr>
                    <w:t>隔声、减振措施</w:t>
                  </w:r>
                </w:p>
              </w:tc>
              <w:tc>
                <w:tcPr>
                  <w:tcW w:w="686" w:type="pct"/>
                  <w:vAlign w:val="center"/>
                </w:tcPr>
                <w:p w14:paraId="5DBD1ED8">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r>
                    <w:rPr>
                      <w:bCs/>
                      <w:color w:val="auto"/>
                      <w:sz w:val="21"/>
                      <w:szCs w:val="21"/>
                    </w:rPr>
                    <w:t>.5</w:t>
                  </w:r>
                </w:p>
              </w:tc>
            </w:tr>
            <w:tr w14:paraId="4DE2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restart"/>
                  <w:vAlign w:val="center"/>
                </w:tcPr>
                <w:p w14:paraId="4B7B6E3E">
                  <w:pPr>
                    <w:pStyle w:val="32"/>
                    <w:adjustRightInd w:val="0"/>
                    <w:snapToGrid w:val="0"/>
                    <w:spacing w:after="0"/>
                    <w:ind w:left="0" w:leftChars="0" w:firstLine="0" w:firstLineChars="0"/>
                    <w:jc w:val="center"/>
                    <w:rPr>
                      <w:bCs/>
                      <w:color w:val="auto"/>
                      <w:sz w:val="21"/>
                      <w:szCs w:val="21"/>
                    </w:rPr>
                  </w:pPr>
                  <w:r>
                    <w:rPr>
                      <w:bCs/>
                      <w:color w:val="auto"/>
                      <w:sz w:val="21"/>
                      <w:szCs w:val="21"/>
                    </w:rPr>
                    <w:t>运营期</w:t>
                  </w:r>
                </w:p>
              </w:tc>
              <w:tc>
                <w:tcPr>
                  <w:tcW w:w="725" w:type="pct"/>
                  <w:vMerge w:val="restart"/>
                  <w:vAlign w:val="center"/>
                </w:tcPr>
                <w:p w14:paraId="594115CA">
                  <w:pPr>
                    <w:pStyle w:val="32"/>
                    <w:adjustRightInd w:val="0"/>
                    <w:snapToGrid w:val="0"/>
                    <w:spacing w:after="0"/>
                    <w:ind w:left="0" w:leftChars="0" w:firstLine="0" w:firstLineChars="0"/>
                    <w:jc w:val="center"/>
                    <w:rPr>
                      <w:bCs/>
                      <w:color w:val="auto"/>
                      <w:sz w:val="21"/>
                      <w:szCs w:val="21"/>
                    </w:rPr>
                  </w:pPr>
                  <w:r>
                    <w:rPr>
                      <w:bCs/>
                      <w:color w:val="auto"/>
                      <w:sz w:val="21"/>
                      <w:szCs w:val="21"/>
                    </w:rPr>
                    <w:t>废水污染防治措施</w:t>
                  </w:r>
                </w:p>
              </w:tc>
              <w:tc>
                <w:tcPr>
                  <w:tcW w:w="919" w:type="pct"/>
                  <w:vMerge w:val="restart"/>
                  <w:vAlign w:val="center"/>
                </w:tcPr>
                <w:p w14:paraId="30EDDB59">
                  <w:pPr>
                    <w:pStyle w:val="32"/>
                    <w:adjustRightInd w:val="0"/>
                    <w:snapToGrid w:val="0"/>
                    <w:spacing w:after="0"/>
                    <w:ind w:left="0" w:leftChars="0" w:firstLine="0" w:firstLineChars="0"/>
                    <w:jc w:val="center"/>
                    <w:rPr>
                      <w:bCs/>
                      <w:color w:val="auto"/>
                      <w:sz w:val="21"/>
                      <w:szCs w:val="21"/>
                    </w:rPr>
                  </w:pPr>
                  <w:r>
                    <w:rPr>
                      <w:rFonts w:hint="eastAsia"/>
                      <w:color w:val="auto"/>
                      <w:sz w:val="21"/>
                      <w:szCs w:val="21"/>
                    </w:rPr>
                    <w:t>一般医疗废水</w:t>
                  </w:r>
                </w:p>
              </w:tc>
              <w:tc>
                <w:tcPr>
                  <w:tcW w:w="2083" w:type="pct"/>
                  <w:vAlign w:val="center"/>
                </w:tcPr>
                <w:p w14:paraId="3004AD90">
                  <w:pPr>
                    <w:pStyle w:val="32"/>
                    <w:adjustRightInd w:val="0"/>
                    <w:snapToGrid w:val="0"/>
                    <w:spacing w:after="0"/>
                    <w:ind w:left="0" w:leftChars="0" w:firstLine="0" w:firstLineChars="0"/>
                    <w:jc w:val="center"/>
                    <w:rPr>
                      <w:color w:val="auto"/>
                      <w:sz w:val="21"/>
                      <w:szCs w:val="21"/>
                    </w:rPr>
                  </w:pPr>
                  <w:r>
                    <w:rPr>
                      <w:rFonts w:hint="eastAsia"/>
                      <w:color w:val="auto"/>
                      <w:sz w:val="21"/>
                      <w:szCs w:val="21"/>
                    </w:rPr>
                    <w:t>综合废水化粪</w:t>
                  </w:r>
                  <w:r>
                    <w:rPr>
                      <w:color w:val="auto"/>
                      <w:sz w:val="21"/>
                      <w:szCs w:val="21"/>
                    </w:rPr>
                    <w:t>池（1个，容积</w:t>
                  </w:r>
                  <w:r>
                    <w:rPr>
                      <w:rFonts w:hint="eastAsia"/>
                      <w:color w:val="auto"/>
                      <w:sz w:val="21"/>
                      <w:szCs w:val="21"/>
                    </w:rPr>
                    <w:t>9</w:t>
                  </w:r>
                  <w:r>
                    <w:rPr>
                      <w:color w:val="auto"/>
                      <w:sz w:val="21"/>
                      <w:szCs w:val="21"/>
                    </w:rPr>
                    <w:t>m</w:t>
                  </w:r>
                  <w:r>
                    <w:rPr>
                      <w:color w:val="auto"/>
                      <w:sz w:val="21"/>
                      <w:szCs w:val="21"/>
                      <w:vertAlign w:val="superscript"/>
                    </w:rPr>
                    <w:t>3</w:t>
                  </w:r>
                  <w:r>
                    <w:rPr>
                      <w:color w:val="auto"/>
                      <w:sz w:val="21"/>
                      <w:szCs w:val="21"/>
                    </w:rPr>
                    <w:t>）</w:t>
                  </w:r>
                </w:p>
              </w:tc>
              <w:tc>
                <w:tcPr>
                  <w:tcW w:w="686" w:type="pct"/>
                  <w:vAlign w:val="center"/>
                </w:tcPr>
                <w:p w14:paraId="3E834B0C">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w:t>
                  </w:r>
                </w:p>
              </w:tc>
            </w:tr>
            <w:tr w14:paraId="0F5E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15D5B7D0">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42F961E8">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742DD5B9">
                  <w:pPr>
                    <w:pStyle w:val="32"/>
                    <w:adjustRightInd w:val="0"/>
                    <w:snapToGrid w:val="0"/>
                    <w:spacing w:after="0"/>
                    <w:ind w:left="0" w:leftChars="0" w:firstLine="0" w:firstLineChars="0"/>
                    <w:jc w:val="center"/>
                    <w:rPr>
                      <w:color w:val="auto"/>
                      <w:sz w:val="21"/>
                      <w:szCs w:val="21"/>
                    </w:rPr>
                  </w:pPr>
                </w:p>
              </w:tc>
              <w:tc>
                <w:tcPr>
                  <w:tcW w:w="2083" w:type="pct"/>
                  <w:vAlign w:val="center"/>
                </w:tcPr>
                <w:p w14:paraId="1D6D0F3F">
                  <w:pPr>
                    <w:pStyle w:val="32"/>
                    <w:adjustRightInd w:val="0"/>
                    <w:snapToGrid w:val="0"/>
                    <w:spacing w:after="0"/>
                    <w:ind w:left="0" w:leftChars="0" w:firstLine="0" w:firstLineChars="0"/>
                    <w:jc w:val="center"/>
                    <w:rPr>
                      <w:color w:val="auto"/>
                      <w:sz w:val="21"/>
                      <w:szCs w:val="21"/>
                    </w:rPr>
                  </w:pPr>
                  <w:r>
                    <w:rPr>
                      <w:rFonts w:hint="eastAsia"/>
                      <w:color w:val="auto"/>
                      <w:sz w:val="21"/>
                      <w:szCs w:val="21"/>
                    </w:rPr>
                    <w:t>污水处理站（一座，处理规模为10m³/d）</w:t>
                  </w:r>
                </w:p>
              </w:tc>
              <w:tc>
                <w:tcPr>
                  <w:tcW w:w="686" w:type="pct"/>
                  <w:vAlign w:val="center"/>
                </w:tcPr>
                <w:p w14:paraId="7BEEB33C">
                  <w:pPr>
                    <w:pStyle w:val="32"/>
                    <w:adjustRightInd w:val="0"/>
                    <w:snapToGrid w:val="0"/>
                    <w:spacing w:after="0"/>
                    <w:ind w:left="0" w:leftChars="0" w:firstLine="0" w:firstLineChars="0"/>
                    <w:jc w:val="center"/>
                    <w:rPr>
                      <w:rFonts w:hint="eastAsia" w:eastAsia="宋体"/>
                      <w:bCs/>
                      <w:color w:val="auto"/>
                      <w:sz w:val="21"/>
                      <w:szCs w:val="21"/>
                      <w:lang w:eastAsia="zh-CN"/>
                    </w:rPr>
                  </w:pPr>
                  <w:r>
                    <w:rPr>
                      <w:rFonts w:hint="eastAsia"/>
                      <w:bCs/>
                      <w:color w:val="auto"/>
                      <w:sz w:val="21"/>
                      <w:szCs w:val="21"/>
                      <w:lang w:val="en-US" w:eastAsia="zh-CN"/>
                    </w:rPr>
                    <w:t>9</w:t>
                  </w:r>
                </w:p>
              </w:tc>
            </w:tr>
            <w:tr w14:paraId="190A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6A267870">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616C1D64">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2A0E7BD0">
                  <w:pPr>
                    <w:pStyle w:val="32"/>
                    <w:adjustRightInd w:val="0"/>
                    <w:snapToGrid w:val="0"/>
                    <w:spacing w:after="0"/>
                    <w:ind w:left="0" w:leftChars="0" w:firstLine="0" w:firstLineChars="0"/>
                    <w:jc w:val="center"/>
                    <w:rPr>
                      <w:color w:val="auto"/>
                      <w:sz w:val="21"/>
                      <w:szCs w:val="21"/>
                    </w:rPr>
                  </w:pPr>
                </w:p>
              </w:tc>
              <w:tc>
                <w:tcPr>
                  <w:tcW w:w="2083" w:type="pct"/>
                  <w:vAlign w:val="center"/>
                </w:tcPr>
                <w:p w14:paraId="7FB74192">
                  <w:pPr>
                    <w:pStyle w:val="32"/>
                    <w:adjustRightInd w:val="0"/>
                    <w:snapToGrid w:val="0"/>
                    <w:spacing w:after="0"/>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事故应急池（</w:t>
                  </w:r>
                  <w:r>
                    <w:rPr>
                      <w:rFonts w:hint="eastAsia"/>
                      <w:color w:val="auto"/>
                      <w:sz w:val="21"/>
                      <w:szCs w:val="21"/>
                    </w:rPr>
                    <w:t>一座，</w:t>
                  </w:r>
                  <w:r>
                    <w:rPr>
                      <w:rFonts w:hint="eastAsia"/>
                      <w:color w:val="auto"/>
                      <w:sz w:val="21"/>
                      <w:szCs w:val="21"/>
                      <w:lang w:val="en-US" w:eastAsia="zh-CN"/>
                    </w:rPr>
                    <w:t>6</w:t>
                  </w:r>
                  <w:r>
                    <w:rPr>
                      <w:rFonts w:hint="eastAsia"/>
                      <w:color w:val="auto"/>
                      <w:sz w:val="21"/>
                      <w:szCs w:val="21"/>
                    </w:rPr>
                    <w:t>m³/d</w:t>
                  </w:r>
                  <w:r>
                    <w:rPr>
                      <w:rFonts w:hint="eastAsia"/>
                      <w:color w:val="auto"/>
                      <w:sz w:val="21"/>
                      <w:szCs w:val="21"/>
                      <w:lang w:val="en-US" w:eastAsia="zh-CN"/>
                    </w:rPr>
                    <w:t>）</w:t>
                  </w:r>
                </w:p>
              </w:tc>
              <w:tc>
                <w:tcPr>
                  <w:tcW w:w="686" w:type="pct"/>
                  <w:vAlign w:val="center"/>
                </w:tcPr>
                <w:p w14:paraId="15293194">
                  <w:pPr>
                    <w:pStyle w:val="32"/>
                    <w:adjustRightInd w:val="0"/>
                    <w:snapToGrid w:val="0"/>
                    <w:spacing w:after="0"/>
                    <w:ind w:left="0" w:leftChars="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1</w:t>
                  </w:r>
                </w:p>
              </w:tc>
            </w:tr>
            <w:tr w14:paraId="5C4C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31C95BE8">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10A82397">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1D6A15AC">
                  <w:pPr>
                    <w:pStyle w:val="32"/>
                    <w:adjustRightInd w:val="0"/>
                    <w:snapToGrid w:val="0"/>
                    <w:spacing w:after="0"/>
                    <w:ind w:left="0" w:leftChars="0" w:firstLine="0" w:firstLineChars="0"/>
                    <w:jc w:val="center"/>
                    <w:rPr>
                      <w:color w:val="auto"/>
                      <w:sz w:val="21"/>
                      <w:szCs w:val="21"/>
                    </w:rPr>
                  </w:pPr>
                  <w:r>
                    <w:rPr>
                      <w:rFonts w:hint="eastAsia"/>
                      <w:color w:val="auto"/>
                      <w:sz w:val="21"/>
                      <w:szCs w:val="21"/>
                    </w:rPr>
                    <w:t>检验废水</w:t>
                  </w:r>
                </w:p>
              </w:tc>
              <w:tc>
                <w:tcPr>
                  <w:tcW w:w="2083" w:type="pct"/>
                  <w:vAlign w:val="center"/>
                </w:tcPr>
                <w:p w14:paraId="09CE3BB5">
                  <w:pPr>
                    <w:pStyle w:val="32"/>
                    <w:adjustRightInd w:val="0"/>
                    <w:snapToGrid w:val="0"/>
                    <w:spacing w:after="0"/>
                    <w:ind w:left="0" w:leftChars="0" w:firstLine="0" w:firstLineChars="0"/>
                    <w:jc w:val="center"/>
                    <w:rPr>
                      <w:color w:val="auto"/>
                      <w:sz w:val="21"/>
                      <w:szCs w:val="21"/>
                    </w:rPr>
                  </w:pPr>
                  <w:r>
                    <w:rPr>
                      <w:rFonts w:hint="eastAsia"/>
                      <w:color w:val="auto"/>
                      <w:sz w:val="21"/>
                      <w:szCs w:val="21"/>
                    </w:rPr>
                    <w:t>2个50L的收集桶收集酸性废水（两备两用）</w:t>
                  </w:r>
                </w:p>
              </w:tc>
              <w:tc>
                <w:tcPr>
                  <w:tcW w:w="686" w:type="pct"/>
                  <w:vAlign w:val="center"/>
                </w:tcPr>
                <w:p w14:paraId="47D54886">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3F83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6E4ADB03">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48C0EFC9">
                  <w:pPr>
                    <w:pStyle w:val="32"/>
                    <w:adjustRightInd w:val="0"/>
                    <w:snapToGrid w:val="0"/>
                    <w:spacing w:after="0"/>
                    <w:ind w:left="0" w:leftChars="0" w:firstLine="0" w:firstLineChars="0"/>
                    <w:jc w:val="center"/>
                    <w:rPr>
                      <w:bCs/>
                      <w:color w:val="auto"/>
                      <w:sz w:val="21"/>
                      <w:szCs w:val="21"/>
                    </w:rPr>
                  </w:pPr>
                  <w:r>
                    <w:rPr>
                      <w:color w:val="auto"/>
                      <w:sz w:val="21"/>
                      <w:szCs w:val="21"/>
                    </w:rPr>
                    <w:t>大气污染防治措施</w:t>
                  </w:r>
                </w:p>
              </w:tc>
              <w:tc>
                <w:tcPr>
                  <w:tcW w:w="919" w:type="pct"/>
                  <w:vAlign w:val="center"/>
                </w:tcPr>
                <w:p w14:paraId="2CBBC8DD">
                  <w:pPr>
                    <w:pStyle w:val="32"/>
                    <w:adjustRightInd w:val="0"/>
                    <w:snapToGrid w:val="0"/>
                    <w:spacing w:after="0"/>
                    <w:ind w:left="0" w:leftChars="0" w:firstLine="0" w:firstLineChars="0"/>
                    <w:jc w:val="center"/>
                    <w:rPr>
                      <w:color w:val="auto"/>
                      <w:sz w:val="21"/>
                      <w:szCs w:val="21"/>
                    </w:rPr>
                  </w:pPr>
                  <w:r>
                    <w:rPr>
                      <w:rFonts w:hint="eastAsia" w:ascii="宋体" w:hAnsi="宋体" w:cs="宋体"/>
                      <w:bCs/>
                      <w:color w:val="auto"/>
                      <w:sz w:val="21"/>
                      <w:szCs w:val="21"/>
                    </w:rPr>
                    <w:t>污水处理站恶臭气体</w:t>
                  </w:r>
                </w:p>
              </w:tc>
              <w:tc>
                <w:tcPr>
                  <w:tcW w:w="2083" w:type="pct"/>
                  <w:vAlign w:val="center"/>
                </w:tcPr>
                <w:p w14:paraId="3B158DC4">
                  <w:pPr>
                    <w:pStyle w:val="32"/>
                    <w:adjustRightInd w:val="0"/>
                    <w:snapToGrid w:val="0"/>
                    <w:spacing w:after="0"/>
                    <w:ind w:left="0" w:leftChars="0" w:firstLine="0" w:firstLineChars="0"/>
                    <w:jc w:val="center"/>
                    <w:rPr>
                      <w:color w:val="auto"/>
                      <w:sz w:val="21"/>
                      <w:szCs w:val="21"/>
                    </w:rPr>
                  </w:pPr>
                  <w:r>
                    <w:rPr>
                      <w:rFonts w:hint="eastAsia" w:ascii="宋体" w:hAnsi="宋体" w:cs="宋体"/>
                      <w:color w:val="auto"/>
                      <w:sz w:val="21"/>
                      <w:szCs w:val="21"/>
                    </w:rPr>
                    <w:t>投放除臭剂</w:t>
                  </w:r>
                </w:p>
              </w:tc>
              <w:tc>
                <w:tcPr>
                  <w:tcW w:w="686" w:type="pct"/>
                  <w:vAlign w:val="center"/>
                </w:tcPr>
                <w:p w14:paraId="44EC7CFB">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0FF7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85" w:type="pct"/>
                  <w:vMerge w:val="continue"/>
                  <w:vAlign w:val="center"/>
                </w:tcPr>
                <w:p w14:paraId="35099A8C">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4C7ACB6B">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1DDAAA8E">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柴油发电机废气</w:t>
                  </w:r>
                </w:p>
              </w:tc>
              <w:tc>
                <w:tcPr>
                  <w:tcW w:w="2083" w:type="pct"/>
                  <w:vAlign w:val="center"/>
                </w:tcPr>
                <w:p w14:paraId="68CDC587">
                  <w:pPr>
                    <w:pStyle w:val="32"/>
                    <w:adjustRightInd w:val="0"/>
                    <w:snapToGrid w:val="0"/>
                    <w:spacing w:after="0"/>
                    <w:ind w:left="0" w:leftChars="0" w:firstLine="0" w:firstLineChars="0"/>
                    <w:jc w:val="center"/>
                    <w:rPr>
                      <w:bCs/>
                      <w:color w:val="auto"/>
                      <w:sz w:val="21"/>
                      <w:szCs w:val="21"/>
                    </w:rPr>
                  </w:pPr>
                  <w:r>
                    <w:rPr>
                      <w:bCs/>
                      <w:color w:val="auto"/>
                      <w:sz w:val="21"/>
                      <w:szCs w:val="21"/>
                    </w:rPr>
                    <w:t>经</w:t>
                  </w:r>
                  <w:r>
                    <w:rPr>
                      <w:rFonts w:hint="eastAsia"/>
                      <w:bCs/>
                      <w:color w:val="auto"/>
                      <w:sz w:val="21"/>
                      <w:szCs w:val="21"/>
                    </w:rPr>
                    <w:t>专用排烟管道</w:t>
                  </w:r>
                  <w:r>
                    <w:rPr>
                      <w:bCs/>
                      <w:color w:val="auto"/>
                      <w:sz w:val="21"/>
                      <w:szCs w:val="21"/>
                    </w:rPr>
                    <w:t>排至绿化带一侧后</w:t>
                  </w:r>
                  <w:r>
                    <w:rPr>
                      <w:rFonts w:hint="eastAsia"/>
                      <w:bCs/>
                      <w:color w:val="auto"/>
                      <w:sz w:val="21"/>
                      <w:szCs w:val="21"/>
                    </w:rPr>
                    <w:t>通过</w:t>
                  </w:r>
                  <w:r>
                    <w:rPr>
                      <w:bCs/>
                      <w:color w:val="auto"/>
                      <w:sz w:val="21"/>
                      <w:szCs w:val="21"/>
                    </w:rPr>
                    <w:t>绿地吸收和大气稀释扩散处理</w:t>
                  </w:r>
                </w:p>
              </w:tc>
              <w:tc>
                <w:tcPr>
                  <w:tcW w:w="686" w:type="pct"/>
                  <w:vAlign w:val="center"/>
                </w:tcPr>
                <w:p w14:paraId="391FB1DF">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5A85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26C5D3D4">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0E5C2976">
                  <w:pPr>
                    <w:pStyle w:val="32"/>
                    <w:adjustRightInd w:val="0"/>
                    <w:snapToGrid w:val="0"/>
                    <w:spacing w:after="0"/>
                    <w:ind w:left="0" w:leftChars="0" w:firstLine="0" w:firstLineChars="0"/>
                    <w:jc w:val="center"/>
                    <w:rPr>
                      <w:bCs/>
                      <w:color w:val="auto"/>
                      <w:sz w:val="21"/>
                      <w:szCs w:val="21"/>
                    </w:rPr>
                  </w:pPr>
                  <w:r>
                    <w:rPr>
                      <w:color w:val="auto"/>
                      <w:sz w:val="21"/>
                      <w:szCs w:val="21"/>
                    </w:rPr>
                    <w:t>固废处理</w:t>
                  </w:r>
                </w:p>
              </w:tc>
              <w:tc>
                <w:tcPr>
                  <w:tcW w:w="919" w:type="pct"/>
                  <w:vAlign w:val="center"/>
                </w:tcPr>
                <w:p w14:paraId="00AF4540">
                  <w:pPr>
                    <w:pStyle w:val="32"/>
                    <w:adjustRightInd w:val="0"/>
                    <w:snapToGrid w:val="0"/>
                    <w:spacing w:after="0"/>
                    <w:ind w:left="0" w:leftChars="0" w:firstLine="0" w:firstLineChars="0"/>
                    <w:jc w:val="center"/>
                    <w:rPr>
                      <w:bCs/>
                      <w:color w:val="auto"/>
                      <w:sz w:val="21"/>
                      <w:szCs w:val="21"/>
                    </w:rPr>
                  </w:pPr>
                  <w:r>
                    <w:rPr>
                      <w:color w:val="auto"/>
                      <w:sz w:val="21"/>
                      <w:szCs w:val="21"/>
                    </w:rPr>
                    <w:t>生活垃圾收集桶</w:t>
                  </w:r>
                </w:p>
              </w:tc>
              <w:tc>
                <w:tcPr>
                  <w:tcW w:w="2083" w:type="pct"/>
                  <w:vAlign w:val="center"/>
                </w:tcPr>
                <w:p w14:paraId="5F005043">
                  <w:pPr>
                    <w:pStyle w:val="32"/>
                    <w:adjustRightInd w:val="0"/>
                    <w:snapToGrid w:val="0"/>
                    <w:spacing w:after="0"/>
                    <w:ind w:left="0" w:leftChars="0" w:firstLine="0" w:firstLineChars="0"/>
                    <w:jc w:val="center"/>
                    <w:rPr>
                      <w:bCs/>
                      <w:color w:val="auto"/>
                      <w:sz w:val="21"/>
                      <w:szCs w:val="21"/>
                    </w:rPr>
                  </w:pPr>
                  <w:r>
                    <w:rPr>
                      <w:bCs/>
                      <w:color w:val="auto"/>
                      <w:sz w:val="21"/>
                      <w:szCs w:val="21"/>
                    </w:rPr>
                    <w:t>垃圾桶</w:t>
                  </w:r>
                  <w:r>
                    <w:rPr>
                      <w:rFonts w:hint="eastAsia"/>
                      <w:bCs/>
                      <w:color w:val="auto"/>
                      <w:sz w:val="21"/>
                      <w:szCs w:val="21"/>
                    </w:rPr>
                    <w:t>8</w:t>
                  </w:r>
                  <w:r>
                    <w:rPr>
                      <w:bCs/>
                      <w:color w:val="auto"/>
                      <w:sz w:val="21"/>
                      <w:szCs w:val="21"/>
                    </w:rPr>
                    <w:t>个</w:t>
                  </w:r>
                </w:p>
              </w:tc>
              <w:tc>
                <w:tcPr>
                  <w:tcW w:w="686" w:type="pct"/>
                  <w:vAlign w:val="center"/>
                </w:tcPr>
                <w:p w14:paraId="2A13F408">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6434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5442336C">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0ABB995E">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59F76A89">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医疗废物暂存间</w:t>
                  </w:r>
                </w:p>
              </w:tc>
              <w:tc>
                <w:tcPr>
                  <w:tcW w:w="2083" w:type="pct"/>
                  <w:vAlign w:val="center"/>
                </w:tcPr>
                <w:p w14:paraId="03BEFD3D">
                  <w:pPr>
                    <w:pStyle w:val="32"/>
                    <w:adjustRightInd w:val="0"/>
                    <w:snapToGrid w:val="0"/>
                    <w:spacing w:after="0"/>
                    <w:ind w:left="0" w:leftChars="0" w:firstLine="0" w:firstLineChars="0"/>
                    <w:jc w:val="center"/>
                    <w:rPr>
                      <w:bCs/>
                      <w:color w:val="auto"/>
                      <w:sz w:val="21"/>
                      <w:szCs w:val="21"/>
                    </w:rPr>
                  </w:pPr>
                  <w:r>
                    <w:rPr>
                      <w:rStyle w:val="126"/>
                      <w:rFonts w:hint="eastAsia"/>
                      <w:color w:val="auto"/>
                      <w:szCs w:val="21"/>
                    </w:rPr>
                    <w:t>危废/医废暂存间（1间，10㎡）</w:t>
                  </w:r>
                </w:p>
              </w:tc>
              <w:tc>
                <w:tcPr>
                  <w:tcW w:w="686" w:type="pct"/>
                  <w:vAlign w:val="center"/>
                </w:tcPr>
                <w:p w14:paraId="5105BD1D">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6A7A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85" w:type="pct"/>
                  <w:vMerge w:val="continue"/>
                  <w:vAlign w:val="center"/>
                </w:tcPr>
                <w:p w14:paraId="5C40B2FE">
                  <w:pPr>
                    <w:pStyle w:val="32"/>
                    <w:adjustRightInd w:val="0"/>
                    <w:snapToGrid w:val="0"/>
                    <w:spacing w:after="0"/>
                    <w:ind w:left="0" w:leftChars="0" w:firstLine="0" w:firstLineChars="0"/>
                    <w:jc w:val="center"/>
                    <w:rPr>
                      <w:bCs/>
                      <w:color w:val="auto"/>
                      <w:sz w:val="21"/>
                      <w:szCs w:val="21"/>
                    </w:rPr>
                  </w:pPr>
                </w:p>
              </w:tc>
              <w:tc>
                <w:tcPr>
                  <w:tcW w:w="725" w:type="pct"/>
                  <w:vAlign w:val="center"/>
                </w:tcPr>
                <w:p w14:paraId="391F9D41">
                  <w:pPr>
                    <w:pStyle w:val="32"/>
                    <w:adjustRightInd w:val="0"/>
                    <w:snapToGrid w:val="0"/>
                    <w:spacing w:after="0"/>
                    <w:ind w:left="0" w:leftChars="0" w:firstLine="0" w:firstLineChars="0"/>
                    <w:jc w:val="center"/>
                    <w:rPr>
                      <w:bCs/>
                      <w:color w:val="auto"/>
                      <w:sz w:val="21"/>
                      <w:szCs w:val="21"/>
                    </w:rPr>
                  </w:pPr>
                  <w:r>
                    <w:rPr>
                      <w:bCs/>
                      <w:color w:val="auto"/>
                      <w:sz w:val="21"/>
                      <w:szCs w:val="21"/>
                    </w:rPr>
                    <w:t>噪声防治</w:t>
                  </w:r>
                </w:p>
              </w:tc>
              <w:tc>
                <w:tcPr>
                  <w:tcW w:w="919" w:type="pct"/>
                  <w:vAlign w:val="center"/>
                </w:tcPr>
                <w:p w14:paraId="0CE09E6F">
                  <w:pPr>
                    <w:pStyle w:val="32"/>
                    <w:adjustRightInd w:val="0"/>
                    <w:snapToGrid w:val="0"/>
                    <w:spacing w:after="0"/>
                    <w:ind w:left="0" w:leftChars="0" w:firstLine="0" w:firstLineChars="0"/>
                    <w:jc w:val="center"/>
                    <w:rPr>
                      <w:color w:val="auto"/>
                      <w:sz w:val="21"/>
                      <w:szCs w:val="21"/>
                    </w:rPr>
                  </w:pPr>
                  <w:r>
                    <w:rPr>
                      <w:color w:val="auto"/>
                      <w:sz w:val="21"/>
                      <w:szCs w:val="21"/>
                    </w:rPr>
                    <w:t>设备噪声</w:t>
                  </w:r>
                </w:p>
              </w:tc>
              <w:tc>
                <w:tcPr>
                  <w:tcW w:w="2083" w:type="pct"/>
                  <w:vAlign w:val="center"/>
                </w:tcPr>
                <w:p w14:paraId="202AB74E">
                  <w:pPr>
                    <w:pStyle w:val="32"/>
                    <w:adjustRightInd w:val="0"/>
                    <w:snapToGrid w:val="0"/>
                    <w:spacing w:after="0"/>
                    <w:ind w:left="0" w:leftChars="0" w:firstLine="0" w:firstLineChars="0"/>
                    <w:jc w:val="center"/>
                    <w:rPr>
                      <w:bCs/>
                      <w:color w:val="auto"/>
                      <w:sz w:val="21"/>
                      <w:szCs w:val="21"/>
                    </w:rPr>
                  </w:pPr>
                  <w:r>
                    <w:rPr>
                      <w:bCs/>
                      <w:color w:val="auto"/>
                      <w:sz w:val="21"/>
                      <w:szCs w:val="21"/>
                    </w:rPr>
                    <w:t>污水处理系统水泵减振、风机安装消声器、建筑隔声、柴油发电机设置于独立的设备房</w:t>
                  </w:r>
                </w:p>
              </w:tc>
              <w:tc>
                <w:tcPr>
                  <w:tcW w:w="686" w:type="pct"/>
                  <w:vAlign w:val="center"/>
                </w:tcPr>
                <w:p w14:paraId="21C700E8">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4134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3" w:type="pct"/>
                  <w:gridSpan w:val="4"/>
                  <w:vAlign w:val="center"/>
                </w:tcPr>
                <w:p w14:paraId="79CF426F">
                  <w:pPr>
                    <w:pStyle w:val="32"/>
                    <w:adjustRightInd w:val="0"/>
                    <w:snapToGrid w:val="0"/>
                    <w:spacing w:after="0"/>
                    <w:ind w:left="0" w:leftChars="0" w:firstLine="0" w:firstLineChars="0"/>
                    <w:jc w:val="center"/>
                    <w:rPr>
                      <w:color w:val="auto"/>
                      <w:sz w:val="21"/>
                      <w:szCs w:val="21"/>
                    </w:rPr>
                  </w:pPr>
                  <w:r>
                    <w:rPr>
                      <w:color w:val="auto"/>
                      <w:sz w:val="21"/>
                      <w:szCs w:val="21"/>
                    </w:rPr>
                    <w:t>合计</w:t>
                  </w:r>
                </w:p>
              </w:tc>
              <w:tc>
                <w:tcPr>
                  <w:tcW w:w="686" w:type="pct"/>
                  <w:vAlign w:val="center"/>
                </w:tcPr>
                <w:p w14:paraId="1F34A1EC">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15.5</w:t>
                  </w:r>
                </w:p>
              </w:tc>
            </w:tr>
            <w:bookmarkEnd w:id="31"/>
          </w:tbl>
          <w:p w14:paraId="1D3CC5DF">
            <w:pPr>
              <w:spacing w:before="120" w:beforeLines="50"/>
              <w:jc w:val="center"/>
              <w:rPr>
                <w:b/>
                <w:color w:val="auto"/>
                <w:sz w:val="24"/>
              </w:rPr>
            </w:pPr>
            <w:r>
              <w:rPr>
                <w:b/>
                <w:color w:val="auto"/>
                <w:sz w:val="24"/>
              </w:rPr>
              <w:t>表2-</w:t>
            </w:r>
            <w:r>
              <w:rPr>
                <w:rFonts w:hint="eastAsia"/>
                <w:b/>
                <w:color w:val="auto"/>
                <w:sz w:val="24"/>
              </w:rPr>
              <w:t>13</w:t>
            </w:r>
            <w:r>
              <w:rPr>
                <w:b/>
                <w:color w:val="auto"/>
                <w:sz w:val="24"/>
              </w:rPr>
              <w:t>项目</w:t>
            </w:r>
            <w:r>
              <w:rPr>
                <w:rFonts w:hint="eastAsia"/>
                <w:b/>
                <w:color w:val="auto"/>
                <w:sz w:val="24"/>
              </w:rPr>
              <w:t>（四街卫生院）</w:t>
            </w:r>
            <w:r>
              <w:rPr>
                <w:b/>
                <w:color w:val="auto"/>
                <w:sz w:val="24"/>
              </w:rPr>
              <w:t>环保投资一览表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163"/>
              <w:gridCol w:w="1475"/>
              <w:gridCol w:w="3340"/>
              <w:gridCol w:w="1100"/>
            </w:tblGrid>
            <w:tr w14:paraId="1F8C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3F7FBABA">
                  <w:pPr>
                    <w:pStyle w:val="32"/>
                    <w:adjustRightInd w:val="0"/>
                    <w:snapToGrid w:val="0"/>
                    <w:spacing w:after="0"/>
                    <w:ind w:left="0" w:leftChars="0" w:firstLine="0" w:firstLineChars="0"/>
                    <w:jc w:val="center"/>
                    <w:rPr>
                      <w:b/>
                      <w:color w:val="auto"/>
                      <w:sz w:val="21"/>
                      <w:szCs w:val="21"/>
                    </w:rPr>
                  </w:pPr>
                  <w:bookmarkStart w:id="33" w:name="OLE_LINK1"/>
                  <w:r>
                    <w:rPr>
                      <w:b/>
                      <w:color w:val="auto"/>
                      <w:sz w:val="21"/>
                      <w:szCs w:val="21"/>
                    </w:rPr>
                    <w:t>时段</w:t>
                  </w:r>
                </w:p>
              </w:tc>
              <w:tc>
                <w:tcPr>
                  <w:tcW w:w="1645" w:type="pct"/>
                  <w:gridSpan w:val="2"/>
                  <w:vAlign w:val="center"/>
                </w:tcPr>
                <w:p w14:paraId="222B4CAF">
                  <w:pPr>
                    <w:pStyle w:val="32"/>
                    <w:adjustRightInd w:val="0"/>
                    <w:snapToGrid w:val="0"/>
                    <w:spacing w:after="0"/>
                    <w:ind w:left="0" w:leftChars="0" w:firstLine="0" w:firstLineChars="0"/>
                    <w:jc w:val="center"/>
                    <w:rPr>
                      <w:b/>
                      <w:color w:val="auto"/>
                      <w:sz w:val="21"/>
                      <w:szCs w:val="21"/>
                    </w:rPr>
                  </w:pPr>
                  <w:r>
                    <w:rPr>
                      <w:b/>
                      <w:color w:val="auto"/>
                      <w:sz w:val="21"/>
                      <w:szCs w:val="21"/>
                    </w:rPr>
                    <w:t>项目名称</w:t>
                  </w:r>
                </w:p>
              </w:tc>
              <w:tc>
                <w:tcPr>
                  <w:tcW w:w="2083" w:type="pct"/>
                  <w:vAlign w:val="center"/>
                </w:tcPr>
                <w:p w14:paraId="7229AA9D">
                  <w:pPr>
                    <w:pStyle w:val="32"/>
                    <w:adjustRightInd w:val="0"/>
                    <w:snapToGrid w:val="0"/>
                    <w:spacing w:after="0"/>
                    <w:ind w:left="0" w:leftChars="0" w:firstLine="0" w:firstLineChars="0"/>
                    <w:jc w:val="center"/>
                    <w:rPr>
                      <w:b/>
                      <w:color w:val="auto"/>
                      <w:sz w:val="21"/>
                      <w:szCs w:val="21"/>
                    </w:rPr>
                  </w:pPr>
                  <w:r>
                    <w:rPr>
                      <w:b/>
                      <w:color w:val="auto"/>
                      <w:sz w:val="21"/>
                      <w:szCs w:val="21"/>
                    </w:rPr>
                    <w:t>治理措施</w:t>
                  </w:r>
                </w:p>
              </w:tc>
              <w:tc>
                <w:tcPr>
                  <w:tcW w:w="686" w:type="pct"/>
                  <w:vAlign w:val="center"/>
                </w:tcPr>
                <w:p w14:paraId="43834F75">
                  <w:pPr>
                    <w:pStyle w:val="32"/>
                    <w:adjustRightInd w:val="0"/>
                    <w:snapToGrid w:val="0"/>
                    <w:spacing w:after="0"/>
                    <w:ind w:left="0" w:leftChars="0" w:firstLine="0" w:firstLineChars="0"/>
                    <w:jc w:val="center"/>
                    <w:rPr>
                      <w:b/>
                      <w:color w:val="auto"/>
                      <w:sz w:val="21"/>
                      <w:szCs w:val="21"/>
                    </w:rPr>
                  </w:pPr>
                  <w:r>
                    <w:rPr>
                      <w:b/>
                      <w:color w:val="auto"/>
                      <w:sz w:val="21"/>
                      <w:szCs w:val="21"/>
                    </w:rPr>
                    <w:t>投资</w:t>
                  </w:r>
                </w:p>
              </w:tc>
            </w:tr>
            <w:tr w14:paraId="128E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0" w:type="pct"/>
                  <w:gridSpan w:val="3"/>
                  <w:vAlign w:val="center"/>
                </w:tcPr>
                <w:p w14:paraId="5B582B6F">
                  <w:pPr>
                    <w:pStyle w:val="32"/>
                    <w:adjustRightInd w:val="0"/>
                    <w:snapToGrid w:val="0"/>
                    <w:spacing w:after="0"/>
                    <w:ind w:left="0" w:leftChars="0" w:firstLine="0" w:firstLineChars="0"/>
                    <w:jc w:val="center"/>
                    <w:rPr>
                      <w:bCs/>
                      <w:color w:val="auto"/>
                      <w:sz w:val="21"/>
                      <w:szCs w:val="21"/>
                    </w:rPr>
                  </w:pPr>
                  <w:r>
                    <w:rPr>
                      <w:bCs/>
                      <w:color w:val="auto"/>
                      <w:sz w:val="21"/>
                      <w:szCs w:val="21"/>
                    </w:rPr>
                    <w:t>施工期污染防治措施</w:t>
                  </w:r>
                </w:p>
              </w:tc>
              <w:tc>
                <w:tcPr>
                  <w:tcW w:w="2083" w:type="pct"/>
                  <w:vAlign w:val="center"/>
                </w:tcPr>
                <w:p w14:paraId="60872667">
                  <w:pPr>
                    <w:pStyle w:val="32"/>
                    <w:adjustRightInd w:val="0"/>
                    <w:snapToGrid w:val="0"/>
                    <w:spacing w:after="0"/>
                    <w:ind w:left="0" w:leftChars="0" w:firstLine="0" w:firstLineChars="0"/>
                    <w:jc w:val="center"/>
                    <w:rPr>
                      <w:bCs/>
                      <w:color w:val="auto"/>
                      <w:sz w:val="21"/>
                      <w:szCs w:val="21"/>
                    </w:rPr>
                  </w:pPr>
                  <w:r>
                    <w:rPr>
                      <w:bCs/>
                      <w:color w:val="auto"/>
                      <w:sz w:val="21"/>
                      <w:szCs w:val="21"/>
                    </w:rPr>
                    <w:t>洒水降尘、固废清运</w:t>
                  </w:r>
                  <w:r>
                    <w:rPr>
                      <w:rFonts w:hint="eastAsia"/>
                      <w:bCs/>
                      <w:color w:val="auto"/>
                      <w:sz w:val="21"/>
                      <w:szCs w:val="21"/>
                    </w:rPr>
                    <w:t>、</w:t>
                  </w:r>
                  <w:r>
                    <w:rPr>
                      <w:color w:val="auto"/>
                      <w:sz w:val="21"/>
                      <w:szCs w:val="21"/>
                    </w:rPr>
                    <w:t>隔声、减振措施</w:t>
                  </w:r>
                </w:p>
              </w:tc>
              <w:tc>
                <w:tcPr>
                  <w:tcW w:w="686" w:type="pct"/>
                  <w:vAlign w:val="center"/>
                </w:tcPr>
                <w:p w14:paraId="3BD91888">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r>
                    <w:rPr>
                      <w:bCs/>
                      <w:color w:val="auto"/>
                      <w:sz w:val="21"/>
                      <w:szCs w:val="21"/>
                    </w:rPr>
                    <w:t>.5</w:t>
                  </w:r>
                </w:p>
              </w:tc>
            </w:tr>
            <w:tr w14:paraId="3864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85" w:type="pct"/>
                  <w:vMerge w:val="restart"/>
                  <w:vAlign w:val="center"/>
                </w:tcPr>
                <w:p w14:paraId="105E91D7">
                  <w:pPr>
                    <w:pStyle w:val="32"/>
                    <w:adjustRightInd w:val="0"/>
                    <w:snapToGrid w:val="0"/>
                    <w:spacing w:after="0"/>
                    <w:ind w:left="0" w:leftChars="0" w:firstLine="0" w:firstLineChars="0"/>
                    <w:jc w:val="center"/>
                    <w:rPr>
                      <w:bCs/>
                      <w:color w:val="auto"/>
                      <w:sz w:val="21"/>
                      <w:szCs w:val="21"/>
                    </w:rPr>
                  </w:pPr>
                </w:p>
                <w:p w14:paraId="170D9357">
                  <w:pPr>
                    <w:pStyle w:val="32"/>
                    <w:adjustRightInd w:val="0"/>
                    <w:snapToGrid w:val="0"/>
                    <w:spacing w:after="0"/>
                    <w:ind w:left="0" w:leftChars="0" w:firstLine="0" w:firstLineChars="0"/>
                    <w:jc w:val="center"/>
                    <w:rPr>
                      <w:bCs/>
                      <w:color w:val="auto"/>
                      <w:sz w:val="21"/>
                      <w:szCs w:val="21"/>
                    </w:rPr>
                  </w:pPr>
                </w:p>
                <w:p w14:paraId="7EDA26DA">
                  <w:pPr>
                    <w:pStyle w:val="32"/>
                    <w:adjustRightInd w:val="0"/>
                    <w:snapToGrid w:val="0"/>
                    <w:spacing w:after="0"/>
                    <w:ind w:left="0" w:leftChars="0" w:firstLine="0" w:firstLineChars="0"/>
                    <w:jc w:val="center"/>
                    <w:rPr>
                      <w:bCs/>
                      <w:color w:val="auto"/>
                      <w:sz w:val="21"/>
                      <w:szCs w:val="21"/>
                    </w:rPr>
                  </w:pPr>
                </w:p>
                <w:p w14:paraId="12116685">
                  <w:pPr>
                    <w:pStyle w:val="32"/>
                    <w:adjustRightInd w:val="0"/>
                    <w:snapToGrid w:val="0"/>
                    <w:spacing w:after="0"/>
                    <w:ind w:left="0" w:leftChars="0" w:firstLine="0" w:firstLineChars="0"/>
                    <w:jc w:val="center"/>
                    <w:rPr>
                      <w:bCs/>
                      <w:color w:val="auto"/>
                      <w:sz w:val="21"/>
                      <w:szCs w:val="21"/>
                    </w:rPr>
                  </w:pPr>
                </w:p>
                <w:p w14:paraId="4096B064">
                  <w:pPr>
                    <w:pStyle w:val="32"/>
                    <w:adjustRightInd w:val="0"/>
                    <w:snapToGrid w:val="0"/>
                    <w:spacing w:after="0"/>
                    <w:ind w:left="0" w:leftChars="0" w:firstLine="0" w:firstLineChars="0"/>
                    <w:jc w:val="center"/>
                    <w:rPr>
                      <w:bCs/>
                      <w:color w:val="auto"/>
                      <w:sz w:val="21"/>
                      <w:szCs w:val="21"/>
                    </w:rPr>
                  </w:pPr>
                </w:p>
                <w:p w14:paraId="6FF9CF61">
                  <w:pPr>
                    <w:pStyle w:val="32"/>
                    <w:adjustRightInd w:val="0"/>
                    <w:snapToGrid w:val="0"/>
                    <w:spacing w:after="0"/>
                    <w:ind w:left="0" w:leftChars="0" w:firstLine="0" w:firstLineChars="0"/>
                    <w:jc w:val="center"/>
                    <w:rPr>
                      <w:bCs/>
                      <w:color w:val="auto"/>
                      <w:sz w:val="21"/>
                      <w:szCs w:val="21"/>
                    </w:rPr>
                  </w:pPr>
                </w:p>
                <w:p w14:paraId="5D95C162">
                  <w:pPr>
                    <w:pStyle w:val="32"/>
                    <w:adjustRightInd w:val="0"/>
                    <w:snapToGrid w:val="0"/>
                    <w:spacing w:after="0"/>
                    <w:ind w:left="0" w:leftChars="0" w:firstLine="0" w:firstLineChars="0"/>
                    <w:jc w:val="center"/>
                    <w:rPr>
                      <w:bCs/>
                      <w:color w:val="auto"/>
                      <w:sz w:val="21"/>
                      <w:szCs w:val="21"/>
                    </w:rPr>
                  </w:pPr>
                </w:p>
                <w:p w14:paraId="5528C443">
                  <w:pPr>
                    <w:pStyle w:val="32"/>
                    <w:adjustRightInd w:val="0"/>
                    <w:snapToGrid w:val="0"/>
                    <w:spacing w:after="0"/>
                    <w:ind w:left="0" w:leftChars="0" w:firstLine="0" w:firstLineChars="0"/>
                    <w:jc w:val="center"/>
                    <w:rPr>
                      <w:bCs/>
                      <w:color w:val="auto"/>
                      <w:sz w:val="21"/>
                      <w:szCs w:val="21"/>
                    </w:rPr>
                  </w:pPr>
                </w:p>
                <w:p w14:paraId="17FE1B41">
                  <w:pPr>
                    <w:pStyle w:val="32"/>
                    <w:adjustRightInd w:val="0"/>
                    <w:snapToGrid w:val="0"/>
                    <w:spacing w:after="0"/>
                    <w:ind w:left="0" w:leftChars="0" w:firstLine="0" w:firstLineChars="0"/>
                    <w:jc w:val="center"/>
                    <w:rPr>
                      <w:bCs/>
                      <w:color w:val="auto"/>
                      <w:sz w:val="21"/>
                      <w:szCs w:val="21"/>
                    </w:rPr>
                  </w:pPr>
                </w:p>
                <w:p w14:paraId="0A684916">
                  <w:pPr>
                    <w:pStyle w:val="32"/>
                    <w:adjustRightInd w:val="0"/>
                    <w:snapToGrid w:val="0"/>
                    <w:spacing w:after="0"/>
                    <w:ind w:left="0" w:leftChars="0" w:firstLine="0" w:firstLineChars="0"/>
                    <w:jc w:val="center"/>
                    <w:rPr>
                      <w:bCs/>
                      <w:color w:val="auto"/>
                      <w:sz w:val="21"/>
                      <w:szCs w:val="21"/>
                    </w:rPr>
                  </w:pPr>
                </w:p>
                <w:p w14:paraId="5DC87482">
                  <w:pPr>
                    <w:pStyle w:val="32"/>
                    <w:adjustRightInd w:val="0"/>
                    <w:snapToGrid w:val="0"/>
                    <w:spacing w:after="0"/>
                    <w:ind w:left="0" w:leftChars="0" w:firstLine="0" w:firstLineChars="0"/>
                    <w:jc w:val="center"/>
                    <w:rPr>
                      <w:bCs/>
                      <w:color w:val="auto"/>
                      <w:sz w:val="21"/>
                      <w:szCs w:val="21"/>
                    </w:rPr>
                  </w:pPr>
                </w:p>
                <w:p w14:paraId="6E2A7CCF">
                  <w:pPr>
                    <w:pStyle w:val="32"/>
                    <w:adjustRightInd w:val="0"/>
                    <w:snapToGrid w:val="0"/>
                    <w:spacing w:after="0"/>
                    <w:ind w:left="0" w:leftChars="0" w:firstLine="0" w:firstLineChars="0"/>
                    <w:jc w:val="center"/>
                    <w:rPr>
                      <w:bCs/>
                      <w:color w:val="auto"/>
                      <w:sz w:val="21"/>
                      <w:szCs w:val="21"/>
                    </w:rPr>
                  </w:pPr>
                  <w:r>
                    <w:rPr>
                      <w:bCs/>
                      <w:color w:val="auto"/>
                      <w:sz w:val="21"/>
                      <w:szCs w:val="21"/>
                    </w:rPr>
                    <w:t>运营期</w:t>
                  </w:r>
                </w:p>
              </w:tc>
              <w:tc>
                <w:tcPr>
                  <w:tcW w:w="725" w:type="pct"/>
                  <w:vMerge w:val="restart"/>
                  <w:vAlign w:val="center"/>
                </w:tcPr>
                <w:p w14:paraId="6F030C61">
                  <w:pPr>
                    <w:pStyle w:val="32"/>
                    <w:adjustRightInd w:val="0"/>
                    <w:snapToGrid w:val="0"/>
                    <w:spacing w:after="0"/>
                    <w:ind w:left="0" w:leftChars="0" w:firstLine="0" w:firstLineChars="0"/>
                    <w:jc w:val="center"/>
                    <w:rPr>
                      <w:bCs/>
                      <w:color w:val="auto"/>
                      <w:sz w:val="21"/>
                      <w:szCs w:val="21"/>
                    </w:rPr>
                  </w:pPr>
                  <w:r>
                    <w:rPr>
                      <w:bCs/>
                      <w:color w:val="auto"/>
                      <w:sz w:val="21"/>
                      <w:szCs w:val="21"/>
                    </w:rPr>
                    <w:t>废水污染防治措施</w:t>
                  </w:r>
                </w:p>
              </w:tc>
              <w:tc>
                <w:tcPr>
                  <w:tcW w:w="919" w:type="pct"/>
                  <w:vMerge w:val="restart"/>
                  <w:vAlign w:val="center"/>
                </w:tcPr>
                <w:p w14:paraId="62FED6C1">
                  <w:pPr>
                    <w:pStyle w:val="32"/>
                    <w:adjustRightInd w:val="0"/>
                    <w:snapToGrid w:val="0"/>
                    <w:spacing w:after="0"/>
                    <w:ind w:left="0" w:leftChars="0" w:firstLine="0" w:firstLineChars="0"/>
                    <w:jc w:val="center"/>
                    <w:rPr>
                      <w:color w:val="auto"/>
                      <w:sz w:val="21"/>
                      <w:szCs w:val="21"/>
                    </w:rPr>
                  </w:pPr>
                  <w:r>
                    <w:rPr>
                      <w:rFonts w:hint="eastAsia"/>
                      <w:color w:val="auto"/>
                      <w:sz w:val="21"/>
                      <w:szCs w:val="21"/>
                    </w:rPr>
                    <w:t>一般医疗废水</w:t>
                  </w:r>
                </w:p>
              </w:tc>
              <w:tc>
                <w:tcPr>
                  <w:tcW w:w="2083" w:type="pct"/>
                  <w:vAlign w:val="center"/>
                </w:tcPr>
                <w:p w14:paraId="65818B25">
                  <w:pPr>
                    <w:pStyle w:val="32"/>
                    <w:adjustRightInd w:val="0"/>
                    <w:snapToGrid w:val="0"/>
                    <w:spacing w:after="0"/>
                    <w:ind w:left="0" w:leftChars="0" w:firstLine="0" w:firstLineChars="0"/>
                    <w:jc w:val="center"/>
                    <w:rPr>
                      <w:color w:val="auto"/>
                      <w:sz w:val="21"/>
                      <w:szCs w:val="21"/>
                    </w:rPr>
                  </w:pPr>
                  <w:r>
                    <w:rPr>
                      <w:rFonts w:hint="eastAsia"/>
                      <w:color w:val="auto"/>
                      <w:sz w:val="21"/>
                      <w:szCs w:val="21"/>
                    </w:rPr>
                    <w:t>综合废水化粪</w:t>
                  </w:r>
                  <w:r>
                    <w:rPr>
                      <w:color w:val="auto"/>
                      <w:sz w:val="21"/>
                      <w:szCs w:val="21"/>
                    </w:rPr>
                    <w:t>池（1个，容积</w:t>
                  </w:r>
                  <w:r>
                    <w:rPr>
                      <w:rFonts w:hint="eastAsia"/>
                      <w:color w:val="auto"/>
                      <w:sz w:val="21"/>
                      <w:szCs w:val="21"/>
                    </w:rPr>
                    <w:t>9</w:t>
                  </w:r>
                  <w:r>
                    <w:rPr>
                      <w:color w:val="auto"/>
                      <w:sz w:val="21"/>
                      <w:szCs w:val="21"/>
                    </w:rPr>
                    <w:t>m</w:t>
                  </w:r>
                  <w:r>
                    <w:rPr>
                      <w:color w:val="auto"/>
                      <w:sz w:val="21"/>
                      <w:szCs w:val="21"/>
                      <w:vertAlign w:val="superscript"/>
                    </w:rPr>
                    <w:t>3</w:t>
                  </w:r>
                  <w:r>
                    <w:rPr>
                      <w:color w:val="auto"/>
                      <w:sz w:val="21"/>
                      <w:szCs w:val="21"/>
                    </w:rPr>
                    <w:t>）</w:t>
                  </w:r>
                </w:p>
              </w:tc>
              <w:tc>
                <w:tcPr>
                  <w:tcW w:w="686" w:type="pct"/>
                  <w:vAlign w:val="center"/>
                </w:tcPr>
                <w:p w14:paraId="35C3ECE6">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w:t>
                  </w:r>
                </w:p>
              </w:tc>
            </w:tr>
            <w:tr w14:paraId="0C11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6F8582D4">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6FF8F852">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3D5B64FD">
                  <w:pPr>
                    <w:pStyle w:val="32"/>
                    <w:adjustRightInd w:val="0"/>
                    <w:snapToGrid w:val="0"/>
                    <w:spacing w:after="0"/>
                    <w:ind w:left="0" w:leftChars="0" w:firstLine="0" w:firstLineChars="0"/>
                    <w:jc w:val="center"/>
                    <w:rPr>
                      <w:color w:val="auto"/>
                      <w:sz w:val="21"/>
                      <w:szCs w:val="21"/>
                    </w:rPr>
                  </w:pPr>
                </w:p>
              </w:tc>
              <w:tc>
                <w:tcPr>
                  <w:tcW w:w="2083" w:type="pct"/>
                  <w:vAlign w:val="center"/>
                </w:tcPr>
                <w:p w14:paraId="763E19D8">
                  <w:pPr>
                    <w:pStyle w:val="32"/>
                    <w:adjustRightInd w:val="0"/>
                    <w:snapToGrid w:val="0"/>
                    <w:spacing w:after="0"/>
                    <w:ind w:left="0" w:leftChars="0" w:firstLine="0" w:firstLineChars="0"/>
                    <w:jc w:val="center"/>
                    <w:rPr>
                      <w:color w:val="auto"/>
                      <w:sz w:val="21"/>
                      <w:szCs w:val="21"/>
                    </w:rPr>
                  </w:pPr>
                  <w:r>
                    <w:rPr>
                      <w:rFonts w:hint="eastAsia"/>
                      <w:color w:val="auto"/>
                      <w:sz w:val="21"/>
                      <w:szCs w:val="21"/>
                    </w:rPr>
                    <w:t>拆除现有1座10m³/d的污水处理站，新建一座处理规模为17m³/d污水处理站</w:t>
                  </w:r>
                </w:p>
              </w:tc>
              <w:tc>
                <w:tcPr>
                  <w:tcW w:w="686" w:type="pct"/>
                  <w:vAlign w:val="center"/>
                </w:tcPr>
                <w:p w14:paraId="47726ECD">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w:t>
                  </w:r>
                  <w:r>
                    <w:rPr>
                      <w:rFonts w:hint="eastAsia"/>
                      <w:bCs/>
                      <w:color w:val="auto"/>
                      <w:sz w:val="21"/>
                      <w:szCs w:val="21"/>
                      <w:lang w:val="en-US" w:eastAsia="zh-CN"/>
                    </w:rPr>
                    <w:t>8</w:t>
                  </w:r>
                  <w:r>
                    <w:rPr>
                      <w:rFonts w:hint="eastAsia"/>
                      <w:bCs/>
                      <w:color w:val="auto"/>
                      <w:sz w:val="21"/>
                      <w:szCs w:val="21"/>
                    </w:rPr>
                    <w:t>（拆除重建）</w:t>
                  </w:r>
                </w:p>
              </w:tc>
            </w:tr>
            <w:tr w14:paraId="5BE6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1264B087">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242AE987">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7F3A069F">
                  <w:pPr>
                    <w:pStyle w:val="32"/>
                    <w:adjustRightInd w:val="0"/>
                    <w:snapToGrid w:val="0"/>
                    <w:spacing w:after="0"/>
                    <w:ind w:left="0" w:leftChars="0" w:firstLine="0" w:firstLineChars="0"/>
                    <w:jc w:val="center"/>
                    <w:rPr>
                      <w:color w:val="auto"/>
                      <w:sz w:val="21"/>
                      <w:szCs w:val="21"/>
                    </w:rPr>
                  </w:pPr>
                </w:p>
              </w:tc>
              <w:tc>
                <w:tcPr>
                  <w:tcW w:w="2083" w:type="pct"/>
                  <w:vAlign w:val="center"/>
                </w:tcPr>
                <w:p w14:paraId="5148997D">
                  <w:pPr>
                    <w:pStyle w:val="32"/>
                    <w:adjustRightInd w:val="0"/>
                    <w:snapToGrid w:val="0"/>
                    <w:spacing w:after="0"/>
                    <w:ind w:left="0" w:leftChars="0" w:firstLine="0" w:firstLineChars="0"/>
                    <w:jc w:val="center"/>
                    <w:rPr>
                      <w:rFonts w:hint="eastAsia"/>
                      <w:color w:val="auto"/>
                      <w:sz w:val="21"/>
                      <w:szCs w:val="21"/>
                    </w:rPr>
                  </w:pPr>
                  <w:r>
                    <w:rPr>
                      <w:rFonts w:hint="eastAsia"/>
                      <w:color w:val="auto"/>
                      <w:sz w:val="21"/>
                      <w:szCs w:val="21"/>
                      <w:lang w:val="en-US" w:eastAsia="zh-CN"/>
                    </w:rPr>
                    <w:t>事故应急池（</w:t>
                  </w:r>
                  <w:r>
                    <w:rPr>
                      <w:rFonts w:hint="eastAsia"/>
                      <w:color w:val="auto"/>
                      <w:sz w:val="21"/>
                      <w:szCs w:val="21"/>
                    </w:rPr>
                    <w:t>一座，</w:t>
                  </w:r>
                  <w:r>
                    <w:rPr>
                      <w:rFonts w:hint="eastAsia"/>
                      <w:color w:val="auto"/>
                      <w:sz w:val="21"/>
                      <w:szCs w:val="21"/>
                      <w:lang w:val="en-US" w:eastAsia="zh-CN"/>
                    </w:rPr>
                    <w:t>6</w:t>
                  </w:r>
                  <w:r>
                    <w:rPr>
                      <w:rFonts w:hint="eastAsia"/>
                      <w:color w:val="auto"/>
                      <w:sz w:val="21"/>
                      <w:szCs w:val="21"/>
                    </w:rPr>
                    <w:t>m³/d</w:t>
                  </w:r>
                  <w:r>
                    <w:rPr>
                      <w:rFonts w:hint="eastAsia"/>
                      <w:color w:val="auto"/>
                      <w:sz w:val="21"/>
                      <w:szCs w:val="21"/>
                      <w:lang w:val="en-US" w:eastAsia="zh-CN"/>
                    </w:rPr>
                    <w:t>）</w:t>
                  </w:r>
                </w:p>
              </w:tc>
              <w:tc>
                <w:tcPr>
                  <w:tcW w:w="686" w:type="pct"/>
                  <w:vAlign w:val="center"/>
                </w:tcPr>
                <w:p w14:paraId="6F5E09B6">
                  <w:pPr>
                    <w:pStyle w:val="32"/>
                    <w:adjustRightInd w:val="0"/>
                    <w:snapToGrid w:val="0"/>
                    <w:spacing w:after="0"/>
                    <w:ind w:left="0" w:leftChars="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1</w:t>
                  </w:r>
                </w:p>
              </w:tc>
            </w:tr>
            <w:tr w14:paraId="5134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0096EC08">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12B85490">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4490E38A">
                  <w:pPr>
                    <w:pStyle w:val="32"/>
                    <w:adjustRightInd w:val="0"/>
                    <w:snapToGrid w:val="0"/>
                    <w:spacing w:after="0"/>
                    <w:ind w:left="0" w:leftChars="0" w:firstLine="0" w:firstLineChars="0"/>
                    <w:jc w:val="center"/>
                    <w:rPr>
                      <w:color w:val="auto"/>
                      <w:sz w:val="21"/>
                      <w:szCs w:val="21"/>
                    </w:rPr>
                  </w:pPr>
                  <w:r>
                    <w:rPr>
                      <w:rFonts w:hint="eastAsia"/>
                      <w:color w:val="auto"/>
                      <w:sz w:val="21"/>
                      <w:szCs w:val="21"/>
                    </w:rPr>
                    <w:t>检验废水</w:t>
                  </w:r>
                </w:p>
              </w:tc>
              <w:tc>
                <w:tcPr>
                  <w:tcW w:w="2083" w:type="pct"/>
                  <w:vAlign w:val="center"/>
                </w:tcPr>
                <w:p w14:paraId="05760D10">
                  <w:pPr>
                    <w:pStyle w:val="32"/>
                    <w:adjustRightInd w:val="0"/>
                    <w:snapToGrid w:val="0"/>
                    <w:spacing w:after="0"/>
                    <w:ind w:left="0" w:leftChars="0" w:firstLine="0" w:firstLineChars="0"/>
                    <w:jc w:val="center"/>
                    <w:rPr>
                      <w:color w:val="auto"/>
                      <w:sz w:val="21"/>
                      <w:szCs w:val="21"/>
                    </w:rPr>
                  </w:pPr>
                  <w:r>
                    <w:rPr>
                      <w:rFonts w:hint="eastAsia"/>
                      <w:color w:val="auto"/>
                      <w:sz w:val="21"/>
                      <w:szCs w:val="21"/>
                    </w:rPr>
                    <w:t>4个50L的收集桶收集酸性废水（两备两用）</w:t>
                  </w:r>
                </w:p>
              </w:tc>
              <w:tc>
                <w:tcPr>
                  <w:tcW w:w="686" w:type="pct"/>
                  <w:vAlign w:val="center"/>
                </w:tcPr>
                <w:p w14:paraId="1CDFCFD1">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1C2B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5FF3A495">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20FDD05B">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442EFFEF">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生活污水</w:t>
                  </w:r>
                </w:p>
              </w:tc>
              <w:tc>
                <w:tcPr>
                  <w:tcW w:w="2083" w:type="pct"/>
                  <w:vAlign w:val="center"/>
                </w:tcPr>
                <w:p w14:paraId="5A1D5B99">
                  <w:pPr>
                    <w:pStyle w:val="32"/>
                    <w:adjustRightInd w:val="0"/>
                    <w:snapToGrid w:val="0"/>
                    <w:spacing w:after="0"/>
                    <w:ind w:left="0" w:leftChars="0" w:firstLine="0" w:firstLineChars="0"/>
                    <w:jc w:val="center"/>
                    <w:rPr>
                      <w:color w:val="auto"/>
                      <w:sz w:val="21"/>
                      <w:szCs w:val="21"/>
                    </w:rPr>
                  </w:pPr>
                  <w:r>
                    <w:rPr>
                      <w:rFonts w:hint="eastAsia"/>
                      <w:color w:val="auto"/>
                      <w:sz w:val="21"/>
                      <w:szCs w:val="21"/>
                    </w:rPr>
                    <w:t>食堂隔油池（1个，1m³），生活污水化</w:t>
                  </w:r>
                  <w:r>
                    <w:rPr>
                      <w:color w:val="auto"/>
                      <w:sz w:val="21"/>
                      <w:szCs w:val="21"/>
                    </w:rPr>
                    <w:t>粪池（2个，容积分别为11.5m³、6.9m³）</w:t>
                  </w:r>
                </w:p>
              </w:tc>
              <w:tc>
                <w:tcPr>
                  <w:tcW w:w="686" w:type="pct"/>
                  <w:vAlign w:val="center"/>
                </w:tcPr>
                <w:p w14:paraId="334FEC60">
                  <w:pPr>
                    <w:pStyle w:val="32"/>
                    <w:adjustRightInd w:val="0"/>
                    <w:snapToGrid w:val="0"/>
                    <w:spacing w:after="0"/>
                    <w:ind w:left="0" w:leftChars="0" w:firstLine="0" w:firstLineChars="0"/>
                    <w:jc w:val="center"/>
                    <w:rPr>
                      <w:color w:val="auto"/>
                      <w:sz w:val="21"/>
                      <w:szCs w:val="21"/>
                    </w:rPr>
                  </w:pPr>
                  <w:r>
                    <w:rPr>
                      <w:rFonts w:hint="eastAsia"/>
                      <w:bCs/>
                      <w:color w:val="auto"/>
                      <w:sz w:val="21"/>
                      <w:szCs w:val="21"/>
                    </w:rPr>
                    <w:t>0（依托原有）</w:t>
                  </w:r>
                </w:p>
              </w:tc>
            </w:tr>
            <w:tr w14:paraId="1D99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85" w:type="pct"/>
                  <w:vMerge w:val="continue"/>
                  <w:vAlign w:val="center"/>
                </w:tcPr>
                <w:p w14:paraId="5DFCD5A2">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479C971F">
                  <w:pPr>
                    <w:pStyle w:val="32"/>
                    <w:adjustRightInd w:val="0"/>
                    <w:snapToGrid w:val="0"/>
                    <w:spacing w:after="0"/>
                    <w:ind w:left="0" w:leftChars="0" w:firstLine="0" w:firstLineChars="0"/>
                    <w:jc w:val="center"/>
                    <w:rPr>
                      <w:bCs/>
                      <w:color w:val="auto"/>
                      <w:sz w:val="21"/>
                      <w:szCs w:val="21"/>
                    </w:rPr>
                  </w:pPr>
                  <w:r>
                    <w:rPr>
                      <w:color w:val="auto"/>
                      <w:sz w:val="21"/>
                      <w:szCs w:val="21"/>
                    </w:rPr>
                    <w:t>大气污染防治措施</w:t>
                  </w:r>
                </w:p>
              </w:tc>
              <w:tc>
                <w:tcPr>
                  <w:tcW w:w="919" w:type="pct"/>
                  <w:vAlign w:val="center"/>
                </w:tcPr>
                <w:p w14:paraId="5D5E4FFC">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污水处理站恶臭气体</w:t>
                  </w:r>
                </w:p>
              </w:tc>
              <w:tc>
                <w:tcPr>
                  <w:tcW w:w="2083" w:type="pct"/>
                  <w:vAlign w:val="center"/>
                </w:tcPr>
                <w:p w14:paraId="062F5A9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投放除臭剂</w:t>
                  </w:r>
                </w:p>
              </w:tc>
              <w:tc>
                <w:tcPr>
                  <w:tcW w:w="686" w:type="pct"/>
                  <w:vAlign w:val="center"/>
                </w:tcPr>
                <w:p w14:paraId="61B2A60C">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0.5</w:t>
                  </w:r>
                </w:p>
              </w:tc>
            </w:tr>
            <w:tr w14:paraId="1E64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120AC11D">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419F2EB5">
                  <w:pPr>
                    <w:pStyle w:val="32"/>
                    <w:adjustRightInd w:val="0"/>
                    <w:snapToGrid w:val="0"/>
                    <w:spacing w:after="0"/>
                    <w:ind w:left="0" w:leftChars="0" w:firstLine="0" w:firstLineChars="0"/>
                    <w:jc w:val="center"/>
                    <w:rPr>
                      <w:color w:val="auto"/>
                      <w:sz w:val="21"/>
                      <w:szCs w:val="21"/>
                    </w:rPr>
                  </w:pPr>
                </w:p>
              </w:tc>
              <w:tc>
                <w:tcPr>
                  <w:tcW w:w="919" w:type="pct"/>
                  <w:vAlign w:val="center"/>
                </w:tcPr>
                <w:p w14:paraId="12CF9FF0">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煎药房异味</w:t>
                  </w:r>
                </w:p>
              </w:tc>
              <w:tc>
                <w:tcPr>
                  <w:tcW w:w="2083" w:type="pct"/>
                  <w:vAlign w:val="center"/>
                </w:tcPr>
                <w:p w14:paraId="423766E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对煎药房安装抽风装置，抽吸后的废气经管道连接综合楼排烟井于屋顶排放</w:t>
                  </w:r>
                </w:p>
              </w:tc>
              <w:tc>
                <w:tcPr>
                  <w:tcW w:w="686" w:type="pct"/>
                  <w:vAlign w:val="center"/>
                </w:tcPr>
                <w:p w14:paraId="62743011">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0.5</w:t>
                  </w:r>
                </w:p>
              </w:tc>
            </w:tr>
            <w:tr w14:paraId="7CDF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2138FDAC">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22688548">
                  <w:pPr>
                    <w:pStyle w:val="32"/>
                    <w:adjustRightInd w:val="0"/>
                    <w:snapToGrid w:val="0"/>
                    <w:spacing w:after="0"/>
                    <w:ind w:left="0" w:leftChars="0" w:firstLine="0" w:firstLineChars="0"/>
                    <w:jc w:val="center"/>
                    <w:rPr>
                      <w:bCs/>
                      <w:color w:val="auto"/>
                      <w:sz w:val="21"/>
                      <w:szCs w:val="21"/>
                    </w:rPr>
                  </w:pPr>
                  <w:r>
                    <w:rPr>
                      <w:color w:val="auto"/>
                      <w:sz w:val="21"/>
                      <w:szCs w:val="21"/>
                    </w:rPr>
                    <w:t>固废处理</w:t>
                  </w:r>
                </w:p>
              </w:tc>
              <w:tc>
                <w:tcPr>
                  <w:tcW w:w="919" w:type="pct"/>
                  <w:vAlign w:val="center"/>
                </w:tcPr>
                <w:p w14:paraId="1ECDCDCF">
                  <w:pPr>
                    <w:pStyle w:val="32"/>
                    <w:adjustRightInd w:val="0"/>
                    <w:snapToGrid w:val="0"/>
                    <w:spacing w:after="0"/>
                    <w:ind w:left="0" w:leftChars="0" w:firstLine="0" w:firstLineChars="0"/>
                    <w:jc w:val="center"/>
                    <w:rPr>
                      <w:bCs/>
                      <w:color w:val="auto"/>
                      <w:sz w:val="21"/>
                      <w:szCs w:val="21"/>
                    </w:rPr>
                  </w:pPr>
                  <w:r>
                    <w:rPr>
                      <w:color w:val="auto"/>
                      <w:sz w:val="21"/>
                      <w:szCs w:val="21"/>
                    </w:rPr>
                    <w:t>生活垃圾收集桶</w:t>
                  </w:r>
                </w:p>
              </w:tc>
              <w:tc>
                <w:tcPr>
                  <w:tcW w:w="2083" w:type="pct"/>
                  <w:vAlign w:val="center"/>
                </w:tcPr>
                <w:p w14:paraId="585D4FF2">
                  <w:pPr>
                    <w:pStyle w:val="32"/>
                    <w:adjustRightInd w:val="0"/>
                    <w:snapToGrid w:val="0"/>
                    <w:spacing w:after="0"/>
                    <w:ind w:left="0" w:leftChars="0" w:firstLine="0" w:firstLineChars="0"/>
                    <w:jc w:val="center"/>
                    <w:rPr>
                      <w:bCs/>
                      <w:color w:val="auto"/>
                      <w:sz w:val="21"/>
                      <w:szCs w:val="21"/>
                    </w:rPr>
                  </w:pPr>
                  <w:r>
                    <w:rPr>
                      <w:bCs/>
                      <w:color w:val="auto"/>
                      <w:sz w:val="21"/>
                      <w:szCs w:val="21"/>
                    </w:rPr>
                    <w:t>垃圾桶</w:t>
                  </w:r>
                  <w:r>
                    <w:rPr>
                      <w:rFonts w:hint="eastAsia"/>
                      <w:bCs/>
                      <w:color w:val="auto"/>
                      <w:sz w:val="21"/>
                      <w:szCs w:val="21"/>
                    </w:rPr>
                    <w:t>8</w:t>
                  </w:r>
                  <w:r>
                    <w:rPr>
                      <w:bCs/>
                      <w:color w:val="auto"/>
                      <w:sz w:val="21"/>
                      <w:szCs w:val="21"/>
                    </w:rPr>
                    <w:t>个</w:t>
                  </w:r>
                </w:p>
              </w:tc>
              <w:tc>
                <w:tcPr>
                  <w:tcW w:w="686" w:type="pct"/>
                  <w:vAlign w:val="center"/>
                </w:tcPr>
                <w:p w14:paraId="0ED0D746">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29DD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20D3EDE6">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7D5A5902">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0E15945F">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医疗废物暂存间</w:t>
                  </w:r>
                </w:p>
              </w:tc>
              <w:tc>
                <w:tcPr>
                  <w:tcW w:w="2083" w:type="pct"/>
                  <w:vAlign w:val="center"/>
                </w:tcPr>
                <w:p w14:paraId="6CE9B0B0">
                  <w:pPr>
                    <w:pStyle w:val="32"/>
                    <w:adjustRightInd w:val="0"/>
                    <w:snapToGrid w:val="0"/>
                    <w:spacing w:after="0"/>
                    <w:ind w:left="0" w:leftChars="0" w:firstLine="0" w:firstLineChars="0"/>
                    <w:jc w:val="center"/>
                    <w:rPr>
                      <w:bCs/>
                      <w:color w:val="auto"/>
                      <w:sz w:val="21"/>
                      <w:szCs w:val="21"/>
                    </w:rPr>
                  </w:pPr>
                  <w:r>
                    <w:rPr>
                      <w:rStyle w:val="126"/>
                      <w:rFonts w:hint="eastAsia"/>
                      <w:color w:val="auto"/>
                      <w:szCs w:val="21"/>
                    </w:rPr>
                    <w:t>医疗固废暂存间（1间，15㎡）</w:t>
                  </w:r>
                </w:p>
              </w:tc>
              <w:tc>
                <w:tcPr>
                  <w:tcW w:w="686" w:type="pct"/>
                  <w:vAlign w:val="center"/>
                </w:tcPr>
                <w:p w14:paraId="5C2C4845">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1AC6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85" w:type="pct"/>
                  <w:vMerge w:val="continue"/>
                  <w:vAlign w:val="center"/>
                </w:tcPr>
                <w:p w14:paraId="2FCA5E5D">
                  <w:pPr>
                    <w:pStyle w:val="32"/>
                    <w:adjustRightInd w:val="0"/>
                    <w:snapToGrid w:val="0"/>
                    <w:spacing w:after="0"/>
                    <w:ind w:left="0" w:leftChars="0" w:firstLine="0" w:firstLineChars="0"/>
                    <w:jc w:val="center"/>
                    <w:rPr>
                      <w:bCs/>
                      <w:color w:val="auto"/>
                      <w:sz w:val="21"/>
                      <w:szCs w:val="21"/>
                    </w:rPr>
                  </w:pPr>
                </w:p>
              </w:tc>
              <w:tc>
                <w:tcPr>
                  <w:tcW w:w="725" w:type="pct"/>
                  <w:vAlign w:val="center"/>
                </w:tcPr>
                <w:p w14:paraId="0192DACC">
                  <w:pPr>
                    <w:pStyle w:val="32"/>
                    <w:adjustRightInd w:val="0"/>
                    <w:snapToGrid w:val="0"/>
                    <w:spacing w:after="0"/>
                    <w:ind w:left="0" w:leftChars="0" w:firstLine="0" w:firstLineChars="0"/>
                    <w:jc w:val="center"/>
                    <w:rPr>
                      <w:bCs/>
                      <w:color w:val="auto"/>
                      <w:sz w:val="21"/>
                      <w:szCs w:val="21"/>
                    </w:rPr>
                  </w:pPr>
                  <w:r>
                    <w:rPr>
                      <w:bCs/>
                      <w:color w:val="auto"/>
                      <w:sz w:val="21"/>
                      <w:szCs w:val="21"/>
                    </w:rPr>
                    <w:t>噪声防治</w:t>
                  </w:r>
                </w:p>
              </w:tc>
              <w:tc>
                <w:tcPr>
                  <w:tcW w:w="919" w:type="pct"/>
                  <w:vAlign w:val="center"/>
                </w:tcPr>
                <w:p w14:paraId="79E082BF">
                  <w:pPr>
                    <w:pStyle w:val="32"/>
                    <w:adjustRightInd w:val="0"/>
                    <w:snapToGrid w:val="0"/>
                    <w:spacing w:after="0"/>
                    <w:ind w:left="0" w:leftChars="0" w:firstLine="0" w:firstLineChars="0"/>
                    <w:jc w:val="center"/>
                    <w:rPr>
                      <w:color w:val="auto"/>
                      <w:sz w:val="21"/>
                      <w:szCs w:val="21"/>
                    </w:rPr>
                  </w:pPr>
                  <w:r>
                    <w:rPr>
                      <w:rFonts w:hint="eastAsia"/>
                      <w:color w:val="auto"/>
                      <w:sz w:val="21"/>
                      <w:szCs w:val="21"/>
                    </w:rPr>
                    <w:t>四街卫生院</w:t>
                  </w:r>
                  <w:r>
                    <w:rPr>
                      <w:color w:val="auto"/>
                      <w:sz w:val="21"/>
                      <w:szCs w:val="21"/>
                    </w:rPr>
                    <w:t>设备噪声</w:t>
                  </w:r>
                </w:p>
              </w:tc>
              <w:tc>
                <w:tcPr>
                  <w:tcW w:w="2083" w:type="pct"/>
                  <w:vAlign w:val="center"/>
                </w:tcPr>
                <w:p w14:paraId="3504D3E6">
                  <w:pPr>
                    <w:pStyle w:val="32"/>
                    <w:adjustRightInd w:val="0"/>
                    <w:snapToGrid w:val="0"/>
                    <w:spacing w:after="0"/>
                    <w:ind w:left="0" w:leftChars="0" w:firstLine="0" w:firstLineChars="0"/>
                    <w:jc w:val="center"/>
                    <w:rPr>
                      <w:rStyle w:val="126"/>
                      <w:color w:val="auto"/>
                      <w:szCs w:val="21"/>
                    </w:rPr>
                  </w:pPr>
                  <w:r>
                    <w:rPr>
                      <w:rStyle w:val="126"/>
                      <w:rFonts w:hint="eastAsia"/>
                      <w:color w:val="auto"/>
                      <w:szCs w:val="21"/>
                    </w:rPr>
                    <w:t>污水处理系统水泵设备减振、风机安装消声器、建筑隔声</w:t>
                  </w:r>
                </w:p>
              </w:tc>
              <w:tc>
                <w:tcPr>
                  <w:tcW w:w="686" w:type="pct"/>
                  <w:vAlign w:val="center"/>
                </w:tcPr>
                <w:p w14:paraId="1541DCF9">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434C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3" w:type="pct"/>
                  <w:gridSpan w:val="4"/>
                  <w:vAlign w:val="center"/>
                </w:tcPr>
                <w:p w14:paraId="5EB2C131">
                  <w:pPr>
                    <w:pStyle w:val="32"/>
                    <w:adjustRightInd w:val="0"/>
                    <w:snapToGrid w:val="0"/>
                    <w:spacing w:after="0"/>
                    <w:ind w:left="0" w:leftChars="0" w:firstLine="0" w:firstLineChars="0"/>
                    <w:jc w:val="center"/>
                    <w:rPr>
                      <w:color w:val="auto"/>
                      <w:sz w:val="21"/>
                      <w:szCs w:val="21"/>
                    </w:rPr>
                  </w:pPr>
                  <w:r>
                    <w:rPr>
                      <w:color w:val="auto"/>
                      <w:sz w:val="21"/>
                      <w:szCs w:val="21"/>
                    </w:rPr>
                    <w:t>合计</w:t>
                  </w:r>
                </w:p>
              </w:tc>
              <w:tc>
                <w:tcPr>
                  <w:tcW w:w="686" w:type="pct"/>
                  <w:vAlign w:val="center"/>
                </w:tcPr>
                <w:p w14:paraId="0AAA535D">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24.5</w:t>
                  </w:r>
                </w:p>
              </w:tc>
            </w:tr>
            <w:bookmarkEnd w:id="33"/>
          </w:tbl>
          <w:p w14:paraId="754B6EC0">
            <w:pPr>
              <w:spacing w:before="120" w:beforeLines="50"/>
              <w:jc w:val="center"/>
              <w:rPr>
                <w:b/>
                <w:color w:val="auto"/>
                <w:sz w:val="24"/>
              </w:rPr>
            </w:pPr>
            <w:r>
              <w:rPr>
                <w:b/>
                <w:color w:val="auto"/>
                <w:sz w:val="24"/>
              </w:rPr>
              <w:t>表2-</w:t>
            </w:r>
            <w:r>
              <w:rPr>
                <w:rFonts w:hint="eastAsia"/>
                <w:b/>
                <w:color w:val="auto"/>
                <w:sz w:val="24"/>
              </w:rPr>
              <w:t>14</w:t>
            </w:r>
            <w:r>
              <w:rPr>
                <w:b/>
                <w:color w:val="auto"/>
                <w:sz w:val="24"/>
              </w:rPr>
              <w:t>项目</w:t>
            </w:r>
            <w:r>
              <w:rPr>
                <w:rFonts w:hint="eastAsia"/>
                <w:b/>
                <w:color w:val="auto"/>
                <w:sz w:val="24"/>
              </w:rPr>
              <w:t>（九龙卫生院）</w:t>
            </w:r>
            <w:r>
              <w:rPr>
                <w:b/>
                <w:color w:val="auto"/>
                <w:sz w:val="24"/>
              </w:rPr>
              <w:t>环保投资一览表</w:t>
            </w:r>
          </w:p>
          <w:tbl>
            <w:tblPr>
              <w:tblStyle w:val="33"/>
              <w:tblpPr w:leftFromText="180" w:rightFromText="180" w:vertAnchor="text" w:horzAnchor="page" w:tblpX="96" w:tblpY="295"/>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163"/>
              <w:gridCol w:w="1475"/>
              <w:gridCol w:w="3340"/>
              <w:gridCol w:w="1100"/>
            </w:tblGrid>
            <w:tr w14:paraId="5A55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69E4A193">
                  <w:pPr>
                    <w:pStyle w:val="32"/>
                    <w:adjustRightInd w:val="0"/>
                    <w:snapToGrid w:val="0"/>
                    <w:spacing w:after="0"/>
                    <w:ind w:left="0" w:leftChars="0" w:firstLine="0" w:firstLineChars="0"/>
                    <w:jc w:val="center"/>
                    <w:rPr>
                      <w:b/>
                      <w:color w:val="auto"/>
                      <w:sz w:val="21"/>
                      <w:szCs w:val="21"/>
                    </w:rPr>
                  </w:pPr>
                  <w:bookmarkStart w:id="34" w:name="_Hlk194486875"/>
                  <w:r>
                    <w:rPr>
                      <w:b/>
                      <w:color w:val="auto"/>
                      <w:sz w:val="21"/>
                      <w:szCs w:val="21"/>
                    </w:rPr>
                    <w:t>时段</w:t>
                  </w:r>
                </w:p>
              </w:tc>
              <w:tc>
                <w:tcPr>
                  <w:tcW w:w="1645" w:type="pct"/>
                  <w:gridSpan w:val="2"/>
                  <w:vAlign w:val="center"/>
                </w:tcPr>
                <w:p w14:paraId="03177EEA">
                  <w:pPr>
                    <w:pStyle w:val="32"/>
                    <w:adjustRightInd w:val="0"/>
                    <w:snapToGrid w:val="0"/>
                    <w:spacing w:after="0"/>
                    <w:ind w:left="0" w:leftChars="0" w:firstLine="0" w:firstLineChars="0"/>
                    <w:jc w:val="center"/>
                    <w:rPr>
                      <w:b/>
                      <w:color w:val="auto"/>
                      <w:sz w:val="21"/>
                      <w:szCs w:val="21"/>
                    </w:rPr>
                  </w:pPr>
                  <w:r>
                    <w:rPr>
                      <w:b/>
                      <w:color w:val="auto"/>
                      <w:sz w:val="21"/>
                      <w:szCs w:val="21"/>
                    </w:rPr>
                    <w:t>项目名称</w:t>
                  </w:r>
                </w:p>
              </w:tc>
              <w:tc>
                <w:tcPr>
                  <w:tcW w:w="2083" w:type="pct"/>
                  <w:vAlign w:val="center"/>
                </w:tcPr>
                <w:p w14:paraId="376C89CF">
                  <w:pPr>
                    <w:pStyle w:val="32"/>
                    <w:adjustRightInd w:val="0"/>
                    <w:snapToGrid w:val="0"/>
                    <w:spacing w:after="0"/>
                    <w:ind w:left="0" w:leftChars="0" w:firstLine="0" w:firstLineChars="0"/>
                    <w:jc w:val="center"/>
                    <w:rPr>
                      <w:b/>
                      <w:color w:val="auto"/>
                      <w:sz w:val="21"/>
                      <w:szCs w:val="21"/>
                    </w:rPr>
                  </w:pPr>
                  <w:r>
                    <w:rPr>
                      <w:b/>
                      <w:color w:val="auto"/>
                      <w:sz w:val="21"/>
                      <w:szCs w:val="21"/>
                    </w:rPr>
                    <w:t>治理措施</w:t>
                  </w:r>
                </w:p>
              </w:tc>
              <w:tc>
                <w:tcPr>
                  <w:tcW w:w="686" w:type="pct"/>
                  <w:vAlign w:val="center"/>
                </w:tcPr>
                <w:p w14:paraId="59EFA9E2">
                  <w:pPr>
                    <w:pStyle w:val="32"/>
                    <w:adjustRightInd w:val="0"/>
                    <w:snapToGrid w:val="0"/>
                    <w:spacing w:after="0"/>
                    <w:ind w:left="0" w:leftChars="0" w:firstLine="0" w:firstLineChars="0"/>
                    <w:jc w:val="center"/>
                    <w:rPr>
                      <w:b/>
                      <w:color w:val="auto"/>
                      <w:sz w:val="21"/>
                      <w:szCs w:val="21"/>
                    </w:rPr>
                  </w:pPr>
                  <w:r>
                    <w:rPr>
                      <w:b/>
                      <w:color w:val="auto"/>
                      <w:sz w:val="21"/>
                      <w:szCs w:val="21"/>
                    </w:rPr>
                    <w:t>投资</w:t>
                  </w:r>
                </w:p>
              </w:tc>
            </w:tr>
            <w:tr w14:paraId="2784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0" w:type="pct"/>
                  <w:gridSpan w:val="3"/>
                  <w:vAlign w:val="center"/>
                </w:tcPr>
                <w:p w14:paraId="1174767F">
                  <w:pPr>
                    <w:pStyle w:val="32"/>
                    <w:adjustRightInd w:val="0"/>
                    <w:snapToGrid w:val="0"/>
                    <w:spacing w:after="0"/>
                    <w:ind w:left="0" w:leftChars="0" w:firstLine="0" w:firstLineChars="0"/>
                    <w:jc w:val="center"/>
                    <w:rPr>
                      <w:bCs/>
                      <w:color w:val="auto"/>
                      <w:sz w:val="21"/>
                      <w:szCs w:val="21"/>
                    </w:rPr>
                  </w:pPr>
                  <w:bookmarkStart w:id="35" w:name="_Hlk194486971"/>
                  <w:r>
                    <w:rPr>
                      <w:bCs/>
                      <w:color w:val="auto"/>
                      <w:sz w:val="21"/>
                      <w:szCs w:val="21"/>
                    </w:rPr>
                    <w:t>施工期污染防治措施</w:t>
                  </w:r>
                </w:p>
              </w:tc>
              <w:tc>
                <w:tcPr>
                  <w:tcW w:w="2083" w:type="pct"/>
                  <w:vAlign w:val="center"/>
                </w:tcPr>
                <w:p w14:paraId="3BF2AC0C">
                  <w:pPr>
                    <w:pStyle w:val="32"/>
                    <w:adjustRightInd w:val="0"/>
                    <w:snapToGrid w:val="0"/>
                    <w:spacing w:after="0"/>
                    <w:ind w:left="0" w:leftChars="0" w:firstLine="0" w:firstLineChars="0"/>
                    <w:jc w:val="center"/>
                    <w:rPr>
                      <w:bCs/>
                      <w:color w:val="auto"/>
                      <w:sz w:val="21"/>
                      <w:szCs w:val="21"/>
                    </w:rPr>
                  </w:pPr>
                  <w:r>
                    <w:rPr>
                      <w:bCs/>
                      <w:color w:val="auto"/>
                      <w:sz w:val="21"/>
                      <w:szCs w:val="21"/>
                    </w:rPr>
                    <w:t>洒水降尘、固废清运</w:t>
                  </w:r>
                  <w:r>
                    <w:rPr>
                      <w:rFonts w:hint="eastAsia"/>
                      <w:bCs/>
                      <w:color w:val="auto"/>
                      <w:sz w:val="21"/>
                      <w:szCs w:val="21"/>
                    </w:rPr>
                    <w:t>、</w:t>
                  </w:r>
                  <w:r>
                    <w:rPr>
                      <w:color w:val="auto"/>
                      <w:sz w:val="21"/>
                      <w:szCs w:val="21"/>
                    </w:rPr>
                    <w:t>隔声、减振措施</w:t>
                  </w:r>
                </w:p>
              </w:tc>
              <w:tc>
                <w:tcPr>
                  <w:tcW w:w="686" w:type="pct"/>
                  <w:vAlign w:val="center"/>
                </w:tcPr>
                <w:p w14:paraId="67BF0DE4">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r>
                    <w:rPr>
                      <w:bCs/>
                      <w:color w:val="auto"/>
                      <w:sz w:val="21"/>
                      <w:szCs w:val="21"/>
                    </w:rPr>
                    <w:t>.5</w:t>
                  </w:r>
                </w:p>
              </w:tc>
            </w:tr>
            <w:tr w14:paraId="2713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85" w:type="pct"/>
                  <w:vMerge w:val="restart"/>
                  <w:vAlign w:val="center"/>
                </w:tcPr>
                <w:p w14:paraId="2DA8F58C">
                  <w:pPr>
                    <w:pStyle w:val="32"/>
                    <w:adjustRightInd w:val="0"/>
                    <w:snapToGrid w:val="0"/>
                    <w:spacing w:after="0"/>
                    <w:ind w:left="0" w:leftChars="0" w:firstLine="0" w:firstLineChars="0"/>
                    <w:jc w:val="center"/>
                    <w:rPr>
                      <w:bCs/>
                      <w:color w:val="auto"/>
                      <w:sz w:val="21"/>
                      <w:szCs w:val="21"/>
                    </w:rPr>
                  </w:pPr>
                  <w:r>
                    <w:rPr>
                      <w:bCs/>
                      <w:color w:val="auto"/>
                      <w:sz w:val="21"/>
                      <w:szCs w:val="21"/>
                    </w:rPr>
                    <w:t>运营期</w:t>
                  </w:r>
                </w:p>
              </w:tc>
              <w:tc>
                <w:tcPr>
                  <w:tcW w:w="725" w:type="pct"/>
                  <w:vMerge w:val="restart"/>
                  <w:vAlign w:val="center"/>
                </w:tcPr>
                <w:p w14:paraId="45E0D7A6">
                  <w:pPr>
                    <w:pStyle w:val="32"/>
                    <w:adjustRightInd w:val="0"/>
                    <w:snapToGrid w:val="0"/>
                    <w:spacing w:after="0"/>
                    <w:ind w:left="0" w:leftChars="0" w:firstLine="0" w:firstLineChars="0"/>
                    <w:jc w:val="center"/>
                    <w:rPr>
                      <w:bCs/>
                      <w:color w:val="auto"/>
                      <w:sz w:val="21"/>
                      <w:szCs w:val="21"/>
                    </w:rPr>
                  </w:pPr>
                  <w:r>
                    <w:rPr>
                      <w:bCs/>
                      <w:color w:val="auto"/>
                      <w:sz w:val="21"/>
                      <w:szCs w:val="21"/>
                    </w:rPr>
                    <w:t>废水污染防治措施</w:t>
                  </w:r>
                </w:p>
              </w:tc>
              <w:tc>
                <w:tcPr>
                  <w:tcW w:w="919" w:type="pct"/>
                  <w:vMerge w:val="restart"/>
                  <w:vAlign w:val="center"/>
                </w:tcPr>
                <w:p w14:paraId="5DBDC256">
                  <w:pPr>
                    <w:pStyle w:val="32"/>
                    <w:adjustRightInd w:val="0"/>
                    <w:snapToGrid w:val="0"/>
                    <w:spacing w:after="0"/>
                    <w:ind w:left="0" w:leftChars="0" w:firstLine="0" w:firstLineChars="0"/>
                    <w:jc w:val="center"/>
                    <w:rPr>
                      <w:bCs/>
                      <w:color w:val="auto"/>
                      <w:sz w:val="21"/>
                      <w:szCs w:val="21"/>
                    </w:rPr>
                  </w:pPr>
                  <w:r>
                    <w:rPr>
                      <w:rFonts w:hint="eastAsia"/>
                      <w:color w:val="auto"/>
                      <w:sz w:val="21"/>
                      <w:szCs w:val="21"/>
                    </w:rPr>
                    <w:t>一般医疗废水</w:t>
                  </w:r>
                </w:p>
              </w:tc>
              <w:tc>
                <w:tcPr>
                  <w:tcW w:w="2083" w:type="pct"/>
                  <w:vAlign w:val="center"/>
                </w:tcPr>
                <w:p w14:paraId="53D53E93">
                  <w:pPr>
                    <w:pStyle w:val="32"/>
                    <w:adjustRightInd w:val="0"/>
                    <w:snapToGrid w:val="0"/>
                    <w:spacing w:after="0"/>
                    <w:ind w:left="0" w:leftChars="0" w:firstLine="0" w:firstLineChars="0"/>
                    <w:jc w:val="center"/>
                    <w:rPr>
                      <w:color w:val="auto"/>
                      <w:sz w:val="21"/>
                      <w:szCs w:val="21"/>
                    </w:rPr>
                  </w:pPr>
                  <w:r>
                    <w:rPr>
                      <w:rFonts w:hint="eastAsia"/>
                      <w:color w:val="auto"/>
                      <w:sz w:val="21"/>
                      <w:szCs w:val="21"/>
                    </w:rPr>
                    <w:t>综合废水化粪</w:t>
                  </w:r>
                  <w:r>
                    <w:rPr>
                      <w:color w:val="auto"/>
                      <w:sz w:val="21"/>
                      <w:szCs w:val="21"/>
                    </w:rPr>
                    <w:t>池（1个，容积</w:t>
                  </w:r>
                  <w:r>
                    <w:rPr>
                      <w:rFonts w:hint="eastAsia"/>
                      <w:color w:val="auto"/>
                      <w:sz w:val="21"/>
                      <w:szCs w:val="21"/>
                    </w:rPr>
                    <w:t>9</w:t>
                  </w:r>
                  <w:r>
                    <w:rPr>
                      <w:color w:val="auto"/>
                      <w:sz w:val="21"/>
                      <w:szCs w:val="21"/>
                    </w:rPr>
                    <w:t>m</w:t>
                  </w:r>
                  <w:r>
                    <w:rPr>
                      <w:color w:val="auto"/>
                      <w:sz w:val="21"/>
                      <w:szCs w:val="21"/>
                      <w:vertAlign w:val="superscript"/>
                    </w:rPr>
                    <w:t>3</w:t>
                  </w:r>
                  <w:r>
                    <w:rPr>
                      <w:color w:val="auto"/>
                      <w:sz w:val="21"/>
                      <w:szCs w:val="21"/>
                    </w:rPr>
                    <w:t>）</w:t>
                  </w:r>
                </w:p>
              </w:tc>
              <w:tc>
                <w:tcPr>
                  <w:tcW w:w="686" w:type="pct"/>
                  <w:vAlign w:val="center"/>
                </w:tcPr>
                <w:p w14:paraId="36CE655E">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w:t>
                  </w:r>
                </w:p>
              </w:tc>
            </w:tr>
            <w:tr w14:paraId="4332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387E0B4A">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5683DABE">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1B6B8218">
                  <w:pPr>
                    <w:pStyle w:val="32"/>
                    <w:adjustRightInd w:val="0"/>
                    <w:snapToGrid w:val="0"/>
                    <w:spacing w:after="0"/>
                    <w:ind w:left="0" w:leftChars="0" w:firstLine="0" w:firstLineChars="0"/>
                    <w:jc w:val="center"/>
                    <w:rPr>
                      <w:bCs/>
                      <w:color w:val="auto"/>
                      <w:sz w:val="21"/>
                      <w:szCs w:val="21"/>
                    </w:rPr>
                  </w:pPr>
                </w:p>
              </w:tc>
              <w:tc>
                <w:tcPr>
                  <w:tcW w:w="2083" w:type="pct"/>
                  <w:vAlign w:val="center"/>
                </w:tcPr>
                <w:p w14:paraId="066A88BF">
                  <w:pPr>
                    <w:pStyle w:val="32"/>
                    <w:adjustRightInd w:val="0"/>
                    <w:snapToGrid w:val="0"/>
                    <w:spacing w:after="0"/>
                    <w:ind w:left="0" w:leftChars="0" w:firstLine="0" w:firstLineChars="0"/>
                    <w:jc w:val="center"/>
                    <w:rPr>
                      <w:color w:val="auto"/>
                      <w:sz w:val="21"/>
                      <w:szCs w:val="21"/>
                    </w:rPr>
                  </w:pPr>
                  <w:r>
                    <w:rPr>
                      <w:rFonts w:hint="eastAsia"/>
                      <w:color w:val="auto"/>
                      <w:sz w:val="21"/>
                      <w:szCs w:val="21"/>
                    </w:rPr>
                    <w:t>拆除现有1座10m³/d的污水处理站，新建一座处理规模为20m³/d污水处理站</w:t>
                  </w:r>
                </w:p>
              </w:tc>
              <w:tc>
                <w:tcPr>
                  <w:tcW w:w="686" w:type="pct"/>
                  <w:vAlign w:val="center"/>
                </w:tcPr>
                <w:p w14:paraId="400CB970">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r>
                    <w:rPr>
                      <w:rFonts w:hint="eastAsia"/>
                      <w:bCs/>
                      <w:color w:val="auto"/>
                      <w:sz w:val="21"/>
                      <w:szCs w:val="21"/>
                      <w:lang w:val="en-US" w:eastAsia="zh-CN"/>
                    </w:rPr>
                    <w:t>2</w:t>
                  </w:r>
                  <w:r>
                    <w:rPr>
                      <w:rFonts w:hint="eastAsia"/>
                      <w:bCs/>
                      <w:color w:val="auto"/>
                      <w:sz w:val="21"/>
                      <w:szCs w:val="21"/>
                    </w:rPr>
                    <w:t>（拆除重建）</w:t>
                  </w:r>
                </w:p>
              </w:tc>
            </w:tr>
            <w:tr w14:paraId="10B9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1D5E30DE">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106FB7AE">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1F438664">
                  <w:pPr>
                    <w:pStyle w:val="32"/>
                    <w:adjustRightInd w:val="0"/>
                    <w:snapToGrid w:val="0"/>
                    <w:spacing w:after="0"/>
                    <w:ind w:left="0" w:leftChars="0" w:firstLine="0" w:firstLineChars="0"/>
                    <w:jc w:val="center"/>
                    <w:rPr>
                      <w:bCs/>
                      <w:color w:val="auto"/>
                      <w:sz w:val="21"/>
                      <w:szCs w:val="21"/>
                    </w:rPr>
                  </w:pPr>
                </w:p>
              </w:tc>
              <w:tc>
                <w:tcPr>
                  <w:tcW w:w="2083" w:type="pct"/>
                  <w:vAlign w:val="center"/>
                </w:tcPr>
                <w:p w14:paraId="7E9379F3">
                  <w:pPr>
                    <w:pStyle w:val="32"/>
                    <w:adjustRightInd w:val="0"/>
                    <w:snapToGrid w:val="0"/>
                    <w:spacing w:after="0"/>
                    <w:ind w:left="0" w:leftChars="0" w:firstLine="0" w:firstLineChars="0"/>
                    <w:jc w:val="center"/>
                    <w:rPr>
                      <w:rFonts w:hint="eastAsia"/>
                      <w:color w:val="auto"/>
                      <w:sz w:val="21"/>
                      <w:szCs w:val="21"/>
                    </w:rPr>
                  </w:pPr>
                  <w:r>
                    <w:rPr>
                      <w:rFonts w:hint="eastAsia"/>
                      <w:color w:val="auto"/>
                      <w:sz w:val="21"/>
                      <w:szCs w:val="21"/>
                      <w:lang w:val="en-US" w:eastAsia="zh-CN"/>
                    </w:rPr>
                    <w:t>事故应急池（</w:t>
                  </w:r>
                  <w:r>
                    <w:rPr>
                      <w:rFonts w:hint="eastAsia"/>
                      <w:color w:val="auto"/>
                      <w:sz w:val="21"/>
                      <w:szCs w:val="21"/>
                    </w:rPr>
                    <w:t>一座，</w:t>
                  </w:r>
                  <w:r>
                    <w:rPr>
                      <w:rFonts w:hint="eastAsia"/>
                      <w:color w:val="auto"/>
                      <w:sz w:val="21"/>
                      <w:szCs w:val="21"/>
                      <w:lang w:val="en-US" w:eastAsia="zh-CN"/>
                    </w:rPr>
                    <w:t>6</w:t>
                  </w:r>
                  <w:r>
                    <w:rPr>
                      <w:rFonts w:hint="eastAsia"/>
                      <w:color w:val="auto"/>
                      <w:sz w:val="21"/>
                      <w:szCs w:val="21"/>
                    </w:rPr>
                    <w:t>m³/d</w:t>
                  </w:r>
                  <w:r>
                    <w:rPr>
                      <w:rFonts w:hint="eastAsia"/>
                      <w:color w:val="auto"/>
                      <w:sz w:val="21"/>
                      <w:szCs w:val="21"/>
                      <w:lang w:val="en-US" w:eastAsia="zh-CN"/>
                    </w:rPr>
                    <w:t>）</w:t>
                  </w:r>
                </w:p>
              </w:tc>
              <w:tc>
                <w:tcPr>
                  <w:tcW w:w="686" w:type="pct"/>
                  <w:vAlign w:val="center"/>
                </w:tcPr>
                <w:p w14:paraId="13D4612C">
                  <w:pPr>
                    <w:pStyle w:val="32"/>
                    <w:adjustRightInd w:val="0"/>
                    <w:snapToGrid w:val="0"/>
                    <w:spacing w:after="0"/>
                    <w:ind w:left="0" w:leftChars="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1</w:t>
                  </w:r>
                </w:p>
              </w:tc>
            </w:tr>
            <w:tr w14:paraId="49FB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26290D27">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29E69611">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0E17CC1E">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生活污水</w:t>
                  </w:r>
                </w:p>
              </w:tc>
              <w:tc>
                <w:tcPr>
                  <w:tcW w:w="2083" w:type="pct"/>
                  <w:vAlign w:val="center"/>
                </w:tcPr>
                <w:p w14:paraId="41FE4861">
                  <w:pPr>
                    <w:pStyle w:val="32"/>
                    <w:adjustRightInd w:val="0"/>
                    <w:snapToGrid w:val="0"/>
                    <w:spacing w:after="0"/>
                    <w:ind w:left="0" w:leftChars="0" w:firstLine="0" w:firstLineChars="0"/>
                    <w:jc w:val="center"/>
                    <w:rPr>
                      <w:color w:val="auto"/>
                      <w:sz w:val="21"/>
                      <w:szCs w:val="21"/>
                    </w:rPr>
                  </w:pPr>
                  <w:r>
                    <w:rPr>
                      <w:rFonts w:hint="eastAsia"/>
                      <w:color w:val="auto"/>
                      <w:sz w:val="21"/>
                      <w:szCs w:val="21"/>
                    </w:rPr>
                    <w:t>食堂隔油池（1个，1m³），生活污水化</w:t>
                  </w:r>
                  <w:r>
                    <w:rPr>
                      <w:color w:val="auto"/>
                      <w:sz w:val="21"/>
                      <w:szCs w:val="21"/>
                    </w:rPr>
                    <w:t>粪池（2个，容积分别为</w:t>
                  </w:r>
                  <w:r>
                    <w:rPr>
                      <w:rFonts w:hint="eastAsia"/>
                      <w:color w:val="auto"/>
                      <w:sz w:val="21"/>
                      <w:szCs w:val="21"/>
                    </w:rPr>
                    <w:t>16</w:t>
                  </w:r>
                  <w:r>
                    <w:rPr>
                      <w:color w:val="auto"/>
                      <w:sz w:val="21"/>
                      <w:szCs w:val="21"/>
                    </w:rPr>
                    <w:t>m³、</w:t>
                  </w:r>
                  <w:r>
                    <w:rPr>
                      <w:rFonts w:hint="eastAsia"/>
                      <w:color w:val="auto"/>
                      <w:sz w:val="21"/>
                      <w:szCs w:val="21"/>
                    </w:rPr>
                    <w:t>4</w:t>
                  </w:r>
                  <w:r>
                    <w:rPr>
                      <w:color w:val="auto"/>
                      <w:sz w:val="21"/>
                      <w:szCs w:val="21"/>
                    </w:rPr>
                    <w:t>m³）</w:t>
                  </w:r>
                </w:p>
              </w:tc>
              <w:tc>
                <w:tcPr>
                  <w:tcW w:w="686" w:type="pct"/>
                  <w:vAlign w:val="center"/>
                </w:tcPr>
                <w:p w14:paraId="532B94E4">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4373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85" w:type="pct"/>
                  <w:vMerge w:val="continue"/>
                  <w:vAlign w:val="center"/>
                </w:tcPr>
                <w:p w14:paraId="5EA6B341">
                  <w:pPr>
                    <w:pStyle w:val="32"/>
                    <w:adjustRightInd w:val="0"/>
                    <w:snapToGrid w:val="0"/>
                    <w:spacing w:after="0"/>
                    <w:ind w:left="0" w:leftChars="0" w:firstLine="0" w:firstLineChars="0"/>
                    <w:jc w:val="center"/>
                    <w:rPr>
                      <w:bCs/>
                      <w:color w:val="auto"/>
                      <w:sz w:val="21"/>
                      <w:szCs w:val="21"/>
                    </w:rPr>
                  </w:pPr>
                </w:p>
              </w:tc>
              <w:tc>
                <w:tcPr>
                  <w:tcW w:w="725" w:type="pct"/>
                  <w:vAlign w:val="center"/>
                </w:tcPr>
                <w:p w14:paraId="3C379D8E">
                  <w:pPr>
                    <w:pStyle w:val="32"/>
                    <w:adjustRightInd w:val="0"/>
                    <w:snapToGrid w:val="0"/>
                    <w:spacing w:after="0"/>
                    <w:ind w:left="0" w:leftChars="0" w:firstLine="0" w:firstLineChars="0"/>
                    <w:jc w:val="center"/>
                    <w:rPr>
                      <w:bCs/>
                      <w:color w:val="auto"/>
                      <w:sz w:val="21"/>
                      <w:szCs w:val="21"/>
                    </w:rPr>
                  </w:pPr>
                  <w:r>
                    <w:rPr>
                      <w:color w:val="auto"/>
                      <w:sz w:val="21"/>
                      <w:szCs w:val="21"/>
                    </w:rPr>
                    <w:t>大气污染防治措施</w:t>
                  </w:r>
                </w:p>
              </w:tc>
              <w:tc>
                <w:tcPr>
                  <w:tcW w:w="919" w:type="pct"/>
                  <w:vAlign w:val="center"/>
                </w:tcPr>
                <w:p w14:paraId="3CA41B5D">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污水处理站恶臭气体</w:t>
                  </w:r>
                </w:p>
              </w:tc>
              <w:tc>
                <w:tcPr>
                  <w:tcW w:w="2083" w:type="pct"/>
                  <w:vAlign w:val="center"/>
                </w:tcPr>
                <w:p w14:paraId="7EBAA34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投放除臭剂</w:t>
                  </w:r>
                </w:p>
              </w:tc>
              <w:tc>
                <w:tcPr>
                  <w:tcW w:w="686" w:type="pct"/>
                  <w:vAlign w:val="center"/>
                </w:tcPr>
                <w:p w14:paraId="5916316E">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0.5</w:t>
                  </w:r>
                </w:p>
              </w:tc>
            </w:tr>
            <w:tr w14:paraId="0553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3743B385">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3B4ABFB9">
                  <w:pPr>
                    <w:pStyle w:val="32"/>
                    <w:adjustRightInd w:val="0"/>
                    <w:snapToGrid w:val="0"/>
                    <w:spacing w:after="0"/>
                    <w:ind w:left="0" w:leftChars="0" w:firstLine="0" w:firstLineChars="0"/>
                    <w:jc w:val="center"/>
                    <w:rPr>
                      <w:bCs/>
                      <w:color w:val="auto"/>
                      <w:sz w:val="21"/>
                      <w:szCs w:val="21"/>
                    </w:rPr>
                  </w:pPr>
                  <w:r>
                    <w:rPr>
                      <w:color w:val="auto"/>
                      <w:sz w:val="21"/>
                      <w:szCs w:val="21"/>
                    </w:rPr>
                    <w:t>固废处理</w:t>
                  </w:r>
                </w:p>
              </w:tc>
              <w:tc>
                <w:tcPr>
                  <w:tcW w:w="919" w:type="pct"/>
                  <w:vAlign w:val="center"/>
                </w:tcPr>
                <w:p w14:paraId="3DA9DDD8">
                  <w:pPr>
                    <w:pStyle w:val="32"/>
                    <w:adjustRightInd w:val="0"/>
                    <w:snapToGrid w:val="0"/>
                    <w:spacing w:after="0"/>
                    <w:ind w:left="0" w:leftChars="0" w:firstLine="0" w:firstLineChars="0"/>
                    <w:jc w:val="center"/>
                    <w:rPr>
                      <w:bCs/>
                      <w:color w:val="auto"/>
                      <w:sz w:val="21"/>
                      <w:szCs w:val="21"/>
                    </w:rPr>
                  </w:pPr>
                  <w:r>
                    <w:rPr>
                      <w:color w:val="auto"/>
                      <w:sz w:val="21"/>
                      <w:szCs w:val="21"/>
                    </w:rPr>
                    <w:t>生活垃圾收集桶</w:t>
                  </w:r>
                </w:p>
              </w:tc>
              <w:tc>
                <w:tcPr>
                  <w:tcW w:w="2083" w:type="pct"/>
                  <w:vAlign w:val="center"/>
                </w:tcPr>
                <w:p w14:paraId="38B085CE">
                  <w:pPr>
                    <w:pStyle w:val="32"/>
                    <w:adjustRightInd w:val="0"/>
                    <w:snapToGrid w:val="0"/>
                    <w:spacing w:after="0"/>
                    <w:ind w:left="0" w:leftChars="0" w:firstLine="0" w:firstLineChars="0"/>
                    <w:jc w:val="center"/>
                    <w:rPr>
                      <w:bCs/>
                      <w:color w:val="auto"/>
                      <w:sz w:val="21"/>
                      <w:szCs w:val="21"/>
                    </w:rPr>
                  </w:pPr>
                  <w:r>
                    <w:rPr>
                      <w:bCs/>
                      <w:color w:val="auto"/>
                      <w:sz w:val="21"/>
                      <w:szCs w:val="21"/>
                    </w:rPr>
                    <w:t>垃圾桶</w:t>
                  </w:r>
                  <w:r>
                    <w:rPr>
                      <w:rFonts w:hint="eastAsia"/>
                      <w:bCs/>
                      <w:color w:val="auto"/>
                      <w:sz w:val="21"/>
                      <w:szCs w:val="21"/>
                    </w:rPr>
                    <w:t>8</w:t>
                  </w:r>
                  <w:r>
                    <w:rPr>
                      <w:bCs/>
                      <w:color w:val="auto"/>
                      <w:sz w:val="21"/>
                      <w:szCs w:val="21"/>
                    </w:rPr>
                    <w:t>个</w:t>
                  </w:r>
                </w:p>
              </w:tc>
              <w:tc>
                <w:tcPr>
                  <w:tcW w:w="686" w:type="pct"/>
                  <w:vAlign w:val="center"/>
                </w:tcPr>
                <w:p w14:paraId="6709FD9C">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3D63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64A5464F">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33872356">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62635D87">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医疗废物暂存间</w:t>
                  </w:r>
                </w:p>
              </w:tc>
              <w:tc>
                <w:tcPr>
                  <w:tcW w:w="2083" w:type="pct"/>
                  <w:vAlign w:val="center"/>
                </w:tcPr>
                <w:p w14:paraId="1907E23B">
                  <w:pPr>
                    <w:pStyle w:val="32"/>
                    <w:adjustRightInd w:val="0"/>
                    <w:snapToGrid w:val="0"/>
                    <w:spacing w:after="0"/>
                    <w:ind w:left="0" w:leftChars="0" w:firstLine="0" w:firstLineChars="0"/>
                    <w:jc w:val="center"/>
                    <w:rPr>
                      <w:bCs/>
                      <w:color w:val="auto"/>
                      <w:sz w:val="21"/>
                      <w:szCs w:val="21"/>
                    </w:rPr>
                  </w:pPr>
                  <w:r>
                    <w:rPr>
                      <w:rStyle w:val="126"/>
                      <w:rFonts w:hint="eastAsia"/>
                      <w:color w:val="auto"/>
                      <w:szCs w:val="21"/>
                    </w:rPr>
                    <w:t>医疗固废暂存间（1间，10㎡）</w:t>
                  </w:r>
                </w:p>
              </w:tc>
              <w:tc>
                <w:tcPr>
                  <w:tcW w:w="686" w:type="pct"/>
                  <w:vAlign w:val="center"/>
                </w:tcPr>
                <w:p w14:paraId="5E7EB145">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55D2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85" w:type="pct"/>
                  <w:vMerge w:val="continue"/>
                  <w:vAlign w:val="center"/>
                </w:tcPr>
                <w:p w14:paraId="313D4CC7">
                  <w:pPr>
                    <w:pStyle w:val="32"/>
                    <w:adjustRightInd w:val="0"/>
                    <w:snapToGrid w:val="0"/>
                    <w:spacing w:after="0"/>
                    <w:ind w:left="0" w:leftChars="0" w:firstLine="0" w:firstLineChars="0"/>
                    <w:jc w:val="center"/>
                    <w:rPr>
                      <w:bCs/>
                      <w:color w:val="auto"/>
                      <w:sz w:val="21"/>
                      <w:szCs w:val="21"/>
                    </w:rPr>
                  </w:pPr>
                </w:p>
              </w:tc>
              <w:tc>
                <w:tcPr>
                  <w:tcW w:w="725" w:type="pct"/>
                  <w:vAlign w:val="center"/>
                </w:tcPr>
                <w:p w14:paraId="17B72D9C">
                  <w:pPr>
                    <w:pStyle w:val="32"/>
                    <w:adjustRightInd w:val="0"/>
                    <w:snapToGrid w:val="0"/>
                    <w:spacing w:after="0"/>
                    <w:ind w:left="0" w:leftChars="0" w:firstLine="0" w:firstLineChars="0"/>
                    <w:jc w:val="center"/>
                    <w:rPr>
                      <w:bCs/>
                      <w:color w:val="auto"/>
                      <w:sz w:val="21"/>
                      <w:szCs w:val="21"/>
                    </w:rPr>
                  </w:pPr>
                  <w:r>
                    <w:rPr>
                      <w:bCs/>
                      <w:color w:val="auto"/>
                      <w:sz w:val="21"/>
                      <w:szCs w:val="21"/>
                    </w:rPr>
                    <w:t>噪声防治</w:t>
                  </w:r>
                </w:p>
              </w:tc>
              <w:tc>
                <w:tcPr>
                  <w:tcW w:w="919" w:type="pct"/>
                  <w:vAlign w:val="center"/>
                </w:tcPr>
                <w:p w14:paraId="695D7FCD">
                  <w:pPr>
                    <w:pStyle w:val="32"/>
                    <w:adjustRightInd w:val="0"/>
                    <w:snapToGrid w:val="0"/>
                    <w:spacing w:after="0"/>
                    <w:ind w:left="0" w:leftChars="0" w:firstLine="0" w:firstLineChars="0"/>
                    <w:jc w:val="center"/>
                    <w:rPr>
                      <w:color w:val="auto"/>
                      <w:sz w:val="21"/>
                      <w:szCs w:val="21"/>
                    </w:rPr>
                  </w:pPr>
                  <w:r>
                    <w:rPr>
                      <w:color w:val="auto"/>
                      <w:sz w:val="21"/>
                      <w:szCs w:val="21"/>
                    </w:rPr>
                    <w:t>设备噪声</w:t>
                  </w:r>
                </w:p>
              </w:tc>
              <w:tc>
                <w:tcPr>
                  <w:tcW w:w="2083" w:type="pct"/>
                  <w:vAlign w:val="center"/>
                </w:tcPr>
                <w:p w14:paraId="42FCDC46">
                  <w:pPr>
                    <w:pStyle w:val="32"/>
                    <w:adjustRightInd w:val="0"/>
                    <w:snapToGrid w:val="0"/>
                    <w:spacing w:after="0"/>
                    <w:ind w:left="0" w:leftChars="0" w:firstLine="0" w:firstLineChars="0"/>
                    <w:jc w:val="center"/>
                    <w:rPr>
                      <w:rStyle w:val="126"/>
                      <w:color w:val="auto"/>
                      <w:szCs w:val="21"/>
                    </w:rPr>
                  </w:pPr>
                  <w:r>
                    <w:rPr>
                      <w:rStyle w:val="126"/>
                      <w:rFonts w:hint="eastAsia"/>
                      <w:color w:val="auto"/>
                      <w:szCs w:val="21"/>
                    </w:rPr>
                    <w:t>污水处理系统水泵设备减振、风机安装消声器、建筑隔声</w:t>
                  </w:r>
                </w:p>
              </w:tc>
              <w:tc>
                <w:tcPr>
                  <w:tcW w:w="686" w:type="pct"/>
                  <w:vAlign w:val="center"/>
                </w:tcPr>
                <w:p w14:paraId="799B4C7B">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00D4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3" w:type="pct"/>
                  <w:gridSpan w:val="4"/>
                  <w:vAlign w:val="center"/>
                </w:tcPr>
                <w:p w14:paraId="76B62FAC">
                  <w:pPr>
                    <w:pStyle w:val="32"/>
                    <w:adjustRightInd w:val="0"/>
                    <w:snapToGrid w:val="0"/>
                    <w:spacing w:after="0"/>
                    <w:ind w:left="0" w:leftChars="0" w:firstLine="0" w:firstLineChars="0"/>
                    <w:jc w:val="center"/>
                    <w:rPr>
                      <w:color w:val="auto"/>
                      <w:sz w:val="21"/>
                      <w:szCs w:val="21"/>
                    </w:rPr>
                  </w:pPr>
                  <w:r>
                    <w:rPr>
                      <w:color w:val="auto"/>
                      <w:sz w:val="21"/>
                      <w:szCs w:val="21"/>
                    </w:rPr>
                    <w:t>合计</w:t>
                  </w:r>
                </w:p>
              </w:tc>
              <w:tc>
                <w:tcPr>
                  <w:tcW w:w="686" w:type="pct"/>
                  <w:vAlign w:val="center"/>
                </w:tcPr>
                <w:p w14:paraId="464FDCC2">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28</w:t>
                  </w:r>
                </w:p>
              </w:tc>
            </w:tr>
            <w:bookmarkEnd w:id="34"/>
            <w:bookmarkEnd w:id="35"/>
          </w:tbl>
          <w:p w14:paraId="01D45D95">
            <w:pPr>
              <w:spacing w:before="120" w:beforeLines="50"/>
              <w:jc w:val="center"/>
              <w:rPr>
                <w:b/>
                <w:color w:val="auto"/>
                <w:sz w:val="24"/>
              </w:rPr>
            </w:pPr>
            <w:r>
              <w:rPr>
                <w:b/>
                <w:color w:val="auto"/>
                <w:sz w:val="24"/>
              </w:rPr>
              <w:t>表2-</w:t>
            </w:r>
            <w:r>
              <w:rPr>
                <w:rFonts w:hint="eastAsia"/>
                <w:b/>
                <w:color w:val="auto"/>
                <w:sz w:val="24"/>
              </w:rPr>
              <w:t>15</w:t>
            </w:r>
            <w:r>
              <w:rPr>
                <w:b/>
                <w:color w:val="auto"/>
                <w:sz w:val="24"/>
              </w:rPr>
              <w:t>项目</w:t>
            </w:r>
            <w:r>
              <w:rPr>
                <w:rFonts w:hint="eastAsia"/>
                <w:b/>
                <w:color w:val="auto"/>
                <w:sz w:val="24"/>
              </w:rPr>
              <w:t>（杨广卫生院）</w:t>
            </w:r>
            <w:r>
              <w:rPr>
                <w:b/>
                <w:color w:val="auto"/>
                <w:sz w:val="24"/>
              </w:rPr>
              <w:t>环保投资一览表</w:t>
            </w:r>
          </w:p>
          <w:tbl>
            <w:tblPr>
              <w:tblStyle w:val="33"/>
              <w:tblpPr w:leftFromText="180" w:rightFromText="180" w:vertAnchor="text" w:horzAnchor="page" w:tblpX="96" w:tblpY="295"/>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163"/>
              <w:gridCol w:w="1475"/>
              <w:gridCol w:w="3340"/>
              <w:gridCol w:w="1100"/>
            </w:tblGrid>
            <w:tr w14:paraId="0321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4B16D45A">
                  <w:pPr>
                    <w:pStyle w:val="32"/>
                    <w:adjustRightInd w:val="0"/>
                    <w:snapToGrid w:val="0"/>
                    <w:spacing w:after="0"/>
                    <w:ind w:left="0" w:leftChars="0" w:firstLine="0" w:firstLineChars="0"/>
                    <w:jc w:val="center"/>
                    <w:rPr>
                      <w:b/>
                      <w:color w:val="auto"/>
                      <w:sz w:val="21"/>
                      <w:szCs w:val="21"/>
                    </w:rPr>
                  </w:pPr>
                  <w:r>
                    <w:rPr>
                      <w:b/>
                      <w:color w:val="auto"/>
                      <w:sz w:val="21"/>
                      <w:szCs w:val="21"/>
                    </w:rPr>
                    <w:t>时段</w:t>
                  </w:r>
                </w:p>
              </w:tc>
              <w:tc>
                <w:tcPr>
                  <w:tcW w:w="1645" w:type="pct"/>
                  <w:gridSpan w:val="2"/>
                  <w:vAlign w:val="center"/>
                </w:tcPr>
                <w:p w14:paraId="45DD6103">
                  <w:pPr>
                    <w:pStyle w:val="32"/>
                    <w:adjustRightInd w:val="0"/>
                    <w:snapToGrid w:val="0"/>
                    <w:spacing w:after="0"/>
                    <w:ind w:left="0" w:leftChars="0" w:firstLine="0" w:firstLineChars="0"/>
                    <w:jc w:val="center"/>
                    <w:rPr>
                      <w:b/>
                      <w:color w:val="auto"/>
                      <w:sz w:val="21"/>
                      <w:szCs w:val="21"/>
                    </w:rPr>
                  </w:pPr>
                  <w:r>
                    <w:rPr>
                      <w:b/>
                      <w:color w:val="auto"/>
                      <w:sz w:val="21"/>
                      <w:szCs w:val="21"/>
                    </w:rPr>
                    <w:t>项目名称</w:t>
                  </w:r>
                </w:p>
              </w:tc>
              <w:tc>
                <w:tcPr>
                  <w:tcW w:w="2083" w:type="pct"/>
                  <w:vAlign w:val="center"/>
                </w:tcPr>
                <w:p w14:paraId="58DF994A">
                  <w:pPr>
                    <w:pStyle w:val="32"/>
                    <w:adjustRightInd w:val="0"/>
                    <w:snapToGrid w:val="0"/>
                    <w:spacing w:after="0"/>
                    <w:ind w:left="0" w:leftChars="0" w:firstLine="0" w:firstLineChars="0"/>
                    <w:jc w:val="center"/>
                    <w:rPr>
                      <w:b/>
                      <w:color w:val="auto"/>
                      <w:sz w:val="21"/>
                      <w:szCs w:val="21"/>
                    </w:rPr>
                  </w:pPr>
                  <w:r>
                    <w:rPr>
                      <w:b/>
                      <w:color w:val="auto"/>
                      <w:sz w:val="21"/>
                      <w:szCs w:val="21"/>
                    </w:rPr>
                    <w:t>治理措施</w:t>
                  </w:r>
                </w:p>
              </w:tc>
              <w:tc>
                <w:tcPr>
                  <w:tcW w:w="686" w:type="pct"/>
                  <w:vAlign w:val="center"/>
                </w:tcPr>
                <w:p w14:paraId="150886A0">
                  <w:pPr>
                    <w:pStyle w:val="32"/>
                    <w:adjustRightInd w:val="0"/>
                    <w:snapToGrid w:val="0"/>
                    <w:spacing w:after="0"/>
                    <w:ind w:left="0" w:leftChars="0" w:firstLine="0" w:firstLineChars="0"/>
                    <w:jc w:val="center"/>
                    <w:rPr>
                      <w:b/>
                      <w:color w:val="auto"/>
                      <w:sz w:val="21"/>
                      <w:szCs w:val="21"/>
                    </w:rPr>
                  </w:pPr>
                  <w:r>
                    <w:rPr>
                      <w:b/>
                      <w:color w:val="auto"/>
                      <w:sz w:val="21"/>
                      <w:szCs w:val="21"/>
                    </w:rPr>
                    <w:t>投资</w:t>
                  </w:r>
                </w:p>
              </w:tc>
            </w:tr>
            <w:tr w14:paraId="5D6F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0" w:type="pct"/>
                  <w:gridSpan w:val="3"/>
                  <w:vAlign w:val="center"/>
                </w:tcPr>
                <w:p w14:paraId="319316D1">
                  <w:pPr>
                    <w:pStyle w:val="32"/>
                    <w:adjustRightInd w:val="0"/>
                    <w:snapToGrid w:val="0"/>
                    <w:spacing w:after="0"/>
                    <w:ind w:left="0" w:leftChars="0" w:firstLine="0" w:firstLineChars="0"/>
                    <w:jc w:val="center"/>
                    <w:rPr>
                      <w:bCs/>
                      <w:color w:val="auto"/>
                      <w:sz w:val="21"/>
                      <w:szCs w:val="21"/>
                    </w:rPr>
                  </w:pPr>
                  <w:bookmarkStart w:id="36" w:name="_Hlk194487702"/>
                  <w:r>
                    <w:rPr>
                      <w:bCs/>
                      <w:color w:val="auto"/>
                      <w:sz w:val="21"/>
                      <w:szCs w:val="21"/>
                    </w:rPr>
                    <w:t>施工期污染防治措施</w:t>
                  </w:r>
                </w:p>
              </w:tc>
              <w:tc>
                <w:tcPr>
                  <w:tcW w:w="2083" w:type="pct"/>
                  <w:vAlign w:val="center"/>
                </w:tcPr>
                <w:p w14:paraId="72DF22A5">
                  <w:pPr>
                    <w:pStyle w:val="32"/>
                    <w:adjustRightInd w:val="0"/>
                    <w:snapToGrid w:val="0"/>
                    <w:spacing w:after="0"/>
                    <w:ind w:left="0" w:leftChars="0" w:firstLine="0" w:firstLineChars="0"/>
                    <w:jc w:val="center"/>
                    <w:rPr>
                      <w:bCs/>
                      <w:color w:val="auto"/>
                      <w:sz w:val="21"/>
                      <w:szCs w:val="21"/>
                    </w:rPr>
                  </w:pPr>
                  <w:r>
                    <w:rPr>
                      <w:bCs/>
                      <w:color w:val="auto"/>
                      <w:sz w:val="21"/>
                      <w:szCs w:val="21"/>
                    </w:rPr>
                    <w:t>洒水降尘、固废清运</w:t>
                  </w:r>
                  <w:r>
                    <w:rPr>
                      <w:rFonts w:hint="eastAsia"/>
                      <w:bCs/>
                      <w:color w:val="auto"/>
                      <w:sz w:val="21"/>
                      <w:szCs w:val="21"/>
                    </w:rPr>
                    <w:t>、</w:t>
                  </w:r>
                  <w:r>
                    <w:rPr>
                      <w:color w:val="auto"/>
                      <w:sz w:val="21"/>
                      <w:szCs w:val="21"/>
                    </w:rPr>
                    <w:t>隔声、减振措施</w:t>
                  </w:r>
                </w:p>
              </w:tc>
              <w:tc>
                <w:tcPr>
                  <w:tcW w:w="686" w:type="pct"/>
                  <w:vAlign w:val="center"/>
                </w:tcPr>
                <w:p w14:paraId="75411929">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r>
                    <w:rPr>
                      <w:bCs/>
                      <w:color w:val="auto"/>
                      <w:sz w:val="21"/>
                      <w:szCs w:val="21"/>
                    </w:rPr>
                    <w:t>.5</w:t>
                  </w:r>
                </w:p>
              </w:tc>
            </w:tr>
            <w:tr w14:paraId="235F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85" w:type="pct"/>
                  <w:vMerge w:val="restart"/>
                  <w:vAlign w:val="center"/>
                </w:tcPr>
                <w:p w14:paraId="0EDB256B">
                  <w:pPr>
                    <w:pStyle w:val="32"/>
                    <w:adjustRightInd w:val="0"/>
                    <w:snapToGrid w:val="0"/>
                    <w:spacing w:after="0"/>
                    <w:ind w:left="0" w:leftChars="0" w:firstLine="0" w:firstLineChars="0"/>
                    <w:jc w:val="center"/>
                    <w:rPr>
                      <w:bCs/>
                      <w:color w:val="auto"/>
                      <w:sz w:val="21"/>
                      <w:szCs w:val="21"/>
                    </w:rPr>
                  </w:pPr>
                </w:p>
                <w:p w14:paraId="08373990">
                  <w:pPr>
                    <w:pStyle w:val="32"/>
                    <w:adjustRightInd w:val="0"/>
                    <w:snapToGrid w:val="0"/>
                    <w:spacing w:after="0"/>
                    <w:ind w:left="0" w:leftChars="0" w:firstLine="0" w:firstLineChars="0"/>
                    <w:jc w:val="center"/>
                    <w:rPr>
                      <w:bCs/>
                      <w:color w:val="auto"/>
                      <w:sz w:val="21"/>
                      <w:szCs w:val="21"/>
                    </w:rPr>
                  </w:pPr>
                </w:p>
                <w:p w14:paraId="49A80BEC">
                  <w:pPr>
                    <w:pStyle w:val="32"/>
                    <w:adjustRightInd w:val="0"/>
                    <w:snapToGrid w:val="0"/>
                    <w:spacing w:after="0"/>
                    <w:ind w:left="0" w:leftChars="0" w:firstLine="0" w:firstLineChars="0"/>
                    <w:jc w:val="center"/>
                    <w:rPr>
                      <w:bCs/>
                      <w:color w:val="auto"/>
                      <w:sz w:val="21"/>
                      <w:szCs w:val="21"/>
                    </w:rPr>
                  </w:pPr>
                </w:p>
                <w:p w14:paraId="4EDE48EE">
                  <w:pPr>
                    <w:pStyle w:val="32"/>
                    <w:adjustRightInd w:val="0"/>
                    <w:snapToGrid w:val="0"/>
                    <w:spacing w:after="0"/>
                    <w:ind w:left="0" w:leftChars="0" w:firstLine="0" w:firstLineChars="0"/>
                    <w:jc w:val="center"/>
                    <w:rPr>
                      <w:bCs/>
                      <w:color w:val="auto"/>
                      <w:sz w:val="21"/>
                      <w:szCs w:val="21"/>
                    </w:rPr>
                  </w:pPr>
                </w:p>
                <w:p w14:paraId="40A0B764">
                  <w:pPr>
                    <w:pStyle w:val="32"/>
                    <w:adjustRightInd w:val="0"/>
                    <w:snapToGrid w:val="0"/>
                    <w:spacing w:after="0"/>
                    <w:ind w:left="0" w:leftChars="0" w:firstLine="0" w:firstLineChars="0"/>
                    <w:jc w:val="center"/>
                    <w:rPr>
                      <w:bCs/>
                      <w:color w:val="auto"/>
                      <w:sz w:val="21"/>
                      <w:szCs w:val="21"/>
                    </w:rPr>
                  </w:pPr>
                  <w:r>
                    <w:rPr>
                      <w:bCs/>
                      <w:color w:val="auto"/>
                      <w:sz w:val="21"/>
                      <w:szCs w:val="21"/>
                    </w:rPr>
                    <w:t>运营期</w:t>
                  </w:r>
                </w:p>
              </w:tc>
              <w:tc>
                <w:tcPr>
                  <w:tcW w:w="725" w:type="pct"/>
                  <w:vMerge w:val="restart"/>
                  <w:vAlign w:val="center"/>
                </w:tcPr>
                <w:p w14:paraId="70A84480">
                  <w:pPr>
                    <w:pStyle w:val="32"/>
                    <w:adjustRightInd w:val="0"/>
                    <w:snapToGrid w:val="0"/>
                    <w:spacing w:after="0"/>
                    <w:ind w:left="0" w:leftChars="0" w:firstLine="0" w:firstLineChars="0"/>
                    <w:jc w:val="center"/>
                    <w:rPr>
                      <w:bCs/>
                      <w:color w:val="auto"/>
                      <w:sz w:val="21"/>
                      <w:szCs w:val="21"/>
                    </w:rPr>
                  </w:pPr>
                  <w:r>
                    <w:rPr>
                      <w:bCs/>
                      <w:color w:val="auto"/>
                      <w:sz w:val="21"/>
                      <w:szCs w:val="21"/>
                    </w:rPr>
                    <w:t>废水污染防治措施</w:t>
                  </w:r>
                </w:p>
              </w:tc>
              <w:tc>
                <w:tcPr>
                  <w:tcW w:w="919" w:type="pct"/>
                  <w:vMerge w:val="restart"/>
                  <w:vAlign w:val="center"/>
                </w:tcPr>
                <w:p w14:paraId="0258E627">
                  <w:pPr>
                    <w:pStyle w:val="32"/>
                    <w:adjustRightInd w:val="0"/>
                    <w:snapToGrid w:val="0"/>
                    <w:spacing w:after="0"/>
                    <w:ind w:left="0" w:leftChars="0" w:firstLine="0" w:firstLineChars="0"/>
                    <w:jc w:val="center"/>
                    <w:rPr>
                      <w:bCs/>
                      <w:color w:val="auto"/>
                      <w:sz w:val="21"/>
                      <w:szCs w:val="21"/>
                    </w:rPr>
                  </w:pPr>
                  <w:r>
                    <w:rPr>
                      <w:rFonts w:hint="eastAsia"/>
                      <w:color w:val="auto"/>
                      <w:sz w:val="21"/>
                      <w:szCs w:val="21"/>
                    </w:rPr>
                    <w:t>一般医疗废水</w:t>
                  </w:r>
                </w:p>
              </w:tc>
              <w:tc>
                <w:tcPr>
                  <w:tcW w:w="2083" w:type="pct"/>
                  <w:vAlign w:val="center"/>
                </w:tcPr>
                <w:p w14:paraId="27821F31">
                  <w:pPr>
                    <w:pStyle w:val="32"/>
                    <w:adjustRightInd w:val="0"/>
                    <w:snapToGrid w:val="0"/>
                    <w:spacing w:after="0"/>
                    <w:ind w:left="0" w:leftChars="0" w:firstLine="0" w:firstLineChars="0"/>
                    <w:jc w:val="center"/>
                    <w:rPr>
                      <w:color w:val="auto"/>
                      <w:sz w:val="21"/>
                      <w:szCs w:val="21"/>
                    </w:rPr>
                  </w:pPr>
                  <w:r>
                    <w:rPr>
                      <w:rFonts w:hint="eastAsia"/>
                      <w:color w:val="auto"/>
                      <w:sz w:val="21"/>
                      <w:szCs w:val="21"/>
                    </w:rPr>
                    <w:t>综合废水化粪</w:t>
                  </w:r>
                  <w:r>
                    <w:rPr>
                      <w:color w:val="auto"/>
                      <w:sz w:val="21"/>
                      <w:szCs w:val="21"/>
                    </w:rPr>
                    <w:t>池（</w:t>
                  </w:r>
                  <w:r>
                    <w:rPr>
                      <w:rFonts w:hint="eastAsia"/>
                      <w:color w:val="auto"/>
                      <w:sz w:val="21"/>
                      <w:szCs w:val="21"/>
                    </w:rPr>
                    <w:t>1</w:t>
                  </w:r>
                  <w:r>
                    <w:rPr>
                      <w:color w:val="auto"/>
                      <w:sz w:val="21"/>
                      <w:szCs w:val="21"/>
                    </w:rPr>
                    <w:t>个，容积</w:t>
                  </w:r>
                  <w:r>
                    <w:rPr>
                      <w:rFonts w:hint="eastAsia"/>
                      <w:color w:val="auto"/>
                      <w:sz w:val="21"/>
                      <w:szCs w:val="21"/>
                    </w:rPr>
                    <w:t>共计为9</w:t>
                  </w:r>
                  <w:r>
                    <w:rPr>
                      <w:color w:val="auto"/>
                      <w:sz w:val="21"/>
                      <w:szCs w:val="21"/>
                    </w:rPr>
                    <w:t>m</w:t>
                  </w:r>
                  <w:r>
                    <w:rPr>
                      <w:color w:val="auto"/>
                      <w:sz w:val="21"/>
                      <w:szCs w:val="21"/>
                      <w:vertAlign w:val="superscript"/>
                    </w:rPr>
                    <w:t>3</w:t>
                  </w:r>
                  <w:r>
                    <w:rPr>
                      <w:color w:val="auto"/>
                      <w:sz w:val="21"/>
                      <w:szCs w:val="21"/>
                    </w:rPr>
                    <w:t>）</w:t>
                  </w:r>
                </w:p>
              </w:tc>
              <w:tc>
                <w:tcPr>
                  <w:tcW w:w="686" w:type="pct"/>
                  <w:vAlign w:val="center"/>
                </w:tcPr>
                <w:p w14:paraId="45F3570C">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p>
              </w:tc>
            </w:tr>
            <w:tr w14:paraId="1699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16414B21">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61EBDF24">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30DC6416">
                  <w:pPr>
                    <w:pStyle w:val="32"/>
                    <w:adjustRightInd w:val="0"/>
                    <w:snapToGrid w:val="0"/>
                    <w:spacing w:after="0"/>
                    <w:ind w:left="0" w:leftChars="0" w:firstLine="0" w:firstLineChars="0"/>
                    <w:jc w:val="center"/>
                    <w:rPr>
                      <w:bCs/>
                      <w:color w:val="auto"/>
                      <w:sz w:val="21"/>
                      <w:szCs w:val="21"/>
                    </w:rPr>
                  </w:pPr>
                </w:p>
              </w:tc>
              <w:tc>
                <w:tcPr>
                  <w:tcW w:w="2083" w:type="pct"/>
                  <w:vAlign w:val="center"/>
                </w:tcPr>
                <w:p w14:paraId="11F86B13">
                  <w:pPr>
                    <w:pStyle w:val="32"/>
                    <w:adjustRightInd w:val="0"/>
                    <w:snapToGrid w:val="0"/>
                    <w:spacing w:after="0"/>
                    <w:ind w:left="0" w:leftChars="0" w:firstLine="0" w:firstLineChars="0"/>
                    <w:jc w:val="center"/>
                    <w:rPr>
                      <w:color w:val="auto"/>
                      <w:sz w:val="21"/>
                      <w:szCs w:val="21"/>
                    </w:rPr>
                  </w:pPr>
                  <w:r>
                    <w:rPr>
                      <w:rFonts w:hint="eastAsia"/>
                      <w:color w:val="auto"/>
                      <w:sz w:val="21"/>
                      <w:szCs w:val="21"/>
                    </w:rPr>
                    <w:t>污水处理站（一座，处理规模为10m³/d）</w:t>
                  </w:r>
                </w:p>
              </w:tc>
              <w:tc>
                <w:tcPr>
                  <w:tcW w:w="686" w:type="pct"/>
                  <w:vAlign w:val="center"/>
                </w:tcPr>
                <w:p w14:paraId="02306B88">
                  <w:pPr>
                    <w:pStyle w:val="32"/>
                    <w:adjustRightInd w:val="0"/>
                    <w:snapToGrid w:val="0"/>
                    <w:spacing w:after="0"/>
                    <w:ind w:left="0" w:leftChars="0" w:firstLine="0" w:firstLineChars="0"/>
                    <w:jc w:val="center"/>
                    <w:rPr>
                      <w:rFonts w:hint="eastAsia" w:eastAsia="宋体"/>
                      <w:bCs/>
                      <w:color w:val="auto"/>
                      <w:sz w:val="21"/>
                      <w:szCs w:val="21"/>
                      <w:lang w:eastAsia="zh-CN"/>
                    </w:rPr>
                  </w:pPr>
                  <w:r>
                    <w:rPr>
                      <w:rFonts w:hint="eastAsia"/>
                      <w:bCs/>
                      <w:color w:val="auto"/>
                      <w:sz w:val="21"/>
                      <w:szCs w:val="21"/>
                      <w:lang w:val="en-US" w:eastAsia="zh-CN"/>
                    </w:rPr>
                    <w:t>9</w:t>
                  </w:r>
                </w:p>
              </w:tc>
            </w:tr>
            <w:tr w14:paraId="1BC0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22660D2D">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10C32CA6">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1DB582F5">
                  <w:pPr>
                    <w:pStyle w:val="32"/>
                    <w:adjustRightInd w:val="0"/>
                    <w:snapToGrid w:val="0"/>
                    <w:spacing w:after="0"/>
                    <w:ind w:left="0" w:leftChars="0" w:firstLine="0" w:firstLineChars="0"/>
                    <w:jc w:val="center"/>
                    <w:rPr>
                      <w:bCs/>
                      <w:color w:val="auto"/>
                      <w:sz w:val="21"/>
                      <w:szCs w:val="21"/>
                    </w:rPr>
                  </w:pPr>
                </w:p>
              </w:tc>
              <w:tc>
                <w:tcPr>
                  <w:tcW w:w="2083" w:type="pct"/>
                  <w:vAlign w:val="center"/>
                </w:tcPr>
                <w:p w14:paraId="3FD31918">
                  <w:pPr>
                    <w:pStyle w:val="32"/>
                    <w:adjustRightInd w:val="0"/>
                    <w:snapToGrid w:val="0"/>
                    <w:spacing w:after="0"/>
                    <w:ind w:left="0" w:leftChars="0" w:firstLine="0" w:firstLineChars="0"/>
                    <w:jc w:val="center"/>
                    <w:rPr>
                      <w:rFonts w:hint="eastAsia"/>
                      <w:color w:val="auto"/>
                      <w:sz w:val="21"/>
                      <w:szCs w:val="21"/>
                    </w:rPr>
                  </w:pPr>
                  <w:r>
                    <w:rPr>
                      <w:rFonts w:hint="eastAsia"/>
                      <w:color w:val="auto"/>
                      <w:sz w:val="21"/>
                      <w:szCs w:val="21"/>
                      <w:lang w:val="en-US" w:eastAsia="zh-CN"/>
                    </w:rPr>
                    <w:t>事故应急池（</w:t>
                  </w:r>
                  <w:r>
                    <w:rPr>
                      <w:rFonts w:hint="eastAsia"/>
                      <w:color w:val="auto"/>
                      <w:sz w:val="21"/>
                      <w:szCs w:val="21"/>
                    </w:rPr>
                    <w:t>一座，</w:t>
                  </w:r>
                  <w:r>
                    <w:rPr>
                      <w:rFonts w:hint="eastAsia"/>
                      <w:color w:val="auto"/>
                      <w:sz w:val="21"/>
                      <w:szCs w:val="21"/>
                      <w:lang w:val="en-US" w:eastAsia="zh-CN"/>
                    </w:rPr>
                    <w:t>6</w:t>
                  </w:r>
                  <w:r>
                    <w:rPr>
                      <w:rFonts w:hint="eastAsia"/>
                      <w:color w:val="auto"/>
                      <w:sz w:val="21"/>
                      <w:szCs w:val="21"/>
                    </w:rPr>
                    <w:t>m³/d</w:t>
                  </w:r>
                  <w:r>
                    <w:rPr>
                      <w:rFonts w:hint="eastAsia"/>
                      <w:color w:val="auto"/>
                      <w:sz w:val="21"/>
                      <w:szCs w:val="21"/>
                      <w:lang w:val="en-US" w:eastAsia="zh-CN"/>
                    </w:rPr>
                    <w:t>）</w:t>
                  </w:r>
                </w:p>
              </w:tc>
              <w:tc>
                <w:tcPr>
                  <w:tcW w:w="686" w:type="pct"/>
                  <w:vAlign w:val="center"/>
                </w:tcPr>
                <w:p w14:paraId="49432140">
                  <w:pPr>
                    <w:pStyle w:val="32"/>
                    <w:adjustRightInd w:val="0"/>
                    <w:snapToGrid w:val="0"/>
                    <w:spacing w:after="0"/>
                    <w:ind w:left="0" w:leftChars="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1</w:t>
                  </w:r>
                </w:p>
              </w:tc>
            </w:tr>
            <w:tr w14:paraId="3B8D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016E4B0D">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488ED3E7">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2A6426ED">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生活污水</w:t>
                  </w:r>
                </w:p>
              </w:tc>
              <w:tc>
                <w:tcPr>
                  <w:tcW w:w="2083" w:type="pct"/>
                  <w:vAlign w:val="center"/>
                </w:tcPr>
                <w:p w14:paraId="5F361C0D">
                  <w:pPr>
                    <w:pStyle w:val="32"/>
                    <w:adjustRightInd w:val="0"/>
                    <w:snapToGrid w:val="0"/>
                    <w:spacing w:after="0"/>
                    <w:ind w:left="0" w:leftChars="0" w:firstLine="0" w:firstLineChars="0"/>
                    <w:jc w:val="center"/>
                    <w:rPr>
                      <w:color w:val="auto"/>
                      <w:sz w:val="21"/>
                      <w:szCs w:val="21"/>
                    </w:rPr>
                  </w:pPr>
                  <w:r>
                    <w:rPr>
                      <w:rFonts w:hint="eastAsia"/>
                      <w:color w:val="auto"/>
                      <w:sz w:val="21"/>
                      <w:szCs w:val="21"/>
                    </w:rPr>
                    <w:t>食堂隔油池（1个，1m³），生活污水化</w:t>
                  </w:r>
                  <w:r>
                    <w:rPr>
                      <w:color w:val="auto"/>
                      <w:sz w:val="21"/>
                      <w:szCs w:val="21"/>
                    </w:rPr>
                    <w:t>粪池（2个，容积</w:t>
                  </w:r>
                  <w:r>
                    <w:rPr>
                      <w:rFonts w:hint="eastAsia"/>
                      <w:color w:val="auto"/>
                      <w:sz w:val="21"/>
                      <w:szCs w:val="21"/>
                    </w:rPr>
                    <w:t>共计为13</w:t>
                  </w:r>
                  <w:r>
                    <w:rPr>
                      <w:color w:val="auto"/>
                      <w:sz w:val="21"/>
                      <w:szCs w:val="21"/>
                    </w:rPr>
                    <w:t>m</w:t>
                  </w:r>
                  <w:r>
                    <w:rPr>
                      <w:color w:val="auto"/>
                      <w:sz w:val="21"/>
                      <w:szCs w:val="21"/>
                      <w:vertAlign w:val="superscript"/>
                    </w:rPr>
                    <w:t>3</w:t>
                  </w:r>
                  <w:r>
                    <w:rPr>
                      <w:color w:val="auto"/>
                      <w:sz w:val="21"/>
                      <w:szCs w:val="21"/>
                    </w:rPr>
                    <w:t>）</w:t>
                  </w:r>
                </w:p>
              </w:tc>
              <w:tc>
                <w:tcPr>
                  <w:tcW w:w="686" w:type="pct"/>
                  <w:vAlign w:val="center"/>
                </w:tcPr>
                <w:p w14:paraId="39DF0347">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2DB0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85" w:type="pct"/>
                  <w:vMerge w:val="continue"/>
                  <w:vAlign w:val="center"/>
                </w:tcPr>
                <w:p w14:paraId="402D2C4D">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20096369">
                  <w:pPr>
                    <w:pStyle w:val="32"/>
                    <w:adjustRightInd w:val="0"/>
                    <w:snapToGrid w:val="0"/>
                    <w:spacing w:after="0"/>
                    <w:ind w:left="0" w:leftChars="0" w:firstLine="0" w:firstLineChars="0"/>
                    <w:jc w:val="center"/>
                    <w:rPr>
                      <w:bCs/>
                      <w:color w:val="auto"/>
                      <w:sz w:val="21"/>
                      <w:szCs w:val="21"/>
                    </w:rPr>
                  </w:pPr>
                  <w:r>
                    <w:rPr>
                      <w:color w:val="auto"/>
                      <w:sz w:val="21"/>
                      <w:szCs w:val="21"/>
                    </w:rPr>
                    <w:t>大气污染防治措施</w:t>
                  </w:r>
                </w:p>
              </w:tc>
              <w:tc>
                <w:tcPr>
                  <w:tcW w:w="919" w:type="pct"/>
                  <w:vAlign w:val="center"/>
                </w:tcPr>
                <w:p w14:paraId="23377A07">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污水处理站恶臭气体</w:t>
                  </w:r>
                </w:p>
              </w:tc>
              <w:tc>
                <w:tcPr>
                  <w:tcW w:w="2083" w:type="pct"/>
                  <w:vAlign w:val="center"/>
                </w:tcPr>
                <w:p w14:paraId="225131F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投放除臭剂</w:t>
                  </w:r>
                </w:p>
              </w:tc>
              <w:tc>
                <w:tcPr>
                  <w:tcW w:w="686" w:type="pct"/>
                  <w:vAlign w:val="center"/>
                </w:tcPr>
                <w:p w14:paraId="1FF5A466">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bCs/>
                      <w:color w:val="auto"/>
                      <w:sz w:val="21"/>
                      <w:szCs w:val="21"/>
                    </w:rPr>
                    <w:t>0.5</w:t>
                  </w:r>
                </w:p>
              </w:tc>
            </w:tr>
            <w:tr w14:paraId="56DB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pct"/>
                  <w:vMerge w:val="continue"/>
                  <w:vAlign w:val="center"/>
                </w:tcPr>
                <w:p w14:paraId="6AF2F413">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058A6AFA">
                  <w:pPr>
                    <w:pStyle w:val="32"/>
                    <w:adjustRightInd w:val="0"/>
                    <w:snapToGrid w:val="0"/>
                    <w:spacing w:after="0"/>
                    <w:ind w:left="0" w:leftChars="0" w:firstLine="0" w:firstLineChars="0"/>
                    <w:jc w:val="center"/>
                    <w:rPr>
                      <w:bCs/>
                      <w:color w:val="auto"/>
                      <w:sz w:val="21"/>
                      <w:szCs w:val="21"/>
                    </w:rPr>
                  </w:pPr>
                  <w:r>
                    <w:rPr>
                      <w:color w:val="auto"/>
                      <w:sz w:val="21"/>
                      <w:szCs w:val="21"/>
                    </w:rPr>
                    <w:t>固废处理</w:t>
                  </w:r>
                </w:p>
              </w:tc>
              <w:tc>
                <w:tcPr>
                  <w:tcW w:w="919" w:type="pct"/>
                  <w:vAlign w:val="center"/>
                </w:tcPr>
                <w:p w14:paraId="2A36A5DB">
                  <w:pPr>
                    <w:pStyle w:val="32"/>
                    <w:adjustRightInd w:val="0"/>
                    <w:snapToGrid w:val="0"/>
                    <w:spacing w:after="0"/>
                    <w:ind w:left="0" w:leftChars="0" w:firstLine="0" w:firstLineChars="0"/>
                    <w:jc w:val="center"/>
                    <w:rPr>
                      <w:bCs/>
                      <w:color w:val="auto"/>
                      <w:sz w:val="21"/>
                      <w:szCs w:val="21"/>
                    </w:rPr>
                  </w:pPr>
                  <w:r>
                    <w:rPr>
                      <w:color w:val="auto"/>
                      <w:sz w:val="21"/>
                      <w:szCs w:val="21"/>
                    </w:rPr>
                    <w:t>生活垃圾收集桶</w:t>
                  </w:r>
                </w:p>
              </w:tc>
              <w:tc>
                <w:tcPr>
                  <w:tcW w:w="2083" w:type="pct"/>
                  <w:vAlign w:val="center"/>
                </w:tcPr>
                <w:p w14:paraId="0D857C68">
                  <w:pPr>
                    <w:pStyle w:val="32"/>
                    <w:adjustRightInd w:val="0"/>
                    <w:snapToGrid w:val="0"/>
                    <w:spacing w:after="0"/>
                    <w:ind w:left="0" w:leftChars="0" w:firstLine="0" w:firstLineChars="0"/>
                    <w:jc w:val="center"/>
                    <w:rPr>
                      <w:bCs/>
                      <w:color w:val="auto"/>
                      <w:sz w:val="21"/>
                      <w:szCs w:val="21"/>
                    </w:rPr>
                  </w:pPr>
                  <w:r>
                    <w:rPr>
                      <w:bCs/>
                      <w:color w:val="auto"/>
                      <w:sz w:val="21"/>
                      <w:szCs w:val="21"/>
                    </w:rPr>
                    <w:t>垃圾桶</w:t>
                  </w:r>
                  <w:r>
                    <w:rPr>
                      <w:rFonts w:hint="eastAsia"/>
                      <w:bCs/>
                      <w:color w:val="auto"/>
                      <w:sz w:val="21"/>
                      <w:szCs w:val="21"/>
                    </w:rPr>
                    <w:t>8</w:t>
                  </w:r>
                  <w:r>
                    <w:rPr>
                      <w:bCs/>
                      <w:color w:val="auto"/>
                      <w:sz w:val="21"/>
                      <w:szCs w:val="21"/>
                    </w:rPr>
                    <w:t>个</w:t>
                  </w:r>
                </w:p>
              </w:tc>
              <w:tc>
                <w:tcPr>
                  <w:tcW w:w="686" w:type="pct"/>
                  <w:vAlign w:val="center"/>
                </w:tcPr>
                <w:p w14:paraId="55025DF3">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4190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2BC13303">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2DCECD69">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71AB0E62">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医疗废物暂存间</w:t>
                  </w:r>
                </w:p>
              </w:tc>
              <w:tc>
                <w:tcPr>
                  <w:tcW w:w="2083" w:type="pct"/>
                  <w:vAlign w:val="center"/>
                </w:tcPr>
                <w:p w14:paraId="4A53AC41">
                  <w:pPr>
                    <w:pStyle w:val="32"/>
                    <w:adjustRightInd w:val="0"/>
                    <w:snapToGrid w:val="0"/>
                    <w:spacing w:after="0"/>
                    <w:ind w:left="0" w:leftChars="0" w:firstLine="0" w:firstLineChars="0"/>
                    <w:jc w:val="center"/>
                    <w:rPr>
                      <w:bCs/>
                      <w:color w:val="auto"/>
                      <w:sz w:val="21"/>
                      <w:szCs w:val="21"/>
                    </w:rPr>
                  </w:pPr>
                  <w:r>
                    <w:rPr>
                      <w:rStyle w:val="126"/>
                      <w:rFonts w:hint="eastAsia"/>
                      <w:color w:val="auto"/>
                      <w:szCs w:val="21"/>
                    </w:rPr>
                    <w:t>医疗固废暂存间（1间，10㎡）</w:t>
                  </w:r>
                </w:p>
              </w:tc>
              <w:tc>
                <w:tcPr>
                  <w:tcW w:w="686" w:type="pct"/>
                  <w:vAlign w:val="center"/>
                </w:tcPr>
                <w:p w14:paraId="07040DC3">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349F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65090742">
                  <w:pPr>
                    <w:pStyle w:val="32"/>
                    <w:adjustRightInd w:val="0"/>
                    <w:snapToGrid w:val="0"/>
                    <w:spacing w:after="0"/>
                    <w:ind w:left="0" w:leftChars="0" w:firstLine="0" w:firstLineChars="0"/>
                    <w:jc w:val="center"/>
                    <w:rPr>
                      <w:bCs/>
                      <w:color w:val="auto"/>
                      <w:sz w:val="21"/>
                      <w:szCs w:val="21"/>
                    </w:rPr>
                  </w:pPr>
                </w:p>
              </w:tc>
              <w:tc>
                <w:tcPr>
                  <w:tcW w:w="725" w:type="pct"/>
                  <w:vAlign w:val="center"/>
                </w:tcPr>
                <w:p w14:paraId="26686D75">
                  <w:pPr>
                    <w:pStyle w:val="32"/>
                    <w:adjustRightInd w:val="0"/>
                    <w:snapToGrid w:val="0"/>
                    <w:spacing w:after="0"/>
                    <w:ind w:left="0" w:leftChars="0" w:firstLine="0" w:firstLineChars="0"/>
                    <w:jc w:val="center"/>
                    <w:rPr>
                      <w:bCs/>
                      <w:color w:val="auto"/>
                      <w:sz w:val="21"/>
                      <w:szCs w:val="21"/>
                    </w:rPr>
                  </w:pPr>
                  <w:r>
                    <w:rPr>
                      <w:bCs/>
                      <w:color w:val="auto"/>
                      <w:sz w:val="21"/>
                      <w:szCs w:val="21"/>
                    </w:rPr>
                    <w:t>噪声防治</w:t>
                  </w:r>
                </w:p>
              </w:tc>
              <w:tc>
                <w:tcPr>
                  <w:tcW w:w="919" w:type="pct"/>
                  <w:vAlign w:val="center"/>
                </w:tcPr>
                <w:p w14:paraId="0F3BEC5C">
                  <w:pPr>
                    <w:pStyle w:val="32"/>
                    <w:adjustRightInd w:val="0"/>
                    <w:snapToGrid w:val="0"/>
                    <w:spacing w:after="0"/>
                    <w:ind w:left="0" w:leftChars="0" w:firstLine="0" w:firstLineChars="0"/>
                    <w:jc w:val="center"/>
                    <w:rPr>
                      <w:color w:val="auto"/>
                      <w:sz w:val="21"/>
                      <w:szCs w:val="21"/>
                    </w:rPr>
                  </w:pPr>
                  <w:r>
                    <w:rPr>
                      <w:rFonts w:hint="eastAsia"/>
                      <w:color w:val="auto"/>
                      <w:sz w:val="21"/>
                      <w:szCs w:val="21"/>
                    </w:rPr>
                    <w:t>杨广卫生院</w:t>
                  </w:r>
                  <w:r>
                    <w:rPr>
                      <w:color w:val="auto"/>
                      <w:sz w:val="21"/>
                      <w:szCs w:val="21"/>
                    </w:rPr>
                    <w:t>设备噪声</w:t>
                  </w:r>
                </w:p>
              </w:tc>
              <w:tc>
                <w:tcPr>
                  <w:tcW w:w="2083" w:type="pct"/>
                  <w:vAlign w:val="center"/>
                </w:tcPr>
                <w:p w14:paraId="08E74A82">
                  <w:pPr>
                    <w:pStyle w:val="32"/>
                    <w:adjustRightInd w:val="0"/>
                    <w:snapToGrid w:val="0"/>
                    <w:spacing w:after="0"/>
                    <w:ind w:left="0" w:leftChars="0" w:firstLine="0" w:firstLineChars="0"/>
                    <w:jc w:val="center"/>
                    <w:rPr>
                      <w:rStyle w:val="126"/>
                      <w:color w:val="auto"/>
                      <w:szCs w:val="21"/>
                    </w:rPr>
                  </w:pPr>
                  <w:r>
                    <w:rPr>
                      <w:rStyle w:val="126"/>
                      <w:rFonts w:hint="eastAsia"/>
                      <w:color w:val="auto"/>
                    </w:rPr>
                    <w:t>污水处理系统水泵</w:t>
                  </w:r>
                  <w:r>
                    <w:rPr>
                      <w:rFonts w:hint="eastAsia"/>
                      <w:color w:val="auto"/>
                      <w:szCs w:val="21"/>
                    </w:rPr>
                    <w:t>设备减振、</w:t>
                  </w:r>
                  <w:r>
                    <w:rPr>
                      <w:rFonts w:hint="eastAsia" w:ascii="宋体" w:hAnsi="宋体" w:cs="宋体"/>
                      <w:color w:val="auto"/>
                      <w:szCs w:val="21"/>
                    </w:rPr>
                    <w:t>风机安装消声器、</w:t>
                  </w:r>
                  <w:r>
                    <w:rPr>
                      <w:rFonts w:hint="eastAsia"/>
                      <w:color w:val="auto"/>
                      <w:szCs w:val="21"/>
                    </w:rPr>
                    <w:t>建筑隔声</w:t>
                  </w:r>
                </w:p>
              </w:tc>
              <w:tc>
                <w:tcPr>
                  <w:tcW w:w="686" w:type="pct"/>
                  <w:vAlign w:val="center"/>
                </w:tcPr>
                <w:p w14:paraId="2C2222D6">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7167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3" w:type="pct"/>
                  <w:gridSpan w:val="4"/>
                  <w:vAlign w:val="center"/>
                </w:tcPr>
                <w:p w14:paraId="5BC4A7BE">
                  <w:pPr>
                    <w:pStyle w:val="32"/>
                    <w:adjustRightInd w:val="0"/>
                    <w:snapToGrid w:val="0"/>
                    <w:spacing w:after="0"/>
                    <w:ind w:left="0" w:leftChars="0" w:firstLine="0" w:firstLineChars="0"/>
                    <w:jc w:val="center"/>
                    <w:rPr>
                      <w:color w:val="auto"/>
                      <w:sz w:val="21"/>
                      <w:szCs w:val="21"/>
                    </w:rPr>
                  </w:pPr>
                  <w:r>
                    <w:rPr>
                      <w:color w:val="auto"/>
                      <w:sz w:val="21"/>
                      <w:szCs w:val="21"/>
                    </w:rPr>
                    <w:t>合计</w:t>
                  </w:r>
                </w:p>
              </w:tc>
              <w:tc>
                <w:tcPr>
                  <w:tcW w:w="686" w:type="pct"/>
                  <w:vAlign w:val="center"/>
                </w:tcPr>
                <w:p w14:paraId="22640030">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16</w:t>
                  </w:r>
                </w:p>
              </w:tc>
            </w:tr>
            <w:bookmarkEnd w:id="32"/>
            <w:bookmarkEnd w:id="36"/>
          </w:tbl>
          <w:p w14:paraId="3C2CDB01">
            <w:pPr>
              <w:spacing w:line="360" w:lineRule="auto"/>
              <w:rPr>
                <w:color w:val="auto"/>
              </w:rPr>
            </w:pPr>
          </w:p>
        </w:tc>
      </w:tr>
      <w:tr w14:paraId="1B575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14" w:type="dxa"/>
            <w:vAlign w:val="center"/>
          </w:tcPr>
          <w:p w14:paraId="1EB48F91">
            <w:pPr>
              <w:pStyle w:val="2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246" w:type="dxa"/>
          </w:tcPr>
          <w:p w14:paraId="0FF460B5">
            <w:pPr>
              <w:spacing w:line="360" w:lineRule="auto"/>
              <w:jc w:val="left"/>
              <w:outlineLvl w:val="0"/>
              <w:rPr>
                <w:b/>
                <w:bCs/>
                <w:color w:val="auto"/>
                <w:sz w:val="24"/>
              </w:rPr>
            </w:pPr>
            <w:bookmarkStart w:id="37" w:name="_Toc25794"/>
            <w:r>
              <w:rPr>
                <w:b/>
                <w:bCs/>
                <w:color w:val="auto"/>
                <w:sz w:val="24"/>
              </w:rPr>
              <w:t>十</w:t>
            </w:r>
            <w:r>
              <w:rPr>
                <w:rFonts w:hint="eastAsia"/>
                <w:b/>
                <w:bCs/>
                <w:color w:val="auto"/>
                <w:sz w:val="24"/>
              </w:rPr>
              <w:t>一</w:t>
            </w:r>
            <w:r>
              <w:rPr>
                <w:b/>
                <w:bCs/>
                <w:color w:val="auto"/>
                <w:sz w:val="24"/>
              </w:rPr>
              <w:t>、施工期工艺流程及产污节点</w:t>
            </w:r>
            <w:bookmarkEnd w:id="37"/>
          </w:p>
          <w:p w14:paraId="2D2EA79E">
            <w:pPr>
              <w:spacing w:line="360" w:lineRule="auto"/>
              <w:ind w:firstLine="480" w:firstLineChars="200"/>
              <w:jc w:val="left"/>
              <w:outlineLvl w:val="0"/>
              <w:rPr>
                <w:color w:val="auto"/>
                <w:sz w:val="24"/>
              </w:rPr>
            </w:pPr>
            <w:bookmarkStart w:id="38" w:name="_Toc23483"/>
            <w:r>
              <w:rPr>
                <w:rFonts w:hint="eastAsia"/>
                <w:color w:val="auto"/>
                <w:sz w:val="24"/>
              </w:rPr>
              <w:t>本项目涉及4个卫生院，其中纳古卫生院、四街卫生院和九龙卫生院主要建设1幢</w:t>
            </w:r>
            <w:bookmarkStart w:id="39" w:name="_Hlk192511952"/>
            <w:r>
              <w:rPr>
                <w:rFonts w:hint="eastAsia"/>
                <w:color w:val="auto"/>
                <w:sz w:val="24"/>
              </w:rPr>
              <w:t>业务综合楼及配套设施</w:t>
            </w:r>
            <w:bookmarkEnd w:id="39"/>
            <w:r>
              <w:rPr>
                <w:rFonts w:hint="eastAsia"/>
                <w:color w:val="auto"/>
                <w:sz w:val="24"/>
              </w:rPr>
              <w:t>，杨广卫生院主要对门诊楼1号门诊楼进行改造和装修。</w:t>
            </w:r>
            <w:r>
              <w:rPr>
                <w:color w:val="auto"/>
                <w:sz w:val="24"/>
              </w:rPr>
              <w:t>施工</w:t>
            </w:r>
            <w:r>
              <w:rPr>
                <w:rFonts w:hint="eastAsia"/>
                <w:color w:val="auto"/>
                <w:sz w:val="24"/>
              </w:rPr>
              <w:t>期</w:t>
            </w:r>
            <w:r>
              <w:rPr>
                <w:color w:val="auto"/>
                <w:sz w:val="24"/>
              </w:rPr>
              <w:t>工艺流程及产污节点分析见</w:t>
            </w:r>
            <w:r>
              <w:rPr>
                <w:rFonts w:hint="eastAsia"/>
                <w:color w:val="auto"/>
                <w:sz w:val="24"/>
              </w:rPr>
              <w:t>下</w:t>
            </w:r>
            <w:r>
              <w:rPr>
                <w:color w:val="auto"/>
                <w:sz w:val="24"/>
              </w:rPr>
              <w:t>图。项目施工工艺详见图2-</w:t>
            </w:r>
            <w:r>
              <w:rPr>
                <w:rFonts w:hint="eastAsia"/>
                <w:color w:val="auto"/>
                <w:sz w:val="24"/>
              </w:rPr>
              <w:t>5</w:t>
            </w:r>
            <w:r>
              <w:rPr>
                <w:color w:val="auto"/>
                <w:sz w:val="24"/>
              </w:rPr>
              <w:t>。</w:t>
            </w:r>
            <w:bookmarkEnd w:id="38"/>
          </w:p>
          <w:p w14:paraId="71E12426">
            <w:pPr>
              <w:spacing w:line="360" w:lineRule="auto"/>
              <w:jc w:val="center"/>
              <w:rPr>
                <w:b/>
                <w:bCs/>
                <w:color w:val="auto"/>
              </w:rPr>
            </w:pPr>
            <w:r>
              <w:rPr>
                <w:color w:val="auto"/>
              </w:rPr>
              <w:object>
                <v:shape id="_x0000_i1029" o:spt="75" type="#_x0000_t75" style="height:210.75pt;width:321.75pt;" o:ole="t" filled="f" o:preferrelative="t" stroked="f" coordsize="21600,21600">
                  <v:path/>
                  <v:fill on="f" focussize="0,0"/>
                  <v:stroke on="f" joinstyle="miter"/>
                  <v:imagedata r:id="rId19" o:title=""/>
                  <o:lock v:ext="edit" aspectratio="t"/>
                  <w10:wrap type="none"/>
                  <w10:anchorlock/>
                </v:shape>
                <o:OLEObject Type="Embed" ProgID="Visio.Drawing.11" ShapeID="_x0000_i1029" DrawAspect="Content" ObjectID="_1468075729" r:id="rId18">
                  <o:LockedField>false</o:LockedField>
                </o:OLEObject>
              </w:object>
            </w:r>
          </w:p>
          <w:p w14:paraId="6534B825">
            <w:pPr>
              <w:spacing w:line="360" w:lineRule="auto"/>
              <w:jc w:val="center"/>
              <w:rPr>
                <w:b/>
                <w:bCs/>
                <w:color w:val="auto"/>
                <w:sz w:val="24"/>
              </w:rPr>
            </w:pPr>
            <w:r>
              <w:rPr>
                <w:b/>
                <w:bCs/>
                <w:color w:val="auto"/>
                <w:sz w:val="24"/>
              </w:rPr>
              <w:t>图2-</w:t>
            </w:r>
            <w:r>
              <w:rPr>
                <w:rFonts w:hint="eastAsia"/>
                <w:b/>
                <w:bCs/>
                <w:color w:val="auto"/>
                <w:sz w:val="24"/>
              </w:rPr>
              <w:t>5</w:t>
            </w:r>
            <w:r>
              <w:rPr>
                <w:b/>
                <w:bCs/>
                <w:color w:val="auto"/>
                <w:sz w:val="24"/>
              </w:rPr>
              <w:t>施工期</w:t>
            </w:r>
            <w:r>
              <w:rPr>
                <w:rFonts w:hint="eastAsia"/>
                <w:b/>
                <w:bCs/>
                <w:color w:val="auto"/>
                <w:sz w:val="24"/>
              </w:rPr>
              <w:t>（纳古、四街、九龙卫生院新建业务综合楼）</w:t>
            </w:r>
            <w:r>
              <w:rPr>
                <w:b/>
                <w:bCs/>
                <w:color w:val="auto"/>
                <w:sz w:val="24"/>
              </w:rPr>
              <w:t>工程工艺</w:t>
            </w:r>
          </w:p>
          <w:p w14:paraId="3289447A">
            <w:pPr>
              <w:spacing w:line="360" w:lineRule="auto"/>
              <w:jc w:val="center"/>
              <w:rPr>
                <w:b/>
                <w:bCs/>
                <w:color w:val="auto"/>
                <w:sz w:val="24"/>
              </w:rPr>
            </w:pPr>
            <w:r>
              <w:rPr>
                <w:b/>
                <w:bCs/>
                <w:color w:val="auto"/>
                <w:sz w:val="24"/>
              </w:rPr>
              <w:t>流程及产污环节图</w:t>
            </w:r>
          </w:p>
          <w:p w14:paraId="1CC948D5">
            <w:pPr>
              <w:spacing w:line="360" w:lineRule="auto"/>
              <w:jc w:val="center"/>
              <w:rPr>
                <w:b/>
                <w:bCs/>
                <w:color w:val="auto"/>
                <w:sz w:val="24"/>
              </w:rPr>
            </w:pPr>
          </w:p>
          <w:p w14:paraId="511FCE41">
            <w:pPr>
              <w:spacing w:line="360" w:lineRule="auto"/>
              <w:jc w:val="center"/>
              <w:rPr>
                <w:b/>
                <w:bCs/>
                <w:color w:val="auto"/>
                <w:sz w:val="24"/>
              </w:rPr>
            </w:pPr>
          </w:p>
          <w:p w14:paraId="362EED49">
            <w:pPr>
              <w:spacing w:line="360" w:lineRule="auto"/>
              <w:jc w:val="center"/>
              <w:rPr>
                <w:b/>
                <w:bCs/>
                <w:color w:val="auto"/>
                <w:sz w:val="24"/>
              </w:rPr>
            </w:pPr>
          </w:p>
          <w:p w14:paraId="5714B869">
            <w:pPr>
              <w:tabs>
                <w:tab w:val="left" w:pos="6471"/>
              </w:tabs>
              <w:adjustRightInd w:val="0"/>
              <w:snapToGrid w:val="0"/>
              <w:spacing w:line="360" w:lineRule="auto"/>
              <w:ind w:firstLine="480" w:firstLineChars="200"/>
              <w:jc w:val="center"/>
              <w:rPr>
                <w:color w:val="auto"/>
                <w:sz w:val="24"/>
              </w:rPr>
            </w:pPr>
            <w:r>
              <w:rPr>
                <w:rFonts w:hint="eastAsia"/>
                <w:color w:val="auto"/>
                <w:sz w:val="24"/>
              </w:rPr>
              <w:object>
                <v:shape id="_x0000_i1030" o:spt="75" type="#_x0000_t75" style="height:168pt;width:287.25pt;" o:ole="t" filled="f" o:preferrelative="t" stroked="f" coordsize="21600,21600">
                  <v:path/>
                  <v:fill on="f" focussize="0,0"/>
                  <v:stroke on="f" joinstyle="miter"/>
                  <v:imagedata r:id="rId21" o:title=""/>
                  <o:lock v:ext="edit" aspectratio="f"/>
                  <w10:wrap type="none"/>
                  <w10:anchorlock/>
                </v:shape>
                <o:OLEObject Type="Embed" ProgID="Visio.Drawing.15" ShapeID="_x0000_i1030" DrawAspect="Content" ObjectID="_1468075730" r:id="rId20">
                  <o:LockedField>false</o:LockedField>
                </o:OLEObject>
              </w:object>
            </w:r>
          </w:p>
          <w:p w14:paraId="50F387E8">
            <w:pPr>
              <w:spacing w:line="360" w:lineRule="auto"/>
              <w:jc w:val="center"/>
              <w:rPr>
                <w:b/>
                <w:bCs/>
                <w:color w:val="auto"/>
                <w:sz w:val="24"/>
              </w:rPr>
            </w:pPr>
            <w:r>
              <w:rPr>
                <w:b/>
                <w:bCs/>
                <w:color w:val="auto"/>
                <w:sz w:val="24"/>
              </w:rPr>
              <w:t>图2-</w:t>
            </w:r>
            <w:r>
              <w:rPr>
                <w:rFonts w:hint="eastAsia"/>
                <w:b/>
                <w:bCs/>
                <w:color w:val="auto"/>
                <w:sz w:val="24"/>
              </w:rPr>
              <w:t>6</w:t>
            </w:r>
            <w:r>
              <w:rPr>
                <w:b/>
                <w:bCs/>
                <w:color w:val="auto"/>
                <w:sz w:val="24"/>
              </w:rPr>
              <w:t>施工期</w:t>
            </w:r>
            <w:r>
              <w:rPr>
                <w:rFonts w:hint="eastAsia"/>
                <w:b/>
                <w:bCs/>
                <w:color w:val="auto"/>
                <w:sz w:val="24"/>
              </w:rPr>
              <w:t>（杨广卫生院改造1号楼门诊楼）</w:t>
            </w:r>
            <w:r>
              <w:rPr>
                <w:b/>
                <w:bCs/>
                <w:color w:val="auto"/>
                <w:sz w:val="24"/>
              </w:rPr>
              <w:t>工艺流程及产污环节图</w:t>
            </w:r>
          </w:p>
          <w:p w14:paraId="29B1C179">
            <w:pPr>
              <w:tabs>
                <w:tab w:val="left" w:pos="6471"/>
              </w:tabs>
              <w:adjustRightInd w:val="0"/>
              <w:snapToGrid w:val="0"/>
              <w:spacing w:line="360" w:lineRule="auto"/>
              <w:ind w:firstLine="480" w:firstLineChars="200"/>
              <w:rPr>
                <w:color w:val="auto"/>
                <w:sz w:val="24"/>
              </w:rPr>
            </w:pPr>
            <w:r>
              <w:rPr>
                <w:rFonts w:hint="eastAsia"/>
                <w:color w:val="auto"/>
                <w:sz w:val="24"/>
              </w:rPr>
              <w:t>（1）</w:t>
            </w:r>
            <w:r>
              <w:rPr>
                <w:color w:val="auto"/>
                <w:sz w:val="24"/>
              </w:rPr>
              <w:t>基础工程</w:t>
            </w:r>
          </w:p>
          <w:p w14:paraId="235811E8">
            <w:pPr>
              <w:adjustRightInd w:val="0"/>
              <w:snapToGrid w:val="0"/>
              <w:spacing w:line="360" w:lineRule="auto"/>
              <w:ind w:firstLine="480" w:firstLineChars="200"/>
              <w:rPr>
                <w:color w:val="auto"/>
                <w:sz w:val="24"/>
              </w:rPr>
            </w:pPr>
            <w:r>
              <w:rPr>
                <w:rFonts w:hint="eastAsia"/>
                <w:color w:val="auto"/>
                <w:sz w:val="24"/>
              </w:rPr>
              <w:t>本项目新建业务综合楼基础施工主要地势进行开挖和平整，</w:t>
            </w:r>
            <w:r>
              <w:rPr>
                <w:color w:val="auto"/>
                <w:sz w:val="24"/>
              </w:rPr>
              <w:t>施工场地通水、通电、通路</w:t>
            </w:r>
            <w:r>
              <w:rPr>
                <w:rFonts w:hint="eastAsia"/>
                <w:color w:val="auto"/>
                <w:sz w:val="24"/>
              </w:rPr>
              <w:t>，根据现场踏勘，施工现场已有进场道路，施工场地尚未进行三通一平</w:t>
            </w:r>
            <w:r>
              <w:rPr>
                <w:color w:val="auto"/>
                <w:sz w:val="24"/>
              </w:rPr>
              <w:t>。</w:t>
            </w:r>
            <w:r>
              <w:rPr>
                <w:rFonts w:hint="eastAsia"/>
                <w:color w:val="auto"/>
                <w:sz w:val="24"/>
              </w:rPr>
              <w:t>基础开挖主要使用挖掘机等大型设备，施工过程中主要产生土石方、扬尘、机械废气和噪声，同时施工机械清洗还将产生部分施工废水。</w:t>
            </w:r>
          </w:p>
          <w:p w14:paraId="04B3A7AF">
            <w:pPr>
              <w:adjustRightInd w:val="0"/>
              <w:snapToGrid w:val="0"/>
              <w:spacing w:line="360" w:lineRule="auto"/>
              <w:ind w:firstLine="480" w:firstLineChars="200"/>
              <w:rPr>
                <w:color w:val="auto"/>
                <w:sz w:val="24"/>
              </w:rPr>
            </w:pPr>
            <w:r>
              <w:rPr>
                <w:rFonts w:hint="eastAsia"/>
                <w:color w:val="auto"/>
                <w:sz w:val="24"/>
              </w:rPr>
              <w:t>（2）主体工程</w:t>
            </w:r>
          </w:p>
          <w:p w14:paraId="7B34931A">
            <w:pPr>
              <w:adjustRightInd w:val="0"/>
              <w:snapToGrid w:val="0"/>
              <w:spacing w:line="360" w:lineRule="auto"/>
              <w:ind w:firstLine="480" w:firstLineChars="200"/>
              <w:rPr>
                <w:color w:val="auto"/>
                <w:sz w:val="24"/>
              </w:rPr>
            </w:pPr>
            <w:r>
              <w:rPr>
                <w:rFonts w:hint="eastAsia"/>
                <w:color w:val="auto"/>
                <w:sz w:val="24"/>
              </w:rPr>
              <w:t>项目主体工程主要为业务综合楼及配套设施的建设，为框架结构建筑。施工过程以机械施工为主，人力施工为辅。施工时主要使用电焊机、切割机、运输车辆、商品混凝土输送泵等。施工过程中主要产生建筑垃圾、焊接烟尘、扬尘、机械废气、施工废水和机械噪声。</w:t>
            </w:r>
          </w:p>
          <w:p w14:paraId="2AFC44EE">
            <w:pPr>
              <w:adjustRightInd w:val="0"/>
              <w:snapToGrid w:val="0"/>
              <w:spacing w:line="360" w:lineRule="auto"/>
              <w:ind w:firstLine="480" w:firstLineChars="200"/>
              <w:rPr>
                <w:color w:val="auto"/>
                <w:sz w:val="24"/>
              </w:rPr>
            </w:pPr>
            <w:r>
              <w:rPr>
                <w:rFonts w:hint="eastAsia"/>
                <w:color w:val="auto"/>
                <w:sz w:val="24"/>
              </w:rPr>
              <w:t>（3）配套工程</w:t>
            </w:r>
          </w:p>
          <w:p w14:paraId="2AED3B4C">
            <w:pPr>
              <w:adjustRightInd w:val="0"/>
              <w:snapToGrid w:val="0"/>
              <w:spacing w:line="360" w:lineRule="auto"/>
              <w:ind w:firstLine="480" w:firstLineChars="200"/>
              <w:rPr>
                <w:color w:val="auto"/>
                <w:sz w:val="24"/>
              </w:rPr>
            </w:pPr>
            <w:r>
              <w:rPr>
                <w:rFonts w:hint="eastAsia"/>
                <w:color w:val="auto"/>
                <w:sz w:val="24"/>
              </w:rPr>
              <w:t>项目配套工程主要为污水处理站、综合废水化粪池等的建设，施工过程以人力施工为主，辅助使用小型机械。施工过程中主要产生建筑垃圾、扬尘、机械废气、施工废水和机械噪声等污染物。</w:t>
            </w:r>
          </w:p>
          <w:p w14:paraId="6A08AE78">
            <w:pPr>
              <w:adjustRightInd w:val="0"/>
              <w:snapToGrid w:val="0"/>
              <w:spacing w:line="360" w:lineRule="auto"/>
              <w:ind w:firstLine="480" w:firstLineChars="200"/>
              <w:rPr>
                <w:color w:val="auto"/>
                <w:sz w:val="24"/>
              </w:rPr>
            </w:pPr>
            <w:r>
              <w:rPr>
                <w:rFonts w:hint="eastAsia"/>
                <w:color w:val="auto"/>
                <w:sz w:val="24"/>
              </w:rPr>
              <w:t>（4）装饰工程</w:t>
            </w:r>
          </w:p>
          <w:p w14:paraId="6A1A25F5">
            <w:pPr>
              <w:adjustRightInd w:val="0"/>
              <w:snapToGrid w:val="0"/>
              <w:spacing w:line="360" w:lineRule="auto"/>
              <w:ind w:firstLine="480"/>
              <w:rPr>
                <w:color w:val="auto"/>
                <w:sz w:val="24"/>
              </w:rPr>
            </w:pPr>
            <w:r>
              <w:rPr>
                <w:color w:val="auto"/>
                <w:sz w:val="24"/>
              </w:rPr>
              <w:t>项目装饰工程主要为</w:t>
            </w:r>
            <w:r>
              <w:rPr>
                <w:rFonts w:hint="eastAsia"/>
                <w:color w:val="auto"/>
                <w:sz w:val="24"/>
              </w:rPr>
              <w:t>新建</w:t>
            </w:r>
            <w:r>
              <w:rPr>
                <w:color w:val="auto"/>
                <w:sz w:val="24"/>
              </w:rPr>
              <w:t>建筑物室内外装修</w:t>
            </w:r>
            <w:r>
              <w:rPr>
                <w:rFonts w:hint="eastAsia"/>
                <w:color w:val="auto"/>
                <w:sz w:val="24"/>
              </w:rPr>
              <w:t>及杨广卫生院业务门诊楼1号楼进行改造和装修</w:t>
            </w:r>
            <w:r>
              <w:rPr>
                <w:color w:val="auto"/>
                <w:sz w:val="24"/>
              </w:rPr>
              <w:t>等</w:t>
            </w:r>
            <w:r>
              <w:rPr>
                <w:rFonts w:hint="eastAsia"/>
                <w:color w:val="auto"/>
                <w:sz w:val="24"/>
              </w:rPr>
              <w:t>，</w:t>
            </w:r>
            <w:r>
              <w:rPr>
                <w:color w:val="auto"/>
                <w:sz w:val="24"/>
              </w:rPr>
              <w:t>室内外装饰包括表面粉刷、油漆、喷涂、裱糊、镶贴装饰等。</w:t>
            </w:r>
            <w:r>
              <w:rPr>
                <w:rFonts w:hint="eastAsia"/>
                <w:color w:val="auto"/>
                <w:sz w:val="24"/>
              </w:rPr>
              <w:t>此过程中使用</w:t>
            </w:r>
            <w:r>
              <w:rPr>
                <w:color w:val="auto"/>
                <w:sz w:val="24"/>
              </w:rPr>
              <w:t>电钻、切割机等施工机械</w:t>
            </w:r>
            <w:r>
              <w:rPr>
                <w:rFonts w:hint="eastAsia"/>
                <w:color w:val="auto"/>
                <w:sz w:val="24"/>
              </w:rPr>
              <w:t>，会</w:t>
            </w:r>
            <w:r>
              <w:rPr>
                <w:color w:val="auto"/>
                <w:sz w:val="24"/>
              </w:rPr>
              <w:t>产生</w:t>
            </w:r>
            <w:r>
              <w:rPr>
                <w:rFonts w:hint="eastAsia"/>
                <w:color w:val="auto"/>
                <w:sz w:val="24"/>
              </w:rPr>
              <w:t>机械</w:t>
            </w:r>
            <w:r>
              <w:rPr>
                <w:color w:val="auto"/>
                <w:sz w:val="24"/>
              </w:rPr>
              <w:t>噪声</w:t>
            </w:r>
            <w:r>
              <w:rPr>
                <w:rFonts w:hint="eastAsia"/>
                <w:color w:val="auto"/>
                <w:sz w:val="24"/>
              </w:rPr>
              <w:t>，此外，此</w:t>
            </w:r>
            <w:r>
              <w:rPr>
                <w:color w:val="auto"/>
                <w:sz w:val="24"/>
              </w:rPr>
              <w:t>过程</w:t>
            </w:r>
            <w:r>
              <w:rPr>
                <w:rFonts w:hint="eastAsia"/>
                <w:color w:val="auto"/>
                <w:sz w:val="24"/>
              </w:rPr>
              <w:t>还会产生</w:t>
            </w:r>
            <w:r>
              <w:rPr>
                <w:rFonts w:hint="eastAsia"/>
                <w:color w:val="auto"/>
                <w:sz w:val="24"/>
                <w:lang w:val="zh-CN"/>
              </w:rPr>
              <w:t>装修废气、建筑垃圾</w:t>
            </w:r>
            <w:r>
              <w:rPr>
                <w:rFonts w:hint="eastAsia"/>
                <w:color w:val="auto"/>
                <w:sz w:val="24"/>
              </w:rPr>
              <w:t>。</w:t>
            </w:r>
          </w:p>
          <w:p w14:paraId="082F0538">
            <w:pPr>
              <w:adjustRightInd w:val="0"/>
              <w:snapToGrid w:val="0"/>
              <w:spacing w:line="360" w:lineRule="auto"/>
              <w:ind w:firstLine="480" w:firstLineChars="200"/>
              <w:rPr>
                <w:color w:val="auto"/>
                <w:sz w:val="24"/>
              </w:rPr>
            </w:pPr>
            <w:r>
              <w:rPr>
                <w:rFonts w:hint="eastAsia"/>
                <w:color w:val="auto"/>
                <w:sz w:val="24"/>
              </w:rPr>
              <w:t>（5）环保工程</w:t>
            </w:r>
          </w:p>
          <w:p w14:paraId="0EE7E753">
            <w:pPr>
              <w:adjustRightInd w:val="0"/>
              <w:snapToGrid w:val="0"/>
              <w:spacing w:line="360" w:lineRule="auto"/>
              <w:ind w:firstLine="480" w:firstLineChars="200"/>
              <w:rPr>
                <w:color w:val="auto"/>
                <w:sz w:val="24"/>
              </w:rPr>
            </w:pPr>
            <w:r>
              <w:rPr>
                <w:rFonts w:hint="eastAsia"/>
                <w:color w:val="auto"/>
                <w:sz w:val="24"/>
              </w:rPr>
              <w:t>项目环保工程主要是综合废水化粪池开挖，雨污管网布设、绿化工程的建设以及污水处理站的改造等。施工期间以人力施工为主，在</w:t>
            </w:r>
            <w:r>
              <w:rPr>
                <w:color w:val="auto"/>
                <w:sz w:val="24"/>
              </w:rPr>
              <w:t>主体工程基本完成后实施。施工过程中主要</w:t>
            </w:r>
            <w:r>
              <w:rPr>
                <w:rFonts w:hint="eastAsia"/>
                <w:color w:val="auto"/>
                <w:sz w:val="24"/>
              </w:rPr>
              <w:t>产生建筑垃圾、扬尘、机械废气、施工废水、机械</w:t>
            </w:r>
            <w:r>
              <w:rPr>
                <w:color w:val="auto"/>
                <w:sz w:val="24"/>
              </w:rPr>
              <w:t>噪声</w:t>
            </w:r>
            <w:r>
              <w:rPr>
                <w:rFonts w:hint="eastAsia"/>
                <w:color w:val="auto"/>
                <w:sz w:val="24"/>
              </w:rPr>
              <w:t>。</w:t>
            </w:r>
          </w:p>
          <w:p w14:paraId="71A2148B">
            <w:pPr>
              <w:spacing w:line="360" w:lineRule="auto"/>
              <w:jc w:val="left"/>
              <w:outlineLvl w:val="0"/>
              <w:rPr>
                <w:b/>
                <w:bCs/>
                <w:color w:val="auto"/>
                <w:sz w:val="24"/>
              </w:rPr>
            </w:pPr>
            <w:bookmarkStart w:id="40" w:name="_Toc14648"/>
            <w:r>
              <w:rPr>
                <w:b/>
                <w:bCs/>
                <w:color w:val="auto"/>
                <w:sz w:val="24"/>
              </w:rPr>
              <w:t>十</w:t>
            </w:r>
            <w:r>
              <w:rPr>
                <w:rFonts w:hint="eastAsia"/>
                <w:b/>
                <w:bCs/>
                <w:color w:val="auto"/>
                <w:sz w:val="24"/>
              </w:rPr>
              <w:t>二</w:t>
            </w:r>
            <w:r>
              <w:rPr>
                <w:b/>
                <w:bCs/>
                <w:color w:val="auto"/>
                <w:sz w:val="24"/>
              </w:rPr>
              <w:t>、运营期工艺流程及产污节点分析</w:t>
            </w:r>
            <w:bookmarkEnd w:id="40"/>
          </w:p>
          <w:p w14:paraId="71FB1DF1">
            <w:pPr>
              <w:pStyle w:val="58"/>
              <w:spacing w:before="120" w:beforeLines="50" w:line="360" w:lineRule="auto"/>
              <w:jc w:val="center"/>
              <w:rPr>
                <w:rFonts w:ascii="Times New Roman" w:eastAsia="宋体" w:cs="Times New Roman"/>
                <w:b/>
                <w:bCs/>
                <w:color w:val="auto"/>
              </w:rPr>
            </w:pPr>
            <w:r>
              <w:rPr>
                <w:rFonts w:hint="eastAsia"/>
                <w:color w:val="auto"/>
              </w:rPr>
              <w:drawing>
                <wp:inline distT="0" distB="0" distL="0" distR="0">
                  <wp:extent cx="5105400" cy="1285875"/>
                  <wp:effectExtent l="0" t="0" r="0" b="0"/>
                  <wp:docPr id="7"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05400" cy="1285875"/>
                          </a:xfrm>
                          <a:prstGeom prst="rect">
                            <a:avLst/>
                          </a:prstGeom>
                          <a:noFill/>
                          <a:ln>
                            <a:noFill/>
                          </a:ln>
                          <a:effectLst/>
                        </pic:spPr>
                      </pic:pic>
                    </a:graphicData>
                  </a:graphic>
                </wp:inline>
              </w:drawing>
            </w:r>
          </w:p>
          <w:p w14:paraId="49B893B9">
            <w:pPr>
              <w:pStyle w:val="58"/>
              <w:spacing w:before="120" w:beforeLines="50" w:line="360" w:lineRule="auto"/>
              <w:jc w:val="center"/>
              <w:rPr>
                <w:rFonts w:ascii="Times New Roman" w:eastAsia="宋体" w:cs="Times New Roman"/>
                <w:b/>
                <w:bCs/>
                <w:color w:val="auto"/>
              </w:rPr>
            </w:pPr>
            <w:r>
              <w:rPr>
                <w:rFonts w:ascii="Times New Roman" w:eastAsia="宋体" w:cs="Times New Roman"/>
                <w:b/>
                <w:bCs/>
                <w:color w:val="auto"/>
              </w:rPr>
              <w:t>图2-</w:t>
            </w:r>
            <w:r>
              <w:rPr>
                <w:rFonts w:hint="eastAsia" w:ascii="Times New Roman" w:eastAsia="宋体" w:cs="Times New Roman"/>
                <w:b/>
                <w:bCs/>
                <w:color w:val="auto"/>
              </w:rPr>
              <w:t>7 项目运营期诊疗流程图</w:t>
            </w:r>
          </w:p>
          <w:p w14:paraId="4907ECB5">
            <w:pPr>
              <w:adjustRightInd w:val="0"/>
              <w:snapToGrid w:val="0"/>
              <w:spacing w:line="360" w:lineRule="auto"/>
              <w:ind w:firstLine="482" w:firstLineChars="200"/>
              <w:rPr>
                <w:color w:val="auto"/>
                <w:sz w:val="24"/>
              </w:rPr>
            </w:pPr>
            <w:r>
              <w:rPr>
                <w:rFonts w:hint="eastAsia"/>
                <w:b/>
                <w:bCs/>
                <w:color w:val="auto"/>
                <w:sz w:val="24"/>
              </w:rPr>
              <w:t>（1）</w:t>
            </w:r>
            <w:r>
              <w:rPr>
                <w:b/>
                <w:bCs/>
                <w:color w:val="auto"/>
                <w:sz w:val="24"/>
              </w:rPr>
              <w:t>诊疗流程：</w:t>
            </w:r>
            <w:r>
              <w:rPr>
                <w:color w:val="auto"/>
                <w:sz w:val="24"/>
              </w:rPr>
              <w:t>本项目为</w:t>
            </w:r>
            <w:r>
              <w:rPr>
                <w:rFonts w:hint="eastAsia"/>
                <w:color w:val="auto"/>
                <w:sz w:val="24"/>
              </w:rPr>
              <w:t>卫生院扩建项目</w:t>
            </w:r>
            <w:r>
              <w:rPr>
                <w:color w:val="auto"/>
                <w:sz w:val="24"/>
              </w:rPr>
              <w:t>，根据病况分挂不同诊室诊号之后，至各诊室就诊，医生进行初步诊断后，根据病人实际情况开具处方、住院单或检查单，病人缴费后按单取药、住院或者接受各项检查，之后输液、打针或是进行康复治疗，治疗结束后病患出院离开。</w:t>
            </w:r>
          </w:p>
          <w:p w14:paraId="5010C70D">
            <w:pPr>
              <w:pStyle w:val="131"/>
              <w:ind w:firstLine="482"/>
              <w:rPr>
                <w:color w:val="auto"/>
              </w:rPr>
            </w:pPr>
            <w:r>
              <w:rPr>
                <w:rFonts w:hint="eastAsia"/>
                <w:b/>
                <w:bCs/>
                <w:color w:val="auto"/>
                <w:szCs w:val="24"/>
              </w:rPr>
              <w:t>（2）产污节点分析</w:t>
            </w:r>
            <w:r>
              <w:rPr>
                <w:b/>
                <w:bCs/>
                <w:color w:val="auto"/>
                <w:szCs w:val="24"/>
              </w:rPr>
              <w:t>：</w:t>
            </w:r>
            <w:r>
              <w:rPr>
                <w:rFonts w:hint="eastAsia"/>
                <w:color w:val="auto"/>
                <w:szCs w:val="24"/>
              </w:rPr>
              <w:t>本</w:t>
            </w:r>
            <w:r>
              <w:rPr>
                <w:color w:val="auto"/>
              </w:rPr>
              <w:t>项目运营期间产生</w:t>
            </w:r>
            <w:r>
              <w:rPr>
                <w:rFonts w:hint="eastAsia"/>
                <w:color w:val="auto"/>
              </w:rPr>
              <w:t>的</w:t>
            </w:r>
            <w:r>
              <w:rPr>
                <w:color w:val="auto"/>
              </w:rPr>
              <w:t>污染物主要为废水、废气、噪声和固体废物。废气主要为</w:t>
            </w:r>
            <w:r>
              <w:rPr>
                <w:rFonts w:hint="eastAsia"/>
                <w:color w:val="auto"/>
              </w:rPr>
              <w:t>污水处理站、化粪池、垃圾收集桶/箱运行时产生的恶臭、备用柴油发电机废气等</w:t>
            </w:r>
            <w:r>
              <w:rPr>
                <w:color w:val="auto"/>
              </w:rPr>
              <w:t>；废水主要为</w:t>
            </w:r>
            <w:r>
              <w:rPr>
                <w:rFonts w:hint="eastAsia"/>
                <w:color w:val="auto"/>
              </w:rPr>
              <w:t>项目诊</w:t>
            </w:r>
            <w:r>
              <w:rPr>
                <w:color w:val="auto"/>
              </w:rPr>
              <w:t>废水、</w:t>
            </w:r>
            <w:r>
              <w:rPr>
                <w:rFonts w:hint="eastAsia"/>
                <w:color w:val="auto"/>
              </w:rPr>
              <w:t>住院</w:t>
            </w:r>
            <w:r>
              <w:rPr>
                <w:color w:val="auto"/>
              </w:rPr>
              <w:t>病房废水</w:t>
            </w:r>
            <w:r>
              <w:rPr>
                <w:rFonts w:hint="eastAsia"/>
                <w:color w:val="auto"/>
              </w:rPr>
              <w:t>、</w:t>
            </w:r>
            <w:r>
              <w:rPr>
                <w:color w:val="auto"/>
              </w:rPr>
              <w:t>检验废水</w:t>
            </w:r>
            <w:r>
              <w:rPr>
                <w:rFonts w:hint="eastAsia"/>
                <w:color w:val="auto"/>
              </w:rPr>
              <w:t>（四街卫生院、纳古卫生院）</w:t>
            </w:r>
            <w:r>
              <w:rPr>
                <w:color w:val="auto"/>
              </w:rPr>
              <w:t>、</w:t>
            </w:r>
            <w:r>
              <w:rPr>
                <w:rFonts w:hint="eastAsia"/>
                <w:color w:val="auto"/>
              </w:rPr>
              <w:t>煎药设备清洗废水（四街卫生院）、洗衣房废水（杨广卫生院）；</w:t>
            </w:r>
            <w:r>
              <w:rPr>
                <w:color w:val="auto"/>
              </w:rPr>
              <w:t>噪声主要</w:t>
            </w:r>
            <w:r>
              <w:rPr>
                <w:rFonts w:hint="eastAsia"/>
                <w:color w:val="auto"/>
              </w:rPr>
              <w:t>为设备噪声</w:t>
            </w:r>
            <w:r>
              <w:rPr>
                <w:color w:val="auto"/>
              </w:rPr>
              <w:t>；固体废物主要为</w:t>
            </w:r>
            <w:r>
              <w:rPr>
                <w:rFonts w:hint="eastAsia"/>
                <w:color w:val="auto"/>
              </w:rPr>
              <w:t>医疗废物、中药渣（四街卫生院）、</w:t>
            </w:r>
            <w:r>
              <w:rPr>
                <w:color w:val="auto"/>
              </w:rPr>
              <w:t>化粪池和</w:t>
            </w:r>
            <w:r>
              <w:rPr>
                <w:rFonts w:hint="eastAsia"/>
                <w:color w:val="auto"/>
              </w:rPr>
              <w:t>污水处理设施污泥、生活垃圾</w:t>
            </w:r>
            <w:r>
              <w:rPr>
                <w:color w:val="auto"/>
              </w:rPr>
              <w:t>。</w:t>
            </w:r>
          </w:p>
          <w:p w14:paraId="2EB11BC2">
            <w:pPr>
              <w:pStyle w:val="131"/>
              <w:ind w:firstLine="480"/>
              <w:rPr>
                <w:color w:val="auto"/>
              </w:rPr>
            </w:pPr>
          </w:p>
          <w:p w14:paraId="5B82B9BE">
            <w:pPr>
              <w:pStyle w:val="131"/>
              <w:ind w:firstLine="480"/>
              <w:rPr>
                <w:color w:val="auto"/>
              </w:rPr>
            </w:pPr>
          </w:p>
          <w:p w14:paraId="411C86D0">
            <w:pPr>
              <w:pStyle w:val="131"/>
              <w:ind w:firstLine="480"/>
              <w:rPr>
                <w:color w:val="auto"/>
              </w:rPr>
            </w:pPr>
          </w:p>
          <w:p w14:paraId="7E6CBCC4">
            <w:pPr>
              <w:pStyle w:val="131"/>
              <w:ind w:firstLine="480"/>
              <w:rPr>
                <w:color w:val="auto"/>
              </w:rPr>
            </w:pPr>
          </w:p>
          <w:p w14:paraId="2C9297ED">
            <w:pPr>
              <w:pStyle w:val="131"/>
              <w:ind w:firstLine="480"/>
              <w:rPr>
                <w:color w:val="auto"/>
              </w:rPr>
            </w:pPr>
          </w:p>
          <w:p w14:paraId="0EDB2828">
            <w:pPr>
              <w:pStyle w:val="131"/>
              <w:ind w:firstLine="480"/>
              <w:rPr>
                <w:color w:val="auto"/>
              </w:rPr>
            </w:pPr>
          </w:p>
          <w:p w14:paraId="08A03DD5">
            <w:pPr>
              <w:pStyle w:val="131"/>
              <w:ind w:firstLine="480"/>
              <w:rPr>
                <w:color w:val="auto"/>
              </w:rPr>
            </w:pPr>
          </w:p>
          <w:p w14:paraId="72CBDEAF">
            <w:pPr>
              <w:pStyle w:val="131"/>
              <w:ind w:firstLine="480"/>
              <w:rPr>
                <w:color w:val="auto"/>
              </w:rPr>
            </w:pPr>
          </w:p>
          <w:p w14:paraId="2FFAAADF">
            <w:pPr>
              <w:spacing w:line="360" w:lineRule="auto"/>
              <w:jc w:val="center"/>
              <w:rPr>
                <w:b/>
                <w:bCs/>
                <w:color w:val="auto"/>
              </w:rPr>
            </w:pPr>
            <w:r>
              <w:rPr>
                <w:b/>
                <w:bCs/>
                <w:color w:val="auto"/>
              </w:rPr>
              <w:object>
                <v:shape id="_x0000_i1031" o:spt="75" type="#_x0000_t75" style="height:486pt;width:401.25pt;" o:ole="t" filled="f" o:preferrelative="t" stroked="f" coordsize="21600,21600">
                  <v:path/>
                  <v:fill on="f" focussize="0,0"/>
                  <v:stroke on="f"/>
                  <v:imagedata r:id="rId24" o:title=""/>
                  <o:lock v:ext="edit" aspectratio="f"/>
                  <w10:wrap type="none"/>
                  <w10:anchorlock/>
                </v:shape>
                <o:OLEObject Type="Embed" ProgID="Visio.Drawing.15" ShapeID="_x0000_i1031" DrawAspect="Content" ObjectID="_1468075731" r:id="rId23">
                  <o:LockedField>false</o:LockedField>
                </o:OLEObject>
              </w:object>
            </w:r>
            <w:r>
              <w:rPr>
                <w:b/>
                <w:bCs/>
                <w:color w:val="auto"/>
              </w:rPr>
              <w:t>图</w:t>
            </w:r>
            <w:r>
              <w:rPr>
                <w:rFonts w:hint="eastAsia"/>
                <w:b/>
                <w:bCs/>
                <w:color w:val="auto"/>
              </w:rPr>
              <w:t>2</w:t>
            </w:r>
            <w:r>
              <w:rPr>
                <w:b/>
                <w:bCs/>
                <w:color w:val="auto"/>
              </w:rPr>
              <w:t>-</w:t>
            </w:r>
            <w:r>
              <w:rPr>
                <w:rFonts w:hint="eastAsia"/>
                <w:b/>
                <w:bCs/>
                <w:color w:val="auto"/>
              </w:rPr>
              <w:t xml:space="preserve">8 </w:t>
            </w:r>
            <w:r>
              <w:rPr>
                <w:b/>
                <w:bCs/>
                <w:color w:val="auto"/>
              </w:rPr>
              <w:t xml:space="preserve"> </w:t>
            </w:r>
            <w:r>
              <w:rPr>
                <w:rFonts w:hint="eastAsia"/>
                <w:b/>
                <w:bCs/>
                <w:color w:val="auto"/>
              </w:rPr>
              <w:t>本</w:t>
            </w:r>
            <w:r>
              <w:rPr>
                <w:b/>
                <w:bCs/>
                <w:color w:val="auto"/>
              </w:rPr>
              <w:t>项目</w:t>
            </w:r>
            <w:r>
              <w:rPr>
                <w:rFonts w:hint="eastAsia"/>
                <w:b/>
                <w:bCs/>
                <w:color w:val="auto"/>
              </w:rPr>
              <w:t>（纳古卫生院）</w:t>
            </w:r>
            <w:r>
              <w:rPr>
                <w:b/>
                <w:bCs/>
                <w:color w:val="auto"/>
              </w:rPr>
              <w:t>运营期</w:t>
            </w:r>
            <w:r>
              <w:rPr>
                <w:rFonts w:hint="eastAsia"/>
                <w:b/>
                <w:bCs/>
                <w:color w:val="auto"/>
              </w:rPr>
              <w:t>诊产污节点</w:t>
            </w:r>
            <w:r>
              <w:rPr>
                <w:b/>
                <w:bCs/>
                <w:color w:val="auto"/>
              </w:rPr>
              <w:t>图</w:t>
            </w:r>
          </w:p>
          <w:p w14:paraId="3E79E7FB">
            <w:pPr>
              <w:spacing w:line="360" w:lineRule="auto"/>
              <w:jc w:val="center"/>
              <w:rPr>
                <w:b/>
                <w:bCs/>
                <w:color w:val="auto"/>
              </w:rPr>
            </w:pPr>
          </w:p>
          <w:p w14:paraId="65C56026">
            <w:pPr>
              <w:spacing w:line="360" w:lineRule="auto"/>
              <w:jc w:val="center"/>
              <w:rPr>
                <w:b/>
                <w:bCs/>
                <w:color w:val="auto"/>
              </w:rPr>
            </w:pPr>
          </w:p>
          <w:p w14:paraId="60067515">
            <w:pPr>
              <w:spacing w:line="360" w:lineRule="auto"/>
              <w:jc w:val="center"/>
              <w:rPr>
                <w:b/>
                <w:bCs/>
                <w:color w:val="auto"/>
              </w:rPr>
            </w:pPr>
          </w:p>
          <w:p w14:paraId="72C69A51">
            <w:pPr>
              <w:spacing w:line="360" w:lineRule="auto"/>
              <w:jc w:val="center"/>
              <w:rPr>
                <w:b/>
                <w:bCs/>
                <w:color w:val="auto"/>
              </w:rPr>
            </w:pPr>
          </w:p>
          <w:p w14:paraId="481B00A6">
            <w:pPr>
              <w:spacing w:line="360" w:lineRule="auto"/>
              <w:jc w:val="center"/>
              <w:rPr>
                <w:b/>
                <w:bCs/>
                <w:color w:val="auto"/>
              </w:rPr>
            </w:pPr>
          </w:p>
          <w:p w14:paraId="4EF4B772">
            <w:pPr>
              <w:spacing w:line="360" w:lineRule="auto"/>
              <w:jc w:val="center"/>
              <w:rPr>
                <w:b/>
                <w:bCs/>
                <w:color w:val="auto"/>
              </w:rPr>
            </w:pPr>
          </w:p>
          <w:p w14:paraId="1D2E73C5">
            <w:pPr>
              <w:spacing w:line="360" w:lineRule="auto"/>
              <w:jc w:val="center"/>
              <w:rPr>
                <w:b/>
                <w:bCs/>
                <w:color w:val="auto"/>
              </w:rPr>
            </w:pPr>
          </w:p>
          <w:p w14:paraId="1A1C20DD">
            <w:pPr>
              <w:spacing w:line="360" w:lineRule="auto"/>
              <w:jc w:val="center"/>
              <w:rPr>
                <w:b/>
                <w:bCs/>
                <w:color w:val="auto"/>
              </w:rPr>
            </w:pPr>
          </w:p>
          <w:p w14:paraId="44257F06">
            <w:pPr>
              <w:spacing w:line="360" w:lineRule="auto"/>
              <w:jc w:val="center"/>
              <w:rPr>
                <w:b/>
                <w:bCs/>
                <w:color w:val="auto"/>
              </w:rPr>
            </w:pPr>
            <w:r>
              <w:rPr>
                <w:b/>
                <w:bCs/>
                <w:color w:val="auto"/>
              </w:rPr>
              <w:object>
                <v:shape id="_x0000_i1032" o:spt="75" type="#_x0000_t75" style="height:508.5pt;width:401.25pt;" o:ole="t" filled="f" o:preferrelative="t" stroked="f" coordsize="21600,21600">
                  <v:path/>
                  <v:fill on="f" focussize="0,0"/>
                  <v:stroke on="f"/>
                  <v:imagedata r:id="rId26" o:title=""/>
                  <o:lock v:ext="edit" aspectratio="f"/>
                  <w10:wrap type="none"/>
                  <w10:anchorlock/>
                </v:shape>
                <o:OLEObject Type="Embed" ProgID="Visio.Drawing.15" ShapeID="_x0000_i1032" DrawAspect="Content" ObjectID="_1468075732" r:id="rId25">
                  <o:LockedField>false</o:LockedField>
                </o:OLEObject>
              </w:object>
            </w:r>
          </w:p>
          <w:p w14:paraId="6D86E09E">
            <w:pPr>
              <w:spacing w:line="360" w:lineRule="auto"/>
              <w:jc w:val="center"/>
              <w:rPr>
                <w:color w:val="auto"/>
              </w:rPr>
            </w:pPr>
            <w:r>
              <w:rPr>
                <w:b/>
                <w:bCs/>
                <w:color w:val="auto"/>
              </w:rPr>
              <w:t>图</w:t>
            </w:r>
            <w:r>
              <w:rPr>
                <w:rFonts w:hint="eastAsia"/>
                <w:b/>
                <w:bCs/>
                <w:color w:val="auto"/>
              </w:rPr>
              <w:t>2</w:t>
            </w:r>
            <w:r>
              <w:rPr>
                <w:b/>
                <w:bCs/>
                <w:color w:val="auto"/>
              </w:rPr>
              <w:t>-</w:t>
            </w:r>
            <w:r>
              <w:rPr>
                <w:rFonts w:hint="eastAsia"/>
                <w:b/>
                <w:bCs/>
                <w:color w:val="auto"/>
              </w:rPr>
              <w:t xml:space="preserve">9 </w:t>
            </w:r>
            <w:r>
              <w:rPr>
                <w:b/>
                <w:bCs/>
                <w:color w:val="auto"/>
              </w:rPr>
              <w:t xml:space="preserve"> </w:t>
            </w:r>
            <w:r>
              <w:rPr>
                <w:rFonts w:hint="eastAsia"/>
                <w:b/>
                <w:bCs/>
                <w:color w:val="auto"/>
              </w:rPr>
              <w:t>本</w:t>
            </w:r>
            <w:r>
              <w:rPr>
                <w:b/>
                <w:bCs/>
                <w:color w:val="auto"/>
              </w:rPr>
              <w:t>项目</w:t>
            </w:r>
            <w:r>
              <w:rPr>
                <w:rFonts w:hint="eastAsia"/>
                <w:b/>
                <w:bCs/>
                <w:color w:val="auto"/>
              </w:rPr>
              <w:t>（四街卫生院）</w:t>
            </w:r>
            <w:r>
              <w:rPr>
                <w:b/>
                <w:bCs/>
                <w:color w:val="auto"/>
              </w:rPr>
              <w:t>运营期</w:t>
            </w:r>
            <w:r>
              <w:rPr>
                <w:rFonts w:hint="eastAsia"/>
                <w:b/>
                <w:bCs/>
                <w:color w:val="auto"/>
              </w:rPr>
              <w:t>诊产污节点</w:t>
            </w:r>
            <w:r>
              <w:rPr>
                <w:b/>
                <w:bCs/>
                <w:color w:val="auto"/>
              </w:rPr>
              <w:t>图</w:t>
            </w:r>
          </w:p>
          <w:p w14:paraId="6A640CA0">
            <w:pPr>
              <w:pStyle w:val="14"/>
              <w:rPr>
                <w:color w:val="auto"/>
              </w:rPr>
            </w:pPr>
          </w:p>
          <w:p w14:paraId="1B454073">
            <w:pPr>
              <w:rPr>
                <w:color w:val="auto"/>
              </w:rPr>
            </w:pPr>
          </w:p>
          <w:p w14:paraId="4AC64BF3">
            <w:pPr>
              <w:rPr>
                <w:color w:val="auto"/>
              </w:rPr>
            </w:pPr>
          </w:p>
          <w:p w14:paraId="345C90C1">
            <w:pPr>
              <w:rPr>
                <w:color w:val="auto"/>
              </w:rPr>
            </w:pPr>
          </w:p>
          <w:p w14:paraId="5E2A1008">
            <w:pPr>
              <w:rPr>
                <w:color w:val="auto"/>
              </w:rPr>
            </w:pPr>
          </w:p>
          <w:p w14:paraId="0EB5ED88">
            <w:pPr>
              <w:rPr>
                <w:color w:val="auto"/>
              </w:rPr>
            </w:pPr>
          </w:p>
          <w:p w14:paraId="74664016">
            <w:pPr>
              <w:rPr>
                <w:color w:val="auto"/>
              </w:rPr>
            </w:pPr>
          </w:p>
          <w:p w14:paraId="11B5895A">
            <w:pPr>
              <w:rPr>
                <w:color w:val="auto"/>
              </w:rPr>
            </w:pPr>
          </w:p>
          <w:p w14:paraId="7C62F0D2">
            <w:pPr>
              <w:rPr>
                <w:color w:val="auto"/>
              </w:rPr>
            </w:pPr>
          </w:p>
          <w:p w14:paraId="7ABDB227">
            <w:pPr>
              <w:rPr>
                <w:color w:val="auto"/>
              </w:rPr>
            </w:pPr>
            <w:r>
              <w:rPr>
                <w:b/>
                <w:bCs/>
                <w:color w:val="auto"/>
              </w:rPr>
              <w:object>
                <v:shape id="_x0000_i1033" o:spt="75" type="#_x0000_t75" style="height:486pt;width:401.25pt;" o:ole="t" filled="f" o:preferrelative="t" stroked="f" coordsize="21600,21600">
                  <v:path/>
                  <v:fill on="f" focussize="0,0"/>
                  <v:stroke on="f"/>
                  <v:imagedata r:id="rId28" o:title=""/>
                  <o:lock v:ext="edit" aspectratio="f"/>
                  <w10:wrap type="none"/>
                  <w10:anchorlock/>
                </v:shape>
                <o:OLEObject Type="Embed" ProgID="Visio.Drawing.15" ShapeID="_x0000_i1033" DrawAspect="Content" ObjectID="_1468075733" r:id="rId27">
                  <o:LockedField>false</o:LockedField>
                </o:OLEObject>
              </w:object>
            </w:r>
          </w:p>
          <w:p w14:paraId="5A688AC3">
            <w:pPr>
              <w:rPr>
                <w:color w:val="auto"/>
              </w:rPr>
            </w:pPr>
          </w:p>
          <w:p w14:paraId="77A039C5">
            <w:pPr>
              <w:spacing w:line="360" w:lineRule="auto"/>
              <w:jc w:val="center"/>
              <w:rPr>
                <w:b/>
                <w:bCs/>
                <w:color w:val="auto"/>
                <w:sz w:val="24"/>
              </w:rPr>
            </w:pPr>
            <w:r>
              <w:rPr>
                <w:b/>
                <w:bCs/>
                <w:color w:val="auto"/>
                <w:sz w:val="24"/>
              </w:rPr>
              <w:t>图</w:t>
            </w:r>
            <w:r>
              <w:rPr>
                <w:rFonts w:hint="eastAsia"/>
                <w:b/>
                <w:bCs/>
                <w:color w:val="auto"/>
                <w:sz w:val="24"/>
              </w:rPr>
              <w:t>2</w:t>
            </w:r>
            <w:r>
              <w:rPr>
                <w:b/>
                <w:bCs/>
                <w:color w:val="auto"/>
                <w:sz w:val="24"/>
              </w:rPr>
              <w:t>-</w:t>
            </w:r>
            <w:r>
              <w:rPr>
                <w:rFonts w:hint="eastAsia"/>
                <w:b/>
                <w:bCs/>
                <w:color w:val="auto"/>
                <w:sz w:val="24"/>
              </w:rPr>
              <w:t xml:space="preserve">10 </w:t>
            </w:r>
            <w:r>
              <w:rPr>
                <w:b/>
                <w:bCs/>
                <w:color w:val="auto"/>
                <w:sz w:val="24"/>
              </w:rPr>
              <w:t xml:space="preserve"> </w:t>
            </w:r>
            <w:r>
              <w:rPr>
                <w:rFonts w:hint="eastAsia"/>
                <w:b/>
                <w:bCs/>
                <w:color w:val="auto"/>
                <w:sz w:val="24"/>
              </w:rPr>
              <w:t>本</w:t>
            </w:r>
            <w:r>
              <w:rPr>
                <w:b/>
                <w:bCs/>
                <w:color w:val="auto"/>
                <w:sz w:val="24"/>
              </w:rPr>
              <w:t>项目</w:t>
            </w:r>
            <w:r>
              <w:rPr>
                <w:rFonts w:hint="eastAsia"/>
                <w:b/>
                <w:bCs/>
                <w:color w:val="auto"/>
                <w:sz w:val="24"/>
              </w:rPr>
              <w:t>（九龙卫生院）</w:t>
            </w:r>
            <w:r>
              <w:rPr>
                <w:b/>
                <w:bCs/>
                <w:color w:val="auto"/>
                <w:sz w:val="24"/>
              </w:rPr>
              <w:t>运营期</w:t>
            </w:r>
            <w:r>
              <w:rPr>
                <w:rFonts w:hint="eastAsia"/>
                <w:b/>
                <w:bCs/>
                <w:color w:val="auto"/>
                <w:sz w:val="24"/>
              </w:rPr>
              <w:t>诊产污节点</w:t>
            </w:r>
            <w:r>
              <w:rPr>
                <w:b/>
                <w:bCs/>
                <w:color w:val="auto"/>
                <w:sz w:val="24"/>
              </w:rPr>
              <w:t>图</w:t>
            </w:r>
          </w:p>
          <w:p w14:paraId="58D54016">
            <w:pPr>
              <w:spacing w:line="360" w:lineRule="auto"/>
              <w:jc w:val="center"/>
              <w:rPr>
                <w:b/>
                <w:bCs/>
                <w:color w:val="auto"/>
                <w:sz w:val="24"/>
              </w:rPr>
            </w:pPr>
          </w:p>
          <w:p w14:paraId="08088036">
            <w:pPr>
              <w:spacing w:line="360" w:lineRule="auto"/>
              <w:jc w:val="center"/>
              <w:rPr>
                <w:b/>
                <w:bCs/>
                <w:color w:val="auto"/>
              </w:rPr>
            </w:pPr>
            <w:r>
              <w:rPr>
                <w:b/>
                <w:bCs/>
                <w:color w:val="auto"/>
              </w:rPr>
              <w:object>
                <v:shape id="_x0000_i1034" o:spt="75" type="#_x0000_t75" style="height:457.5pt;width:401.25pt;" o:ole="t" filled="f" o:preferrelative="t" stroked="f" coordsize="21600,21600">
                  <v:path/>
                  <v:fill on="f" focussize="0,0"/>
                  <v:stroke on="f"/>
                  <v:imagedata r:id="rId30" o:title=""/>
                  <o:lock v:ext="edit" aspectratio="f"/>
                  <w10:wrap type="none"/>
                  <w10:anchorlock/>
                </v:shape>
                <o:OLEObject Type="Embed" ProgID="Visio.Drawing.15" ShapeID="_x0000_i1034" DrawAspect="Content" ObjectID="_1468075734" r:id="rId29">
                  <o:LockedField>false</o:LockedField>
                </o:OLEObject>
              </w:object>
            </w:r>
          </w:p>
          <w:p w14:paraId="492B4087">
            <w:pPr>
              <w:spacing w:line="360" w:lineRule="auto"/>
              <w:jc w:val="center"/>
              <w:rPr>
                <w:color w:val="auto"/>
              </w:rPr>
            </w:pPr>
            <w:r>
              <w:rPr>
                <w:b/>
                <w:bCs/>
                <w:color w:val="auto"/>
              </w:rPr>
              <w:t>图</w:t>
            </w:r>
            <w:r>
              <w:rPr>
                <w:rFonts w:hint="eastAsia"/>
                <w:b/>
                <w:bCs/>
                <w:color w:val="auto"/>
              </w:rPr>
              <w:t>2</w:t>
            </w:r>
            <w:r>
              <w:rPr>
                <w:b/>
                <w:bCs/>
                <w:color w:val="auto"/>
              </w:rPr>
              <w:t>-</w:t>
            </w:r>
            <w:r>
              <w:rPr>
                <w:rFonts w:hint="eastAsia"/>
                <w:b/>
                <w:bCs/>
                <w:color w:val="auto"/>
              </w:rPr>
              <w:t xml:space="preserve">11 </w:t>
            </w:r>
            <w:r>
              <w:rPr>
                <w:b/>
                <w:bCs/>
                <w:color w:val="auto"/>
              </w:rPr>
              <w:t xml:space="preserve"> </w:t>
            </w:r>
            <w:r>
              <w:rPr>
                <w:rFonts w:hint="eastAsia"/>
                <w:b/>
                <w:bCs/>
                <w:color w:val="auto"/>
              </w:rPr>
              <w:t>本</w:t>
            </w:r>
            <w:r>
              <w:rPr>
                <w:b/>
                <w:bCs/>
                <w:color w:val="auto"/>
              </w:rPr>
              <w:t>项目</w:t>
            </w:r>
            <w:r>
              <w:rPr>
                <w:rFonts w:hint="eastAsia"/>
                <w:b/>
                <w:bCs/>
                <w:color w:val="auto"/>
              </w:rPr>
              <w:t>（杨广卫生院）</w:t>
            </w:r>
            <w:r>
              <w:rPr>
                <w:b/>
                <w:bCs/>
                <w:color w:val="auto"/>
              </w:rPr>
              <w:t>运营期</w:t>
            </w:r>
            <w:r>
              <w:rPr>
                <w:rFonts w:hint="eastAsia"/>
                <w:b/>
                <w:bCs/>
                <w:color w:val="auto"/>
              </w:rPr>
              <w:t>诊产污节点</w:t>
            </w:r>
            <w:r>
              <w:rPr>
                <w:b/>
                <w:bCs/>
                <w:color w:val="auto"/>
              </w:rPr>
              <w:t>图</w:t>
            </w:r>
          </w:p>
        </w:tc>
      </w:tr>
      <w:tr w14:paraId="4A336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dxa"/>
            <w:vAlign w:val="center"/>
          </w:tcPr>
          <w:p w14:paraId="0162E823">
            <w:pPr>
              <w:pStyle w:val="2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246" w:type="dxa"/>
          </w:tcPr>
          <w:p w14:paraId="4A70467A">
            <w:pPr>
              <w:spacing w:line="360" w:lineRule="auto"/>
              <w:rPr>
                <w:b/>
                <w:color w:val="auto"/>
                <w:sz w:val="24"/>
              </w:rPr>
            </w:pPr>
            <w:r>
              <w:rPr>
                <w:rFonts w:hint="eastAsia"/>
                <w:b/>
                <w:color w:val="auto"/>
                <w:sz w:val="24"/>
              </w:rPr>
              <w:t>1</w:t>
            </w:r>
            <w:r>
              <w:rPr>
                <w:b/>
                <w:color w:val="auto"/>
                <w:sz w:val="24"/>
              </w:rPr>
              <w:t>、</w:t>
            </w:r>
            <w:r>
              <w:rPr>
                <w:rFonts w:hint="eastAsia"/>
                <w:b/>
                <w:color w:val="auto"/>
                <w:sz w:val="24"/>
              </w:rPr>
              <w:t>现有项目概况</w:t>
            </w:r>
          </w:p>
          <w:p w14:paraId="504CA644">
            <w:pPr>
              <w:adjustRightInd w:val="0"/>
              <w:snapToGrid w:val="0"/>
              <w:spacing w:line="360" w:lineRule="auto"/>
              <w:ind w:firstLine="480" w:firstLineChars="200"/>
              <w:rPr>
                <w:color w:val="auto"/>
                <w:sz w:val="24"/>
              </w:rPr>
            </w:pPr>
            <w:r>
              <w:rPr>
                <w:rFonts w:hint="eastAsia"/>
                <w:color w:val="auto"/>
                <w:sz w:val="24"/>
              </w:rPr>
              <w:t>现有项目涉及4个卫生院，分别为纳古卫生院、四街卫生院、九龙卫生院和杨广卫生院。其中，杨广卫生院，位于通海县杨广镇杨广社区居民委员北街12号，总占地面积约3129㎡，为一级甲等综合卫生院，承担着杨广镇10个居委会和2个社区5.2万常住人口的基本医疗和公共卫生服务工作。创建了心脑血管救治站，慢病管理中心以及高血压达标中心。2023年通过省级现场评估验收，达到基层卫生服务能力国家推荐标准。四街卫生院，位于四街集镇朝阳路中段，距县城10公里，占地面积5896㎡，建筑面积4897㎡。开设预防保健科、内科、外科、妇产科、儿科、口腔科、中医科、医学影像科、医学检验科等科室，基层卫生服务能力达到云南省级甲等标准。纳古卫生院，位于纳古镇，占地面积2083.48㎡，距县城13公里，2016年9月由县人民卫生院整体托管，承担着全镇人民的预防保健、基本医疗等工作，达基层卫生服务能力国家基本标准。九龙卫生院</w:t>
            </w:r>
            <w:r>
              <w:rPr>
                <w:rFonts w:hint="eastAsia"/>
                <w:color w:val="auto"/>
                <w:sz w:val="24"/>
                <w:lang w:eastAsia="zh-CN"/>
              </w:rPr>
              <w:t>（</w:t>
            </w:r>
            <w:r>
              <w:rPr>
                <w:rFonts w:hint="eastAsia"/>
                <w:color w:val="auto"/>
                <w:sz w:val="24"/>
                <w:lang w:val="en-US" w:eastAsia="zh-CN"/>
              </w:rPr>
              <w:t>原名九街卫生院，后来更名为九龙卫生院</w:t>
            </w:r>
            <w:r>
              <w:rPr>
                <w:rFonts w:hint="eastAsia"/>
                <w:color w:val="auto"/>
                <w:sz w:val="24"/>
                <w:lang w:eastAsia="zh-CN"/>
              </w:rPr>
              <w:t>）</w:t>
            </w:r>
            <w:r>
              <w:rPr>
                <w:rFonts w:hint="eastAsia"/>
                <w:color w:val="auto"/>
                <w:sz w:val="24"/>
              </w:rPr>
              <w:t>，始建于1969年6月，位于九龙街道九街社区，距县城8公里，是一所集医疗、预防和保健为一体的综合性乡镇卫生院，服务范围包括9个行政村，服务人口数约4万，达基层卫生服务能力国家基本标准。</w:t>
            </w:r>
          </w:p>
          <w:p w14:paraId="27934BE2">
            <w:pPr>
              <w:spacing w:line="360" w:lineRule="auto"/>
              <w:rPr>
                <w:b/>
                <w:bCs/>
                <w:color w:val="auto"/>
                <w:sz w:val="24"/>
              </w:rPr>
            </w:pPr>
            <w:r>
              <w:rPr>
                <w:rFonts w:hint="eastAsia"/>
                <w:b/>
                <w:bCs/>
                <w:color w:val="auto"/>
                <w:sz w:val="24"/>
              </w:rPr>
              <w:t>2、现有项目环保手续办理情况</w:t>
            </w:r>
          </w:p>
          <w:p w14:paraId="58D2D406">
            <w:pPr>
              <w:snapToGrid w:val="0"/>
              <w:spacing w:line="360" w:lineRule="auto"/>
              <w:ind w:firstLine="720" w:firstLineChars="300"/>
              <w:jc w:val="left"/>
              <w:rPr>
                <w:color w:val="auto"/>
                <w:sz w:val="24"/>
              </w:rPr>
            </w:pPr>
            <w:bookmarkStart w:id="41" w:name="_Hlk192067091"/>
            <w:r>
              <w:rPr>
                <w:rFonts w:hint="eastAsia"/>
                <w:color w:val="auto"/>
                <w:sz w:val="24"/>
              </w:rPr>
              <w:t>通海县九龙卫生院（原通海县九街卫生院）始建于1969年6月，卫生院建设年代较早，始建以来仅“通海县九街卫生院廉租房项目”办理过环保手续，“通海县九街卫生院廉租房项目”中建设的廉租房为通海县九龙卫生院职工住宿区。通海县九龙卫生院（原通海县九街卫生院）于2010年8月30日取得了通海县环境保护局出具的“通海县九街卫生院廉租房项目”环境影响登记表准予行政许可决定书，许可文号“通环许准[2010]34号”。通海县九龙卫生院至今未办理过竣工环境保护验收和排污许可证。</w:t>
            </w:r>
          </w:p>
          <w:p w14:paraId="2B1CC97D">
            <w:pPr>
              <w:snapToGrid w:val="0"/>
              <w:spacing w:line="360" w:lineRule="auto"/>
              <w:ind w:firstLine="720" w:firstLineChars="300"/>
              <w:jc w:val="left"/>
              <w:rPr>
                <w:color w:val="auto"/>
                <w:sz w:val="24"/>
              </w:rPr>
            </w:pPr>
            <w:r>
              <w:rPr>
                <w:rFonts w:hint="eastAsia"/>
                <w:color w:val="auto"/>
                <w:sz w:val="24"/>
              </w:rPr>
              <w:t>通海县四街卫生院始建于1956年，卫生院建设年代较早，始建以来仅“通海县四街中心卫生院建设综合楼项目”办理过环保手续，通海县四街卫生院于2008年3月17日取得了通海县环境保护局出具的“通海县四街中心卫生院建设综合楼项目”环境影响报告表审查意见，同意项目建设，于2013年9月通过了验收。通海县九龙卫生院至今未办理过排污许可证。</w:t>
            </w:r>
          </w:p>
          <w:p w14:paraId="0A6A9C0D">
            <w:pPr>
              <w:spacing w:line="360" w:lineRule="auto"/>
              <w:ind w:firstLine="720" w:firstLineChars="300"/>
              <w:jc w:val="left"/>
              <w:rPr>
                <w:color w:val="auto"/>
                <w:sz w:val="24"/>
              </w:rPr>
            </w:pPr>
            <w:r>
              <w:rPr>
                <w:rFonts w:hint="eastAsia"/>
                <w:color w:val="auto"/>
                <w:sz w:val="24"/>
              </w:rPr>
              <w:t>通海县杨广镇中心卫生院始建于1954年，卫生院建设年代较早，始建以来仅“通海县杨广卫生院门诊楼及附属工程建设项目”办理过环保手续，通海县杨广镇中心卫生院于2010年10月13日取得了通海县环境保护局出具的“通海县杨广卫生院门诊楼及附属工程建设项目”环境影响登记表准予行政许可决定书，许可文号“通环许准[2010]40号”，通海县杨广镇中心卫生院至今未办理过竣工环境保护验收和排污许可证。</w:t>
            </w:r>
          </w:p>
          <w:p w14:paraId="36F157D2">
            <w:pPr>
              <w:spacing w:line="360" w:lineRule="auto"/>
              <w:ind w:firstLine="720" w:firstLineChars="300"/>
              <w:jc w:val="left"/>
              <w:rPr>
                <w:rFonts w:hint="eastAsia" w:ascii="宋体" w:hAnsi="宋体" w:cs="宋体"/>
                <w:color w:val="auto"/>
                <w:sz w:val="24"/>
              </w:rPr>
            </w:pPr>
            <w:r>
              <w:rPr>
                <w:rFonts w:hint="eastAsia"/>
                <w:color w:val="auto"/>
                <w:sz w:val="24"/>
              </w:rPr>
              <w:t>纳古卫生院始建于1991年，</w:t>
            </w:r>
            <w:bookmarkEnd w:id="41"/>
            <w:r>
              <w:rPr>
                <w:rFonts w:hint="eastAsia"/>
                <w:color w:val="auto"/>
                <w:sz w:val="24"/>
              </w:rPr>
              <w:t>纳古卫生院建设年限较早，后期未建设过，未办理过任何环保手续。</w:t>
            </w:r>
          </w:p>
          <w:p w14:paraId="63C2D67F">
            <w:pPr>
              <w:spacing w:line="360" w:lineRule="auto"/>
              <w:rPr>
                <w:rFonts w:hint="eastAsia" w:hAnsi="宋体"/>
                <w:b/>
                <w:color w:val="auto"/>
                <w:sz w:val="24"/>
              </w:rPr>
            </w:pPr>
            <w:r>
              <w:rPr>
                <w:rFonts w:hint="eastAsia"/>
                <w:b/>
                <w:color w:val="auto"/>
                <w:sz w:val="24"/>
              </w:rPr>
              <w:t>3</w:t>
            </w:r>
            <w:r>
              <w:rPr>
                <w:b/>
                <w:color w:val="auto"/>
                <w:sz w:val="24"/>
              </w:rPr>
              <w:t>、</w:t>
            </w:r>
            <w:r>
              <w:rPr>
                <w:rFonts w:hint="eastAsia"/>
                <w:b/>
                <w:color w:val="auto"/>
                <w:sz w:val="24"/>
              </w:rPr>
              <w:t>现有项目</w:t>
            </w:r>
            <w:r>
              <w:rPr>
                <w:rFonts w:hint="eastAsia" w:hAnsi="宋体"/>
                <w:b/>
                <w:color w:val="auto"/>
                <w:sz w:val="24"/>
              </w:rPr>
              <w:t>主要医疗设备</w:t>
            </w:r>
          </w:p>
          <w:p w14:paraId="44ABC3B7">
            <w:pPr>
              <w:spacing w:line="360" w:lineRule="auto"/>
              <w:ind w:firstLine="480" w:firstLineChars="200"/>
              <w:rPr>
                <w:bCs/>
                <w:color w:val="auto"/>
                <w:sz w:val="24"/>
              </w:rPr>
            </w:pPr>
            <w:r>
              <w:rPr>
                <w:rFonts w:hint="eastAsia"/>
                <w:color w:val="auto"/>
                <w:sz w:val="24"/>
              </w:rPr>
              <w:t>现有项目涉及4个卫生院，根据建设单位提供的资料，现有项目</w:t>
            </w:r>
            <w:r>
              <w:rPr>
                <w:color w:val="auto"/>
                <w:sz w:val="24"/>
              </w:rPr>
              <w:t>主要</w:t>
            </w:r>
            <w:r>
              <w:rPr>
                <w:rFonts w:hint="eastAsia"/>
                <w:color w:val="auto"/>
                <w:sz w:val="24"/>
              </w:rPr>
              <w:t>医疗设备见</w:t>
            </w:r>
            <w:r>
              <w:rPr>
                <w:color w:val="auto"/>
                <w:sz w:val="24"/>
              </w:rPr>
              <w:t>表</w:t>
            </w:r>
            <w:r>
              <w:rPr>
                <w:rFonts w:hint="eastAsia"/>
                <w:color w:val="auto"/>
                <w:sz w:val="24"/>
              </w:rPr>
              <w:t>2~16－表2~19：</w:t>
            </w:r>
          </w:p>
          <w:p w14:paraId="0C802DCF">
            <w:pPr>
              <w:ind w:firstLine="422" w:firstLineChars="200"/>
              <w:jc w:val="center"/>
              <w:rPr>
                <w:b/>
                <w:color w:val="auto"/>
              </w:rPr>
            </w:pPr>
            <w:r>
              <w:rPr>
                <w:b/>
                <w:color w:val="auto"/>
              </w:rPr>
              <w:t>表</w:t>
            </w:r>
            <w:r>
              <w:rPr>
                <w:rFonts w:hint="eastAsia"/>
                <w:b/>
                <w:color w:val="auto"/>
              </w:rPr>
              <w:t>2</w:t>
            </w:r>
            <w:r>
              <w:rPr>
                <w:b/>
                <w:color w:val="auto"/>
              </w:rPr>
              <w:t>-</w:t>
            </w:r>
            <w:r>
              <w:rPr>
                <w:rFonts w:hint="eastAsia"/>
                <w:b/>
                <w:color w:val="auto"/>
              </w:rPr>
              <w:t>16 现有项目（纳古卫生院）主要医疗</w:t>
            </w:r>
            <w:r>
              <w:rPr>
                <w:b/>
                <w:color w:val="auto"/>
              </w:rPr>
              <w:t>设备一览表</w:t>
            </w:r>
          </w:p>
          <w:tbl>
            <w:tblPr>
              <w:tblStyle w:val="3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837"/>
              <w:gridCol w:w="1681"/>
              <w:gridCol w:w="1681"/>
            </w:tblGrid>
            <w:tr w14:paraId="7D1CD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C6A0803">
                  <w:pPr>
                    <w:widowControl/>
                    <w:jc w:val="center"/>
                    <w:textAlignment w:val="bottom"/>
                    <w:rPr>
                      <w:b/>
                      <w:bCs/>
                      <w:color w:val="auto"/>
                      <w:szCs w:val="21"/>
                    </w:rPr>
                  </w:pPr>
                  <w:r>
                    <w:rPr>
                      <w:b/>
                      <w:bCs/>
                      <w:color w:val="auto"/>
                      <w:kern w:val="0"/>
                      <w:szCs w:val="21"/>
                      <w:lang w:bidi="ar"/>
                    </w:rPr>
                    <w:t>序号</w:t>
                  </w:r>
                </w:p>
              </w:tc>
              <w:tc>
                <w:tcPr>
                  <w:tcW w:w="2392" w:type="pct"/>
                  <w:noWrap/>
                  <w:vAlign w:val="center"/>
                </w:tcPr>
                <w:p w14:paraId="7AC21C33">
                  <w:pPr>
                    <w:widowControl/>
                    <w:jc w:val="center"/>
                    <w:textAlignment w:val="bottom"/>
                    <w:rPr>
                      <w:b/>
                      <w:bCs/>
                      <w:color w:val="auto"/>
                      <w:szCs w:val="21"/>
                    </w:rPr>
                  </w:pPr>
                  <w:r>
                    <w:rPr>
                      <w:b/>
                      <w:bCs/>
                      <w:color w:val="auto"/>
                      <w:kern w:val="0"/>
                      <w:szCs w:val="21"/>
                      <w:lang w:bidi="ar"/>
                    </w:rPr>
                    <w:t>设备名称</w:t>
                  </w:r>
                </w:p>
              </w:tc>
              <w:tc>
                <w:tcPr>
                  <w:tcW w:w="1048" w:type="pct"/>
                  <w:noWrap/>
                  <w:vAlign w:val="center"/>
                </w:tcPr>
                <w:p w14:paraId="03C0CAD0">
                  <w:pPr>
                    <w:widowControl/>
                    <w:jc w:val="center"/>
                    <w:textAlignment w:val="bottom"/>
                    <w:rPr>
                      <w:b/>
                      <w:bCs/>
                      <w:color w:val="auto"/>
                      <w:kern w:val="0"/>
                      <w:szCs w:val="21"/>
                      <w:lang w:bidi="ar"/>
                    </w:rPr>
                  </w:pPr>
                  <w:r>
                    <w:rPr>
                      <w:rFonts w:hint="eastAsia"/>
                      <w:b/>
                      <w:bCs/>
                      <w:color w:val="auto"/>
                      <w:kern w:val="0"/>
                      <w:szCs w:val="21"/>
                      <w:lang w:bidi="ar"/>
                    </w:rPr>
                    <w:t>型号</w:t>
                  </w:r>
                </w:p>
              </w:tc>
              <w:tc>
                <w:tcPr>
                  <w:tcW w:w="1048" w:type="pct"/>
                  <w:noWrap/>
                  <w:vAlign w:val="center"/>
                </w:tcPr>
                <w:p w14:paraId="163151D3">
                  <w:pPr>
                    <w:widowControl/>
                    <w:jc w:val="center"/>
                    <w:textAlignment w:val="bottom"/>
                    <w:rPr>
                      <w:b/>
                      <w:bCs/>
                      <w:color w:val="auto"/>
                      <w:szCs w:val="21"/>
                    </w:rPr>
                  </w:pPr>
                  <w:r>
                    <w:rPr>
                      <w:b/>
                      <w:bCs/>
                      <w:color w:val="auto"/>
                      <w:kern w:val="0"/>
                      <w:szCs w:val="21"/>
                      <w:lang w:bidi="ar"/>
                    </w:rPr>
                    <w:t>数量</w:t>
                  </w:r>
                </w:p>
              </w:tc>
            </w:tr>
            <w:tr w14:paraId="5320F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597A73C">
                  <w:pPr>
                    <w:widowControl/>
                    <w:jc w:val="center"/>
                    <w:textAlignment w:val="bottom"/>
                    <w:rPr>
                      <w:color w:val="auto"/>
                      <w:szCs w:val="21"/>
                    </w:rPr>
                  </w:pPr>
                  <w:r>
                    <w:rPr>
                      <w:color w:val="auto"/>
                      <w:kern w:val="0"/>
                      <w:szCs w:val="21"/>
                      <w:lang w:bidi="ar"/>
                    </w:rPr>
                    <w:t>1</w:t>
                  </w:r>
                </w:p>
              </w:tc>
              <w:tc>
                <w:tcPr>
                  <w:tcW w:w="2392" w:type="pct"/>
                  <w:noWrap/>
                  <w:vAlign w:val="center"/>
                </w:tcPr>
                <w:p w14:paraId="35F77E4A">
                  <w:pPr>
                    <w:widowControl/>
                    <w:jc w:val="center"/>
                    <w:textAlignment w:val="bottom"/>
                    <w:rPr>
                      <w:rFonts w:hint="eastAsia" w:ascii="宋体" w:hAnsi="宋体" w:cs="宋体"/>
                      <w:color w:val="auto"/>
                      <w:szCs w:val="21"/>
                    </w:rPr>
                  </w:pPr>
                  <w:r>
                    <w:rPr>
                      <w:rFonts w:hint="eastAsia" w:ascii="宋体" w:hAnsi="宋体" w:cs="宋体"/>
                      <w:color w:val="auto"/>
                      <w:szCs w:val="21"/>
                    </w:rPr>
                    <w:t>心电监护仪</w:t>
                  </w:r>
                </w:p>
              </w:tc>
              <w:tc>
                <w:tcPr>
                  <w:tcW w:w="1681" w:type="dxa"/>
                  <w:noWrap/>
                  <w:vAlign w:val="center"/>
                </w:tcPr>
                <w:p w14:paraId="72B4C06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IPM8</w:t>
                  </w:r>
                </w:p>
              </w:tc>
              <w:tc>
                <w:tcPr>
                  <w:tcW w:w="1048" w:type="pct"/>
                  <w:noWrap/>
                  <w:vAlign w:val="center"/>
                </w:tcPr>
                <w:p w14:paraId="1B457833">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1FF2A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2679F3E">
                  <w:pPr>
                    <w:widowControl/>
                    <w:jc w:val="center"/>
                    <w:textAlignment w:val="bottom"/>
                    <w:rPr>
                      <w:color w:val="auto"/>
                      <w:szCs w:val="21"/>
                    </w:rPr>
                  </w:pPr>
                  <w:r>
                    <w:rPr>
                      <w:color w:val="auto"/>
                      <w:kern w:val="0"/>
                      <w:szCs w:val="21"/>
                      <w:lang w:bidi="ar"/>
                    </w:rPr>
                    <w:t>2</w:t>
                  </w:r>
                </w:p>
              </w:tc>
              <w:tc>
                <w:tcPr>
                  <w:tcW w:w="2392" w:type="pct"/>
                  <w:noWrap/>
                  <w:vAlign w:val="center"/>
                </w:tcPr>
                <w:p w14:paraId="4C54DB39">
                  <w:pPr>
                    <w:widowControl/>
                    <w:jc w:val="center"/>
                    <w:textAlignment w:val="bottom"/>
                    <w:rPr>
                      <w:rFonts w:hint="eastAsia" w:ascii="宋体" w:hAnsi="宋体" w:cs="宋体"/>
                      <w:color w:val="auto"/>
                      <w:szCs w:val="21"/>
                    </w:rPr>
                  </w:pPr>
                  <w:r>
                    <w:rPr>
                      <w:rFonts w:hint="eastAsia" w:ascii="宋体" w:hAnsi="宋体" w:cs="宋体"/>
                      <w:color w:val="auto"/>
                      <w:szCs w:val="21"/>
                    </w:rPr>
                    <w:t>肺功能检测仪</w:t>
                  </w:r>
                </w:p>
              </w:tc>
              <w:tc>
                <w:tcPr>
                  <w:tcW w:w="1681" w:type="dxa"/>
                  <w:noWrap/>
                  <w:vAlign w:val="center"/>
                </w:tcPr>
                <w:p w14:paraId="6E6B016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LA102</w:t>
                  </w:r>
                </w:p>
              </w:tc>
              <w:tc>
                <w:tcPr>
                  <w:tcW w:w="1048" w:type="pct"/>
                  <w:noWrap/>
                  <w:vAlign w:val="center"/>
                </w:tcPr>
                <w:p w14:paraId="1A21DB9C">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22989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B1632B8">
                  <w:pPr>
                    <w:widowControl/>
                    <w:jc w:val="center"/>
                    <w:textAlignment w:val="bottom"/>
                    <w:rPr>
                      <w:color w:val="auto"/>
                      <w:szCs w:val="21"/>
                    </w:rPr>
                  </w:pPr>
                  <w:r>
                    <w:rPr>
                      <w:color w:val="auto"/>
                      <w:kern w:val="0"/>
                      <w:szCs w:val="21"/>
                      <w:lang w:bidi="ar"/>
                    </w:rPr>
                    <w:t>3</w:t>
                  </w:r>
                </w:p>
              </w:tc>
              <w:tc>
                <w:tcPr>
                  <w:tcW w:w="2392" w:type="pct"/>
                  <w:noWrap/>
                  <w:vAlign w:val="center"/>
                </w:tcPr>
                <w:p w14:paraId="5DA48526">
                  <w:pPr>
                    <w:widowControl/>
                    <w:jc w:val="center"/>
                    <w:textAlignment w:val="bottom"/>
                    <w:rPr>
                      <w:rFonts w:hint="eastAsia" w:ascii="宋体" w:hAnsi="宋体" w:cs="宋体"/>
                      <w:color w:val="auto"/>
                      <w:szCs w:val="21"/>
                    </w:rPr>
                  </w:pPr>
                  <w:r>
                    <w:rPr>
                      <w:rFonts w:hint="eastAsia" w:ascii="宋体" w:hAnsi="宋体" w:cs="宋体"/>
                      <w:color w:val="auto"/>
                      <w:szCs w:val="21"/>
                    </w:rPr>
                    <w:t>中频治疗仪</w:t>
                  </w:r>
                </w:p>
              </w:tc>
              <w:tc>
                <w:tcPr>
                  <w:tcW w:w="1681" w:type="dxa"/>
                  <w:noWrap/>
                  <w:vAlign w:val="center"/>
                </w:tcPr>
                <w:p w14:paraId="0B94E78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J48A</w:t>
                  </w:r>
                </w:p>
              </w:tc>
              <w:tc>
                <w:tcPr>
                  <w:tcW w:w="1048" w:type="pct"/>
                  <w:noWrap/>
                  <w:vAlign w:val="center"/>
                </w:tcPr>
                <w:p w14:paraId="6A8244DC">
                  <w:pPr>
                    <w:widowControl/>
                    <w:jc w:val="center"/>
                    <w:textAlignment w:val="bottom"/>
                    <w:rPr>
                      <w:color w:val="auto"/>
                      <w:szCs w:val="21"/>
                    </w:rPr>
                  </w:pPr>
                  <w:r>
                    <w:rPr>
                      <w:color w:val="auto"/>
                      <w:kern w:val="0"/>
                      <w:szCs w:val="21"/>
                      <w:lang w:bidi="ar"/>
                    </w:rPr>
                    <w:t>1台</w:t>
                  </w:r>
                </w:p>
              </w:tc>
            </w:tr>
            <w:tr w14:paraId="009E2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2AEE039">
                  <w:pPr>
                    <w:widowControl/>
                    <w:jc w:val="center"/>
                    <w:textAlignment w:val="bottom"/>
                    <w:rPr>
                      <w:color w:val="auto"/>
                      <w:szCs w:val="21"/>
                    </w:rPr>
                  </w:pPr>
                  <w:r>
                    <w:rPr>
                      <w:color w:val="auto"/>
                      <w:kern w:val="0"/>
                      <w:szCs w:val="21"/>
                      <w:lang w:bidi="ar"/>
                    </w:rPr>
                    <w:t>4</w:t>
                  </w:r>
                </w:p>
              </w:tc>
              <w:tc>
                <w:tcPr>
                  <w:tcW w:w="2392" w:type="pct"/>
                  <w:noWrap/>
                  <w:vAlign w:val="center"/>
                </w:tcPr>
                <w:p w14:paraId="19DCD0E9">
                  <w:pPr>
                    <w:widowControl/>
                    <w:jc w:val="center"/>
                    <w:textAlignment w:val="bottom"/>
                    <w:rPr>
                      <w:rFonts w:hint="eastAsia" w:ascii="宋体" w:hAnsi="宋体" w:cs="宋体"/>
                      <w:color w:val="auto"/>
                      <w:szCs w:val="21"/>
                    </w:rPr>
                  </w:pPr>
                  <w:r>
                    <w:rPr>
                      <w:rFonts w:hint="eastAsia" w:ascii="宋体" w:hAnsi="宋体" w:cs="宋体"/>
                      <w:color w:val="auto"/>
                      <w:szCs w:val="21"/>
                    </w:rPr>
                    <w:t>心电图机</w:t>
                  </w:r>
                </w:p>
              </w:tc>
              <w:tc>
                <w:tcPr>
                  <w:tcW w:w="1681" w:type="dxa"/>
                  <w:noWrap/>
                  <w:vAlign w:val="center"/>
                </w:tcPr>
                <w:p w14:paraId="47474B3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ECG-125OC</w:t>
                  </w:r>
                </w:p>
              </w:tc>
              <w:tc>
                <w:tcPr>
                  <w:tcW w:w="1048" w:type="pct"/>
                  <w:noWrap/>
                  <w:vAlign w:val="center"/>
                </w:tcPr>
                <w:p w14:paraId="151C7AC2">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C59E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DCFE8E1">
                  <w:pPr>
                    <w:widowControl/>
                    <w:jc w:val="center"/>
                    <w:textAlignment w:val="bottom"/>
                    <w:rPr>
                      <w:color w:val="auto"/>
                      <w:szCs w:val="21"/>
                    </w:rPr>
                  </w:pPr>
                  <w:r>
                    <w:rPr>
                      <w:color w:val="auto"/>
                      <w:kern w:val="0"/>
                      <w:szCs w:val="21"/>
                      <w:lang w:bidi="ar"/>
                    </w:rPr>
                    <w:t>5</w:t>
                  </w:r>
                </w:p>
              </w:tc>
              <w:tc>
                <w:tcPr>
                  <w:tcW w:w="2392" w:type="pct"/>
                  <w:noWrap/>
                  <w:vAlign w:val="center"/>
                </w:tcPr>
                <w:p w14:paraId="3C25DA2E">
                  <w:pPr>
                    <w:widowControl/>
                    <w:jc w:val="center"/>
                    <w:textAlignment w:val="bottom"/>
                    <w:rPr>
                      <w:rFonts w:hint="eastAsia" w:ascii="宋体" w:hAnsi="宋体" w:cs="宋体"/>
                      <w:color w:val="auto"/>
                      <w:szCs w:val="21"/>
                    </w:rPr>
                  </w:pPr>
                  <w:r>
                    <w:rPr>
                      <w:rFonts w:hint="eastAsia" w:ascii="宋体" w:hAnsi="宋体" w:cs="宋体"/>
                      <w:color w:val="auto"/>
                      <w:szCs w:val="21"/>
                    </w:rPr>
                    <w:t>B超机</w:t>
                  </w:r>
                </w:p>
              </w:tc>
              <w:tc>
                <w:tcPr>
                  <w:tcW w:w="1681" w:type="dxa"/>
                  <w:noWrap/>
                  <w:vAlign w:val="center"/>
                </w:tcPr>
                <w:p w14:paraId="132FDED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S26S</w:t>
                  </w:r>
                </w:p>
              </w:tc>
              <w:tc>
                <w:tcPr>
                  <w:tcW w:w="1048" w:type="pct"/>
                  <w:noWrap/>
                  <w:vAlign w:val="center"/>
                </w:tcPr>
                <w:p w14:paraId="2E85C16B">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F6D6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FE8267F">
                  <w:pPr>
                    <w:widowControl/>
                    <w:jc w:val="center"/>
                    <w:textAlignment w:val="bottom"/>
                    <w:rPr>
                      <w:color w:val="auto"/>
                      <w:szCs w:val="21"/>
                    </w:rPr>
                  </w:pPr>
                  <w:r>
                    <w:rPr>
                      <w:color w:val="auto"/>
                      <w:kern w:val="0"/>
                      <w:szCs w:val="21"/>
                      <w:lang w:bidi="ar"/>
                    </w:rPr>
                    <w:t>6</w:t>
                  </w:r>
                </w:p>
              </w:tc>
              <w:tc>
                <w:tcPr>
                  <w:tcW w:w="2392" w:type="pct"/>
                  <w:noWrap/>
                  <w:vAlign w:val="center"/>
                </w:tcPr>
                <w:p w14:paraId="0819E1B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除颤仪</w:t>
                  </w:r>
                </w:p>
              </w:tc>
              <w:tc>
                <w:tcPr>
                  <w:tcW w:w="1681" w:type="dxa"/>
                  <w:noWrap/>
                  <w:vAlign w:val="center"/>
                </w:tcPr>
                <w:p w14:paraId="63F585B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BeneHeartD2</w:t>
                  </w:r>
                </w:p>
              </w:tc>
              <w:tc>
                <w:tcPr>
                  <w:tcW w:w="1048" w:type="pct"/>
                  <w:noWrap/>
                  <w:vAlign w:val="center"/>
                </w:tcPr>
                <w:p w14:paraId="5D16D16F">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229B1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3D57D04">
                  <w:pPr>
                    <w:widowControl/>
                    <w:jc w:val="center"/>
                    <w:textAlignment w:val="bottom"/>
                    <w:rPr>
                      <w:color w:val="auto"/>
                      <w:szCs w:val="21"/>
                    </w:rPr>
                  </w:pPr>
                  <w:r>
                    <w:rPr>
                      <w:color w:val="auto"/>
                      <w:kern w:val="0"/>
                      <w:szCs w:val="21"/>
                      <w:lang w:bidi="ar"/>
                    </w:rPr>
                    <w:t>7</w:t>
                  </w:r>
                </w:p>
              </w:tc>
              <w:tc>
                <w:tcPr>
                  <w:tcW w:w="2392" w:type="pct"/>
                  <w:noWrap/>
                  <w:vAlign w:val="center"/>
                </w:tcPr>
                <w:p w14:paraId="2029D8B3">
                  <w:pPr>
                    <w:widowControl/>
                    <w:jc w:val="center"/>
                    <w:textAlignment w:val="center"/>
                    <w:rPr>
                      <w:color w:val="auto"/>
                      <w:szCs w:val="21"/>
                    </w:rPr>
                  </w:pPr>
                  <w:r>
                    <w:rPr>
                      <w:rFonts w:hint="eastAsia"/>
                      <w:color w:val="auto"/>
                      <w:kern w:val="0"/>
                      <w:szCs w:val="21"/>
                      <w:lang w:bidi="ar"/>
                    </w:rPr>
                    <w:t>肌钙蛋白</w:t>
                  </w:r>
                </w:p>
              </w:tc>
              <w:tc>
                <w:tcPr>
                  <w:tcW w:w="1681" w:type="dxa"/>
                  <w:noWrap/>
                  <w:vAlign w:val="center"/>
                </w:tcPr>
                <w:p w14:paraId="006B012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Geteln1100</w:t>
                  </w:r>
                </w:p>
              </w:tc>
              <w:tc>
                <w:tcPr>
                  <w:tcW w:w="1048" w:type="pct"/>
                  <w:noWrap/>
                  <w:vAlign w:val="center"/>
                </w:tcPr>
                <w:p w14:paraId="24170803">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D56A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2DAFEB8">
                  <w:pPr>
                    <w:widowControl/>
                    <w:jc w:val="center"/>
                    <w:textAlignment w:val="bottom"/>
                    <w:rPr>
                      <w:color w:val="auto"/>
                      <w:szCs w:val="21"/>
                    </w:rPr>
                  </w:pPr>
                  <w:r>
                    <w:rPr>
                      <w:color w:val="auto"/>
                      <w:kern w:val="0"/>
                      <w:szCs w:val="21"/>
                      <w:lang w:bidi="ar"/>
                    </w:rPr>
                    <w:t>8</w:t>
                  </w:r>
                </w:p>
              </w:tc>
              <w:tc>
                <w:tcPr>
                  <w:tcW w:w="2392" w:type="pct"/>
                  <w:noWrap/>
                  <w:vAlign w:val="center"/>
                </w:tcPr>
                <w:p w14:paraId="166AAB15">
                  <w:pPr>
                    <w:widowControl/>
                    <w:jc w:val="center"/>
                    <w:textAlignment w:val="center"/>
                    <w:rPr>
                      <w:color w:val="auto"/>
                      <w:szCs w:val="21"/>
                    </w:rPr>
                  </w:pPr>
                  <w:r>
                    <w:rPr>
                      <w:rFonts w:hint="eastAsia"/>
                      <w:color w:val="auto"/>
                      <w:kern w:val="0"/>
                      <w:szCs w:val="21"/>
                      <w:lang w:bidi="ar"/>
                    </w:rPr>
                    <w:t>五分类血液细胞分析仪</w:t>
                  </w:r>
                </w:p>
              </w:tc>
              <w:tc>
                <w:tcPr>
                  <w:tcW w:w="1681" w:type="dxa"/>
                  <w:noWrap/>
                  <w:vAlign w:val="center"/>
                </w:tcPr>
                <w:p w14:paraId="1531F26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BH-5180CRP</w:t>
                  </w:r>
                </w:p>
              </w:tc>
              <w:tc>
                <w:tcPr>
                  <w:tcW w:w="1048" w:type="pct"/>
                  <w:noWrap/>
                  <w:vAlign w:val="center"/>
                </w:tcPr>
                <w:p w14:paraId="382C0F60">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83B1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FEF34A7">
                  <w:pPr>
                    <w:widowControl/>
                    <w:jc w:val="center"/>
                    <w:textAlignment w:val="bottom"/>
                    <w:rPr>
                      <w:color w:val="auto"/>
                      <w:szCs w:val="21"/>
                    </w:rPr>
                  </w:pPr>
                  <w:r>
                    <w:rPr>
                      <w:color w:val="auto"/>
                      <w:kern w:val="0"/>
                      <w:szCs w:val="21"/>
                      <w:lang w:bidi="ar"/>
                    </w:rPr>
                    <w:t>9</w:t>
                  </w:r>
                </w:p>
              </w:tc>
              <w:tc>
                <w:tcPr>
                  <w:tcW w:w="2392" w:type="pct"/>
                  <w:noWrap/>
                  <w:vAlign w:val="center"/>
                </w:tcPr>
                <w:p w14:paraId="26C3CDF3">
                  <w:pPr>
                    <w:widowControl/>
                    <w:jc w:val="center"/>
                    <w:textAlignment w:val="center"/>
                    <w:rPr>
                      <w:color w:val="auto"/>
                      <w:szCs w:val="21"/>
                    </w:rPr>
                  </w:pPr>
                  <w:r>
                    <w:rPr>
                      <w:rFonts w:hint="eastAsia"/>
                      <w:color w:val="auto"/>
                      <w:kern w:val="0"/>
                      <w:szCs w:val="21"/>
                      <w:lang w:bidi="ar"/>
                    </w:rPr>
                    <w:t>台式低速多管架离心机</w:t>
                  </w:r>
                </w:p>
              </w:tc>
              <w:tc>
                <w:tcPr>
                  <w:tcW w:w="1681" w:type="dxa"/>
                  <w:noWrap/>
                  <w:vAlign w:val="center"/>
                </w:tcPr>
                <w:p w14:paraId="40C0B09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TD-5Z</w:t>
                  </w:r>
                </w:p>
              </w:tc>
              <w:tc>
                <w:tcPr>
                  <w:tcW w:w="1048" w:type="pct"/>
                  <w:noWrap/>
                  <w:vAlign w:val="center"/>
                </w:tcPr>
                <w:p w14:paraId="3B43EF2B">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9E22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EA20B53">
                  <w:pPr>
                    <w:widowControl/>
                    <w:jc w:val="center"/>
                    <w:textAlignment w:val="bottom"/>
                    <w:rPr>
                      <w:color w:val="auto"/>
                      <w:szCs w:val="21"/>
                    </w:rPr>
                  </w:pPr>
                  <w:r>
                    <w:rPr>
                      <w:color w:val="auto"/>
                      <w:kern w:val="0"/>
                      <w:szCs w:val="21"/>
                      <w:lang w:bidi="ar"/>
                    </w:rPr>
                    <w:t>10</w:t>
                  </w:r>
                </w:p>
              </w:tc>
              <w:tc>
                <w:tcPr>
                  <w:tcW w:w="2392" w:type="pct"/>
                  <w:noWrap/>
                  <w:vAlign w:val="center"/>
                </w:tcPr>
                <w:p w14:paraId="39994792">
                  <w:pPr>
                    <w:widowControl/>
                    <w:jc w:val="center"/>
                    <w:textAlignment w:val="center"/>
                    <w:rPr>
                      <w:color w:val="auto"/>
                      <w:szCs w:val="21"/>
                    </w:rPr>
                  </w:pPr>
                  <w:r>
                    <w:rPr>
                      <w:rFonts w:hint="eastAsia"/>
                      <w:color w:val="auto"/>
                      <w:kern w:val="0"/>
                      <w:szCs w:val="21"/>
                      <w:lang w:bidi="ar"/>
                    </w:rPr>
                    <w:t>尿液分析仪</w:t>
                  </w:r>
                </w:p>
              </w:tc>
              <w:tc>
                <w:tcPr>
                  <w:tcW w:w="1681" w:type="dxa"/>
                  <w:noWrap/>
                  <w:vAlign w:val="center"/>
                </w:tcPr>
                <w:p w14:paraId="485B6C67">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URLT-500B</w:t>
                  </w:r>
                </w:p>
              </w:tc>
              <w:tc>
                <w:tcPr>
                  <w:tcW w:w="1048" w:type="pct"/>
                  <w:noWrap/>
                  <w:vAlign w:val="center"/>
                </w:tcPr>
                <w:p w14:paraId="765A8661">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714A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3A71C21">
                  <w:pPr>
                    <w:widowControl/>
                    <w:jc w:val="center"/>
                    <w:textAlignment w:val="bottom"/>
                    <w:rPr>
                      <w:color w:val="auto"/>
                      <w:szCs w:val="21"/>
                    </w:rPr>
                  </w:pPr>
                  <w:r>
                    <w:rPr>
                      <w:color w:val="auto"/>
                      <w:kern w:val="0"/>
                      <w:szCs w:val="21"/>
                      <w:lang w:bidi="ar"/>
                    </w:rPr>
                    <w:t>11</w:t>
                  </w:r>
                </w:p>
              </w:tc>
              <w:tc>
                <w:tcPr>
                  <w:tcW w:w="2392" w:type="pct"/>
                  <w:noWrap/>
                  <w:vAlign w:val="center"/>
                </w:tcPr>
                <w:p w14:paraId="7CEEF8CC">
                  <w:pPr>
                    <w:widowControl/>
                    <w:jc w:val="center"/>
                    <w:textAlignment w:val="center"/>
                    <w:rPr>
                      <w:color w:val="auto"/>
                      <w:szCs w:val="21"/>
                    </w:rPr>
                  </w:pPr>
                  <w:r>
                    <w:rPr>
                      <w:rFonts w:hint="eastAsia"/>
                      <w:color w:val="auto"/>
                      <w:kern w:val="0"/>
                      <w:szCs w:val="21"/>
                      <w:lang w:bidi="ar"/>
                    </w:rPr>
                    <w:t>生物显微镜</w:t>
                  </w:r>
                </w:p>
              </w:tc>
              <w:tc>
                <w:tcPr>
                  <w:tcW w:w="1681" w:type="dxa"/>
                  <w:noWrap/>
                  <w:vAlign w:val="center"/>
                </w:tcPr>
                <w:p w14:paraId="76CBB00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EX33</w:t>
                  </w:r>
                </w:p>
              </w:tc>
              <w:tc>
                <w:tcPr>
                  <w:tcW w:w="1048" w:type="pct"/>
                  <w:noWrap/>
                  <w:vAlign w:val="center"/>
                </w:tcPr>
                <w:p w14:paraId="7F2C06FA">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7CF70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E172869">
                  <w:pPr>
                    <w:widowControl/>
                    <w:jc w:val="center"/>
                    <w:textAlignment w:val="bottom"/>
                    <w:rPr>
                      <w:color w:val="auto"/>
                      <w:szCs w:val="21"/>
                    </w:rPr>
                  </w:pPr>
                  <w:r>
                    <w:rPr>
                      <w:color w:val="auto"/>
                      <w:kern w:val="0"/>
                      <w:szCs w:val="21"/>
                      <w:lang w:bidi="ar"/>
                    </w:rPr>
                    <w:t>12</w:t>
                  </w:r>
                </w:p>
              </w:tc>
              <w:tc>
                <w:tcPr>
                  <w:tcW w:w="2392" w:type="pct"/>
                  <w:noWrap/>
                  <w:vAlign w:val="center"/>
                </w:tcPr>
                <w:p w14:paraId="69761404">
                  <w:pPr>
                    <w:widowControl/>
                    <w:jc w:val="center"/>
                    <w:textAlignment w:val="center"/>
                    <w:rPr>
                      <w:color w:val="auto"/>
                      <w:szCs w:val="21"/>
                    </w:rPr>
                  </w:pPr>
                  <w:r>
                    <w:rPr>
                      <w:rFonts w:hint="eastAsia"/>
                      <w:color w:val="auto"/>
                      <w:kern w:val="0"/>
                      <w:szCs w:val="21"/>
                      <w:lang w:bidi="ar"/>
                    </w:rPr>
                    <w:t>注射泵</w:t>
                  </w:r>
                </w:p>
              </w:tc>
              <w:tc>
                <w:tcPr>
                  <w:tcW w:w="1681" w:type="dxa"/>
                  <w:noWrap/>
                  <w:vAlign w:val="center"/>
                </w:tcPr>
                <w:p w14:paraId="71EACF6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CP-2200</w:t>
                  </w:r>
                </w:p>
              </w:tc>
              <w:tc>
                <w:tcPr>
                  <w:tcW w:w="1048" w:type="pct"/>
                  <w:noWrap/>
                  <w:vAlign w:val="center"/>
                </w:tcPr>
                <w:p w14:paraId="58242046">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bl>
          <w:p w14:paraId="2BC3495B">
            <w:pPr>
              <w:ind w:firstLine="422" w:firstLineChars="200"/>
              <w:jc w:val="center"/>
              <w:rPr>
                <w:b/>
                <w:color w:val="auto"/>
              </w:rPr>
            </w:pPr>
            <w:r>
              <w:rPr>
                <w:b/>
                <w:color w:val="auto"/>
              </w:rPr>
              <w:t>表</w:t>
            </w:r>
            <w:r>
              <w:rPr>
                <w:rFonts w:hint="eastAsia"/>
                <w:b/>
                <w:color w:val="auto"/>
              </w:rPr>
              <w:t>2</w:t>
            </w:r>
            <w:r>
              <w:rPr>
                <w:b/>
                <w:color w:val="auto"/>
              </w:rPr>
              <w:t>-</w:t>
            </w:r>
            <w:r>
              <w:rPr>
                <w:rFonts w:hint="eastAsia"/>
                <w:b/>
                <w:color w:val="auto"/>
              </w:rPr>
              <w:t>17 现有项目（四街卫生院）主要医疗</w:t>
            </w:r>
            <w:r>
              <w:rPr>
                <w:b/>
                <w:color w:val="auto"/>
              </w:rPr>
              <w:t>设备一览表</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838"/>
              <w:gridCol w:w="1680"/>
              <w:gridCol w:w="1680"/>
            </w:tblGrid>
            <w:tr w14:paraId="7A09E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DE204E4">
                  <w:pPr>
                    <w:widowControl/>
                    <w:jc w:val="center"/>
                    <w:textAlignment w:val="bottom"/>
                    <w:rPr>
                      <w:b/>
                      <w:bCs/>
                      <w:color w:val="auto"/>
                      <w:szCs w:val="21"/>
                    </w:rPr>
                  </w:pPr>
                  <w:r>
                    <w:rPr>
                      <w:b/>
                      <w:bCs/>
                      <w:color w:val="auto"/>
                      <w:kern w:val="0"/>
                      <w:szCs w:val="21"/>
                      <w:lang w:bidi="ar"/>
                    </w:rPr>
                    <w:t>序号</w:t>
                  </w:r>
                </w:p>
              </w:tc>
              <w:tc>
                <w:tcPr>
                  <w:tcW w:w="2392" w:type="pct"/>
                  <w:noWrap/>
                  <w:vAlign w:val="center"/>
                </w:tcPr>
                <w:p w14:paraId="62E2A10D">
                  <w:pPr>
                    <w:widowControl/>
                    <w:jc w:val="center"/>
                    <w:textAlignment w:val="bottom"/>
                    <w:rPr>
                      <w:b/>
                      <w:bCs/>
                      <w:color w:val="auto"/>
                      <w:szCs w:val="21"/>
                    </w:rPr>
                  </w:pPr>
                  <w:r>
                    <w:rPr>
                      <w:b/>
                      <w:bCs/>
                      <w:color w:val="auto"/>
                      <w:kern w:val="0"/>
                      <w:szCs w:val="21"/>
                      <w:lang w:bidi="ar"/>
                    </w:rPr>
                    <w:t>设备名称</w:t>
                  </w:r>
                </w:p>
              </w:tc>
              <w:tc>
                <w:tcPr>
                  <w:tcW w:w="1048" w:type="pct"/>
                  <w:noWrap/>
                  <w:vAlign w:val="center"/>
                </w:tcPr>
                <w:p w14:paraId="2B49643D">
                  <w:pPr>
                    <w:widowControl/>
                    <w:jc w:val="center"/>
                    <w:textAlignment w:val="bottom"/>
                    <w:rPr>
                      <w:b/>
                      <w:bCs/>
                      <w:color w:val="auto"/>
                      <w:kern w:val="0"/>
                      <w:szCs w:val="21"/>
                      <w:lang w:bidi="ar"/>
                    </w:rPr>
                  </w:pPr>
                  <w:r>
                    <w:rPr>
                      <w:rFonts w:hint="eastAsia"/>
                      <w:b/>
                      <w:bCs/>
                      <w:color w:val="auto"/>
                      <w:kern w:val="0"/>
                      <w:szCs w:val="21"/>
                      <w:lang w:bidi="ar"/>
                    </w:rPr>
                    <w:t>型号</w:t>
                  </w:r>
                </w:p>
              </w:tc>
              <w:tc>
                <w:tcPr>
                  <w:tcW w:w="1048" w:type="pct"/>
                  <w:noWrap/>
                  <w:vAlign w:val="center"/>
                </w:tcPr>
                <w:p w14:paraId="39973CF2">
                  <w:pPr>
                    <w:widowControl/>
                    <w:jc w:val="center"/>
                    <w:textAlignment w:val="bottom"/>
                    <w:rPr>
                      <w:b/>
                      <w:bCs/>
                      <w:color w:val="auto"/>
                      <w:szCs w:val="21"/>
                    </w:rPr>
                  </w:pPr>
                  <w:r>
                    <w:rPr>
                      <w:b/>
                      <w:bCs/>
                      <w:color w:val="auto"/>
                      <w:kern w:val="0"/>
                      <w:szCs w:val="21"/>
                      <w:lang w:bidi="ar"/>
                    </w:rPr>
                    <w:t>数量</w:t>
                  </w:r>
                </w:p>
              </w:tc>
            </w:tr>
            <w:tr w14:paraId="3E731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7E3B398">
                  <w:pPr>
                    <w:widowControl/>
                    <w:jc w:val="center"/>
                    <w:textAlignment w:val="bottom"/>
                    <w:rPr>
                      <w:color w:val="auto"/>
                      <w:szCs w:val="21"/>
                    </w:rPr>
                  </w:pPr>
                  <w:r>
                    <w:rPr>
                      <w:color w:val="auto"/>
                      <w:kern w:val="0"/>
                      <w:szCs w:val="21"/>
                      <w:lang w:bidi="ar"/>
                    </w:rPr>
                    <w:t>1</w:t>
                  </w:r>
                </w:p>
              </w:tc>
              <w:tc>
                <w:tcPr>
                  <w:tcW w:w="2392" w:type="pct"/>
                  <w:noWrap/>
                  <w:vAlign w:val="bottom"/>
                </w:tcPr>
                <w:p w14:paraId="256DCCA0">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二级生物安全柜</w:t>
                  </w:r>
                </w:p>
              </w:tc>
              <w:tc>
                <w:tcPr>
                  <w:tcW w:w="1048" w:type="pct"/>
                  <w:noWrap/>
                  <w:vAlign w:val="bottom"/>
                </w:tcPr>
                <w:p w14:paraId="004FDA04">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BSC_1100 11A2_X</w:t>
                  </w:r>
                </w:p>
              </w:tc>
              <w:tc>
                <w:tcPr>
                  <w:tcW w:w="1048" w:type="pct"/>
                  <w:noWrap/>
                  <w:vAlign w:val="center"/>
                </w:tcPr>
                <w:p w14:paraId="126B6E4C">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4E79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1732661">
                  <w:pPr>
                    <w:widowControl/>
                    <w:jc w:val="center"/>
                    <w:textAlignment w:val="bottom"/>
                    <w:rPr>
                      <w:color w:val="auto"/>
                      <w:szCs w:val="21"/>
                    </w:rPr>
                  </w:pPr>
                  <w:r>
                    <w:rPr>
                      <w:color w:val="auto"/>
                      <w:kern w:val="0"/>
                      <w:szCs w:val="21"/>
                      <w:lang w:bidi="ar"/>
                    </w:rPr>
                    <w:t>2</w:t>
                  </w:r>
                </w:p>
              </w:tc>
              <w:tc>
                <w:tcPr>
                  <w:tcW w:w="2392" w:type="pct"/>
                  <w:noWrap/>
                  <w:vAlign w:val="bottom"/>
                </w:tcPr>
                <w:p w14:paraId="19944875">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数字式心电图机</w:t>
                  </w:r>
                </w:p>
              </w:tc>
              <w:tc>
                <w:tcPr>
                  <w:tcW w:w="1048" w:type="pct"/>
                  <w:noWrap/>
                  <w:vAlign w:val="bottom"/>
                </w:tcPr>
                <w:p w14:paraId="68AC759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RAGE-12</w:t>
                  </w:r>
                </w:p>
              </w:tc>
              <w:tc>
                <w:tcPr>
                  <w:tcW w:w="1048" w:type="pct"/>
                  <w:noWrap/>
                  <w:vAlign w:val="center"/>
                </w:tcPr>
                <w:p w14:paraId="3B27E777">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AD29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295E727">
                  <w:pPr>
                    <w:widowControl/>
                    <w:jc w:val="center"/>
                    <w:textAlignment w:val="bottom"/>
                    <w:rPr>
                      <w:color w:val="auto"/>
                      <w:szCs w:val="21"/>
                    </w:rPr>
                  </w:pPr>
                  <w:r>
                    <w:rPr>
                      <w:color w:val="auto"/>
                      <w:kern w:val="0"/>
                      <w:szCs w:val="21"/>
                      <w:lang w:bidi="ar"/>
                    </w:rPr>
                    <w:t>3</w:t>
                  </w:r>
                </w:p>
              </w:tc>
              <w:tc>
                <w:tcPr>
                  <w:tcW w:w="2392" w:type="pct"/>
                  <w:noWrap/>
                  <w:vAlign w:val="bottom"/>
                </w:tcPr>
                <w:p w14:paraId="0BD19F55">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医用X射线摄影系统</w:t>
                  </w:r>
                </w:p>
              </w:tc>
              <w:tc>
                <w:tcPr>
                  <w:tcW w:w="1048" w:type="pct"/>
                  <w:noWrap/>
                  <w:vAlign w:val="bottom"/>
                </w:tcPr>
                <w:p w14:paraId="03DA436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新东方1000NB</w:t>
                  </w:r>
                </w:p>
              </w:tc>
              <w:tc>
                <w:tcPr>
                  <w:tcW w:w="1048" w:type="pct"/>
                  <w:noWrap/>
                  <w:vAlign w:val="center"/>
                </w:tcPr>
                <w:p w14:paraId="6758200D">
                  <w:pPr>
                    <w:widowControl/>
                    <w:jc w:val="center"/>
                    <w:textAlignment w:val="bottom"/>
                    <w:rPr>
                      <w:color w:val="auto"/>
                      <w:szCs w:val="21"/>
                    </w:rPr>
                  </w:pPr>
                  <w:r>
                    <w:rPr>
                      <w:color w:val="auto"/>
                      <w:kern w:val="0"/>
                      <w:szCs w:val="21"/>
                      <w:lang w:bidi="ar"/>
                    </w:rPr>
                    <w:t>1台</w:t>
                  </w:r>
                </w:p>
              </w:tc>
            </w:tr>
            <w:tr w14:paraId="004A0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B5B5FC5">
                  <w:pPr>
                    <w:widowControl/>
                    <w:jc w:val="center"/>
                    <w:textAlignment w:val="bottom"/>
                    <w:rPr>
                      <w:color w:val="auto"/>
                      <w:szCs w:val="21"/>
                    </w:rPr>
                  </w:pPr>
                  <w:r>
                    <w:rPr>
                      <w:color w:val="auto"/>
                      <w:kern w:val="0"/>
                      <w:szCs w:val="21"/>
                      <w:lang w:bidi="ar"/>
                    </w:rPr>
                    <w:t>4</w:t>
                  </w:r>
                </w:p>
              </w:tc>
              <w:tc>
                <w:tcPr>
                  <w:tcW w:w="2392" w:type="pct"/>
                  <w:noWrap/>
                  <w:vAlign w:val="bottom"/>
                </w:tcPr>
                <w:p w14:paraId="3B75E1F5">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全自动尿液分析仪</w:t>
                  </w:r>
                </w:p>
              </w:tc>
              <w:tc>
                <w:tcPr>
                  <w:tcW w:w="1048" w:type="pct"/>
                  <w:noWrap/>
                  <w:vAlign w:val="bottom"/>
                </w:tcPr>
                <w:p w14:paraId="346A423B">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URIT-1600</w:t>
                  </w:r>
                </w:p>
              </w:tc>
              <w:tc>
                <w:tcPr>
                  <w:tcW w:w="1048" w:type="pct"/>
                  <w:noWrap/>
                  <w:vAlign w:val="center"/>
                </w:tcPr>
                <w:p w14:paraId="6B7B9D2F">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8419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2E4F18B">
                  <w:pPr>
                    <w:widowControl/>
                    <w:jc w:val="center"/>
                    <w:textAlignment w:val="bottom"/>
                    <w:rPr>
                      <w:color w:val="auto"/>
                      <w:szCs w:val="21"/>
                    </w:rPr>
                  </w:pPr>
                  <w:r>
                    <w:rPr>
                      <w:color w:val="auto"/>
                      <w:kern w:val="0"/>
                      <w:szCs w:val="21"/>
                      <w:lang w:bidi="ar"/>
                    </w:rPr>
                    <w:t>5</w:t>
                  </w:r>
                </w:p>
              </w:tc>
              <w:tc>
                <w:tcPr>
                  <w:tcW w:w="2392" w:type="pct"/>
                  <w:noWrap/>
                  <w:vAlign w:val="bottom"/>
                </w:tcPr>
                <w:p w14:paraId="14131D98">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肺功能仪</w:t>
                  </w:r>
                </w:p>
              </w:tc>
              <w:tc>
                <w:tcPr>
                  <w:tcW w:w="1048" w:type="pct"/>
                  <w:noWrap/>
                  <w:vAlign w:val="bottom"/>
                </w:tcPr>
                <w:p w14:paraId="3C6305A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LA102</w:t>
                  </w:r>
                </w:p>
              </w:tc>
              <w:tc>
                <w:tcPr>
                  <w:tcW w:w="1048" w:type="pct"/>
                  <w:noWrap/>
                  <w:vAlign w:val="center"/>
                </w:tcPr>
                <w:p w14:paraId="3DDC51F9">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6CAF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875835A">
                  <w:pPr>
                    <w:widowControl/>
                    <w:jc w:val="center"/>
                    <w:textAlignment w:val="bottom"/>
                    <w:rPr>
                      <w:color w:val="auto"/>
                      <w:szCs w:val="21"/>
                    </w:rPr>
                  </w:pPr>
                  <w:r>
                    <w:rPr>
                      <w:color w:val="auto"/>
                      <w:kern w:val="0"/>
                      <w:szCs w:val="21"/>
                      <w:lang w:bidi="ar"/>
                    </w:rPr>
                    <w:t>6</w:t>
                  </w:r>
                </w:p>
              </w:tc>
              <w:tc>
                <w:tcPr>
                  <w:tcW w:w="2392" w:type="pct"/>
                  <w:noWrap/>
                  <w:vAlign w:val="bottom"/>
                </w:tcPr>
                <w:p w14:paraId="6F3CD09C">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24小时动态血压监测仪-1</w:t>
                  </w:r>
                </w:p>
              </w:tc>
              <w:tc>
                <w:tcPr>
                  <w:tcW w:w="1048" w:type="pct"/>
                  <w:noWrap/>
                  <w:vAlign w:val="bottom"/>
                </w:tcPr>
                <w:p w14:paraId="0B1BE45D">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Mobil-o-Graph NG</w:t>
                  </w:r>
                </w:p>
              </w:tc>
              <w:tc>
                <w:tcPr>
                  <w:tcW w:w="1048" w:type="pct"/>
                  <w:noWrap/>
                  <w:vAlign w:val="center"/>
                </w:tcPr>
                <w:p w14:paraId="481488A5">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B564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3BF9E1D">
                  <w:pPr>
                    <w:widowControl/>
                    <w:jc w:val="center"/>
                    <w:textAlignment w:val="bottom"/>
                    <w:rPr>
                      <w:color w:val="auto"/>
                      <w:szCs w:val="21"/>
                    </w:rPr>
                  </w:pPr>
                  <w:r>
                    <w:rPr>
                      <w:color w:val="auto"/>
                      <w:kern w:val="0"/>
                      <w:szCs w:val="21"/>
                      <w:lang w:bidi="ar"/>
                    </w:rPr>
                    <w:t>7</w:t>
                  </w:r>
                </w:p>
              </w:tc>
              <w:tc>
                <w:tcPr>
                  <w:tcW w:w="2392" w:type="pct"/>
                  <w:noWrap/>
                  <w:vAlign w:val="bottom"/>
                </w:tcPr>
                <w:p w14:paraId="292196F4">
                  <w:pPr>
                    <w:widowControl/>
                    <w:jc w:val="center"/>
                    <w:textAlignment w:val="bottom"/>
                    <w:rPr>
                      <w:color w:val="auto"/>
                      <w:szCs w:val="21"/>
                    </w:rPr>
                  </w:pPr>
                  <w:r>
                    <w:rPr>
                      <w:rFonts w:hint="eastAsia" w:ascii="宋体" w:hAnsi="宋体" w:cs="宋体"/>
                      <w:color w:val="auto"/>
                      <w:kern w:val="0"/>
                      <w:szCs w:val="21"/>
                      <w:lang w:bidi="ar"/>
                    </w:rPr>
                    <w:t>24小时动态血压监测仪-2</w:t>
                  </w:r>
                </w:p>
              </w:tc>
              <w:tc>
                <w:tcPr>
                  <w:tcW w:w="1048" w:type="pct"/>
                  <w:noWrap/>
                  <w:vAlign w:val="bottom"/>
                </w:tcPr>
                <w:p w14:paraId="08A8CF02">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Mobil-0-Graph NG</w:t>
                  </w:r>
                </w:p>
              </w:tc>
              <w:tc>
                <w:tcPr>
                  <w:tcW w:w="1048" w:type="pct"/>
                  <w:noWrap/>
                  <w:vAlign w:val="center"/>
                </w:tcPr>
                <w:p w14:paraId="4F1A3453">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D7DF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720590F">
                  <w:pPr>
                    <w:widowControl/>
                    <w:jc w:val="center"/>
                    <w:textAlignment w:val="bottom"/>
                    <w:rPr>
                      <w:color w:val="auto"/>
                      <w:szCs w:val="21"/>
                    </w:rPr>
                  </w:pPr>
                  <w:r>
                    <w:rPr>
                      <w:color w:val="auto"/>
                      <w:kern w:val="0"/>
                      <w:szCs w:val="21"/>
                      <w:lang w:bidi="ar"/>
                    </w:rPr>
                    <w:t>8</w:t>
                  </w:r>
                </w:p>
              </w:tc>
              <w:tc>
                <w:tcPr>
                  <w:tcW w:w="2392" w:type="pct"/>
                  <w:noWrap/>
                  <w:vAlign w:val="bottom"/>
                </w:tcPr>
                <w:p w14:paraId="2F058EA9">
                  <w:pPr>
                    <w:widowControl/>
                    <w:jc w:val="center"/>
                    <w:textAlignment w:val="bottom"/>
                    <w:rPr>
                      <w:color w:val="auto"/>
                      <w:szCs w:val="21"/>
                    </w:rPr>
                  </w:pPr>
                  <w:r>
                    <w:rPr>
                      <w:rFonts w:hint="eastAsia" w:ascii="宋体" w:hAnsi="宋体" w:cs="宋体"/>
                      <w:color w:val="auto"/>
                      <w:kern w:val="0"/>
                      <w:szCs w:val="21"/>
                      <w:lang w:bidi="ar"/>
                    </w:rPr>
                    <w:t>全自动血液细胞分析仪</w:t>
                  </w:r>
                </w:p>
              </w:tc>
              <w:tc>
                <w:tcPr>
                  <w:tcW w:w="1048" w:type="pct"/>
                  <w:noWrap/>
                  <w:vAlign w:val="bottom"/>
                </w:tcPr>
                <w:p w14:paraId="033EA6C4">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BC-5380</w:t>
                  </w:r>
                </w:p>
              </w:tc>
              <w:tc>
                <w:tcPr>
                  <w:tcW w:w="1048" w:type="pct"/>
                  <w:noWrap/>
                  <w:vAlign w:val="center"/>
                </w:tcPr>
                <w:p w14:paraId="1590579E">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DF34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41AF5B9">
                  <w:pPr>
                    <w:widowControl/>
                    <w:jc w:val="center"/>
                    <w:textAlignment w:val="bottom"/>
                    <w:rPr>
                      <w:color w:val="auto"/>
                      <w:szCs w:val="21"/>
                    </w:rPr>
                  </w:pPr>
                  <w:r>
                    <w:rPr>
                      <w:color w:val="auto"/>
                      <w:kern w:val="0"/>
                      <w:szCs w:val="21"/>
                      <w:lang w:bidi="ar"/>
                    </w:rPr>
                    <w:t>9</w:t>
                  </w:r>
                </w:p>
              </w:tc>
              <w:tc>
                <w:tcPr>
                  <w:tcW w:w="2392" w:type="pct"/>
                  <w:noWrap/>
                  <w:vAlign w:val="bottom"/>
                </w:tcPr>
                <w:p w14:paraId="59519EC2">
                  <w:pPr>
                    <w:widowControl/>
                    <w:jc w:val="center"/>
                    <w:textAlignment w:val="bottom"/>
                    <w:rPr>
                      <w:color w:val="auto"/>
                      <w:szCs w:val="21"/>
                    </w:rPr>
                  </w:pPr>
                  <w:r>
                    <w:rPr>
                      <w:rFonts w:hint="eastAsia" w:ascii="宋体" w:hAnsi="宋体" w:cs="宋体"/>
                      <w:color w:val="auto"/>
                      <w:kern w:val="0"/>
                      <w:szCs w:val="21"/>
                      <w:lang w:bidi="ar"/>
                    </w:rPr>
                    <w:t>公共卫生智能查体采集系统问询采集系统01</w:t>
                  </w:r>
                </w:p>
              </w:tc>
              <w:tc>
                <w:tcPr>
                  <w:tcW w:w="1048" w:type="pct"/>
                  <w:noWrap/>
                  <w:vAlign w:val="bottom"/>
                </w:tcPr>
                <w:p w14:paraId="2B446F8A">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勤成 QC-WXV1.0</w:t>
                  </w:r>
                </w:p>
              </w:tc>
              <w:tc>
                <w:tcPr>
                  <w:tcW w:w="1048" w:type="pct"/>
                  <w:noWrap/>
                  <w:vAlign w:val="center"/>
                </w:tcPr>
                <w:p w14:paraId="7B77CCA8">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7DF43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9D74E56">
                  <w:pPr>
                    <w:widowControl/>
                    <w:jc w:val="center"/>
                    <w:textAlignment w:val="bottom"/>
                    <w:rPr>
                      <w:color w:val="auto"/>
                      <w:szCs w:val="21"/>
                    </w:rPr>
                  </w:pPr>
                  <w:r>
                    <w:rPr>
                      <w:color w:val="auto"/>
                      <w:kern w:val="0"/>
                      <w:szCs w:val="21"/>
                      <w:lang w:bidi="ar"/>
                    </w:rPr>
                    <w:t>10</w:t>
                  </w:r>
                </w:p>
              </w:tc>
              <w:tc>
                <w:tcPr>
                  <w:tcW w:w="2392" w:type="pct"/>
                  <w:noWrap/>
                  <w:vAlign w:val="bottom"/>
                </w:tcPr>
                <w:p w14:paraId="13E5139C">
                  <w:pPr>
                    <w:widowControl/>
                    <w:jc w:val="center"/>
                    <w:textAlignment w:val="bottom"/>
                    <w:rPr>
                      <w:color w:val="auto"/>
                      <w:szCs w:val="21"/>
                    </w:rPr>
                  </w:pPr>
                  <w:r>
                    <w:rPr>
                      <w:rFonts w:hint="eastAsia" w:ascii="宋体" w:hAnsi="宋体" w:cs="宋体"/>
                      <w:color w:val="auto"/>
                      <w:kern w:val="0"/>
                      <w:szCs w:val="21"/>
                      <w:lang w:bidi="ar"/>
                    </w:rPr>
                    <w:t>便携式B超</w:t>
                  </w:r>
                </w:p>
              </w:tc>
              <w:tc>
                <w:tcPr>
                  <w:tcW w:w="1048" w:type="pct"/>
                  <w:noWrap/>
                  <w:vAlign w:val="bottom"/>
                </w:tcPr>
                <w:p w14:paraId="562DFD6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DP-50</w:t>
                  </w:r>
                </w:p>
              </w:tc>
              <w:tc>
                <w:tcPr>
                  <w:tcW w:w="1048" w:type="pct"/>
                  <w:noWrap/>
                  <w:vAlign w:val="center"/>
                </w:tcPr>
                <w:p w14:paraId="3D5EEE99">
                  <w:pPr>
                    <w:widowControl/>
                    <w:jc w:val="center"/>
                    <w:textAlignment w:val="bottom"/>
                    <w:rPr>
                      <w:color w:val="auto"/>
                      <w:szCs w:val="21"/>
                    </w:rPr>
                  </w:pPr>
                  <w:r>
                    <w:rPr>
                      <w:rFonts w:hint="eastAsia"/>
                      <w:color w:val="auto"/>
                      <w:kern w:val="0"/>
                      <w:szCs w:val="21"/>
                      <w:lang w:bidi="ar"/>
                    </w:rPr>
                    <w:t>2</w:t>
                  </w:r>
                  <w:r>
                    <w:rPr>
                      <w:rStyle w:val="127"/>
                      <w:rFonts w:hint="default" w:ascii="Times New Roman" w:hAnsi="Times New Roman" w:cs="Times New Roman"/>
                      <w:color w:val="auto"/>
                      <w:sz w:val="21"/>
                      <w:szCs w:val="21"/>
                      <w:lang w:bidi="ar"/>
                    </w:rPr>
                    <w:t>台</w:t>
                  </w:r>
                </w:p>
              </w:tc>
            </w:tr>
            <w:tr w14:paraId="17A56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C8C396E">
                  <w:pPr>
                    <w:widowControl/>
                    <w:jc w:val="center"/>
                    <w:textAlignment w:val="bottom"/>
                    <w:rPr>
                      <w:color w:val="auto"/>
                      <w:szCs w:val="21"/>
                    </w:rPr>
                  </w:pPr>
                  <w:r>
                    <w:rPr>
                      <w:color w:val="auto"/>
                      <w:kern w:val="0"/>
                      <w:szCs w:val="21"/>
                      <w:lang w:bidi="ar"/>
                    </w:rPr>
                    <w:t>11</w:t>
                  </w:r>
                </w:p>
              </w:tc>
              <w:tc>
                <w:tcPr>
                  <w:tcW w:w="2392" w:type="pct"/>
                  <w:noWrap/>
                  <w:vAlign w:val="bottom"/>
                </w:tcPr>
                <w:p w14:paraId="4A83DFF1">
                  <w:pPr>
                    <w:widowControl/>
                    <w:jc w:val="center"/>
                    <w:textAlignment w:val="bottom"/>
                    <w:rPr>
                      <w:color w:val="auto"/>
                      <w:szCs w:val="21"/>
                    </w:rPr>
                  </w:pPr>
                  <w:r>
                    <w:rPr>
                      <w:rFonts w:hint="eastAsia" w:ascii="宋体" w:hAnsi="宋体" w:cs="宋体"/>
                      <w:color w:val="auto"/>
                      <w:kern w:val="0"/>
                      <w:szCs w:val="21"/>
                      <w:lang w:bidi="ar"/>
                    </w:rPr>
                    <w:t>多参数检测一体机</w:t>
                  </w:r>
                </w:p>
              </w:tc>
              <w:tc>
                <w:tcPr>
                  <w:tcW w:w="1048" w:type="pct"/>
                  <w:noWrap/>
                  <w:vAlign w:val="bottom"/>
                </w:tcPr>
                <w:p w14:paraId="4032F61F">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MMED6000DP-Y13</w:t>
                  </w:r>
                </w:p>
              </w:tc>
              <w:tc>
                <w:tcPr>
                  <w:tcW w:w="1048" w:type="pct"/>
                  <w:noWrap/>
                  <w:vAlign w:val="center"/>
                </w:tcPr>
                <w:p w14:paraId="7E18C75E">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8E8F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F3863FF">
                  <w:pPr>
                    <w:widowControl/>
                    <w:jc w:val="center"/>
                    <w:textAlignment w:val="bottom"/>
                    <w:rPr>
                      <w:color w:val="auto"/>
                      <w:szCs w:val="21"/>
                    </w:rPr>
                  </w:pPr>
                  <w:r>
                    <w:rPr>
                      <w:color w:val="auto"/>
                      <w:kern w:val="0"/>
                      <w:szCs w:val="21"/>
                      <w:lang w:bidi="ar"/>
                    </w:rPr>
                    <w:t>12</w:t>
                  </w:r>
                </w:p>
              </w:tc>
              <w:tc>
                <w:tcPr>
                  <w:tcW w:w="2392" w:type="pct"/>
                  <w:noWrap/>
                  <w:vAlign w:val="bottom"/>
                </w:tcPr>
                <w:p w14:paraId="7161024E">
                  <w:pPr>
                    <w:widowControl/>
                    <w:jc w:val="center"/>
                    <w:textAlignment w:val="bottom"/>
                    <w:rPr>
                      <w:color w:val="auto"/>
                      <w:szCs w:val="21"/>
                    </w:rPr>
                  </w:pPr>
                  <w:r>
                    <w:rPr>
                      <w:rFonts w:hint="eastAsia" w:ascii="宋体" w:hAnsi="宋体" w:cs="宋体"/>
                      <w:color w:val="auto"/>
                      <w:kern w:val="0"/>
                      <w:szCs w:val="21"/>
                      <w:lang w:bidi="ar"/>
                    </w:rPr>
                    <w:t>心脏除颤仪</w:t>
                  </w:r>
                </w:p>
              </w:tc>
              <w:tc>
                <w:tcPr>
                  <w:tcW w:w="1048" w:type="pct"/>
                  <w:noWrap/>
                  <w:vAlign w:val="bottom"/>
                </w:tcPr>
                <w:p w14:paraId="31A24DEB">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Primedic Defi-B(M110)</w:t>
                  </w:r>
                </w:p>
              </w:tc>
              <w:tc>
                <w:tcPr>
                  <w:tcW w:w="1048" w:type="pct"/>
                  <w:noWrap/>
                  <w:vAlign w:val="center"/>
                </w:tcPr>
                <w:p w14:paraId="3A93F348">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0610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BB9DCBA">
                  <w:pPr>
                    <w:widowControl/>
                    <w:jc w:val="center"/>
                    <w:textAlignment w:val="bottom"/>
                    <w:rPr>
                      <w:color w:val="auto"/>
                      <w:kern w:val="0"/>
                      <w:szCs w:val="21"/>
                      <w:lang w:bidi="ar"/>
                    </w:rPr>
                  </w:pPr>
                  <w:r>
                    <w:rPr>
                      <w:rFonts w:hint="eastAsia"/>
                      <w:color w:val="auto"/>
                      <w:kern w:val="0"/>
                      <w:szCs w:val="21"/>
                      <w:lang w:bidi="ar"/>
                    </w:rPr>
                    <w:t>13</w:t>
                  </w:r>
                </w:p>
              </w:tc>
              <w:tc>
                <w:tcPr>
                  <w:tcW w:w="2392" w:type="pct"/>
                  <w:noWrap/>
                  <w:vAlign w:val="bottom"/>
                </w:tcPr>
                <w:p w14:paraId="2455C09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彩色多普勒超声诊断仪</w:t>
                  </w:r>
                </w:p>
              </w:tc>
              <w:tc>
                <w:tcPr>
                  <w:tcW w:w="1048" w:type="pct"/>
                  <w:noWrap/>
                  <w:vAlign w:val="bottom"/>
                </w:tcPr>
                <w:p w14:paraId="08CAF00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飞利浦 HD7</w:t>
                  </w:r>
                </w:p>
              </w:tc>
              <w:tc>
                <w:tcPr>
                  <w:tcW w:w="1048" w:type="pct"/>
                  <w:noWrap/>
                  <w:vAlign w:val="center"/>
                </w:tcPr>
                <w:p w14:paraId="6C66D75D">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6C736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6179BD8">
                  <w:pPr>
                    <w:widowControl/>
                    <w:jc w:val="center"/>
                    <w:textAlignment w:val="bottom"/>
                    <w:rPr>
                      <w:color w:val="auto"/>
                      <w:kern w:val="0"/>
                      <w:szCs w:val="21"/>
                      <w:lang w:bidi="ar"/>
                    </w:rPr>
                  </w:pPr>
                  <w:r>
                    <w:rPr>
                      <w:rFonts w:hint="eastAsia"/>
                      <w:color w:val="auto"/>
                      <w:kern w:val="0"/>
                      <w:szCs w:val="21"/>
                      <w:lang w:bidi="ar"/>
                    </w:rPr>
                    <w:t>14</w:t>
                  </w:r>
                </w:p>
              </w:tc>
              <w:tc>
                <w:tcPr>
                  <w:tcW w:w="2392" w:type="pct"/>
                  <w:noWrap/>
                  <w:vAlign w:val="bottom"/>
                </w:tcPr>
                <w:p w14:paraId="32C2A0D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便携式黑白B超（全数字）</w:t>
                  </w:r>
                </w:p>
              </w:tc>
              <w:tc>
                <w:tcPr>
                  <w:tcW w:w="1048" w:type="pct"/>
                  <w:noWrap/>
                  <w:vAlign w:val="bottom"/>
                </w:tcPr>
                <w:p w14:paraId="6FA1E74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CTS-5500PLUS</w:t>
                  </w:r>
                </w:p>
              </w:tc>
              <w:tc>
                <w:tcPr>
                  <w:tcW w:w="1048" w:type="pct"/>
                  <w:noWrap/>
                  <w:vAlign w:val="center"/>
                </w:tcPr>
                <w:p w14:paraId="3132299E">
                  <w:pPr>
                    <w:widowControl/>
                    <w:jc w:val="center"/>
                    <w:textAlignment w:val="bottom"/>
                    <w:rPr>
                      <w:color w:val="auto"/>
                      <w:kern w:val="0"/>
                      <w:szCs w:val="21"/>
                      <w:lang w:bidi="ar"/>
                    </w:rPr>
                  </w:pPr>
                  <w:r>
                    <w:rPr>
                      <w:rFonts w:hint="eastAsia"/>
                      <w:color w:val="auto"/>
                      <w:kern w:val="0"/>
                      <w:szCs w:val="21"/>
                      <w:lang w:bidi="ar"/>
                    </w:rPr>
                    <w:t>2</w:t>
                  </w:r>
                  <w:r>
                    <w:rPr>
                      <w:rStyle w:val="127"/>
                      <w:rFonts w:hint="default" w:ascii="Times New Roman" w:hAnsi="Times New Roman" w:cs="Times New Roman"/>
                      <w:color w:val="auto"/>
                      <w:sz w:val="21"/>
                      <w:szCs w:val="21"/>
                      <w:lang w:bidi="ar"/>
                    </w:rPr>
                    <w:t>台</w:t>
                  </w:r>
                </w:p>
              </w:tc>
            </w:tr>
            <w:tr w14:paraId="2326C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33A2FC4">
                  <w:pPr>
                    <w:widowControl/>
                    <w:jc w:val="center"/>
                    <w:textAlignment w:val="bottom"/>
                    <w:rPr>
                      <w:color w:val="auto"/>
                      <w:kern w:val="0"/>
                      <w:szCs w:val="21"/>
                      <w:lang w:bidi="ar"/>
                    </w:rPr>
                  </w:pPr>
                  <w:r>
                    <w:rPr>
                      <w:rFonts w:hint="eastAsia"/>
                      <w:color w:val="auto"/>
                      <w:kern w:val="0"/>
                      <w:szCs w:val="21"/>
                      <w:lang w:bidi="ar"/>
                    </w:rPr>
                    <w:t>15</w:t>
                  </w:r>
                </w:p>
              </w:tc>
              <w:tc>
                <w:tcPr>
                  <w:tcW w:w="2392" w:type="pct"/>
                  <w:noWrap/>
                  <w:vAlign w:val="bottom"/>
                </w:tcPr>
                <w:p w14:paraId="0A47302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全自动生化分析仪</w:t>
                  </w:r>
                </w:p>
              </w:tc>
              <w:tc>
                <w:tcPr>
                  <w:tcW w:w="1048" w:type="pct"/>
                  <w:noWrap/>
                  <w:vAlign w:val="bottom"/>
                </w:tcPr>
                <w:p w14:paraId="680FC3C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BS-480</w:t>
                  </w:r>
                </w:p>
              </w:tc>
              <w:tc>
                <w:tcPr>
                  <w:tcW w:w="1048" w:type="pct"/>
                  <w:noWrap/>
                  <w:vAlign w:val="center"/>
                </w:tcPr>
                <w:p w14:paraId="3FD6812F">
                  <w:pPr>
                    <w:widowControl/>
                    <w:jc w:val="center"/>
                    <w:textAlignment w:val="bottom"/>
                    <w:rPr>
                      <w:color w:val="auto"/>
                      <w:kern w:val="0"/>
                      <w:szCs w:val="21"/>
                      <w:lang w:bidi="ar"/>
                    </w:rPr>
                  </w:pPr>
                  <w:r>
                    <w:rPr>
                      <w:color w:val="auto"/>
                      <w:kern w:val="0"/>
                      <w:szCs w:val="21"/>
                      <w:lang w:bidi="ar"/>
                    </w:rPr>
                    <w:t>1台</w:t>
                  </w:r>
                </w:p>
              </w:tc>
            </w:tr>
            <w:tr w14:paraId="6AE00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148DB6A">
                  <w:pPr>
                    <w:widowControl/>
                    <w:jc w:val="center"/>
                    <w:textAlignment w:val="bottom"/>
                    <w:rPr>
                      <w:color w:val="auto"/>
                      <w:kern w:val="0"/>
                      <w:szCs w:val="21"/>
                      <w:lang w:bidi="ar"/>
                    </w:rPr>
                  </w:pPr>
                  <w:r>
                    <w:rPr>
                      <w:rFonts w:hint="eastAsia"/>
                      <w:color w:val="auto"/>
                      <w:kern w:val="0"/>
                      <w:szCs w:val="21"/>
                      <w:lang w:bidi="ar"/>
                    </w:rPr>
                    <w:t>16</w:t>
                  </w:r>
                </w:p>
              </w:tc>
              <w:tc>
                <w:tcPr>
                  <w:tcW w:w="2392" w:type="pct"/>
                  <w:noWrap/>
                  <w:vAlign w:val="bottom"/>
                </w:tcPr>
                <w:p w14:paraId="031635FF">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远红外理疗按摩颈腰牵引床</w:t>
                  </w:r>
                </w:p>
              </w:tc>
              <w:tc>
                <w:tcPr>
                  <w:tcW w:w="1048" w:type="pct"/>
                  <w:noWrap/>
                  <w:vAlign w:val="bottom"/>
                </w:tcPr>
                <w:p w14:paraId="06222BDE">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100B</w:t>
                  </w:r>
                </w:p>
              </w:tc>
              <w:tc>
                <w:tcPr>
                  <w:tcW w:w="1048" w:type="pct"/>
                  <w:noWrap/>
                  <w:vAlign w:val="center"/>
                </w:tcPr>
                <w:p w14:paraId="67F987EA">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128DD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FDAF97B">
                  <w:pPr>
                    <w:widowControl/>
                    <w:jc w:val="center"/>
                    <w:textAlignment w:val="bottom"/>
                    <w:rPr>
                      <w:color w:val="auto"/>
                      <w:kern w:val="0"/>
                      <w:szCs w:val="21"/>
                      <w:lang w:bidi="ar"/>
                    </w:rPr>
                  </w:pPr>
                  <w:r>
                    <w:rPr>
                      <w:rFonts w:hint="eastAsia"/>
                      <w:color w:val="auto"/>
                      <w:kern w:val="0"/>
                      <w:szCs w:val="21"/>
                      <w:lang w:bidi="ar"/>
                    </w:rPr>
                    <w:t>17</w:t>
                  </w:r>
                </w:p>
              </w:tc>
              <w:tc>
                <w:tcPr>
                  <w:tcW w:w="2392" w:type="pct"/>
                  <w:noWrap/>
                  <w:vAlign w:val="bottom"/>
                </w:tcPr>
                <w:p w14:paraId="7EA1B161">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智能通络治疗仪</w:t>
                  </w:r>
                </w:p>
              </w:tc>
              <w:tc>
                <w:tcPr>
                  <w:tcW w:w="1048" w:type="pct"/>
                  <w:noWrap/>
                  <w:vAlign w:val="bottom"/>
                </w:tcPr>
                <w:p w14:paraId="1C1EE44E">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ABE-Ⅲ</w:t>
                  </w:r>
                </w:p>
              </w:tc>
              <w:tc>
                <w:tcPr>
                  <w:tcW w:w="1048" w:type="pct"/>
                  <w:noWrap/>
                  <w:vAlign w:val="center"/>
                </w:tcPr>
                <w:p w14:paraId="682946CC">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C789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798A951">
                  <w:pPr>
                    <w:widowControl/>
                    <w:jc w:val="center"/>
                    <w:textAlignment w:val="bottom"/>
                    <w:rPr>
                      <w:color w:val="auto"/>
                      <w:kern w:val="0"/>
                      <w:szCs w:val="21"/>
                      <w:lang w:bidi="ar"/>
                    </w:rPr>
                  </w:pPr>
                  <w:r>
                    <w:rPr>
                      <w:rFonts w:hint="eastAsia"/>
                      <w:color w:val="auto"/>
                      <w:kern w:val="0"/>
                      <w:szCs w:val="21"/>
                      <w:lang w:bidi="ar"/>
                    </w:rPr>
                    <w:t>18</w:t>
                  </w:r>
                </w:p>
              </w:tc>
              <w:tc>
                <w:tcPr>
                  <w:tcW w:w="2392" w:type="pct"/>
                  <w:noWrap/>
                  <w:vAlign w:val="bottom"/>
                </w:tcPr>
                <w:p w14:paraId="66A47B37">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全自动血液分析仪</w:t>
                  </w:r>
                </w:p>
              </w:tc>
              <w:tc>
                <w:tcPr>
                  <w:tcW w:w="1048" w:type="pct"/>
                  <w:noWrap/>
                  <w:vAlign w:val="bottom"/>
                </w:tcPr>
                <w:p w14:paraId="4F17D14F">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XP-100</w:t>
                  </w:r>
                </w:p>
              </w:tc>
              <w:tc>
                <w:tcPr>
                  <w:tcW w:w="1048" w:type="pct"/>
                  <w:noWrap/>
                  <w:vAlign w:val="center"/>
                </w:tcPr>
                <w:p w14:paraId="5FC5A5DB">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3174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9CA0A16">
                  <w:pPr>
                    <w:widowControl/>
                    <w:jc w:val="center"/>
                    <w:textAlignment w:val="bottom"/>
                    <w:rPr>
                      <w:color w:val="auto"/>
                      <w:kern w:val="0"/>
                      <w:szCs w:val="21"/>
                      <w:lang w:bidi="ar"/>
                    </w:rPr>
                  </w:pPr>
                  <w:r>
                    <w:rPr>
                      <w:rFonts w:hint="eastAsia"/>
                      <w:color w:val="auto"/>
                      <w:kern w:val="0"/>
                      <w:szCs w:val="21"/>
                      <w:lang w:bidi="ar"/>
                    </w:rPr>
                    <w:t>19</w:t>
                  </w:r>
                </w:p>
              </w:tc>
              <w:tc>
                <w:tcPr>
                  <w:tcW w:w="2392" w:type="pct"/>
                  <w:noWrap/>
                  <w:vAlign w:val="bottom"/>
                </w:tcPr>
                <w:p w14:paraId="56F1E5CD">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静音柴油发电机组</w:t>
                  </w:r>
                </w:p>
              </w:tc>
              <w:tc>
                <w:tcPr>
                  <w:tcW w:w="1048" w:type="pct"/>
                  <w:noWrap/>
                  <w:vAlign w:val="bottom"/>
                </w:tcPr>
                <w:p w14:paraId="1909D46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100GF 100KW</w:t>
                  </w:r>
                </w:p>
              </w:tc>
              <w:tc>
                <w:tcPr>
                  <w:tcW w:w="1048" w:type="pct"/>
                  <w:noWrap/>
                  <w:vAlign w:val="center"/>
                </w:tcPr>
                <w:p w14:paraId="29260840">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CFEA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EDBFA65">
                  <w:pPr>
                    <w:widowControl/>
                    <w:jc w:val="center"/>
                    <w:textAlignment w:val="bottom"/>
                    <w:rPr>
                      <w:color w:val="auto"/>
                      <w:kern w:val="0"/>
                      <w:szCs w:val="21"/>
                      <w:lang w:bidi="ar"/>
                    </w:rPr>
                  </w:pPr>
                  <w:r>
                    <w:rPr>
                      <w:rFonts w:hint="eastAsia"/>
                      <w:color w:val="auto"/>
                      <w:kern w:val="0"/>
                      <w:szCs w:val="21"/>
                      <w:lang w:bidi="ar"/>
                    </w:rPr>
                    <w:t>20</w:t>
                  </w:r>
                </w:p>
              </w:tc>
              <w:tc>
                <w:tcPr>
                  <w:tcW w:w="2392" w:type="pct"/>
                  <w:noWrap/>
                  <w:vAlign w:val="bottom"/>
                </w:tcPr>
                <w:p w14:paraId="7821C323">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佳能复印机</w:t>
                  </w:r>
                </w:p>
              </w:tc>
              <w:tc>
                <w:tcPr>
                  <w:tcW w:w="1048" w:type="pct"/>
                  <w:noWrap/>
                  <w:vAlign w:val="bottom"/>
                </w:tcPr>
                <w:p w14:paraId="42481CB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iR C3125</w:t>
                  </w:r>
                </w:p>
              </w:tc>
              <w:tc>
                <w:tcPr>
                  <w:tcW w:w="1048" w:type="pct"/>
                  <w:noWrap/>
                  <w:vAlign w:val="center"/>
                </w:tcPr>
                <w:p w14:paraId="63833E6C">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5D97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013976D">
                  <w:pPr>
                    <w:widowControl/>
                    <w:jc w:val="center"/>
                    <w:textAlignment w:val="bottom"/>
                    <w:rPr>
                      <w:color w:val="auto"/>
                      <w:kern w:val="0"/>
                      <w:szCs w:val="21"/>
                      <w:lang w:bidi="ar"/>
                    </w:rPr>
                  </w:pPr>
                  <w:r>
                    <w:rPr>
                      <w:rFonts w:hint="eastAsia"/>
                      <w:color w:val="auto"/>
                      <w:kern w:val="0"/>
                      <w:szCs w:val="21"/>
                      <w:lang w:bidi="ar"/>
                    </w:rPr>
                    <w:t>21</w:t>
                  </w:r>
                </w:p>
              </w:tc>
              <w:tc>
                <w:tcPr>
                  <w:tcW w:w="2392" w:type="pct"/>
                  <w:noWrap/>
                  <w:vAlign w:val="bottom"/>
                </w:tcPr>
                <w:p w14:paraId="5AA4EF89">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架类</w:t>
                  </w:r>
                </w:p>
              </w:tc>
              <w:tc>
                <w:tcPr>
                  <w:tcW w:w="1048" w:type="pct"/>
                  <w:noWrap/>
                  <w:vAlign w:val="bottom"/>
                </w:tcPr>
                <w:p w14:paraId="04864ACB">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待完善</w:t>
                  </w:r>
                </w:p>
              </w:tc>
              <w:tc>
                <w:tcPr>
                  <w:tcW w:w="1048" w:type="pct"/>
                  <w:noWrap/>
                  <w:vAlign w:val="center"/>
                </w:tcPr>
                <w:p w14:paraId="2EEFF011">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7545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2B6DEAB">
                  <w:pPr>
                    <w:widowControl/>
                    <w:jc w:val="center"/>
                    <w:textAlignment w:val="bottom"/>
                    <w:rPr>
                      <w:color w:val="auto"/>
                      <w:kern w:val="0"/>
                      <w:szCs w:val="21"/>
                      <w:lang w:bidi="ar"/>
                    </w:rPr>
                  </w:pPr>
                  <w:r>
                    <w:rPr>
                      <w:rFonts w:hint="eastAsia"/>
                      <w:color w:val="auto"/>
                      <w:kern w:val="0"/>
                      <w:szCs w:val="21"/>
                      <w:lang w:bidi="ar"/>
                    </w:rPr>
                    <w:t>22</w:t>
                  </w:r>
                </w:p>
              </w:tc>
              <w:tc>
                <w:tcPr>
                  <w:tcW w:w="2392" w:type="pct"/>
                  <w:noWrap/>
                  <w:vAlign w:val="bottom"/>
                </w:tcPr>
                <w:p w14:paraId="7C890B47">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江铃全顺 救护车</w:t>
                  </w:r>
                </w:p>
              </w:tc>
              <w:tc>
                <w:tcPr>
                  <w:tcW w:w="1048" w:type="pct"/>
                  <w:noWrap/>
                  <w:vAlign w:val="bottom"/>
                </w:tcPr>
                <w:p w14:paraId="308295B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JX5036XJHZJV</w:t>
                  </w:r>
                </w:p>
              </w:tc>
              <w:tc>
                <w:tcPr>
                  <w:tcW w:w="1048" w:type="pct"/>
                  <w:noWrap/>
                  <w:vAlign w:val="center"/>
                </w:tcPr>
                <w:p w14:paraId="1CB7195A">
                  <w:pPr>
                    <w:widowControl/>
                    <w:jc w:val="center"/>
                    <w:textAlignment w:val="bottom"/>
                    <w:rPr>
                      <w:color w:val="auto"/>
                      <w:kern w:val="0"/>
                      <w:szCs w:val="21"/>
                      <w:lang w:bidi="ar"/>
                    </w:rPr>
                  </w:pPr>
                  <w:r>
                    <w:rPr>
                      <w:rFonts w:hint="eastAsia"/>
                      <w:color w:val="auto"/>
                      <w:kern w:val="0"/>
                      <w:szCs w:val="21"/>
                      <w:lang w:bidi="ar"/>
                    </w:rPr>
                    <w:t>1</w:t>
                  </w:r>
                  <w:r>
                    <w:rPr>
                      <w:rStyle w:val="127"/>
                      <w:rFonts w:hint="default" w:ascii="Times New Roman" w:hAnsi="Times New Roman" w:cs="Times New Roman"/>
                      <w:color w:val="auto"/>
                      <w:sz w:val="21"/>
                      <w:szCs w:val="21"/>
                      <w:lang w:bidi="ar"/>
                    </w:rPr>
                    <w:t>台</w:t>
                  </w:r>
                </w:p>
              </w:tc>
            </w:tr>
            <w:tr w14:paraId="0BC74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9080279">
                  <w:pPr>
                    <w:widowControl/>
                    <w:jc w:val="center"/>
                    <w:textAlignment w:val="bottom"/>
                    <w:rPr>
                      <w:color w:val="auto"/>
                      <w:kern w:val="0"/>
                      <w:szCs w:val="21"/>
                      <w:lang w:bidi="ar"/>
                    </w:rPr>
                  </w:pPr>
                  <w:r>
                    <w:rPr>
                      <w:rFonts w:hint="eastAsia"/>
                      <w:color w:val="auto"/>
                      <w:kern w:val="0"/>
                      <w:szCs w:val="21"/>
                      <w:lang w:bidi="ar"/>
                    </w:rPr>
                    <w:t>23</w:t>
                  </w:r>
                </w:p>
              </w:tc>
              <w:tc>
                <w:tcPr>
                  <w:tcW w:w="2392" w:type="pct"/>
                  <w:noWrap/>
                  <w:vAlign w:val="bottom"/>
                </w:tcPr>
                <w:p w14:paraId="0353B1FB">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数字化接种门诊系统（含专用硬件设备）</w:t>
                  </w:r>
                </w:p>
              </w:tc>
              <w:tc>
                <w:tcPr>
                  <w:tcW w:w="1048" w:type="pct"/>
                  <w:noWrap/>
                  <w:vAlign w:val="bottom"/>
                </w:tcPr>
                <w:p w14:paraId="3CDF8B61">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金卫信</w:t>
                  </w:r>
                </w:p>
              </w:tc>
              <w:tc>
                <w:tcPr>
                  <w:tcW w:w="1048" w:type="pct"/>
                  <w:noWrap/>
                  <w:vAlign w:val="center"/>
                </w:tcPr>
                <w:p w14:paraId="66F2CD9F">
                  <w:pPr>
                    <w:widowControl/>
                    <w:jc w:val="center"/>
                    <w:textAlignment w:val="bottom"/>
                    <w:rPr>
                      <w:color w:val="auto"/>
                      <w:kern w:val="0"/>
                      <w:szCs w:val="21"/>
                      <w:lang w:bidi="ar"/>
                    </w:rPr>
                  </w:pPr>
                  <w:r>
                    <w:rPr>
                      <w:color w:val="auto"/>
                      <w:kern w:val="0"/>
                      <w:szCs w:val="21"/>
                      <w:lang w:bidi="ar"/>
                    </w:rPr>
                    <w:t>1台</w:t>
                  </w:r>
                </w:p>
              </w:tc>
            </w:tr>
            <w:tr w14:paraId="63AD8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6B85EB8">
                  <w:pPr>
                    <w:widowControl/>
                    <w:jc w:val="center"/>
                    <w:textAlignment w:val="bottom"/>
                    <w:rPr>
                      <w:color w:val="auto"/>
                      <w:kern w:val="0"/>
                      <w:szCs w:val="21"/>
                      <w:lang w:bidi="ar"/>
                    </w:rPr>
                  </w:pPr>
                  <w:r>
                    <w:rPr>
                      <w:rFonts w:hint="eastAsia"/>
                      <w:color w:val="auto"/>
                      <w:kern w:val="0"/>
                      <w:szCs w:val="21"/>
                      <w:lang w:bidi="ar"/>
                    </w:rPr>
                    <w:t>24</w:t>
                  </w:r>
                </w:p>
              </w:tc>
              <w:tc>
                <w:tcPr>
                  <w:tcW w:w="2392" w:type="pct"/>
                  <w:noWrap/>
                  <w:vAlign w:val="bottom"/>
                </w:tcPr>
                <w:p w14:paraId="1A16BB12">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智能接种双屏一体电脑</w:t>
                  </w:r>
                </w:p>
              </w:tc>
              <w:tc>
                <w:tcPr>
                  <w:tcW w:w="1048" w:type="pct"/>
                  <w:noWrap/>
                  <w:vAlign w:val="bottom"/>
                </w:tcPr>
                <w:p w14:paraId="75136FB0">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云豹  YB-999</w:t>
                  </w:r>
                </w:p>
              </w:tc>
              <w:tc>
                <w:tcPr>
                  <w:tcW w:w="1048" w:type="pct"/>
                  <w:noWrap/>
                  <w:vAlign w:val="center"/>
                </w:tcPr>
                <w:p w14:paraId="05B09E17">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45B6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26A4C9C">
                  <w:pPr>
                    <w:widowControl/>
                    <w:jc w:val="center"/>
                    <w:textAlignment w:val="bottom"/>
                    <w:rPr>
                      <w:color w:val="auto"/>
                      <w:kern w:val="0"/>
                      <w:szCs w:val="21"/>
                      <w:lang w:bidi="ar"/>
                    </w:rPr>
                  </w:pPr>
                  <w:r>
                    <w:rPr>
                      <w:rFonts w:hint="eastAsia"/>
                      <w:color w:val="auto"/>
                      <w:kern w:val="0"/>
                      <w:szCs w:val="21"/>
                      <w:lang w:bidi="ar"/>
                    </w:rPr>
                    <w:t>25</w:t>
                  </w:r>
                </w:p>
              </w:tc>
              <w:tc>
                <w:tcPr>
                  <w:tcW w:w="2392" w:type="pct"/>
                  <w:noWrap/>
                  <w:vAlign w:val="bottom"/>
                </w:tcPr>
                <w:p w14:paraId="1309A61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心电图机</w:t>
                  </w:r>
                </w:p>
              </w:tc>
              <w:tc>
                <w:tcPr>
                  <w:tcW w:w="1048" w:type="pct"/>
                  <w:noWrap/>
                  <w:vAlign w:val="bottom"/>
                </w:tcPr>
                <w:p w14:paraId="743644CE">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ECG-1350P</w:t>
                  </w:r>
                </w:p>
              </w:tc>
              <w:tc>
                <w:tcPr>
                  <w:tcW w:w="1048" w:type="pct"/>
                  <w:noWrap/>
                  <w:vAlign w:val="center"/>
                </w:tcPr>
                <w:p w14:paraId="60FA7B5C">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72BEA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0AE8C26">
                  <w:pPr>
                    <w:widowControl/>
                    <w:jc w:val="center"/>
                    <w:textAlignment w:val="bottom"/>
                    <w:rPr>
                      <w:color w:val="auto"/>
                      <w:kern w:val="0"/>
                      <w:szCs w:val="21"/>
                      <w:lang w:bidi="ar"/>
                    </w:rPr>
                  </w:pPr>
                  <w:r>
                    <w:rPr>
                      <w:rFonts w:hint="eastAsia"/>
                      <w:color w:val="auto"/>
                      <w:kern w:val="0"/>
                      <w:szCs w:val="21"/>
                      <w:lang w:bidi="ar"/>
                    </w:rPr>
                    <w:t>26</w:t>
                  </w:r>
                </w:p>
              </w:tc>
              <w:tc>
                <w:tcPr>
                  <w:tcW w:w="2392" w:type="pct"/>
                  <w:noWrap/>
                  <w:vAlign w:val="bottom"/>
                </w:tcPr>
                <w:p w14:paraId="0343549E">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监控系统</w:t>
                  </w:r>
                </w:p>
              </w:tc>
              <w:tc>
                <w:tcPr>
                  <w:tcW w:w="1048" w:type="pct"/>
                  <w:noWrap/>
                  <w:vAlign w:val="bottom"/>
                </w:tcPr>
                <w:p w14:paraId="4911D77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HB-7008</w:t>
                  </w:r>
                </w:p>
              </w:tc>
              <w:tc>
                <w:tcPr>
                  <w:tcW w:w="1048" w:type="pct"/>
                  <w:noWrap/>
                  <w:vAlign w:val="center"/>
                </w:tcPr>
                <w:p w14:paraId="4C83AE33">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4B56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80C17FB">
                  <w:pPr>
                    <w:widowControl/>
                    <w:jc w:val="center"/>
                    <w:textAlignment w:val="bottom"/>
                    <w:rPr>
                      <w:color w:val="auto"/>
                      <w:kern w:val="0"/>
                      <w:szCs w:val="21"/>
                      <w:lang w:bidi="ar"/>
                    </w:rPr>
                  </w:pPr>
                  <w:r>
                    <w:rPr>
                      <w:rFonts w:hint="eastAsia"/>
                      <w:color w:val="auto"/>
                      <w:kern w:val="0"/>
                      <w:szCs w:val="21"/>
                      <w:lang w:bidi="ar"/>
                    </w:rPr>
                    <w:t>27</w:t>
                  </w:r>
                </w:p>
              </w:tc>
              <w:tc>
                <w:tcPr>
                  <w:tcW w:w="2392" w:type="pct"/>
                  <w:noWrap/>
                  <w:vAlign w:val="bottom"/>
                </w:tcPr>
                <w:p w14:paraId="2300AEF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数码复印机</w:t>
                  </w:r>
                </w:p>
              </w:tc>
              <w:tc>
                <w:tcPr>
                  <w:tcW w:w="1048" w:type="pct"/>
                  <w:noWrap/>
                  <w:vAlign w:val="bottom"/>
                </w:tcPr>
                <w:p w14:paraId="6C44BE60">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AR-4821D</w:t>
                  </w:r>
                </w:p>
              </w:tc>
              <w:tc>
                <w:tcPr>
                  <w:tcW w:w="1048" w:type="pct"/>
                  <w:noWrap/>
                  <w:vAlign w:val="center"/>
                </w:tcPr>
                <w:p w14:paraId="24484CC2">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1F6C1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E3956C7">
                  <w:pPr>
                    <w:widowControl/>
                    <w:jc w:val="center"/>
                    <w:textAlignment w:val="bottom"/>
                    <w:rPr>
                      <w:color w:val="auto"/>
                      <w:kern w:val="0"/>
                      <w:szCs w:val="21"/>
                      <w:lang w:bidi="ar"/>
                    </w:rPr>
                  </w:pPr>
                  <w:r>
                    <w:rPr>
                      <w:rFonts w:hint="eastAsia"/>
                      <w:color w:val="auto"/>
                      <w:kern w:val="0"/>
                      <w:szCs w:val="21"/>
                      <w:lang w:bidi="ar"/>
                    </w:rPr>
                    <w:t>28</w:t>
                  </w:r>
                </w:p>
              </w:tc>
              <w:tc>
                <w:tcPr>
                  <w:tcW w:w="2392" w:type="pct"/>
                  <w:noWrap/>
                  <w:vAlign w:val="bottom"/>
                </w:tcPr>
                <w:p w14:paraId="38C2E63D">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牙科综合治疗机</w:t>
                  </w:r>
                </w:p>
              </w:tc>
              <w:tc>
                <w:tcPr>
                  <w:tcW w:w="1048" w:type="pct"/>
                  <w:noWrap/>
                  <w:vAlign w:val="bottom"/>
                </w:tcPr>
                <w:p w14:paraId="280772C0">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S2306</w:t>
                  </w:r>
                </w:p>
              </w:tc>
              <w:tc>
                <w:tcPr>
                  <w:tcW w:w="1048" w:type="pct"/>
                  <w:noWrap/>
                  <w:vAlign w:val="center"/>
                </w:tcPr>
                <w:p w14:paraId="40C9F941">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27200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03D6345">
                  <w:pPr>
                    <w:widowControl/>
                    <w:jc w:val="center"/>
                    <w:textAlignment w:val="bottom"/>
                    <w:rPr>
                      <w:color w:val="auto"/>
                      <w:kern w:val="0"/>
                      <w:szCs w:val="21"/>
                      <w:lang w:bidi="ar"/>
                    </w:rPr>
                  </w:pPr>
                  <w:r>
                    <w:rPr>
                      <w:rFonts w:hint="eastAsia"/>
                      <w:color w:val="auto"/>
                      <w:kern w:val="0"/>
                      <w:szCs w:val="21"/>
                      <w:lang w:bidi="ar"/>
                    </w:rPr>
                    <w:t>29</w:t>
                  </w:r>
                </w:p>
              </w:tc>
              <w:tc>
                <w:tcPr>
                  <w:tcW w:w="2392" w:type="pct"/>
                  <w:noWrap/>
                  <w:vAlign w:val="bottom"/>
                </w:tcPr>
                <w:p w14:paraId="1E161759">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心电监护仪</w:t>
                  </w:r>
                </w:p>
              </w:tc>
              <w:tc>
                <w:tcPr>
                  <w:tcW w:w="1048" w:type="pct"/>
                  <w:noWrap/>
                  <w:vAlign w:val="bottom"/>
                </w:tcPr>
                <w:p w14:paraId="508A7D89">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MEC-1000</w:t>
                  </w:r>
                </w:p>
              </w:tc>
              <w:tc>
                <w:tcPr>
                  <w:tcW w:w="1048" w:type="pct"/>
                  <w:noWrap/>
                  <w:vAlign w:val="center"/>
                </w:tcPr>
                <w:p w14:paraId="6BFEC031">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1BC1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29F4EA2">
                  <w:pPr>
                    <w:widowControl/>
                    <w:jc w:val="center"/>
                    <w:textAlignment w:val="bottom"/>
                    <w:rPr>
                      <w:color w:val="auto"/>
                      <w:kern w:val="0"/>
                      <w:szCs w:val="21"/>
                      <w:lang w:bidi="ar"/>
                    </w:rPr>
                  </w:pPr>
                  <w:r>
                    <w:rPr>
                      <w:rFonts w:hint="eastAsia"/>
                      <w:color w:val="auto"/>
                      <w:kern w:val="0"/>
                      <w:szCs w:val="21"/>
                      <w:lang w:bidi="ar"/>
                    </w:rPr>
                    <w:t>30</w:t>
                  </w:r>
                </w:p>
              </w:tc>
              <w:tc>
                <w:tcPr>
                  <w:tcW w:w="2392" w:type="pct"/>
                  <w:noWrap/>
                  <w:vAlign w:val="bottom"/>
                </w:tcPr>
                <w:p w14:paraId="0498645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电力变压器</w:t>
                  </w:r>
                </w:p>
              </w:tc>
              <w:tc>
                <w:tcPr>
                  <w:tcW w:w="1048" w:type="pct"/>
                  <w:noWrap/>
                  <w:vAlign w:val="bottom"/>
                </w:tcPr>
                <w:p w14:paraId="654DF5A8">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80VA</w:t>
                  </w:r>
                </w:p>
              </w:tc>
              <w:tc>
                <w:tcPr>
                  <w:tcW w:w="1048" w:type="pct"/>
                  <w:noWrap/>
                  <w:vAlign w:val="center"/>
                </w:tcPr>
                <w:p w14:paraId="7AD613A1">
                  <w:pPr>
                    <w:widowControl/>
                    <w:jc w:val="center"/>
                    <w:textAlignment w:val="bottom"/>
                    <w:rPr>
                      <w:color w:val="auto"/>
                      <w:kern w:val="0"/>
                      <w:szCs w:val="21"/>
                      <w:lang w:bidi="ar"/>
                    </w:rPr>
                  </w:pPr>
                  <w:r>
                    <w:rPr>
                      <w:color w:val="auto"/>
                      <w:kern w:val="0"/>
                      <w:szCs w:val="21"/>
                      <w:lang w:bidi="ar"/>
                    </w:rPr>
                    <w:t>1台</w:t>
                  </w:r>
                </w:p>
              </w:tc>
            </w:tr>
            <w:tr w14:paraId="1CC5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7404EE0">
                  <w:pPr>
                    <w:widowControl/>
                    <w:jc w:val="center"/>
                    <w:textAlignment w:val="bottom"/>
                    <w:rPr>
                      <w:color w:val="auto"/>
                      <w:kern w:val="0"/>
                      <w:szCs w:val="21"/>
                      <w:lang w:bidi="ar"/>
                    </w:rPr>
                  </w:pPr>
                  <w:r>
                    <w:rPr>
                      <w:rFonts w:hint="eastAsia"/>
                      <w:color w:val="auto"/>
                      <w:kern w:val="0"/>
                      <w:szCs w:val="21"/>
                      <w:lang w:bidi="ar"/>
                    </w:rPr>
                    <w:t>31</w:t>
                  </w:r>
                </w:p>
              </w:tc>
              <w:tc>
                <w:tcPr>
                  <w:tcW w:w="2392" w:type="pct"/>
                  <w:noWrap/>
                  <w:vAlign w:val="bottom"/>
                </w:tcPr>
                <w:p w14:paraId="691EAAA9">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救护车（长安）</w:t>
                  </w:r>
                </w:p>
              </w:tc>
              <w:tc>
                <w:tcPr>
                  <w:tcW w:w="1048" w:type="pct"/>
                  <w:noWrap/>
                  <w:vAlign w:val="bottom"/>
                </w:tcPr>
                <w:p w14:paraId="58860A9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SC5015XJH1</w:t>
                  </w:r>
                </w:p>
              </w:tc>
              <w:tc>
                <w:tcPr>
                  <w:tcW w:w="1048" w:type="pct"/>
                  <w:noWrap/>
                  <w:vAlign w:val="center"/>
                </w:tcPr>
                <w:p w14:paraId="2950D344">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1台</w:t>
                  </w:r>
                </w:p>
              </w:tc>
            </w:tr>
          </w:tbl>
          <w:p w14:paraId="65F421C8">
            <w:pPr>
              <w:ind w:firstLine="422" w:firstLineChars="200"/>
              <w:jc w:val="center"/>
              <w:rPr>
                <w:b/>
                <w:color w:val="auto"/>
              </w:rPr>
            </w:pPr>
            <w:r>
              <w:rPr>
                <w:b/>
                <w:color w:val="auto"/>
              </w:rPr>
              <w:t>表</w:t>
            </w:r>
            <w:r>
              <w:rPr>
                <w:rFonts w:hint="eastAsia"/>
                <w:b/>
                <w:color w:val="auto"/>
              </w:rPr>
              <w:t>2</w:t>
            </w:r>
            <w:r>
              <w:rPr>
                <w:b/>
                <w:color w:val="auto"/>
              </w:rPr>
              <w:t>-</w:t>
            </w:r>
            <w:r>
              <w:rPr>
                <w:rFonts w:hint="eastAsia"/>
                <w:b/>
                <w:color w:val="auto"/>
              </w:rPr>
              <w:t>18现有项目（九龙卫生院）主要医疗</w:t>
            </w:r>
            <w:r>
              <w:rPr>
                <w:b/>
                <w:color w:val="auto"/>
              </w:rPr>
              <w:t>设备一览表</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838"/>
              <w:gridCol w:w="1680"/>
              <w:gridCol w:w="1680"/>
            </w:tblGrid>
            <w:tr w14:paraId="48707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1C0D45D">
                  <w:pPr>
                    <w:widowControl/>
                    <w:jc w:val="center"/>
                    <w:textAlignment w:val="bottom"/>
                    <w:rPr>
                      <w:b/>
                      <w:bCs/>
                      <w:color w:val="auto"/>
                      <w:szCs w:val="21"/>
                    </w:rPr>
                  </w:pPr>
                  <w:r>
                    <w:rPr>
                      <w:b/>
                      <w:bCs/>
                      <w:color w:val="auto"/>
                      <w:kern w:val="0"/>
                      <w:szCs w:val="21"/>
                      <w:lang w:bidi="ar"/>
                    </w:rPr>
                    <w:t>序号</w:t>
                  </w:r>
                </w:p>
              </w:tc>
              <w:tc>
                <w:tcPr>
                  <w:tcW w:w="2392" w:type="pct"/>
                  <w:noWrap/>
                  <w:vAlign w:val="center"/>
                </w:tcPr>
                <w:p w14:paraId="3D9FE467">
                  <w:pPr>
                    <w:widowControl/>
                    <w:jc w:val="center"/>
                    <w:textAlignment w:val="bottom"/>
                    <w:rPr>
                      <w:b/>
                      <w:bCs/>
                      <w:color w:val="auto"/>
                      <w:szCs w:val="21"/>
                    </w:rPr>
                  </w:pPr>
                  <w:r>
                    <w:rPr>
                      <w:b/>
                      <w:bCs/>
                      <w:color w:val="auto"/>
                      <w:kern w:val="0"/>
                      <w:szCs w:val="21"/>
                      <w:lang w:bidi="ar"/>
                    </w:rPr>
                    <w:t>设备名称</w:t>
                  </w:r>
                </w:p>
              </w:tc>
              <w:tc>
                <w:tcPr>
                  <w:tcW w:w="1048" w:type="pct"/>
                  <w:noWrap/>
                  <w:vAlign w:val="center"/>
                </w:tcPr>
                <w:p w14:paraId="3A0A1D7C">
                  <w:pPr>
                    <w:widowControl/>
                    <w:jc w:val="center"/>
                    <w:textAlignment w:val="bottom"/>
                    <w:rPr>
                      <w:b/>
                      <w:bCs/>
                      <w:color w:val="auto"/>
                      <w:kern w:val="0"/>
                      <w:szCs w:val="21"/>
                      <w:lang w:bidi="ar"/>
                    </w:rPr>
                  </w:pPr>
                  <w:r>
                    <w:rPr>
                      <w:rFonts w:hint="eastAsia"/>
                      <w:b/>
                      <w:bCs/>
                      <w:color w:val="auto"/>
                      <w:kern w:val="0"/>
                      <w:szCs w:val="21"/>
                      <w:lang w:bidi="ar"/>
                    </w:rPr>
                    <w:t>型号</w:t>
                  </w:r>
                </w:p>
              </w:tc>
              <w:tc>
                <w:tcPr>
                  <w:tcW w:w="1048" w:type="pct"/>
                  <w:noWrap/>
                  <w:vAlign w:val="center"/>
                </w:tcPr>
                <w:p w14:paraId="3119DE43">
                  <w:pPr>
                    <w:widowControl/>
                    <w:jc w:val="center"/>
                    <w:textAlignment w:val="bottom"/>
                    <w:rPr>
                      <w:b/>
                      <w:bCs/>
                      <w:color w:val="auto"/>
                      <w:szCs w:val="21"/>
                    </w:rPr>
                  </w:pPr>
                  <w:r>
                    <w:rPr>
                      <w:b/>
                      <w:bCs/>
                      <w:color w:val="auto"/>
                      <w:kern w:val="0"/>
                      <w:szCs w:val="21"/>
                      <w:lang w:bidi="ar"/>
                    </w:rPr>
                    <w:t>数量</w:t>
                  </w:r>
                </w:p>
              </w:tc>
            </w:tr>
            <w:tr w14:paraId="4FFAF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E864E80">
                  <w:pPr>
                    <w:widowControl/>
                    <w:jc w:val="center"/>
                    <w:textAlignment w:val="bottom"/>
                    <w:rPr>
                      <w:color w:val="auto"/>
                      <w:szCs w:val="21"/>
                    </w:rPr>
                  </w:pPr>
                  <w:r>
                    <w:rPr>
                      <w:color w:val="auto"/>
                      <w:kern w:val="0"/>
                      <w:szCs w:val="21"/>
                      <w:lang w:bidi="ar"/>
                    </w:rPr>
                    <w:t>1</w:t>
                  </w:r>
                </w:p>
              </w:tc>
              <w:tc>
                <w:tcPr>
                  <w:tcW w:w="3837" w:type="dxa"/>
                  <w:noWrap/>
                  <w:vAlign w:val="center"/>
                </w:tcPr>
                <w:p w14:paraId="217E45B1">
                  <w:pPr>
                    <w:widowControl/>
                    <w:jc w:val="center"/>
                    <w:textAlignment w:val="center"/>
                    <w:rPr>
                      <w:rFonts w:hint="eastAsia" w:ascii="宋体" w:hAnsi="宋体" w:cs="宋体"/>
                      <w:color w:val="auto"/>
                      <w:szCs w:val="21"/>
                    </w:rPr>
                  </w:pPr>
                  <w:r>
                    <w:rPr>
                      <w:rFonts w:hint="eastAsia" w:ascii="宋体" w:hAnsi="宋体" w:cs="宋体"/>
                      <w:color w:val="auto"/>
                      <w:szCs w:val="21"/>
                    </w:rPr>
                    <w:t>心电图机</w:t>
                  </w:r>
                </w:p>
              </w:tc>
              <w:tc>
                <w:tcPr>
                  <w:tcW w:w="1681" w:type="dxa"/>
                  <w:noWrap/>
                  <w:vAlign w:val="center"/>
                </w:tcPr>
                <w:p w14:paraId="04444BD4">
                  <w:pPr>
                    <w:widowControl/>
                    <w:jc w:val="center"/>
                    <w:textAlignment w:val="center"/>
                    <w:rPr>
                      <w:rFonts w:hint="eastAsia" w:ascii="宋体" w:hAnsi="宋体" w:cs="宋体"/>
                      <w:color w:val="auto"/>
                      <w:kern w:val="0"/>
                      <w:szCs w:val="21"/>
                      <w:lang w:bidi="ar"/>
                    </w:rPr>
                  </w:pPr>
                  <w:r>
                    <w:rPr>
                      <w:rFonts w:hint="eastAsia" w:ascii="宋体" w:hAnsi="宋体" w:cs="宋体"/>
                      <w:color w:val="auto"/>
                      <w:szCs w:val="21"/>
                    </w:rPr>
                    <w:t>ECG-2360</w:t>
                  </w:r>
                </w:p>
              </w:tc>
              <w:tc>
                <w:tcPr>
                  <w:tcW w:w="1048" w:type="pct"/>
                  <w:noWrap/>
                  <w:vAlign w:val="center"/>
                </w:tcPr>
                <w:p w14:paraId="4B1DC427">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23F92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A1F8C53">
                  <w:pPr>
                    <w:widowControl/>
                    <w:jc w:val="center"/>
                    <w:textAlignment w:val="bottom"/>
                    <w:rPr>
                      <w:color w:val="auto"/>
                      <w:szCs w:val="21"/>
                    </w:rPr>
                  </w:pPr>
                  <w:r>
                    <w:rPr>
                      <w:color w:val="auto"/>
                      <w:kern w:val="0"/>
                      <w:szCs w:val="21"/>
                      <w:lang w:bidi="ar"/>
                    </w:rPr>
                    <w:t>2</w:t>
                  </w:r>
                </w:p>
              </w:tc>
              <w:tc>
                <w:tcPr>
                  <w:tcW w:w="3837" w:type="dxa"/>
                  <w:noWrap/>
                  <w:vAlign w:val="center"/>
                </w:tcPr>
                <w:p w14:paraId="57573354">
                  <w:pPr>
                    <w:widowControl/>
                    <w:jc w:val="center"/>
                    <w:textAlignment w:val="center"/>
                    <w:rPr>
                      <w:rFonts w:hint="eastAsia" w:ascii="宋体" w:hAnsi="宋体" w:cs="宋体"/>
                      <w:color w:val="auto"/>
                      <w:szCs w:val="21"/>
                    </w:rPr>
                  </w:pPr>
                  <w:r>
                    <w:rPr>
                      <w:rFonts w:hint="eastAsia" w:ascii="宋体" w:hAnsi="宋体" w:cs="宋体"/>
                      <w:color w:val="auto"/>
                      <w:kern w:val="0"/>
                      <w:szCs w:val="21"/>
                    </w:rPr>
                    <w:t>心电图机</w:t>
                  </w:r>
                </w:p>
              </w:tc>
              <w:tc>
                <w:tcPr>
                  <w:tcW w:w="1681" w:type="dxa"/>
                  <w:noWrap/>
                  <w:vAlign w:val="center"/>
                </w:tcPr>
                <w:p w14:paraId="4758FBE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ECG-1350P</w:t>
                  </w:r>
                </w:p>
              </w:tc>
              <w:tc>
                <w:tcPr>
                  <w:tcW w:w="1048" w:type="pct"/>
                  <w:noWrap/>
                  <w:vAlign w:val="center"/>
                </w:tcPr>
                <w:p w14:paraId="3BC587D8">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BCDC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95944BF">
                  <w:pPr>
                    <w:widowControl/>
                    <w:jc w:val="center"/>
                    <w:textAlignment w:val="bottom"/>
                    <w:rPr>
                      <w:color w:val="auto"/>
                      <w:szCs w:val="21"/>
                    </w:rPr>
                  </w:pPr>
                  <w:r>
                    <w:rPr>
                      <w:color w:val="auto"/>
                      <w:kern w:val="0"/>
                      <w:szCs w:val="21"/>
                      <w:lang w:bidi="ar"/>
                    </w:rPr>
                    <w:t>3</w:t>
                  </w:r>
                </w:p>
              </w:tc>
              <w:tc>
                <w:tcPr>
                  <w:tcW w:w="3837" w:type="dxa"/>
                  <w:noWrap/>
                  <w:vAlign w:val="center"/>
                </w:tcPr>
                <w:p w14:paraId="60AF2E7F">
                  <w:pPr>
                    <w:widowControl/>
                    <w:jc w:val="center"/>
                    <w:textAlignment w:val="center"/>
                    <w:rPr>
                      <w:rFonts w:hint="eastAsia" w:ascii="宋体" w:hAnsi="宋体" w:cs="宋体"/>
                      <w:color w:val="auto"/>
                      <w:szCs w:val="21"/>
                    </w:rPr>
                  </w:pPr>
                  <w:r>
                    <w:rPr>
                      <w:rFonts w:hint="eastAsia" w:ascii="宋体" w:hAnsi="宋体" w:cs="宋体"/>
                      <w:color w:val="auto"/>
                      <w:kern w:val="0"/>
                      <w:szCs w:val="21"/>
                    </w:rPr>
                    <w:t>数字式心电图机</w:t>
                  </w:r>
                </w:p>
              </w:tc>
              <w:tc>
                <w:tcPr>
                  <w:tcW w:w="1681" w:type="dxa"/>
                  <w:noWrap/>
                  <w:vAlign w:val="center"/>
                </w:tcPr>
                <w:p w14:paraId="3B97B98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纳龙RAGE12</w:t>
                  </w:r>
                </w:p>
              </w:tc>
              <w:tc>
                <w:tcPr>
                  <w:tcW w:w="1048" w:type="pct"/>
                  <w:noWrap/>
                  <w:vAlign w:val="center"/>
                </w:tcPr>
                <w:p w14:paraId="46B5E98E">
                  <w:pPr>
                    <w:widowControl/>
                    <w:jc w:val="center"/>
                    <w:textAlignment w:val="bottom"/>
                    <w:rPr>
                      <w:color w:val="auto"/>
                      <w:szCs w:val="21"/>
                    </w:rPr>
                  </w:pPr>
                  <w:r>
                    <w:rPr>
                      <w:color w:val="auto"/>
                      <w:kern w:val="0"/>
                      <w:szCs w:val="21"/>
                      <w:lang w:bidi="ar"/>
                    </w:rPr>
                    <w:t>1台</w:t>
                  </w:r>
                </w:p>
              </w:tc>
            </w:tr>
            <w:tr w14:paraId="67B46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F78DE53">
                  <w:pPr>
                    <w:widowControl/>
                    <w:jc w:val="center"/>
                    <w:textAlignment w:val="bottom"/>
                    <w:rPr>
                      <w:color w:val="auto"/>
                      <w:szCs w:val="21"/>
                    </w:rPr>
                  </w:pPr>
                  <w:r>
                    <w:rPr>
                      <w:color w:val="auto"/>
                      <w:kern w:val="0"/>
                      <w:szCs w:val="21"/>
                      <w:lang w:bidi="ar"/>
                    </w:rPr>
                    <w:t>4</w:t>
                  </w:r>
                </w:p>
              </w:tc>
              <w:tc>
                <w:tcPr>
                  <w:tcW w:w="3837" w:type="dxa"/>
                  <w:noWrap/>
                  <w:vAlign w:val="center"/>
                </w:tcPr>
                <w:p w14:paraId="4AF5DD1C">
                  <w:pPr>
                    <w:widowControl/>
                    <w:jc w:val="center"/>
                    <w:textAlignment w:val="center"/>
                    <w:rPr>
                      <w:rFonts w:hint="eastAsia" w:ascii="宋体" w:hAnsi="宋体" w:cs="宋体"/>
                      <w:color w:val="auto"/>
                      <w:szCs w:val="21"/>
                    </w:rPr>
                  </w:pPr>
                  <w:r>
                    <w:rPr>
                      <w:rFonts w:hint="eastAsia" w:ascii="宋体" w:hAnsi="宋体" w:cs="宋体"/>
                      <w:color w:val="auto"/>
                      <w:kern w:val="0"/>
                      <w:szCs w:val="21"/>
                    </w:rPr>
                    <w:t>超声诊断仪器（彩色B超）</w:t>
                  </w:r>
                </w:p>
              </w:tc>
              <w:tc>
                <w:tcPr>
                  <w:tcW w:w="1681" w:type="dxa"/>
                  <w:noWrap/>
                  <w:vAlign w:val="center"/>
                </w:tcPr>
                <w:p w14:paraId="5530558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开立S22</w:t>
                  </w:r>
                </w:p>
              </w:tc>
              <w:tc>
                <w:tcPr>
                  <w:tcW w:w="1048" w:type="pct"/>
                  <w:noWrap/>
                  <w:vAlign w:val="center"/>
                </w:tcPr>
                <w:p w14:paraId="3A4E44DB">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B10C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F186E15">
                  <w:pPr>
                    <w:widowControl/>
                    <w:jc w:val="center"/>
                    <w:textAlignment w:val="bottom"/>
                    <w:rPr>
                      <w:color w:val="auto"/>
                      <w:szCs w:val="21"/>
                    </w:rPr>
                  </w:pPr>
                  <w:r>
                    <w:rPr>
                      <w:color w:val="auto"/>
                      <w:kern w:val="0"/>
                      <w:szCs w:val="21"/>
                      <w:lang w:bidi="ar"/>
                    </w:rPr>
                    <w:t>5</w:t>
                  </w:r>
                </w:p>
              </w:tc>
              <w:tc>
                <w:tcPr>
                  <w:tcW w:w="3837" w:type="dxa"/>
                  <w:noWrap/>
                  <w:vAlign w:val="center"/>
                </w:tcPr>
                <w:p w14:paraId="3743CEBB">
                  <w:pPr>
                    <w:widowControl/>
                    <w:jc w:val="center"/>
                    <w:textAlignment w:val="center"/>
                    <w:rPr>
                      <w:rFonts w:hint="eastAsia" w:ascii="宋体" w:hAnsi="宋体" w:cs="宋体"/>
                      <w:color w:val="auto"/>
                      <w:szCs w:val="21"/>
                    </w:rPr>
                  </w:pPr>
                  <w:r>
                    <w:rPr>
                      <w:rFonts w:hint="eastAsia" w:ascii="宋体" w:hAnsi="宋体" w:cs="宋体"/>
                      <w:color w:val="auto"/>
                      <w:kern w:val="0"/>
                      <w:szCs w:val="21"/>
                    </w:rPr>
                    <w:t>血细胞分析仪</w:t>
                  </w:r>
                </w:p>
              </w:tc>
              <w:tc>
                <w:tcPr>
                  <w:tcW w:w="1681" w:type="dxa"/>
                  <w:noWrap/>
                  <w:vAlign w:val="center"/>
                </w:tcPr>
                <w:p w14:paraId="3F5EB12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BC-2600</w:t>
                  </w:r>
                </w:p>
              </w:tc>
              <w:tc>
                <w:tcPr>
                  <w:tcW w:w="1048" w:type="pct"/>
                  <w:noWrap/>
                  <w:vAlign w:val="center"/>
                </w:tcPr>
                <w:p w14:paraId="2EBE069F">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2014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EC00BE5">
                  <w:pPr>
                    <w:widowControl/>
                    <w:jc w:val="center"/>
                    <w:textAlignment w:val="bottom"/>
                    <w:rPr>
                      <w:color w:val="auto"/>
                      <w:szCs w:val="21"/>
                    </w:rPr>
                  </w:pPr>
                  <w:r>
                    <w:rPr>
                      <w:color w:val="auto"/>
                      <w:kern w:val="0"/>
                      <w:szCs w:val="21"/>
                      <w:lang w:bidi="ar"/>
                    </w:rPr>
                    <w:t>6</w:t>
                  </w:r>
                </w:p>
              </w:tc>
              <w:tc>
                <w:tcPr>
                  <w:tcW w:w="3837" w:type="dxa"/>
                  <w:noWrap/>
                  <w:vAlign w:val="center"/>
                </w:tcPr>
                <w:p w14:paraId="08953679">
                  <w:pPr>
                    <w:widowControl/>
                    <w:jc w:val="center"/>
                    <w:textAlignment w:val="center"/>
                    <w:rPr>
                      <w:rFonts w:hint="eastAsia" w:ascii="宋体" w:hAnsi="宋体" w:cs="宋体"/>
                      <w:color w:val="auto"/>
                      <w:szCs w:val="21"/>
                    </w:rPr>
                  </w:pPr>
                  <w:r>
                    <w:rPr>
                      <w:rFonts w:hint="eastAsia" w:ascii="宋体" w:hAnsi="宋体" w:cs="宋体"/>
                      <w:color w:val="auto"/>
                      <w:kern w:val="0"/>
                      <w:szCs w:val="21"/>
                    </w:rPr>
                    <w:t>血细胞分析仪</w:t>
                  </w:r>
                </w:p>
              </w:tc>
              <w:tc>
                <w:tcPr>
                  <w:tcW w:w="1681" w:type="dxa"/>
                  <w:noWrap/>
                  <w:vAlign w:val="center"/>
                </w:tcPr>
                <w:p w14:paraId="5F57711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XP-300</w:t>
                  </w:r>
                </w:p>
              </w:tc>
              <w:tc>
                <w:tcPr>
                  <w:tcW w:w="1048" w:type="pct"/>
                  <w:noWrap/>
                  <w:vAlign w:val="center"/>
                </w:tcPr>
                <w:p w14:paraId="389B1F02">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1055F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7507E7B">
                  <w:pPr>
                    <w:widowControl/>
                    <w:jc w:val="center"/>
                    <w:textAlignment w:val="bottom"/>
                    <w:rPr>
                      <w:color w:val="auto"/>
                      <w:szCs w:val="21"/>
                    </w:rPr>
                  </w:pPr>
                  <w:r>
                    <w:rPr>
                      <w:color w:val="auto"/>
                      <w:kern w:val="0"/>
                      <w:szCs w:val="21"/>
                      <w:lang w:bidi="ar"/>
                    </w:rPr>
                    <w:t>7</w:t>
                  </w:r>
                </w:p>
              </w:tc>
              <w:tc>
                <w:tcPr>
                  <w:tcW w:w="3837" w:type="dxa"/>
                  <w:noWrap/>
                  <w:vAlign w:val="center"/>
                </w:tcPr>
                <w:p w14:paraId="661120E1">
                  <w:pPr>
                    <w:widowControl/>
                    <w:jc w:val="center"/>
                    <w:textAlignment w:val="center"/>
                    <w:rPr>
                      <w:rFonts w:hint="eastAsia" w:ascii="宋体" w:hAnsi="宋体" w:cs="宋体"/>
                      <w:color w:val="auto"/>
                      <w:szCs w:val="21"/>
                    </w:rPr>
                  </w:pPr>
                  <w:r>
                    <w:rPr>
                      <w:rFonts w:hint="eastAsia" w:ascii="宋体" w:hAnsi="宋体" w:cs="宋体"/>
                      <w:color w:val="auto"/>
                      <w:kern w:val="0"/>
                      <w:szCs w:val="21"/>
                    </w:rPr>
                    <w:t>全自动生化分析仪</w:t>
                  </w:r>
                </w:p>
              </w:tc>
              <w:tc>
                <w:tcPr>
                  <w:tcW w:w="1681" w:type="dxa"/>
                  <w:noWrap/>
                  <w:vAlign w:val="center"/>
                </w:tcPr>
                <w:p w14:paraId="3A273CA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BS-480</w:t>
                  </w:r>
                </w:p>
              </w:tc>
              <w:tc>
                <w:tcPr>
                  <w:tcW w:w="1048" w:type="pct"/>
                  <w:noWrap/>
                  <w:vAlign w:val="center"/>
                </w:tcPr>
                <w:p w14:paraId="0E4F394D">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1A83E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CC73180">
                  <w:pPr>
                    <w:widowControl/>
                    <w:jc w:val="center"/>
                    <w:textAlignment w:val="bottom"/>
                    <w:rPr>
                      <w:color w:val="auto"/>
                      <w:szCs w:val="21"/>
                    </w:rPr>
                  </w:pPr>
                  <w:r>
                    <w:rPr>
                      <w:color w:val="auto"/>
                      <w:kern w:val="0"/>
                      <w:szCs w:val="21"/>
                      <w:lang w:bidi="ar"/>
                    </w:rPr>
                    <w:t>8</w:t>
                  </w:r>
                </w:p>
              </w:tc>
              <w:tc>
                <w:tcPr>
                  <w:tcW w:w="3837" w:type="dxa"/>
                  <w:noWrap/>
                  <w:vAlign w:val="center"/>
                </w:tcPr>
                <w:p w14:paraId="10C2D724">
                  <w:pPr>
                    <w:widowControl/>
                    <w:jc w:val="center"/>
                    <w:textAlignment w:val="center"/>
                    <w:rPr>
                      <w:rFonts w:hint="eastAsia" w:ascii="宋体" w:hAnsi="宋体" w:cs="宋体"/>
                      <w:color w:val="auto"/>
                      <w:szCs w:val="21"/>
                    </w:rPr>
                  </w:pPr>
                  <w:r>
                    <w:rPr>
                      <w:rFonts w:hint="eastAsia" w:ascii="宋体" w:hAnsi="宋体" w:cs="宋体"/>
                      <w:color w:val="auto"/>
                      <w:kern w:val="0"/>
                      <w:szCs w:val="21"/>
                    </w:rPr>
                    <w:t>尿液分析仪</w:t>
                  </w:r>
                </w:p>
              </w:tc>
              <w:tc>
                <w:tcPr>
                  <w:tcW w:w="1681" w:type="dxa"/>
                  <w:noWrap/>
                  <w:vAlign w:val="center"/>
                </w:tcPr>
                <w:p w14:paraId="1DC4392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URIT-500B</w:t>
                  </w:r>
                </w:p>
              </w:tc>
              <w:tc>
                <w:tcPr>
                  <w:tcW w:w="1048" w:type="pct"/>
                  <w:noWrap/>
                  <w:vAlign w:val="center"/>
                </w:tcPr>
                <w:p w14:paraId="0BD23690">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988E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0AEAC95">
                  <w:pPr>
                    <w:widowControl/>
                    <w:jc w:val="center"/>
                    <w:textAlignment w:val="bottom"/>
                    <w:rPr>
                      <w:color w:val="auto"/>
                      <w:szCs w:val="21"/>
                    </w:rPr>
                  </w:pPr>
                  <w:r>
                    <w:rPr>
                      <w:color w:val="auto"/>
                      <w:kern w:val="0"/>
                      <w:szCs w:val="21"/>
                      <w:lang w:bidi="ar"/>
                    </w:rPr>
                    <w:t>9</w:t>
                  </w:r>
                </w:p>
              </w:tc>
              <w:tc>
                <w:tcPr>
                  <w:tcW w:w="3837" w:type="dxa"/>
                  <w:noWrap/>
                  <w:vAlign w:val="center"/>
                </w:tcPr>
                <w:p w14:paraId="581FA04D">
                  <w:pPr>
                    <w:widowControl/>
                    <w:jc w:val="center"/>
                    <w:textAlignment w:val="center"/>
                    <w:rPr>
                      <w:rFonts w:hint="eastAsia" w:ascii="宋体" w:hAnsi="宋体" w:cs="宋体"/>
                      <w:color w:val="auto"/>
                      <w:szCs w:val="21"/>
                    </w:rPr>
                  </w:pPr>
                  <w:r>
                    <w:rPr>
                      <w:rFonts w:hint="eastAsia" w:ascii="宋体" w:hAnsi="宋体" w:cs="宋体"/>
                      <w:color w:val="auto"/>
                      <w:kern w:val="0"/>
                      <w:szCs w:val="21"/>
                    </w:rPr>
                    <w:t>尿液分析仪</w:t>
                  </w:r>
                </w:p>
              </w:tc>
              <w:tc>
                <w:tcPr>
                  <w:tcW w:w="1681" w:type="dxa"/>
                  <w:noWrap/>
                  <w:vAlign w:val="center"/>
                </w:tcPr>
                <w:p w14:paraId="5055917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URIT-501B</w:t>
                  </w:r>
                </w:p>
              </w:tc>
              <w:tc>
                <w:tcPr>
                  <w:tcW w:w="1048" w:type="pct"/>
                  <w:noWrap/>
                  <w:vAlign w:val="center"/>
                </w:tcPr>
                <w:p w14:paraId="7DB9BCB2">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bl>
          <w:p w14:paraId="738453A3">
            <w:pPr>
              <w:ind w:firstLine="422" w:firstLineChars="200"/>
              <w:jc w:val="center"/>
              <w:rPr>
                <w:b/>
                <w:color w:val="auto"/>
              </w:rPr>
            </w:pPr>
            <w:r>
              <w:rPr>
                <w:b/>
                <w:color w:val="auto"/>
              </w:rPr>
              <w:t>表</w:t>
            </w:r>
            <w:r>
              <w:rPr>
                <w:rFonts w:hint="eastAsia"/>
                <w:b/>
                <w:color w:val="auto"/>
              </w:rPr>
              <w:t>2</w:t>
            </w:r>
            <w:r>
              <w:rPr>
                <w:b/>
                <w:color w:val="auto"/>
              </w:rPr>
              <w:t>-</w:t>
            </w:r>
            <w:r>
              <w:rPr>
                <w:rFonts w:hint="eastAsia"/>
                <w:b/>
                <w:color w:val="auto"/>
              </w:rPr>
              <w:t>19现有项目（杨广中心分院）主要医疗</w:t>
            </w:r>
            <w:r>
              <w:rPr>
                <w:b/>
                <w:color w:val="auto"/>
              </w:rPr>
              <w:t>设备一览表</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648"/>
              <w:gridCol w:w="1870"/>
              <w:gridCol w:w="1680"/>
            </w:tblGrid>
            <w:tr w14:paraId="3F646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689988A">
                  <w:pPr>
                    <w:widowControl/>
                    <w:jc w:val="center"/>
                    <w:textAlignment w:val="bottom"/>
                    <w:rPr>
                      <w:b/>
                      <w:bCs/>
                      <w:color w:val="auto"/>
                      <w:szCs w:val="21"/>
                    </w:rPr>
                  </w:pPr>
                  <w:r>
                    <w:rPr>
                      <w:b/>
                      <w:bCs/>
                      <w:color w:val="auto"/>
                      <w:kern w:val="0"/>
                      <w:szCs w:val="21"/>
                      <w:lang w:bidi="ar"/>
                    </w:rPr>
                    <w:t>序号</w:t>
                  </w:r>
                </w:p>
              </w:tc>
              <w:tc>
                <w:tcPr>
                  <w:tcW w:w="2274" w:type="pct"/>
                  <w:noWrap/>
                  <w:vAlign w:val="center"/>
                </w:tcPr>
                <w:p w14:paraId="57ADB794">
                  <w:pPr>
                    <w:widowControl/>
                    <w:jc w:val="center"/>
                    <w:textAlignment w:val="bottom"/>
                    <w:rPr>
                      <w:b/>
                      <w:bCs/>
                      <w:color w:val="auto"/>
                      <w:szCs w:val="21"/>
                    </w:rPr>
                  </w:pPr>
                  <w:r>
                    <w:rPr>
                      <w:b/>
                      <w:bCs/>
                      <w:color w:val="auto"/>
                      <w:kern w:val="0"/>
                      <w:szCs w:val="21"/>
                      <w:lang w:bidi="ar"/>
                    </w:rPr>
                    <w:t>设备名称</w:t>
                  </w:r>
                </w:p>
              </w:tc>
              <w:tc>
                <w:tcPr>
                  <w:tcW w:w="1166" w:type="pct"/>
                  <w:noWrap/>
                  <w:vAlign w:val="center"/>
                </w:tcPr>
                <w:p w14:paraId="3E68939D">
                  <w:pPr>
                    <w:widowControl/>
                    <w:jc w:val="center"/>
                    <w:textAlignment w:val="bottom"/>
                    <w:rPr>
                      <w:b/>
                      <w:bCs/>
                      <w:color w:val="auto"/>
                      <w:kern w:val="0"/>
                      <w:szCs w:val="21"/>
                      <w:lang w:bidi="ar"/>
                    </w:rPr>
                  </w:pPr>
                  <w:r>
                    <w:rPr>
                      <w:rFonts w:hint="eastAsia"/>
                      <w:b/>
                      <w:bCs/>
                      <w:color w:val="auto"/>
                      <w:kern w:val="0"/>
                      <w:szCs w:val="21"/>
                      <w:lang w:bidi="ar"/>
                    </w:rPr>
                    <w:t>型号</w:t>
                  </w:r>
                </w:p>
              </w:tc>
              <w:tc>
                <w:tcPr>
                  <w:tcW w:w="1048" w:type="pct"/>
                  <w:noWrap/>
                  <w:vAlign w:val="center"/>
                </w:tcPr>
                <w:p w14:paraId="4CF3C89F">
                  <w:pPr>
                    <w:widowControl/>
                    <w:jc w:val="center"/>
                    <w:textAlignment w:val="bottom"/>
                    <w:rPr>
                      <w:b/>
                      <w:bCs/>
                      <w:color w:val="auto"/>
                      <w:szCs w:val="21"/>
                    </w:rPr>
                  </w:pPr>
                  <w:r>
                    <w:rPr>
                      <w:b/>
                      <w:bCs/>
                      <w:color w:val="auto"/>
                      <w:kern w:val="0"/>
                      <w:szCs w:val="21"/>
                      <w:lang w:bidi="ar"/>
                    </w:rPr>
                    <w:t>数量</w:t>
                  </w:r>
                </w:p>
              </w:tc>
            </w:tr>
            <w:tr w14:paraId="68370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AACFEA9">
                  <w:pPr>
                    <w:widowControl/>
                    <w:jc w:val="center"/>
                    <w:textAlignment w:val="bottom"/>
                    <w:rPr>
                      <w:color w:val="auto"/>
                      <w:szCs w:val="21"/>
                    </w:rPr>
                  </w:pPr>
                  <w:r>
                    <w:rPr>
                      <w:color w:val="auto"/>
                      <w:kern w:val="0"/>
                      <w:szCs w:val="21"/>
                      <w:lang w:bidi="ar"/>
                    </w:rPr>
                    <w:t>1</w:t>
                  </w:r>
                </w:p>
              </w:tc>
              <w:tc>
                <w:tcPr>
                  <w:tcW w:w="2274" w:type="pct"/>
                  <w:noWrap/>
                  <w:vAlign w:val="center"/>
                </w:tcPr>
                <w:p w14:paraId="29B24501">
                  <w:pPr>
                    <w:widowControl/>
                    <w:jc w:val="center"/>
                    <w:textAlignment w:val="center"/>
                    <w:rPr>
                      <w:rFonts w:hint="eastAsia" w:ascii="宋体" w:hAnsi="宋体" w:cs="宋体"/>
                      <w:color w:val="auto"/>
                      <w:szCs w:val="21"/>
                    </w:rPr>
                  </w:pPr>
                  <w:r>
                    <w:rPr>
                      <w:rFonts w:hint="eastAsia" w:ascii="宋体" w:hAnsi="宋体" w:cs="宋体"/>
                      <w:color w:val="auto"/>
                      <w:szCs w:val="21"/>
                    </w:rPr>
                    <w:t>DR</w:t>
                  </w:r>
                </w:p>
              </w:tc>
              <w:tc>
                <w:tcPr>
                  <w:tcW w:w="1166" w:type="pct"/>
                  <w:noWrap/>
                  <w:vAlign w:val="center"/>
                </w:tcPr>
                <w:p w14:paraId="370E0643">
                  <w:pPr>
                    <w:widowControl/>
                    <w:jc w:val="center"/>
                    <w:textAlignment w:val="center"/>
                    <w:rPr>
                      <w:rFonts w:hint="eastAsia" w:ascii="宋体" w:hAnsi="宋体" w:cs="宋体"/>
                      <w:color w:val="auto"/>
                      <w:kern w:val="0"/>
                      <w:szCs w:val="21"/>
                      <w:lang w:bidi="ar"/>
                    </w:rPr>
                  </w:pPr>
                  <w:r>
                    <w:rPr>
                      <w:rFonts w:hint="eastAsia" w:ascii="宋体" w:hAnsi="宋体" w:cs="宋体"/>
                      <w:color w:val="auto"/>
                      <w:szCs w:val="21"/>
                    </w:rPr>
                    <w:t>新东方1000CA</w:t>
                  </w:r>
                </w:p>
              </w:tc>
              <w:tc>
                <w:tcPr>
                  <w:tcW w:w="1048" w:type="pct"/>
                  <w:noWrap/>
                  <w:vAlign w:val="center"/>
                </w:tcPr>
                <w:p w14:paraId="30131C72">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476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33A7404">
                  <w:pPr>
                    <w:widowControl/>
                    <w:jc w:val="center"/>
                    <w:textAlignment w:val="bottom"/>
                    <w:rPr>
                      <w:color w:val="auto"/>
                      <w:szCs w:val="21"/>
                    </w:rPr>
                  </w:pPr>
                  <w:r>
                    <w:rPr>
                      <w:color w:val="auto"/>
                      <w:kern w:val="0"/>
                      <w:szCs w:val="21"/>
                      <w:lang w:bidi="ar"/>
                    </w:rPr>
                    <w:t>2</w:t>
                  </w:r>
                </w:p>
              </w:tc>
              <w:tc>
                <w:tcPr>
                  <w:tcW w:w="2274" w:type="pct"/>
                  <w:noWrap/>
                  <w:vAlign w:val="center"/>
                </w:tcPr>
                <w:p w14:paraId="14817248">
                  <w:pPr>
                    <w:widowControl/>
                    <w:jc w:val="center"/>
                    <w:textAlignment w:val="center"/>
                    <w:rPr>
                      <w:rFonts w:hint="eastAsia" w:ascii="宋体" w:hAnsi="宋体" w:cs="宋体"/>
                      <w:color w:val="auto"/>
                      <w:szCs w:val="21"/>
                    </w:rPr>
                  </w:pPr>
                  <w:r>
                    <w:rPr>
                      <w:rFonts w:hint="eastAsia" w:ascii="宋体" w:hAnsi="宋体" w:cs="宋体"/>
                      <w:color w:val="auto"/>
                      <w:szCs w:val="21"/>
                    </w:rPr>
                    <w:t>数字式心电图机</w:t>
                  </w:r>
                </w:p>
              </w:tc>
              <w:tc>
                <w:tcPr>
                  <w:tcW w:w="1166" w:type="pct"/>
                  <w:noWrap/>
                  <w:vAlign w:val="center"/>
                </w:tcPr>
                <w:p w14:paraId="4509E9CE">
                  <w:pPr>
                    <w:widowControl/>
                    <w:jc w:val="center"/>
                    <w:textAlignment w:val="center"/>
                    <w:rPr>
                      <w:rFonts w:hint="eastAsia" w:ascii="宋体" w:hAnsi="宋体" w:cs="宋体"/>
                      <w:color w:val="auto"/>
                      <w:kern w:val="0"/>
                      <w:szCs w:val="21"/>
                      <w:lang w:bidi="ar"/>
                    </w:rPr>
                  </w:pPr>
                  <w:r>
                    <w:rPr>
                      <w:rFonts w:hint="eastAsia" w:ascii="宋体" w:hAnsi="宋体" w:cs="宋体"/>
                      <w:color w:val="auto"/>
                      <w:szCs w:val="21"/>
                    </w:rPr>
                    <w:t>RAGE-12</w:t>
                  </w:r>
                </w:p>
              </w:tc>
              <w:tc>
                <w:tcPr>
                  <w:tcW w:w="1048" w:type="pct"/>
                  <w:noWrap/>
                  <w:vAlign w:val="center"/>
                </w:tcPr>
                <w:p w14:paraId="285B5FC6">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601C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E8067A5">
                  <w:pPr>
                    <w:widowControl/>
                    <w:jc w:val="center"/>
                    <w:textAlignment w:val="bottom"/>
                    <w:rPr>
                      <w:color w:val="auto"/>
                      <w:szCs w:val="21"/>
                    </w:rPr>
                  </w:pPr>
                  <w:r>
                    <w:rPr>
                      <w:color w:val="auto"/>
                      <w:kern w:val="0"/>
                      <w:szCs w:val="21"/>
                      <w:lang w:bidi="ar"/>
                    </w:rPr>
                    <w:t>3</w:t>
                  </w:r>
                </w:p>
              </w:tc>
              <w:tc>
                <w:tcPr>
                  <w:tcW w:w="2274" w:type="pct"/>
                  <w:noWrap/>
                  <w:vAlign w:val="center"/>
                </w:tcPr>
                <w:p w14:paraId="2F14FDA8">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数字式十二道心电图机</w:t>
                  </w:r>
                </w:p>
              </w:tc>
              <w:tc>
                <w:tcPr>
                  <w:tcW w:w="1166" w:type="pct"/>
                  <w:noWrap/>
                  <w:vAlign w:val="center"/>
                </w:tcPr>
                <w:p w14:paraId="5353F24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SE-1201</w:t>
                  </w:r>
                </w:p>
              </w:tc>
              <w:tc>
                <w:tcPr>
                  <w:tcW w:w="1048" w:type="pct"/>
                  <w:noWrap/>
                  <w:vAlign w:val="center"/>
                </w:tcPr>
                <w:p w14:paraId="56820B8B">
                  <w:pPr>
                    <w:widowControl/>
                    <w:jc w:val="center"/>
                    <w:textAlignment w:val="bottom"/>
                    <w:rPr>
                      <w:color w:val="auto"/>
                      <w:szCs w:val="21"/>
                    </w:rPr>
                  </w:pPr>
                  <w:r>
                    <w:rPr>
                      <w:color w:val="auto"/>
                      <w:kern w:val="0"/>
                      <w:szCs w:val="21"/>
                      <w:lang w:bidi="ar"/>
                    </w:rPr>
                    <w:t>1台</w:t>
                  </w:r>
                </w:p>
              </w:tc>
            </w:tr>
            <w:tr w14:paraId="1F4E4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C8E2972">
                  <w:pPr>
                    <w:widowControl/>
                    <w:jc w:val="center"/>
                    <w:textAlignment w:val="bottom"/>
                    <w:rPr>
                      <w:color w:val="auto"/>
                      <w:szCs w:val="21"/>
                    </w:rPr>
                  </w:pPr>
                  <w:r>
                    <w:rPr>
                      <w:color w:val="auto"/>
                      <w:kern w:val="0"/>
                      <w:szCs w:val="21"/>
                      <w:lang w:bidi="ar"/>
                    </w:rPr>
                    <w:t>4</w:t>
                  </w:r>
                </w:p>
              </w:tc>
              <w:tc>
                <w:tcPr>
                  <w:tcW w:w="2274" w:type="pct"/>
                  <w:noWrap/>
                  <w:vAlign w:val="center"/>
                </w:tcPr>
                <w:p w14:paraId="14D8C891">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数字式十二道心电图机</w:t>
                  </w:r>
                </w:p>
              </w:tc>
              <w:tc>
                <w:tcPr>
                  <w:tcW w:w="1166" w:type="pct"/>
                  <w:noWrap/>
                  <w:vAlign w:val="center"/>
                </w:tcPr>
                <w:p w14:paraId="5B93277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FX-8322</w:t>
                  </w:r>
                </w:p>
              </w:tc>
              <w:tc>
                <w:tcPr>
                  <w:tcW w:w="1048" w:type="pct"/>
                  <w:noWrap/>
                  <w:vAlign w:val="center"/>
                </w:tcPr>
                <w:p w14:paraId="375DA9F7">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E7C1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95C8134">
                  <w:pPr>
                    <w:widowControl/>
                    <w:jc w:val="center"/>
                    <w:textAlignment w:val="bottom"/>
                    <w:rPr>
                      <w:color w:val="auto"/>
                      <w:szCs w:val="21"/>
                    </w:rPr>
                  </w:pPr>
                  <w:r>
                    <w:rPr>
                      <w:color w:val="auto"/>
                      <w:kern w:val="0"/>
                      <w:szCs w:val="21"/>
                      <w:lang w:bidi="ar"/>
                    </w:rPr>
                    <w:t>5</w:t>
                  </w:r>
                </w:p>
              </w:tc>
              <w:tc>
                <w:tcPr>
                  <w:tcW w:w="2274" w:type="pct"/>
                  <w:noWrap/>
                  <w:vAlign w:val="center"/>
                </w:tcPr>
                <w:p w14:paraId="0CD56BC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彩色B超机</w:t>
                  </w:r>
                </w:p>
              </w:tc>
              <w:tc>
                <w:tcPr>
                  <w:tcW w:w="1166" w:type="pct"/>
                  <w:noWrap/>
                  <w:vAlign w:val="center"/>
                </w:tcPr>
                <w:p w14:paraId="72947A7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myLab 40HD</w:t>
                  </w:r>
                </w:p>
              </w:tc>
              <w:tc>
                <w:tcPr>
                  <w:tcW w:w="1048" w:type="pct"/>
                  <w:noWrap/>
                  <w:vAlign w:val="center"/>
                </w:tcPr>
                <w:p w14:paraId="452C45BC">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2772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89EF641">
                  <w:pPr>
                    <w:widowControl/>
                    <w:jc w:val="center"/>
                    <w:textAlignment w:val="bottom"/>
                    <w:rPr>
                      <w:color w:val="auto"/>
                      <w:szCs w:val="21"/>
                    </w:rPr>
                  </w:pPr>
                  <w:r>
                    <w:rPr>
                      <w:color w:val="auto"/>
                      <w:kern w:val="0"/>
                      <w:szCs w:val="21"/>
                      <w:lang w:bidi="ar"/>
                    </w:rPr>
                    <w:t>6</w:t>
                  </w:r>
                </w:p>
              </w:tc>
              <w:tc>
                <w:tcPr>
                  <w:tcW w:w="2274" w:type="pct"/>
                  <w:noWrap/>
                  <w:vAlign w:val="center"/>
                </w:tcPr>
                <w:p w14:paraId="5559CF8A">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便携式B超</w:t>
                  </w:r>
                </w:p>
              </w:tc>
              <w:tc>
                <w:tcPr>
                  <w:tcW w:w="1166" w:type="pct"/>
                  <w:noWrap/>
                  <w:vAlign w:val="center"/>
                </w:tcPr>
                <w:p w14:paraId="717BB64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DP50（黑白）</w:t>
                  </w:r>
                </w:p>
              </w:tc>
              <w:tc>
                <w:tcPr>
                  <w:tcW w:w="1048" w:type="pct"/>
                  <w:noWrap/>
                  <w:vAlign w:val="center"/>
                </w:tcPr>
                <w:p w14:paraId="320B9C47">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3450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F208D90">
                  <w:pPr>
                    <w:widowControl/>
                    <w:jc w:val="center"/>
                    <w:textAlignment w:val="bottom"/>
                    <w:rPr>
                      <w:color w:val="auto"/>
                      <w:szCs w:val="21"/>
                    </w:rPr>
                  </w:pPr>
                  <w:r>
                    <w:rPr>
                      <w:color w:val="auto"/>
                      <w:kern w:val="0"/>
                      <w:szCs w:val="21"/>
                      <w:lang w:bidi="ar"/>
                    </w:rPr>
                    <w:t>7</w:t>
                  </w:r>
                </w:p>
              </w:tc>
              <w:tc>
                <w:tcPr>
                  <w:tcW w:w="2274" w:type="pct"/>
                  <w:noWrap/>
                  <w:vAlign w:val="center"/>
                </w:tcPr>
                <w:p w14:paraId="0EE38CA2">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超声诊断仪器（全数字便携式B超）</w:t>
                  </w:r>
                </w:p>
              </w:tc>
              <w:tc>
                <w:tcPr>
                  <w:tcW w:w="1166" w:type="pct"/>
                  <w:noWrap/>
                  <w:vAlign w:val="center"/>
                </w:tcPr>
                <w:p w14:paraId="4A96D9A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DP-2200</w:t>
                  </w:r>
                </w:p>
              </w:tc>
              <w:tc>
                <w:tcPr>
                  <w:tcW w:w="1048" w:type="pct"/>
                  <w:noWrap/>
                  <w:vAlign w:val="center"/>
                </w:tcPr>
                <w:p w14:paraId="1827A080">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9256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AEAD42A">
                  <w:pPr>
                    <w:widowControl/>
                    <w:jc w:val="center"/>
                    <w:textAlignment w:val="bottom"/>
                    <w:rPr>
                      <w:color w:val="auto"/>
                      <w:szCs w:val="21"/>
                    </w:rPr>
                  </w:pPr>
                  <w:r>
                    <w:rPr>
                      <w:color w:val="auto"/>
                      <w:kern w:val="0"/>
                      <w:szCs w:val="21"/>
                      <w:lang w:bidi="ar"/>
                    </w:rPr>
                    <w:t>8</w:t>
                  </w:r>
                </w:p>
              </w:tc>
              <w:tc>
                <w:tcPr>
                  <w:tcW w:w="2274" w:type="pct"/>
                  <w:noWrap/>
                  <w:vAlign w:val="center"/>
                </w:tcPr>
                <w:p w14:paraId="2DDA198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全数字彩色多普勒超声诊断仪器</w:t>
                  </w:r>
                </w:p>
              </w:tc>
              <w:tc>
                <w:tcPr>
                  <w:tcW w:w="1166" w:type="pct"/>
                  <w:noWrap/>
                  <w:vAlign w:val="center"/>
                </w:tcPr>
                <w:p w14:paraId="231190A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S26s</w:t>
                  </w:r>
                </w:p>
              </w:tc>
              <w:tc>
                <w:tcPr>
                  <w:tcW w:w="1048" w:type="pct"/>
                  <w:noWrap/>
                  <w:vAlign w:val="center"/>
                </w:tcPr>
                <w:p w14:paraId="73E73D3E">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8B1B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AE9EE5B">
                  <w:pPr>
                    <w:widowControl/>
                    <w:jc w:val="center"/>
                    <w:textAlignment w:val="bottom"/>
                    <w:rPr>
                      <w:color w:val="auto"/>
                      <w:szCs w:val="21"/>
                    </w:rPr>
                  </w:pPr>
                  <w:r>
                    <w:rPr>
                      <w:color w:val="auto"/>
                      <w:kern w:val="0"/>
                      <w:szCs w:val="21"/>
                      <w:lang w:bidi="ar"/>
                    </w:rPr>
                    <w:t>9</w:t>
                  </w:r>
                </w:p>
              </w:tc>
              <w:tc>
                <w:tcPr>
                  <w:tcW w:w="2274" w:type="pct"/>
                  <w:noWrap/>
                  <w:vAlign w:val="center"/>
                </w:tcPr>
                <w:p w14:paraId="7B6A009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全自动血液细胞分析仪</w:t>
                  </w:r>
                </w:p>
              </w:tc>
              <w:tc>
                <w:tcPr>
                  <w:tcW w:w="1166" w:type="pct"/>
                  <w:noWrap/>
                  <w:vAlign w:val="center"/>
                </w:tcPr>
                <w:p w14:paraId="2CA63BB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UN73</w:t>
                  </w:r>
                </w:p>
              </w:tc>
              <w:tc>
                <w:tcPr>
                  <w:tcW w:w="1048" w:type="pct"/>
                  <w:noWrap/>
                  <w:vAlign w:val="center"/>
                </w:tcPr>
                <w:p w14:paraId="004D8346">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16D1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427254C">
                  <w:pPr>
                    <w:widowControl/>
                    <w:jc w:val="center"/>
                    <w:textAlignment w:val="bottom"/>
                    <w:rPr>
                      <w:color w:val="auto"/>
                      <w:szCs w:val="21"/>
                    </w:rPr>
                  </w:pPr>
                  <w:r>
                    <w:rPr>
                      <w:color w:val="auto"/>
                      <w:kern w:val="0"/>
                      <w:szCs w:val="21"/>
                      <w:lang w:bidi="ar"/>
                    </w:rPr>
                    <w:t>10</w:t>
                  </w:r>
                </w:p>
              </w:tc>
              <w:tc>
                <w:tcPr>
                  <w:tcW w:w="2274" w:type="pct"/>
                  <w:noWrap/>
                  <w:vAlign w:val="center"/>
                </w:tcPr>
                <w:p w14:paraId="3CCE9D2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全自动生化分析仪</w:t>
                  </w:r>
                </w:p>
              </w:tc>
              <w:tc>
                <w:tcPr>
                  <w:tcW w:w="1166" w:type="pct"/>
                  <w:noWrap/>
                  <w:vAlign w:val="center"/>
                </w:tcPr>
                <w:p w14:paraId="5D6F415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BS-480</w:t>
                  </w:r>
                </w:p>
              </w:tc>
              <w:tc>
                <w:tcPr>
                  <w:tcW w:w="1048" w:type="pct"/>
                  <w:noWrap/>
                  <w:vAlign w:val="center"/>
                </w:tcPr>
                <w:p w14:paraId="1029DF6D">
                  <w:pPr>
                    <w:widowControl/>
                    <w:jc w:val="center"/>
                    <w:textAlignment w:val="bottom"/>
                    <w:rPr>
                      <w:color w:val="auto"/>
                      <w:szCs w:val="21"/>
                    </w:rPr>
                  </w:pPr>
                  <w:r>
                    <w:rPr>
                      <w:rFonts w:hint="eastAsia"/>
                      <w:color w:val="auto"/>
                      <w:kern w:val="0"/>
                      <w:szCs w:val="21"/>
                      <w:lang w:bidi="ar"/>
                    </w:rPr>
                    <w:t>1</w:t>
                  </w:r>
                  <w:r>
                    <w:rPr>
                      <w:rStyle w:val="127"/>
                      <w:rFonts w:hint="default" w:ascii="Times New Roman" w:hAnsi="Times New Roman" w:cs="Times New Roman"/>
                      <w:color w:val="auto"/>
                      <w:sz w:val="21"/>
                      <w:szCs w:val="21"/>
                      <w:lang w:bidi="ar"/>
                    </w:rPr>
                    <w:t>台</w:t>
                  </w:r>
                </w:p>
              </w:tc>
            </w:tr>
            <w:tr w14:paraId="265F2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1FEA959">
                  <w:pPr>
                    <w:widowControl/>
                    <w:jc w:val="center"/>
                    <w:textAlignment w:val="bottom"/>
                    <w:rPr>
                      <w:color w:val="auto"/>
                      <w:szCs w:val="21"/>
                    </w:rPr>
                  </w:pPr>
                  <w:r>
                    <w:rPr>
                      <w:color w:val="auto"/>
                      <w:kern w:val="0"/>
                      <w:szCs w:val="21"/>
                      <w:lang w:bidi="ar"/>
                    </w:rPr>
                    <w:t>11</w:t>
                  </w:r>
                </w:p>
              </w:tc>
              <w:tc>
                <w:tcPr>
                  <w:tcW w:w="2274" w:type="pct"/>
                  <w:noWrap/>
                  <w:vAlign w:val="center"/>
                </w:tcPr>
                <w:p w14:paraId="61B38A14">
                  <w:pPr>
                    <w:widowControl/>
                    <w:jc w:val="center"/>
                    <w:textAlignment w:val="center"/>
                    <w:rPr>
                      <w:color w:val="auto"/>
                      <w:szCs w:val="21"/>
                    </w:rPr>
                  </w:pPr>
                  <w:r>
                    <w:rPr>
                      <w:rFonts w:hint="eastAsia"/>
                      <w:color w:val="auto"/>
                      <w:kern w:val="0"/>
                      <w:szCs w:val="21"/>
                      <w:lang w:bidi="ar"/>
                    </w:rPr>
                    <w:t>干式荧光免疫分析仪</w:t>
                  </w:r>
                </w:p>
              </w:tc>
              <w:tc>
                <w:tcPr>
                  <w:tcW w:w="1166" w:type="pct"/>
                  <w:noWrap/>
                  <w:vAlign w:val="center"/>
                </w:tcPr>
                <w:p w14:paraId="3FC51DC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FS-205</w:t>
                  </w:r>
                </w:p>
              </w:tc>
              <w:tc>
                <w:tcPr>
                  <w:tcW w:w="1048" w:type="pct"/>
                  <w:noWrap/>
                  <w:vAlign w:val="center"/>
                </w:tcPr>
                <w:p w14:paraId="0814F09B">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06FD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B794903">
                  <w:pPr>
                    <w:widowControl/>
                    <w:jc w:val="center"/>
                    <w:textAlignment w:val="bottom"/>
                    <w:rPr>
                      <w:color w:val="auto"/>
                      <w:szCs w:val="21"/>
                    </w:rPr>
                  </w:pPr>
                  <w:r>
                    <w:rPr>
                      <w:color w:val="auto"/>
                      <w:kern w:val="0"/>
                      <w:szCs w:val="21"/>
                      <w:lang w:bidi="ar"/>
                    </w:rPr>
                    <w:t>12</w:t>
                  </w:r>
                </w:p>
              </w:tc>
              <w:tc>
                <w:tcPr>
                  <w:tcW w:w="2274" w:type="pct"/>
                  <w:noWrap/>
                  <w:vAlign w:val="center"/>
                </w:tcPr>
                <w:p w14:paraId="66F2B095">
                  <w:pPr>
                    <w:widowControl/>
                    <w:jc w:val="center"/>
                    <w:textAlignment w:val="center"/>
                    <w:rPr>
                      <w:color w:val="auto"/>
                      <w:szCs w:val="21"/>
                    </w:rPr>
                  </w:pPr>
                  <w:r>
                    <w:rPr>
                      <w:rFonts w:hint="eastAsia"/>
                      <w:color w:val="auto"/>
                      <w:kern w:val="0"/>
                      <w:szCs w:val="21"/>
                      <w:lang w:bidi="ar"/>
                    </w:rPr>
                    <w:t>低速离心机</w:t>
                  </w:r>
                </w:p>
              </w:tc>
              <w:tc>
                <w:tcPr>
                  <w:tcW w:w="1166" w:type="pct"/>
                  <w:noWrap/>
                  <w:vAlign w:val="center"/>
                </w:tcPr>
                <w:p w14:paraId="076D42B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SC-04</w:t>
                  </w:r>
                </w:p>
              </w:tc>
              <w:tc>
                <w:tcPr>
                  <w:tcW w:w="1048" w:type="pct"/>
                  <w:noWrap/>
                  <w:vAlign w:val="center"/>
                </w:tcPr>
                <w:p w14:paraId="05A40566">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6A397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E3214CC">
                  <w:pPr>
                    <w:widowControl/>
                    <w:jc w:val="center"/>
                    <w:textAlignment w:val="bottom"/>
                    <w:rPr>
                      <w:color w:val="auto"/>
                      <w:kern w:val="0"/>
                      <w:szCs w:val="21"/>
                      <w:lang w:bidi="ar"/>
                    </w:rPr>
                  </w:pPr>
                  <w:r>
                    <w:rPr>
                      <w:rFonts w:hint="eastAsia"/>
                      <w:color w:val="auto"/>
                      <w:kern w:val="0"/>
                      <w:szCs w:val="21"/>
                      <w:lang w:bidi="ar"/>
                    </w:rPr>
                    <w:t>13</w:t>
                  </w:r>
                </w:p>
              </w:tc>
              <w:tc>
                <w:tcPr>
                  <w:tcW w:w="2274" w:type="pct"/>
                  <w:noWrap/>
                  <w:vAlign w:val="center"/>
                </w:tcPr>
                <w:p w14:paraId="4254C8FA">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尿液分析仪</w:t>
                  </w:r>
                </w:p>
              </w:tc>
              <w:tc>
                <w:tcPr>
                  <w:tcW w:w="1166" w:type="pct"/>
                  <w:noWrap/>
                  <w:vAlign w:val="center"/>
                </w:tcPr>
                <w:p w14:paraId="49AEEF3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Uritest-200B</w:t>
                  </w:r>
                </w:p>
              </w:tc>
              <w:tc>
                <w:tcPr>
                  <w:tcW w:w="1048" w:type="pct"/>
                  <w:noWrap/>
                  <w:vAlign w:val="center"/>
                </w:tcPr>
                <w:p w14:paraId="571C0D5C">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7CF9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897A55A">
                  <w:pPr>
                    <w:widowControl/>
                    <w:jc w:val="center"/>
                    <w:textAlignment w:val="bottom"/>
                    <w:rPr>
                      <w:color w:val="auto"/>
                      <w:kern w:val="0"/>
                      <w:szCs w:val="21"/>
                      <w:lang w:bidi="ar"/>
                    </w:rPr>
                  </w:pPr>
                  <w:r>
                    <w:rPr>
                      <w:rFonts w:hint="eastAsia"/>
                      <w:color w:val="auto"/>
                      <w:kern w:val="0"/>
                      <w:szCs w:val="21"/>
                      <w:lang w:bidi="ar"/>
                    </w:rPr>
                    <w:t>14</w:t>
                  </w:r>
                </w:p>
              </w:tc>
              <w:tc>
                <w:tcPr>
                  <w:tcW w:w="2274" w:type="pct"/>
                  <w:noWrap/>
                  <w:vAlign w:val="center"/>
                </w:tcPr>
                <w:p w14:paraId="2CAF4F2E">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全自动尿液分析仪</w:t>
                  </w:r>
                </w:p>
              </w:tc>
              <w:tc>
                <w:tcPr>
                  <w:tcW w:w="1166" w:type="pct"/>
                  <w:noWrap/>
                  <w:vAlign w:val="center"/>
                </w:tcPr>
                <w:p w14:paraId="5C7D574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URIT-1600</w:t>
                  </w:r>
                </w:p>
              </w:tc>
              <w:tc>
                <w:tcPr>
                  <w:tcW w:w="1048" w:type="pct"/>
                  <w:noWrap/>
                  <w:vAlign w:val="center"/>
                </w:tcPr>
                <w:p w14:paraId="4F890D4A">
                  <w:pPr>
                    <w:widowControl/>
                    <w:jc w:val="center"/>
                    <w:textAlignment w:val="bottom"/>
                    <w:rPr>
                      <w:color w:val="auto"/>
                      <w:kern w:val="0"/>
                      <w:szCs w:val="21"/>
                      <w:lang w:bidi="ar"/>
                    </w:rPr>
                  </w:pPr>
                  <w:r>
                    <w:rPr>
                      <w:rFonts w:hint="eastAsia"/>
                      <w:color w:val="auto"/>
                      <w:kern w:val="0"/>
                      <w:szCs w:val="21"/>
                      <w:lang w:bidi="ar"/>
                    </w:rPr>
                    <w:t>2</w:t>
                  </w:r>
                  <w:r>
                    <w:rPr>
                      <w:rStyle w:val="127"/>
                      <w:rFonts w:hint="default" w:ascii="Times New Roman" w:hAnsi="Times New Roman" w:cs="Times New Roman"/>
                      <w:color w:val="auto"/>
                      <w:sz w:val="21"/>
                      <w:szCs w:val="21"/>
                      <w:lang w:bidi="ar"/>
                    </w:rPr>
                    <w:t>台</w:t>
                  </w:r>
                </w:p>
              </w:tc>
            </w:tr>
            <w:tr w14:paraId="1746E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2EBA42F">
                  <w:pPr>
                    <w:widowControl/>
                    <w:jc w:val="center"/>
                    <w:textAlignment w:val="bottom"/>
                    <w:rPr>
                      <w:color w:val="auto"/>
                      <w:kern w:val="0"/>
                      <w:szCs w:val="21"/>
                      <w:lang w:bidi="ar"/>
                    </w:rPr>
                  </w:pPr>
                  <w:r>
                    <w:rPr>
                      <w:rFonts w:hint="eastAsia"/>
                      <w:color w:val="auto"/>
                      <w:kern w:val="0"/>
                      <w:szCs w:val="21"/>
                      <w:lang w:bidi="ar"/>
                    </w:rPr>
                    <w:t>15</w:t>
                  </w:r>
                </w:p>
              </w:tc>
              <w:tc>
                <w:tcPr>
                  <w:tcW w:w="2274" w:type="pct"/>
                  <w:noWrap/>
                  <w:vAlign w:val="center"/>
                </w:tcPr>
                <w:p w14:paraId="3506734B">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生物安全柜</w:t>
                  </w:r>
                </w:p>
              </w:tc>
              <w:tc>
                <w:tcPr>
                  <w:tcW w:w="1166" w:type="pct"/>
                  <w:noWrap/>
                  <w:vAlign w:val="center"/>
                </w:tcPr>
                <w:p w14:paraId="5381E46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BSC-1100 II A2-X</w:t>
                  </w:r>
                </w:p>
              </w:tc>
              <w:tc>
                <w:tcPr>
                  <w:tcW w:w="1048" w:type="pct"/>
                  <w:noWrap/>
                  <w:vAlign w:val="center"/>
                </w:tcPr>
                <w:p w14:paraId="392338CD">
                  <w:pPr>
                    <w:widowControl/>
                    <w:jc w:val="center"/>
                    <w:textAlignment w:val="bottom"/>
                    <w:rPr>
                      <w:color w:val="auto"/>
                      <w:kern w:val="0"/>
                      <w:szCs w:val="21"/>
                      <w:lang w:bidi="ar"/>
                    </w:rPr>
                  </w:pPr>
                  <w:r>
                    <w:rPr>
                      <w:color w:val="auto"/>
                      <w:kern w:val="0"/>
                      <w:szCs w:val="21"/>
                      <w:lang w:bidi="ar"/>
                    </w:rPr>
                    <w:t>1台</w:t>
                  </w:r>
                </w:p>
              </w:tc>
            </w:tr>
            <w:tr w14:paraId="7944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6641311">
                  <w:pPr>
                    <w:widowControl/>
                    <w:jc w:val="center"/>
                    <w:textAlignment w:val="bottom"/>
                    <w:rPr>
                      <w:color w:val="auto"/>
                      <w:kern w:val="0"/>
                      <w:szCs w:val="21"/>
                      <w:lang w:bidi="ar"/>
                    </w:rPr>
                  </w:pPr>
                  <w:r>
                    <w:rPr>
                      <w:rFonts w:hint="eastAsia"/>
                      <w:color w:val="auto"/>
                      <w:kern w:val="0"/>
                      <w:szCs w:val="21"/>
                      <w:lang w:bidi="ar"/>
                    </w:rPr>
                    <w:t>16</w:t>
                  </w:r>
                </w:p>
              </w:tc>
              <w:tc>
                <w:tcPr>
                  <w:tcW w:w="2274" w:type="pct"/>
                  <w:noWrap/>
                  <w:vAlign w:val="center"/>
                </w:tcPr>
                <w:p w14:paraId="183C23A8">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手提式压力蒸汽灭菌器</w:t>
                  </w:r>
                </w:p>
              </w:tc>
              <w:tc>
                <w:tcPr>
                  <w:tcW w:w="1166" w:type="pct"/>
                  <w:noWrap/>
                  <w:vAlign w:val="center"/>
                </w:tcPr>
                <w:p w14:paraId="5630AB8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YX-24LDJ</w:t>
                  </w:r>
                </w:p>
              </w:tc>
              <w:tc>
                <w:tcPr>
                  <w:tcW w:w="1048" w:type="pct"/>
                  <w:noWrap/>
                  <w:vAlign w:val="center"/>
                </w:tcPr>
                <w:p w14:paraId="2430A55F">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A536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10" w:type="pct"/>
                  <w:noWrap/>
                  <w:vAlign w:val="center"/>
                </w:tcPr>
                <w:p w14:paraId="643B6747">
                  <w:pPr>
                    <w:widowControl/>
                    <w:jc w:val="center"/>
                    <w:textAlignment w:val="bottom"/>
                    <w:rPr>
                      <w:color w:val="auto"/>
                      <w:kern w:val="0"/>
                      <w:szCs w:val="21"/>
                      <w:lang w:bidi="ar"/>
                    </w:rPr>
                  </w:pPr>
                  <w:r>
                    <w:rPr>
                      <w:rFonts w:hint="eastAsia"/>
                      <w:color w:val="auto"/>
                      <w:kern w:val="0"/>
                      <w:szCs w:val="21"/>
                      <w:lang w:bidi="ar"/>
                    </w:rPr>
                    <w:t>17</w:t>
                  </w:r>
                </w:p>
              </w:tc>
              <w:tc>
                <w:tcPr>
                  <w:tcW w:w="2274" w:type="pct"/>
                  <w:noWrap/>
                  <w:vAlign w:val="center"/>
                </w:tcPr>
                <w:p w14:paraId="55F5ED6D">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微量震荡器</w:t>
                  </w:r>
                </w:p>
              </w:tc>
              <w:tc>
                <w:tcPr>
                  <w:tcW w:w="1166" w:type="pct"/>
                  <w:noWrap/>
                  <w:vAlign w:val="center"/>
                </w:tcPr>
                <w:p w14:paraId="56A2583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KJ-201DB</w:t>
                  </w:r>
                </w:p>
              </w:tc>
              <w:tc>
                <w:tcPr>
                  <w:tcW w:w="1048" w:type="pct"/>
                  <w:noWrap/>
                  <w:vAlign w:val="center"/>
                </w:tcPr>
                <w:p w14:paraId="2D204713">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6C130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C264091">
                  <w:pPr>
                    <w:widowControl/>
                    <w:jc w:val="center"/>
                    <w:textAlignment w:val="bottom"/>
                    <w:rPr>
                      <w:color w:val="auto"/>
                      <w:kern w:val="0"/>
                      <w:szCs w:val="21"/>
                      <w:lang w:bidi="ar"/>
                    </w:rPr>
                  </w:pPr>
                  <w:r>
                    <w:rPr>
                      <w:rFonts w:hint="eastAsia"/>
                      <w:color w:val="auto"/>
                      <w:kern w:val="0"/>
                      <w:szCs w:val="21"/>
                      <w:lang w:bidi="ar"/>
                    </w:rPr>
                    <w:t>18</w:t>
                  </w:r>
                </w:p>
              </w:tc>
              <w:tc>
                <w:tcPr>
                  <w:tcW w:w="2274" w:type="pct"/>
                  <w:noWrap/>
                  <w:vAlign w:val="center"/>
                </w:tcPr>
                <w:p w14:paraId="628804FE">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电解质分析仪</w:t>
                  </w:r>
                </w:p>
              </w:tc>
              <w:tc>
                <w:tcPr>
                  <w:tcW w:w="1166" w:type="pct"/>
                  <w:noWrap/>
                  <w:vAlign w:val="center"/>
                </w:tcPr>
                <w:p w14:paraId="17346A1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AC9801</w:t>
                  </w:r>
                </w:p>
              </w:tc>
              <w:tc>
                <w:tcPr>
                  <w:tcW w:w="1048" w:type="pct"/>
                  <w:noWrap/>
                  <w:vAlign w:val="center"/>
                </w:tcPr>
                <w:p w14:paraId="50D73B84">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792E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152DA9C">
                  <w:pPr>
                    <w:widowControl/>
                    <w:jc w:val="center"/>
                    <w:textAlignment w:val="bottom"/>
                    <w:rPr>
                      <w:color w:val="auto"/>
                      <w:kern w:val="0"/>
                      <w:szCs w:val="21"/>
                      <w:lang w:bidi="ar"/>
                    </w:rPr>
                  </w:pPr>
                  <w:r>
                    <w:rPr>
                      <w:rFonts w:hint="eastAsia"/>
                      <w:color w:val="auto"/>
                      <w:kern w:val="0"/>
                      <w:szCs w:val="21"/>
                      <w:lang w:bidi="ar"/>
                    </w:rPr>
                    <w:t>19</w:t>
                  </w:r>
                </w:p>
              </w:tc>
              <w:tc>
                <w:tcPr>
                  <w:tcW w:w="2274" w:type="pct"/>
                  <w:noWrap/>
                  <w:vAlign w:val="center"/>
                </w:tcPr>
                <w:p w14:paraId="52996A69">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牙科综合治疗椅</w:t>
                  </w:r>
                </w:p>
              </w:tc>
              <w:tc>
                <w:tcPr>
                  <w:tcW w:w="1166" w:type="pct"/>
                  <w:noWrap/>
                  <w:vAlign w:val="center"/>
                </w:tcPr>
                <w:p w14:paraId="629432E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KD868-D</w:t>
                  </w:r>
                </w:p>
              </w:tc>
              <w:tc>
                <w:tcPr>
                  <w:tcW w:w="1048" w:type="pct"/>
                  <w:noWrap/>
                  <w:vAlign w:val="center"/>
                </w:tcPr>
                <w:p w14:paraId="6A70E1CA">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0786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A870C51">
                  <w:pPr>
                    <w:widowControl/>
                    <w:jc w:val="center"/>
                    <w:textAlignment w:val="bottom"/>
                    <w:rPr>
                      <w:color w:val="auto"/>
                      <w:kern w:val="0"/>
                      <w:szCs w:val="21"/>
                      <w:lang w:bidi="ar"/>
                    </w:rPr>
                  </w:pPr>
                  <w:r>
                    <w:rPr>
                      <w:rFonts w:hint="eastAsia"/>
                      <w:color w:val="auto"/>
                      <w:kern w:val="0"/>
                      <w:szCs w:val="21"/>
                      <w:lang w:bidi="ar"/>
                    </w:rPr>
                    <w:t>20</w:t>
                  </w:r>
                </w:p>
              </w:tc>
              <w:tc>
                <w:tcPr>
                  <w:tcW w:w="2274" w:type="pct"/>
                  <w:noWrap/>
                  <w:vAlign w:val="center"/>
                </w:tcPr>
                <w:p w14:paraId="19F04CE7">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牙科综合治疗椅</w:t>
                  </w:r>
                </w:p>
              </w:tc>
              <w:tc>
                <w:tcPr>
                  <w:tcW w:w="1166" w:type="pct"/>
                  <w:noWrap/>
                  <w:vAlign w:val="center"/>
                </w:tcPr>
                <w:p w14:paraId="32C30CB7">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F1-M</w:t>
                  </w:r>
                </w:p>
              </w:tc>
              <w:tc>
                <w:tcPr>
                  <w:tcW w:w="1048" w:type="pct"/>
                  <w:noWrap/>
                  <w:vAlign w:val="center"/>
                </w:tcPr>
                <w:p w14:paraId="7FCB974D">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20E90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64CBB67">
                  <w:pPr>
                    <w:widowControl/>
                    <w:jc w:val="center"/>
                    <w:textAlignment w:val="bottom"/>
                    <w:rPr>
                      <w:color w:val="auto"/>
                      <w:kern w:val="0"/>
                      <w:szCs w:val="21"/>
                      <w:lang w:bidi="ar"/>
                    </w:rPr>
                  </w:pPr>
                  <w:r>
                    <w:rPr>
                      <w:rFonts w:hint="eastAsia"/>
                      <w:color w:val="auto"/>
                      <w:kern w:val="0"/>
                      <w:szCs w:val="21"/>
                      <w:lang w:bidi="ar"/>
                    </w:rPr>
                    <w:t>21</w:t>
                  </w:r>
                </w:p>
              </w:tc>
              <w:tc>
                <w:tcPr>
                  <w:tcW w:w="2274" w:type="pct"/>
                  <w:noWrap/>
                  <w:vAlign w:val="center"/>
                </w:tcPr>
                <w:p w14:paraId="28BE494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超声牙周治疗仪</w:t>
                  </w:r>
                </w:p>
              </w:tc>
              <w:tc>
                <w:tcPr>
                  <w:tcW w:w="1166" w:type="pct"/>
                  <w:noWrap/>
                  <w:vAlign w:val="center"/>
                </w:tcPr>
                <w:p w14:paraId="270D904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VRN-Q5</w:t>
                  </w:r>
                </w:p>
              </w:tc>
              <w:tc>
                <w:tcPr>
                  <w:tcW w:w="1048" w:type="pct"/>
                  <w:noWrap/>
                  <w:vAlign w:val="center"/>
                </w:tcPr>
                <w:p w14:paraId="4E6557E0">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4759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621C358">
                  <w:pPr>
                    <w:widowControl/>
                    <w:jc w:val="center"/>
                    <w:textAlignment w:val="bottom"/>
                    <w:rPr>
                      <w:color w:val="auto"/>
                      <w:kern w:val="0"/>
                      <w:szCs w:val="21"/>
                      <w:lang w:bidi="ar"/>
                    </w:rPr>
                  </w:pPr>
                  <w:r>
                    <w:rPr>
                      <w:rFonts w:hint="eastAsia"/>
                      <w:color w:val="auto"/>
                      <w:kern w:val="0"/>
                      <w:szCs w:val="21"/>
                      <w:lang w:bidi="ar"/>
                    </w:rPr>
                    <w:t>22</w:t>
                  </w:r>
                </w:p>
              </w:tc>
              <w:tc>
                <w:tcPr>
                  <w:tcW w:w="2274" w:type="pct"/>
                  <w:noWrap/>
                  <w:vAlign w:val="center"/>
                </w:tcPr>
                <w:p w14:paraId="784FD5D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超声波清洗机</w:t>
                  </w:r>
                </w:p>
              </w:tc>
              <w:tc>
                <w:tcPr>
                  <w:tcW w:w="1166" w:type="pct"/>
                  <w:noWrap/>
                  <w:vAlign w:val="center"/>
                </w:tcPr>
                <w:p w14:paraId="29CC89C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RDC-120-3L</w:t>
                  </w:r>
                </w:p>
              </w:tc>
              <w:tc>
                <w:tcPr>
                  <w:tcW w:w="1048" w:type="pct"/>
                  <w:noWrap/>
                  <w:vAlign w:val="center"/>
                </w:tcPr>
                <w:p w14:paraId="26CD7E5E">
                  <w:pPr>
                    <w:widowControl/>
                    <w:jc w:val="center"/>
                    <w:textAlignment w:val="bottom"/>
                    <w:rPr>
                      <w:color w:val="auto"/>
                      <w:kern w:val="0"/>
                      <w:szCs w:val="21"/>
                      <w:lang w:bidi="ar"/>
                    </w:rPr>
                  </w:pPr>
                  <w:r>
                    <w:rPr>
                      <w:rFonts w:hint="eastAsia"/>
                      <w:color w:val="auto"/>
                      <w:kern w:val="0"/>
                      <w:szCs w:val="21"/>
                      <w:lang w:bidi="ar"/>
                    </w:rPr>
                    <w:t>1</w:t>
                  </w:r>
                  <w:r>
                    <w:rPr>
                      <w:rStyle w:val="127"/>
                      <w:rFonts w:hint="default" w:ascii="Times New Roman" w:hAnsi="Times New Roman" w:cs="Times New Roman"/>
                      <w:color w:val="auto"/>
                      <w:sz w:val="21"/>
                      <w:szCs w:val="21"/>
                      <w:lang w:bidi="ar"/>
                    </w:rPr>
                    <w:t>台</w:t>
                  </w:r>
                </w:p>
              </w:tc>
            </w:tr>
            <w:tr w14:paraId="51F49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EA34CD3">
                  <w:pPr>
                    <w:widowControl/>
                    <w:jc w:val="center"/>
                    <w:textAlignment w:val="bottom"/>
                    <w:rPr>
                      <w:color w:val="auto"/>
                      <w:kern w:val="0"/>
                      <w:szCs w:val="21"/>
                      <w:lang w:bidi="ar"/>
                    </w:rPr>
                  </w:pPr>
                  <w:r>
                    <w:rPr>
                      <w:rFonts w:hint="eastAsia"/>
                      <w:color w:val="auto"/>
                      <w:kern w:val="0"/>
                      <w:szCs w:val="21"/>
                      <w:lang w:bidi="ar"/>
                    </w:rPr>
                    <w:t>23</w:t>
                  </w:r>
                </w:p>
              </w:tc>
              <w:tc>
                <w:tcPr>
                  <w:tcW w:w="2274" w:type="pct"/>
                  <w:noWrap/>
                  <w:vAlign w:val="center"/>
                </w:tcPr>
                <w:p w14:paraId="79C6F04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气泵机</w:t>
                  </w:r>
                </w:p>
              </w:tc>
              <w:tc>
                <w:tcPr>
                  <w:tcW w:w="1166" w:type="pct"/>
                  <w:noWrap/>
                  <w:vAlign w:val="center"/>
                </w:tcPr>
                <w:p w14:paraId="5FFD95E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AT80/38</w:t>
                  </w:r>
                </w:p>
              </w:tc>
              <w:tc>
                <w:tcPr>
                  <w:tcW w:w="1048" w:type="pct"/>
                  <w:noWrap/>
                  <w:vAlign w:val="center"/>
                </w:tcPr>
                <w:p w14:paraId="1E6CE0B1">
                  <w:pPr>
                    <w:widowControl/>
                    <w:jc w:val="center"/>
                    <w:textAlignment w:val="bottom"/>
                    <w:rPr>
                      <w:color w:val="auto"/>
                      <w:kern w:val="0"/>
                      <w:szCs w:val="21"/>
                      <w:lang w:bidi="ar"/>
                    </w:rPr>
                  </w:pPr>
                  <w:r>
                    <w:rPr>
                      <w:color w:val="auto"/>
                      <w:kern w:val="0"/>
                      <w:szCs w:val="21"/>
                      <w:lang w:bidi="ar"/>
                    </w:rPr>
                    <w:t>1台</w:t>
                  </w:r>
                </w:p>
              </w:tc>
            </w:tr>
            <w:tr w14:paraId="63262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0AACE3B">
                  <w:pPr>
                    <w:widowControl/>
                    <w:jc w:val="center"/>
                    <w:textAlignment w:val="bottom"/>
                    <w:rPr>
                      <w:color w:val="auto"/>
                      <w:kern w:val="0"/>
                      <w:szCs w:val="21"/>
                      <w:lang w:bidi="ar"/>
                    </w:rPr>
                  </w:pPr>
                  <w:r>
                    <w:rPr>
                      <w:rFonts w:hint="eastAsia"/>
                      <w:color w:val="auto"/>
                      <w:kern w:val="0"/>
                      <w:szCs w:val="21"/>
                      <w:lang w:bidi="ar"/>
                    </w:rPr>
                    <w:t>24</w:t>
                  </w:r>
                </w:p>
              </w:tc>
              <w:tc>
                <w:tcPr>
                  <w:tcW w:w="2274" w:type="pct"/>
                  <w:noWrap/>
                  <w:vAlign w:val="center"/>
                </w:tcPr>
                <w:p w14:paraId="23B68A0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气泵机</w:t>
                  </w:r>
                </w:p>
              </w:tc>
              <w:tc>
                <w:tcPr>
                  <w:tcW w:w="1166" w:type="pct"/>
                  <w:noWrap/>
                  <w:vAlign w:val="center"/>
                </w:tcPr>
                <w:p w14:paraId="2CDAB55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DC701</w:t>
                  </w:r>
                </w:p>
              </w:tc>
              <w:tc>
                <w:tcPr>
                  <w:tcW w:w="1048" w:type="pct"/>
                  <w:noWrap/>
                  <w:vAlign w:val="center"/>
                </w:tcPr>
                <w:p w14:paraId="5D6ABECA">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6CBC1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9C50980">
                  <w:pPr>
                    <w:widowControl/>
                    <w:jc w:val="center"/>
                    <w:textAlignment w:val="bottom"/>
                    <w:rPr>
                      <w:color w:val="auto"/>
                      <w:kern w:val="0"/>
                      <w:szCs w:val="21"/>
                      <w:lang w:bidi="ar"/>
                    </w:rPr>
                  </w:pPr>
                  <w:r>
                    <w:rPr>
                      <w:rFonts w:hint="eastAsia"/>
                      <w:color w:val="auto"/>
                      <w:kern w:val="0"/>
                      <w:szCs w:val="21"/>
                      <w:lang w:bidi="ar"/>
                    </w:rPr>
                    <w:t>25</w:t>
                  </w:r>
                </w:p>
              </w:tc>
              <w:tc>
                <w:tcPr>
                  <w:tcW w:w="2274" w:type="pct"/>
                  <w:noWrap/>
                  <w:vAlign w:val="center"/>
                </w:tcPr>
                <w:p w14:paraId="270A445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高频电刀</w:t>
                  </w:r>
                </w:p>
              </w:tc>
              <w:tc>
                <w:tcPr>
                  <w:tcW w:w="1166" w:type="pct"/>
                  <w:noWrap/>
                  <w:vAlign w:val="center"/>
                </w:tcPr>
                <w:p w14:paraId="4FECE3C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GE-350(leep-d)</w:t>
                  </w:r>
                </w:p>
              </w:tc>
              <w:tc>
                <w:tcPr>
                  <w:tcW w:w="1048" w:type="pct"/>
                  <w:noWrap/>
                  <w:vAlign w:val="center"/>
                </w:tcPr>
                <w:p w14:paraId="4DEBDE4D">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0C66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7D67F73">
                  <w:pPr>
                    <w:widowControl/>
                    <w:jc w:val="center"/>
                    <w:textAlignment w:val="bottom"/>
                    <w:rPr>
                      <w:color w:val="auto"/>
                      <w:kern w:val="0"/>
                      <w:szCs w:val="21"/>
                      <w:lang w:bidi="ar"/>
                    </w:rPr>
                  </w:pPr>
                  <w:r>
                    <w:rPr>
                      <w:rFonts w:hint="eastAsia"/>
                      <w:color w:val="auto"/>
                      <w:kern w:val="0"/>
                      <w:szCs w:val="21"/>
                      <w:lang w:bidi="ar"/>
                    </w:rPr>
                    <w:t>26</w:t>
                  </w:r>
                </w:p>
              </w:tc>
              <w:tc>
                <w:tcPr>
                  <w:tcW w:w="2274" w:type="pct"/>
                  <w:noWrap/>
                  <w:vAlign w:val="center"/>
                </w:tcPr>
                <w:p w14:paraId="4AE415D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LX-3电动流产吸引器</w:t>
                  </w:r>
                </w:p>
              </w:tc>
              <w:tc>
                <w:tcPr>
                  <w:tcW w:w="1166" w:type="pct"/>
                  <w:noWrap/>
                  <w:vAlign w:val="center"/>
                </w:tcPr>
                <w:p w14:paraId="2B27131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YZB/泸3339-54-2008</w:t>
                  </w:r>
                </w:p>
              </w:tc>
              <w:tc>
                <w:tcPr>
                  <w:tcW w:w="1048" w:type="pct"/>
                  <w:noWrap/>
                  <w:vAlign w:val="center"/>
                </w:tcPr>
                <w:p w14:paraId="1513B9AA">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FE52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6A7BE7A">
                  <w:pPr>
                    <w:widowControl/>
                    <w:jc w:val="center"/>
                    <w:textAlignment w:val="bottom"/>
                    <w:rPr>
                      <w:color w:val="auto"/>
                      <w:kern w:val="0"/>
                      <w:szCs w:val="21"/>
                      <w:lang w:bidi="ar"/>
                    </w:rPr>
                  </w:pPr>
                  <w:r>
                    <w:rPr>
                      <w:rFonts w:hint="eastAsia"/>
                      <w:color w:val="auto"/>
                      <w:kern w:val="0"/>
                      <w:szCs w:val="21"/>
                      <w:lang w:bidi="ar"/>
                    </w:rPr>
                    <w:t>27</w:t>
                  </w:r>
                </w:p>
              </w:tc>
              <w:tc>
                <w:tcPr>
                  <w:tcW w:w="2274" w:type="pct"/>
                  <w:noWrap/>
                  <w:vAlign w:val="center"/>
                </w:tcPr>
                <w:p w14:paraId="2C4322B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特定电磁波治疗器</w:t>
                  </w:r>
                </w:p>
              </w:tc>
              <w:tc>
                <w:tcPr>
                  <w:tcW w:w="1166" w:type="pct"/>
                  <w:noWrap/>
                  <w:vAlign w:val="center"/>
                </w:tcPr>
                <w:p w14:paraId="2696A80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CQ-BS7</w:t>
                  </w:r>
                </w:p>
              </w:tc>
              <w:tc>
                <w:tcPr>
                  <w:tcW w:w="1048" w:type="pct"/>
                  <w:noWrap/>
                  <w:vAlign w:val="center"/>
                </w:tcPr>
                <w:p w14:paraId="7CB8280B">
                  <w:pPr>
                    <w:widowControl/>
                    <w:jc w:val="center"/>
                    <w:textAlignment w:val="bottom"/>
                    <w:rPr>
                      <w:color w:val="auto"/>
                      <w:kern w:val="0"/>
                      <w:szCs w:val="21"/>
                      <w:lang w:bidi="ar"/>
                    </w:rPr>
                  </w:pPr>
                  <w:r>
                    <w:rPr>
                      <w:rFonts w:hint="eastAsia"/>
                      <w:color w:val="auto"/>
                      <w:kern w:val="0"/>
                      <w:szCs w:val="21"/>
                      <w:lang w:bidi="ar"/>
                    </w:rPr>
                    <w:t>6</w:t>
                  </w:r>
                  <w:r>
                    <w:rPr>
                      <w:rStyle w:val="127"/>
                      <w:rFonts w:hint="default" w:ascii="Times New Roman" w:hAnsi="Times New Roman" w:cs="Times New Roman"/>
                      <w:color w:val="auto"/>
                      <w:sz w:val="21"/>
                      <w:szCs w:val="21"/>
                      <w:lang w:bidi="ar"/>
                    </w:rPr>
                    <w:t>台</w:t>
                  </w:r>
                </w:p>
              </w:tc>
            </w:tr>
            <w:tr w14:paraId="6F8DE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6132D4F">
                  <w:pPr>
                    <w:widowControl/>
                    <w:jc w:val="center"/>
                    <w:textAlignment w:val="bottom"/>
                    <w:rPr>
                      <w:color w:val="auto"/>
                      <w:kern w:val="0"/>
                      <w:szCs w:val="21"/>
                      <w:lang w:bidi="ar"/>
                    </w:rPr>
                  </w:pPr>
                  <w:r>
                    <w:rPr>
                      <w:rFonts w:hint="eastAsia"/>
                      <w:color w:val="auto"/>
                      <w:kern w:val="0"/>
                      <w:szCs w:val="21"/>
                      <w:lang w:bidi="ar"/>
                    </w:rPr>
                    <w:t>28</w:t>
                  </w:r>
                </w:p>
              </w:tc>
              <w:tc>
                <w:tcPr>
                  <w:tcW w:w="2274" w:type="pct"/>
                  <w:noWrap/>
                  <w:vAlign w:val="center"/>
                </w:tcPr>
                <w:p w14:paraId="38BE0AA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电子针疗仪</w:t>
                  </w:r>
                </w:p>
              </w:tc>
              <w:tc>
                <w:tcPr>
                  <w:tcW w:w="1166" w:type="pct"/>
                  <w:noWrap/>
                  <w:vAlign w:val="center"/>
                </w:tcPr>
                <w:p w14:paraId="6DABE2D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SDZ-11</w:t>
                  </w:r>
                </w:p>
              </w:tc>
              <w:tc>
                <w:tcPr>
                  <w:tcW w:w="1048" w:type="pct"/>
                  <w:noWrap/>
                  <w:vAlign w:val="center"/>
                </w:tcPr>
                <w:p w14:paraId="762B2095">
                  <w:pPr>
                    <w:widowControl/>
                    <w:jc w:val="center"/>
                    <w:textAlignment w:val="bottom"/>
                    <w:rPr>
                      <w:color w:val="auto"/>
                      <w:kern w:val="0"/>
                      <w:szCs w:val="21"/>
                      <w:lang w:bidi="ar"/>
                    </w:rPr>
                  </w:pPr>
                  <w:r>
                    <w:rPr>
                      <w:rFonts w:hint="eastAsia"/>
                      <w:color w:val="auto"/>
                      <w:kern w:val="0"/>
                      <w:szCs w:val="21"/>
                      <w:lang w:bidi="ar"/>
                    </w:rPr>
                    <w:t>5</w:t>
                  </w:r>
                  <w:r>
                    <w:rPr>
                      <w:rStyle w:val="127"/>
                      <w:rFonts w:hint="default" w:ascii="Times New Roman" w:hAnsi="Times New Roman" w:cs="Times New Roman"/>
                      <w:color w:val="auto"/>
                      <w:sz w:val="21"/>
                      <w:szCs w:val="21"/>
                      <w:lang w:bidi="ar"/>
                    </w:rPr>
                    <w:t>台</w:t>
                  </w:r>
                </w:p>
              </w:tc>
            </w:tr>
            <w:tr w14:paraId="73F3D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2FD3CF9">
                  <w:pPr>
                    <w:widowControl/>
                    <w:jc w:val="center"/>
                    <w:textAlignment w:val="bottom"/>
                    <w:rPr>
                      <w:color w:val="auto"/>
                      <w:kern w:val="0"/>
                      <w:szCs w:val="21"/>
                      <w:lang w:bidi="ar"/>
                    </w:rPr>
                  </w:pPr>
                  <w:r>
                    <w:rPr>
                      <w:rFonts w:hint="eastAsia"/>
                      <w:color w:val="auto"/>
                      <w:kern w:val="0"/>
                      <w:szCs w:val="21"/>
                      <w:lang w:bidi="ar"/>
                    </w:rPr>
                    <w:t>29</w:t>
                  </w:r>
                </w:p>
              </w:tc>
              <w:tc>
                <w:tcPr>
                  <w:tcW w:w="2274" w:type="pct"/>
                  <w:noWrap/>
                  <w:vAlign w:val="center"/>
                </w:tcPr>
                <w:p w14:paraId="3818ED4E">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电脑中频治疗仪</w:t>
                  </w:r>
                </w:p>
              </w:tc>
              <w:tc>
                <w:tcPr>
                  <w:tcW w:w="1166" w:type="pct"/>
                  <w:noWrap/>
                  <w:vAlign w:val="center"/>
                </w:tcPr>
                <w:p w14:paraId="2F54A2C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J48Ar</w:t>
                  </w:r>
                </w:p>
              </w:tc>
              <w:tc>
                <w:tcPr>
                  <w:tcW w:w="1048" w:type="pct"/>
                  <w:noWrap/>
                  <w:vAlign w:val="center"/>
                </w:tcPr>
                <w:p w14:paraId="5CF667AA">
                  <w:pPr>
                    <w:widowControl/>
                    <w:jc w:val="center"/>
                    <w:textAlignment w:val="bottom"/>
                    <w:rPr>
                      <w:color w:val="auto"/>
                      <w:kern w:val="0"/>
                      <w:szCs w:val="21"/>
                      <w:lang w:bidi="ar"/>
                    </w:rPr>
                  </w:pPr>
                  <w:r>
                    <w:rPr>
                      <w:rFonts w:hint="eastAsia"/>
                      <w:color w:val="auto"/>
                      <w:kern w:val="0"/>
                      <w:szCs w:val="21"/>
                      <w:lang w:bidi="ar"/>
                    </w:rPr>
                    <w:t>2</w:t>
                  </w:r>
                  <w:r>
                    <w:rPr>
                      <w:rStyle w:val="127"/>
                      <w:rFonts w:hint="default" w:ascii="Times New Roman" w:hAnsi="Times New Roman" w:cs="Times New Roman"/>
                      <w:color w:val="auto"/>
                      <w:sz w:val="21"/>
                      <w:szCs w:val="21"/>
                      <w:lang w:bidi="ar"/>
                    </w:rPr>
                    <w:t>台</w:t>
                  </w:r>
                </w:p>
              </w:tc>
            </w:tr>
            <w:tr w14:paraId="2000C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BE90276">
                  <w:pPr>
                    <w:widowControl/>
                    <w:jc w:val="center"/>
                    <w:textAlignment w:val="bottom"/>
                    <w:rPr>
                      <w:color w:val="auto"/>
                      <w:kern w:val="0"/>
                      <w:szCs w:val="21"/>
                      <w:lang w:bidi="ar"/>
                    </w:rPr>
                  </w:pPr>
                  <w:r>
                    <w:rPr>
                      <w:rFonts w:hint="eastAsia"/>
                      <w:color w:val="auto"/>
                      <w:kern w:val="0"/>
                      <w:szCs w:val="21"/>
                      <w:lang w:bidi="ar"/>
                    </w:rPr>
                    <w:t>30</w:t>
                  </w:r>
                </w:p>
              </w:tc>
              <w:tc>
                <w:tcPr>
                  <w:tcW w:w="2274" w:type="pct"/>
                  <w:noWrap/>
                  <w:vAlign w:val="center"/>
                </w:tcPr>
                <w:p w14:paraId="65106CA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颈腰椎治疗多功能牵引床</w:t>
                  </w:r>
                </w:p>
              </w:tc>
              <w:tc>
                <w:tcPr>
                  <w:tcW w:w="1166" w:type="pct"/>
                  <w:noWrap/>
                  <w:vAlign w:val="center"/>
                </w:tcPr>
                <w:p w14:paraId="4225A31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JYZ-11B</w:t>
                  </w:r>
                </w:p>
              </w:tc>
              <w:tc>
                <w:tcPr>
                  <w:tcW w:w="1048" w:type="pct"/>
                  <w:noWrap/>
                  <w:vAlign w:val="center"/>
                </w:tcPr>
                <w:p w14:paraId="38EE10A1">
                  <w:pPr>
                    <w:widowControl/>
                    <w:jc w:val="center"/>
                    <w:textAlignment w:val="bottom"/>
                    <w:rPr>
                      <w:color w:val="auto"/>
                      <w:kern w:val="0"/>
                      <w:szCs w:val="21"/>
                      <w:lang w:bidi="ar"/>
                    </w:rPr>
                  </w:pPr>
                  <w:r>
                    <w:rPr>
                      <w:color w:val="auto"/>
                      <w:kern w:val="0"/>
                      <w:szCs w:val="21"/>
                      <w:lang w:bidi="ar"/>
                    </w:rPr>
                    <w:t>1台</w:t>
                  </w:r>
                </w:p>
              </w:tc>
            </w:tr>
            <w:tr w14:paraId="67C0C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9B5064E">
                  <w:pPr>
                    <w:widowControl/>
                    <w:jc w:val="center"/>
                    <w:textAlignment w:val="bottom"/>
                    <w:rPr>
                      <w:color w:val="auto"/>
                      <w:kern w:val="0"/>
                      <w:szCs w:val="21"/>
                      <w:lang w:bidi="ar"/>
                    </w:rPr>
                  </w:pPr>
                  <w:r>
                    <w:rPr>
                      <w:rFonts w:hint="eastAsia"/>
                      <w:color w:val="auto"/>
                      <w:kern w:val="0"/>
                      <w:szCs w:val="21"/>
                      <w:lang w:bidi="ar"/>
                    </w:rPr>
                    <w:t>31</w:t>
                  </w:r>
                </w:p>
              </w:tc>
              <w:tc>
                <w:tcPr>
                  <w:tcW w:w="2274" w:type="pct"/>
                  <w:noWrap/>
                  <w:vAlign w:val="center"/>
                </w:tcPr>
                <w:p w14:paraId="10BFD58D">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烟雾净化器</w:t>
                  </w:r>
                </w:p>
              </w:tc>
              <w:tc>
                <w:tcPr>
                  <w:tcW w:w="1166" w:type="pct"/>
                  <w:noWrap/>
                  <w:vAlign w:val="center"/>
                </w:tcPr>
                <w:p w14:paraId="2A70355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YC3101A</w:t>
                  </w:r>
                </w:p>
              </w:tc>
              <w:tc>
                <w:tcPr>
                  <w:tcW w:w="1048" w:type="pct"/>
                  <w:noWrap/>
                  <w:vAlign w:val="center"/>
                </w:tcPr>
                <w:p w14:paraId="2DBA8659">
                  <w:pPr>
                    <w:widowControl/>
                    <w:jc w:val="center"/>
                    <w:textAlignment w:val="bottom"/>
                    <w:rPr>
                      <w:color w:val="auto"/>
                      <w:kern w:val="0"/>
                      <w:szCs w:val="21"/>
                      <w:lang w:bidi="ar"/>
                    </w:rPr>
                  </w:pPr>
                  <w:r>
                    <w:rPr>
                      <w:rFonts w:hint="eastAsia"/>
                      <w:color w:val="auto"/>
                      <w:kern w:val="0"/>
                      <w:szCs w:val="21"/>
                      <w:lang w:bidi="ar"/>
                    </w:rPr>
                    <w:t>2台</w:t>
                  </w:r>
                </w:p>
              </w:tc>
            </w:tr>
            <w:tr w14:paraId="02E87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A5D8F15">
                  <w:pPr>
                    <w:widowControl/>
                    <w:jc w:val="center"/>
                    <w:textAlignment w:val="bottom"/>
                    <w:rPr>
                      <w:color w:val="auto"/>
                      <w:kern w:val="0"/>
                      <w:szCs w:val="21"/>
                      <w:lang w:bidi="ar"/>
                    </w:rPr>
                  </w:pPr>
                  <w:r>
                    <w:rPr>
                      <w:rFonts w:hint="eastAsia"/>
                      <w:color w:val="auto"/>
                      <w:kern w:val="0"/>
                      <w:szCs w:val="21"/>
                      <w:lang w:bidi="ar"/>
                    </w:rPr>
                    <w:t>32</w:t>
                  </w:r>
                </w:p>
              </w:tc>
              <w:tc>
                <w:tcPr>
                  <w:tcW w:w="2274" w:type="pct"/>
                  <w:noWrap/>
                  <w:vAlign w:val="center"/>
                </w:tcPr>
                <w:p w14:paraId="2246F5FE">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平行杠</w:t>
                  </w:r>
                </w:p>
              </w:tc>
              <w:tc>
                <w:tcPr>
                  <w:tcW w:w="1166" w:type="pct"/>
                  <w:noWrap/>
                  <w:vAlign w:val="center"/>
                </w:tcPr>
                <w:p w14:paraId="1757D13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HB-PHG-1</w:t>
                  </w:r>
                </w:p>
              </w:tc>
              <w:tc>
                <w:tcPr>
                  <w:tcW w:w="1048" w:type="pct"/>
                  <w:noWrap/>
                  <w:vAlign w:val="center"/>
                </w:tcPr>
                <w:p w14:paraId="1F00F5F5">
                  <w:pPr>
                    <w:widowControl/>
                    <w:jc w:val="center"/>
                    <w:textAlignment w:val="bottom"/>
                    <w:rPr>
                      <w:color w:val="auto"/>
                      <w:kern w:val="0"/>
                      <w:szCs w:val="21"/>
                      <w:lang w:bidi="ar"/>
                    </w:rPr>
                  </w:pPr>
                  <w:r>
                    <w:rPr>
                      <w:rFonts w:hint="eastAsia"/>
                      <w:color w:val="auto"/>
                      <w:kern w:val="0"/>
                      <w:szCs w:val="21"/>
                      <w:lang w:bidi="ar"/>
                    </w:rPr>
                    <w:t>1台</w:t>
                  </w:r>
                </w:p>
              </w:tc>
            </w:tr>
            <w:tr w14:paraId="6475A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A561503">
                  <w:pPr>
                    <w:widowControl/>
                    <w:jc w:val="center"/>
                    <w:textAlignment w:val="bottom"/>
                    <w:rPr>
                      <w:color w:val="auto"/>
                      <w:kern w:val="0"/>
                      <w:szCs w:val="21"/>
                      <w:lang w:bidi="ar"/>
                    </w:rPr>
                  </w:pPr>
                  <w:r>
                    <w:rPr>
                      <w:rFonts w:hint="eastAsia"/>
                      <w:color w:val="auto"/>
                      <w:kern w:val="0"/>
                      <w:szCs w:val="21"/>
                      <w:lang w:bidi="ar"/>
                    </w:rPr>
                    <w:t>33</w:t>
                  </w:r>
                </w:p>
              </w:tc>
              <w:tc>
                <w:tcPr>
                  <w:tcW w:w="2274" w:type="pct"/>
                  <w:noWrap/>
                  <w:vAlign w:val="center"/>
                </w:tcPr>
                <w:p w14:paraId="4370D6B4">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简易上肢功能评估器</w:t>
                  </w:r>
                </w:p>
              </w:tc>
              <w:tc>
                <w:tcPr>
                  <w:tcW w:w="1166" w:type="pct"/>
                  <w:noWrap/>
                  <w:vAlign w:val="center"/>
                </w:tcPr>
                <w:p w14:paraId="5AE9943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HB-PGQ</w:t>
                  </w:r>
                </w:p>
              </w:tc>
              <w:tc>
                <w:tcPr>
                  <w:tcW w:w="1048" w:type="pct"/>
                  <w:noWrap/>
                  <w:vAlign w:val="center"/>
                </w:tcPr>
                <w:p w14:paraId="4DE850EF">
                  <w:pPr>
                    <w:widowControl/>
                    <w:jc w:val="center"/>
                    <w:textAlignment w:val="bottom"/>
                    <w:rPr>
                      <w:color w:val="auto"/>
                      <w:kern w:val="0"/>
                      <w:szCs w:val="21"/>
                      <w:lang w:bidi="ar"/>
                    </w:rPr>
                  </w:pPr>
                  <w:r>
                    <w:rPr>
                      <w:rFonts w:hint="eastAsia"/>
                      <w:color w:val="auto"/>
                      <w:kern w:val="0"/>
                      <w:szCs w:val="21"/>
                      <w:lang w:bidi="ar"/>
                    </w:rPr>
                    <w:t>1台</w:t>
                  </w:r>
                </w:p>
              </w:tc>
            </w:tr>
            <w:tr w14:paraId="2DDD5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1C0B1DE">
                  <w:pPr>
                    <w:widowControl/>
                    <w:jc w:val="center"/>
                    <w:textAlignment w:val="bottom"/>
                    <w:rPr>
                      <w:color w:val="auto"/>
                      <w:kern w:val="0"/>
                      <w:szCs w:val="21"/>
                      <w:lang w:bidi="ar"/>
                    </w:rPr>
                  </w:pPr>
                  <w:r>
                    <w:rPr>
                      <w:rFonts w:hint="eastAsia"/>
                      <w:color w:val="auto"/>
                      <w:kern w:val="0"/>
                      <w:szCs w:val="21"/>
                      <w:lang w:bidi="ar"/>
                    </w:rPr>
                    <w:t>34</w:t>
                  </w:r>
                </w:p>
              </w:tc>
              <w:tc>
                <w:tcPr>
                  <w:tcW w:w="2274" w:type="pct"/>
                  <w:noWrap/>
                  <w:vAlign w:val="center"/>
                </w:tcPr>
                <w:p w14:paraId="287443A1">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心电监护仪</w:t>
                  </w:r>
                </w:p>
              </w:tc>
              <w:tc>
                <w:tcPr>
                  <w:tcW w:w="1166" w:type="pct"/>
                  <w:noWrap/>
                  <w:vAlign w:val="center"/>
                </w:tcPr>
                <w:p w14:paraId="0F5330E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迈瑞uMEc10</w:t>
                  </w:r>
                </w:p>
              </w:tc>
              <w:tc>
                <w:tcPr>
                  <w:tcW w:w="1048" w:type="pct"/>
                  <w:noWrap/>
                  <w:vAlign w:val="center"/>
                </w:tcPr>
                <w:p w14:paraId="05872D31">
                  <w:pPr>
                    <w:widowControl/>
                    <w:jc w:val="center"/>
                    <w:textAlignment w:val="bottom"/>
                    <w:rPr>
                      <w:color w:val="auto"/>
                      <w:kern w:val="0"/>
                      <w:szCs w:val="21"/>
                      <w:lang w:bidi="ar"/>
                    </w:rPr>
                  </w:pPr>
                  <w:r>
                    <w:rPr>
                      <w:rFonts w:hint="eastAsia"/>
                      <w:color w:val="auto"/>
                      <w:kern w:val="0"/>
                      <w:szCs w:val="21"/>
                      <w:lang w:bidi="ar"/>
                    </w:rPr>
                    <w:t>1台</w:t>
                  </w:r>
                </w:p>
              </w:tc>
            </w:tr>
            <w:tr w14:paraId="7A5B4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E7FCA72">
                  <w:pPr>
                    <w:widowControl/>
                    <w:jc w:val="center"/>
                    <w:textAlignment w:val="bottom"/>
                    <w:rPr>
                      <w:color w:val="auto"/>
                      <w:kern w:val="0"/>
                      <w:szCs w:val="21"/>
                      <w:lang w:bidi="ar"/>
                    </w:rPr>
                  </w:pPr>
                  <w:r>
                    <w:rPr>
                      <w:rFonts w:hint="eastAsia"/>
                      <w:color w:val="auto"/>
                      <w:kern w:val="0"/>
                      <w:szCs w:val="21"/>
                      <w:lang w:bidi="ar"/>
                    </w:rPr>
                    <w:t>35</w:t>
                  </w:r>
                </w:p>
              </w:tc>
              <w:tc>
                <w:tcPr>
                  <w:tcW w:w="2274" w:type="pct"/>
                  <w:noWrap/>
                  <w:vAlign w:val="center"/>
                </w:tcPr>
                <w:p w14:paraId="27863981">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心电监护仪</w:t>
                  </w:r>
                </w:p>
              </w:tc>
              <w:tc>
                <w:tcPr>
                  <w:tcW w:w="1166" w:type="pct"/>
                  <w:noWrap/>
                  <w:vAlign w:val="center"/>
                </w:tcPr>
                <w:p w14:paraId="6358C54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理邦im8B</w:t>
                  </w:r>
                </w:p>
              </w:tc>
              <w:tc>
                <w:tcPr>
                  <w:tcW w:w="1048" w:type="pct"/>
                  <w:noWrap/>
                  <w:vAlign w:val="center"/>
                </w:tcPr>
                <w:p w14:paraId="5F953691">
                  <w:pPr>
                    <w:widowControl/>
                    <w:jc w:val="center"/>
                    <w:textAlignment w:val="bottom"/>
                    <w:rPr>
                      <w:color w:val="auto"/>
                      <w:kern w:val="0"/>
                      <w:szCs w:val="21"/>
                      <w:lang w:bidi="ar"/>
                    </w:rPr>
                  </w:pPr>
                  <w:r>
                    <w:rPr>
                      <w:rFonts w:hint="eastAsia"/>
                      <w:color w:val="auto"/>
                      <w:kern w:val="0"/>
                      <w:szCs w:val="21"/>
                      <w:lang w:bidi="ar"/>
                    </w:rPr>
                    <w:t>1台</w:t>
                  </w:r>
                </w:p>
              </w:tc>
            </w:tr>
            <w:tr w14:paraId="183BC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B231BCC">
                  <w:pPr>
                    <w:widowControl/>
                    <w:jc w:val="center"/>
                    <w:textAlignment w:val="bottom"/>
                    <w:rPr>
                      <w:color w:val="auto"/>
                      <w:kern w:val="0"/>
                      <w:szCs w:val="21"/>
                      <w:lang w:bidi="ar"/>
                    </w:rPr>
                  </w:pPr>
                  <w:r>
                    <w:rPr>
                      <w:rFonts w:hint="eastAsia"/>
                      <w:color w:val="auto"/>
                      <w:kern w:val="0"/>
                      <w:szCs w:val="21"/>
                      <w:lang w:bidi="ar"/>
                    </w:rPr>
                    <w:t>36</w:t>
                  </w:r>
                </w:p>
              </w:tc>
              <w:tc>
                <w:tcPr>
                  <w:tcW w:w="2274" w:type="pct"/>
                  <w:noWrap/>
                  <w:vAlign w:val="center"/>
                </w:tcPr>
                <w:p w14:paraId="2CEE10FD">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心电监护仪</w:t>
                  </w:r>
                </w:p>
              </w:tc>
              <w:tc>
                <w:tcPr>
                  <w:tcW w:w="1166" w:type="pct"/>
                  <w:noWrap/>
                  <w:vAlign w:val="center"/>
                </w:tcPr>
                <w:p w14:paraId="440E965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金科威UT4000Fpro</w:t>
                  </w:r>
                </w:p>
              </w:tc>
              <w:tc>
                <w:tcPr>
                  <w:tcW w:w="1048" w:type="pct"/>
                  <w:noWrap/>
                  <w:vAlign w:val="center"/>
                </w:tcPr>
                <w:p w14:paraId="7EAB99E4">
                  <w:pPr>
                    <w:widowControl/>
                    <w:jc w:val="center"/>
                    <w:textAlignment w:val="bottom"/>
                    <w:rPr>
                      <w:color w:val="auto"/>
                      <w:kern w:val="0"/>
                      <w:szCs w:val="21"/>
                      <w:lang w:bidi="ar"/>
                    </w:rPr>
                  </w:pPr>
                  <w:r>
                    <w:rPr>
                      <w:rFonts w:hint="eastAsia"/>
                      <w:color w:val="auto"/>
                      <w:kern w:val="0"/>
                      <w:szCs w:val="21"/>
                      <w:lang w:bidi="ar"/>
                    </w:rPr>
                    <w:t>1台</w:t>
                  </w:r>
                </w:p>
              </w:tc>
            </w:tr>
            <w:tr w14:paraId="51DF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8931572">
                  <w:pPr>
                    <w:widowControl/>
                    <w:jc w:val="center"/>
                    <w:textAlignment w:val="bottom"/>
                    <w:rPr>
                      <w:color w:val="auto"/>
                      <w:kern w:val="0"/>
                      <w:szCs w:val="21"/>
                      <w:lang w:bidi="ar"/>
                    </w:rPr>
                  </w:pPr>
                  <w:r>
                    <w:rPr>
                      <w:rFonts w:hint="eastAsia"/>
                      <w:color w:val="auto"/>
                      <w:kern w:val="0"/>
                      <w:szCs w:val="21"/>
                      <w:lang w:bidi="ar"/>
                    </w:rPr>
                    <w:t>37</w:t>
                  </w:r>
                </w:p>
              </w:tc>
              <w:tc>
                <w:tcPr>
                  <w:tcW w:w="2274" w:type="pct"/>
                  <w:noWrap/>
                  <w:vAlign w:val="center"/>
                </w:tcPr>
                <w:p w14:paraId="4DAAA05D">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除颤仪</w:t>
                  </w:r>
                </w:p>
              </w:tc>
              <w:tc>
                <w:tcPr>
                  <w:tcW w:w="1166" w:type="pct"/>
                  <w:noWrap/>
                  <w:vAlign w:val="center"/>
                </w:tcPr>
                <w:p w14:paraId="25D6E37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BeneHeartD3 </w:t>
                  </w:r>
                </w:p>
              </w:tc>
              <w:tc>
                <w:tcPr>
                  <w:tcW w:w="1048" w:type="pct"/>
                  <w:noWrap/>
                  <w:vAlign w:val="center"/>
                </w:tcPr>
                <w:p w14:paraId="3FE1BB67">
                  <w:pPr>
                    <w:widowControl/>
                    <w:jc w:val="center"/>
                    <w:textAlignment w:val="bottom"/>
                    <w:rPr>
                      <w:color w:val="auto"/>
                      <w:kern w:val="0"/>
                      <w:szCs w:val="21"/>
                      <w:lang w:bidi="ar"/>
                    </w:rPr>
                  </w:pPr>
                  <w:r>
                    <w:rPr>
                      <w:rFonts w:hint="eastAsia"/>
                      <w:color w:val="auto"/>
                      <w:kern w:val="0"/>
                      <w:szCs w:val="21"/>
                      <w:lang w:bidi="ar"/>
                    </w:rPr>
                    <w:t>1台</w:t>
                  </w:r>
                </w:p>
              </w:tc>
            </w:tr>
            <w:tr w14:paraId="19EAB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A531B18">
                  <w:pPr>
                    <w:widowControl/>
                    <w:jc w:val="center"/>
                    <w:textAlignment w:val="bottom"/>
                    <w:rPr>
                      <w:color w:val="auto"/>
                      <w:kern w:val="0"/>
                      <w:szCs w:val="21"/>
                      <w:lang w:bidi="ar"/>
                    </w:rPr>
                  </w:pPr>
                  <w:r>
                    <w:rPr>
                      <w:rFonts w:hint="eastAsia"/>
                      <w:color w:val="auto"/>
                      <w:kern w:val="0"/>
                      <w:szCs w:val="21"/>
                      <w:lang w:bidi="ar"/>
                    </w:rPr>
                    <w:t>38</w:t>
                  </w:r>
                </w:p>
              </w:tc>
              <w:tc>
                <w:tcPr>
                  <w:tcW w:w="2274" w:type="pct"/>
                  <w:noWrap/>
                  <w:vAlign w:val="center"/>
                </w:tcPr>
                <w:p w14:paraId="61436E10">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除颤仪</w:t>
                  </w:r>
                </w:p>
              </w:tc>
              <w:tc>
                <w:tcPr>
                  <w:tcW w:w="1166" w:type="pct"/>
                  <w:noWrap/>
                  <w:vAlign w:val="center"/>
                </w:tcPr>
                <w:p w14:paraId="72E24FE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迈瑞BeneHeartD1</w:t>
                  </w:r>
                </w:p>
              </w:tc>
              <w:tc>
                <w:tcPr>
                  <w:tcW w:w="1048" w:type="pct"/>
                  <w:noWrap/>
                  <w:vAlign w:val="center"/>
                </w:tcPr>
                <w:p w14:paraId="6F1F2C13">
                  <w:pPr>
                    <w:widowControl/>
                    <w:jc w:val="center"/>
                    <w:textAlignment w:val="bottom"/>
                    <w:rPr>
                      <w:color w:val="auto"/>
                      <w:kern w:val="0"/>
                      <w:szCs w:val="21"/>
                      <w:lang w:bidi="ar"/>
                    </w:rPr>
                  </w:pPr>
                  <w:r>
                    <w:rPr>
                      <w:rFonts w:hint="eastAsia"/>
                      <w:color w:val="auto"/>
                      <w:kern w:val="0"/>
                      <w:szCs w:val="21"/>
                      <w:lang w:bidi="ar"/>
                    </w:rPr>
                    <w:t>1台</w:t>
                  </w:r>
                </w:p>
              </w:tc>
            </w:tr>
            <w:tr w14:paraId="4D9C5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D7D66E7">
                  <w:pPr>
                    <w:widowControl/>
                    <w:jc w:val="center"/>
                    <w:textAlignment w:val="bottom"/>
                    <w:rPr>
                      <w:color w:val="auto"/>
                      <w:kern w:val="0"/>
                      <w:szCs w:val="21"/>
                      <w:lang w:bidi="ar"/>
                    </w:rPr>
                  </w:pPr>
                  <w:r>
                    <w:rPr>
                      <w:rFonts w:hint="eastAsia"/>
                      <w:color w:val="auto"/>
                      <w:kern w:val="0"/>
                      <w:szCs w:val="21"/>
                      <w:lang w:bidi="ar"/>
                    </w:rPr>
                    <w:t>39</w:t>
                  </w:r>
                </w:p>
              </w:tc>
              <w:tc>
                <w:tcPr>
                  <w:tcW w:w="2274" w:type="pct"/>
                  <w:noWrap/>
                  <w:vAlign w:val="center"/>
                </w:tcPr>
                <w:p w14:paraId="2EE1A00F">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便携式吸痰器</w:t>
                  </w:r>
                </w:p>
              </w:tc>
              <w:tc>
                <w:tcPr>
                  <w:tcW w:w="1166" w:type="pct"/>
                  <w:noWrap/>
                  <w:vAlign w:val="center"/>
                </w:tcPr>
                <w:p w14:paraId="20C627C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鱼跃TE-A</w:t>
                  </w:r>
                </w:p>
              </w:tc>
              <w:tc>
                <w:tcPr>
                  <w:tcW w:w="1048" w:type="pct"/>
                  <w:noWrap/>
                  <w:vAlign w:val="center"/>
                </w:tcPr>
                <w:p w14:paraId="6CEFFBD1">
                  <w:pPr>
                    <w:widowControl/>
                    <w:jc w:val="center"/>
                    <w:textAlignment w:val="bottom"/>
                    <w:rPr>
                      <w:color w:val="auto"/>
                      <w:kern w:val="0"/>
                      <w:szCs w:val="21"/>
                      <w:lang w:bidi="ar"/>
                    </w:rPr>
                  </w:pPr>
                  <w:r>
                    <w:rPr>
                      <w:rFonts w:hint="eastAsia"/>
                      <w:color w:val="auto"/>
                      <w:kern w:val="0"/>
                      <w:szCs w:val="21"/>
                      <w:lang w:bidi="ar"/>
                    </w:rPr>
                    <w:t>1台</w:t>
                  </w:r>
                </w:p>
              </w:tc>
            </w:tr>
            <w:tr w14:paraId="229FF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30ADAAD">
                  <w:pPr>
                    <w:widowControl/>
                    <w:jc w:val="center"/>
                    <w:textAlignment w:val="bottom"/>
                    <w:rPr>
                      <w:color w:val="auto"/>
                      <w:kern w:val="0"/>
                      <w:szCs w:val="21"/>
                      <w:lang w:bidi="ar"/>
                    </w:rPr>
                  </w:pPr>
                  <w:r>
                    <w:rPr>
                      <w:rFonts w:hint="eastAsia"/>
                      <w:color w:val="auto"/>
                      <w:kern w:val="0"/>
                      <w:szCs w:val="21"/>
                      <w:lang w:bidi="ar"/>
                    </w:rPr>
                    <w:t>40</w:t>
                  </w:r>
                </w:p>
              </w:tc>
              <w:tc>
                <w:tcPr>
                  <w:tcW w:w="2274" w:type="pct"/>
                  <w:noWrap/>
                  <w:vAlign w:val="center"/>
                </w:tcPr>
                <w:p w14:paraId="5273DDA3">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注射泵</w:t>
                  </w:r>
                </w:p>
              </w:tc>
              <w:tc>
                <w:tcPr>
                  <w:tcW w:w="1166" w:type="pct"/>
                  <w:noWrap/>
                  <w:vAlign w:val="center"/>
                </w:tcPr>
                <w:p w14:paraId="420A984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CTN-W200</w:t>
                  </w:r>
                </w:p>
              </w:tc>
              <w:tc>
                <w:tcPr>
                  <w:tcW w:w="1048" w:type="pct"/>
                  <w:noWrap/>
                  <w:vAlign w:val="center"/>
                </w:tcPr>
                <w:p w14:paraId="2B818389">
                  <w:pPr>
                    <w:widowControl/>
                    <w:jc w:val="center"/>
                    <w:textAlignment w:val="bottom"/>
                    <w:rPr>
                      <w:color w:val="auto"/>
                      <w:kern w:val="0"/>
                      <w:szCs w:val="21"/>
                      <w:lang w:bidi="ar"/>
                    </w:rPr>
                  </w:pPr>
                  <w:r>
                    <w:rPr>
                      <w:rFonts w:hint="eastAsia"/>
                      <w:color w:val="auto"/>
                      <w:kern w:val="0"/>
                      <w:szCs w:val="21"/>
                      <w:lang w:bidi="ar"/>
                    </w:rPr>
                    <w:t>1台</w:t>
                  </w:r>
                </w:p>
              </w:tc>
            </w:tr>
            <w:tr w14:paraId="26E3E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DB26E9C">
                  <w:pPr>
                    <w:widowControl/>
                    <w:jc w:val="center"/>
                    <w:textAlignment w:val="bottom"/>
                    <w:rPr>
                      <w:color w:val="auto"/>
                      <w:kern w:val="0"/>
                      <w:szCs w:val="21"/>
                      <w:lang w:bidi="ar"/>
                    </w:rPr>
                  </w:pPr>
                  <w:r>
                    <w:rPr>
                      <w:rFonts w:hint="eastAsia"/>
                      <w:color w:val="auto"/>
                      <w:kern w:val="0"/>
                      <w:szCs w:val="21"/>
                      <w:lang w:bidi="ar"/>
                    </w:rPr>
                    <w:t>41</w:t>
                  </w:r>
                </w:p>
              </w:tc>
              <w:tc>
                <w:tcPr>
                  <w:tcW w:w="2274" w:type="pct"/>
                  <w:noWrap/>
                  <w:vAlign w:val="center"/>
                </w:tcPr>
                <w:p w14:paraId="714A44F7">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肺功能仪</w:t>
                  </w:r>
                </w:p>
              </w:tc>
              <w:tc>
                <w:tcPr>
                  <w:tcW w:w="1166" w:type="pct"/>
                  <w:noWrap/>
                  <w:vAlign w:val="center"/>
                </w:tcPr>
                <w:p w14:paraId="49449FF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LA102</w:t>
                  </w:r>
                </w:p>
              </w:tc>
              <w:tc>
                <w:tcPr>
                  <w:tcW w:w="1048" w:type="pct"/>
                  <w:noWrap/>
                  <w:vAlign w:val="center"/>
                </w:tcPr>
                <w:p w14:paraId="68B946F4">
                  <w:pPr>
                    <w:widowControl/>
                    <w:jc w:val="center"/>
                    <w:textAlignment w:val="bottom"/>
                    <w:rPr>
                      <w:color w:val="auto"/>
                      <w:kern w:val="0"/>
                      <w:szCs w:val="21"/>
                      <w:lang w:bidi="ar"/>
                    </w:rPr>
                  </w:pPr>
                  <w:r>
                    <w:rPr>
                      <w:rFonts w:hint="eastAsia"/>
                      <w:color w:val="auto"/>
                      <w:kern w:val="0"/>
                      <w:szCs w:val="21"/>
                      <w:lang w:bidi="ar"/>
                    </w:rPr>
                    <w:t>1台</w:t>
                  </w:r>
                </w:p>
              </w:tc>
            </w:tr>
            <w:tr w14:paraId="77529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116B447">
                  <w:pPr>
                    <w:widowControl/>
                    <w:jc w:val="center"/>
                    <w:textAlignment w:val="bottom"/>
                    <w:rPr>
                      <w:color w:val="auto"/>
                      <w:kern w:val="0"/>
                      <w:szCs w:val="21"/>
                      <w:lang w:bidi="ar"/>
                    </w:rPr>
                  </w:pPr>
                  <w:r>
                    <w:rPr>
                      <w:rFonts w:hint="eastAsia"/>
                      <w:color w:val="auto"/>
                      <w:kern w:val="0"/>
                      <w:szCs w:val="21"/>
                      <w:lang w:bidi="ar"/>
                    </w:rPr>
                    <w:t>42</w:t>
                  </w:r>
                </w:p>
              </w:tc>
              <w:tc>
                <w:tcPr>
                  <w:tcW w:w="2274" w:type="pct"/>
                  <w:noWrap/>
                  <w:vAlign w:val="center"/>
                </w:tcPr>
                <w:p w14:paraId="2F0EBBF2">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肌钙蛋白仪</w:t>
                  </w:r>
                </w:p>
              </w:tc>
              <w:tc>
                <w:tcPr>
                  <w:tcW w:w="1166" w:type="pct"/>
                  <w:noWrap/>
                  <w:vAlign w:val="center"/>
                </w:tcPr>
                <w:p w14:paraId="634CF69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FS-205</w:t>
                  </w:r>
                </w:p>
              </w:tc>
              <w:tc>
                <w:tcPr>
                  <w:tcW w:w="1048" w:type="pct"/>
                  <w:noWrap/>
                  <w:vAlign w:val="center"/>
                </w:tcPr>
                <w:p w14:paraId="1A9C4011">
                  <w:pPr>
                    <w:widowControl/>
                    <w:jc w:val="center"/>
                    <w:textAlignment w:val="bottom"/>
                    <w:rPr>
                      <w:color w:val="auto"/>
                      <w:kern w:val="0"/>
                      <w:szCs w:val="21"/>
                      <w:lang w:bidi="ar"/>
                    </w:rPr>
                  </w:pPr>
                  <w:r>
                    <w:rPr>
                      <w:rFonts w:hint="eastAsia"/>
                      <w:color w:val="auto"/>
                      <w:kern w:val="0"/>
                      <w:szCs w:val="21"/>
                      <w:lang w:bidi="ar"/>
                    </w:rPr>
                    <w:t>1台</w:t>
                  </w:r>
                </w:p>
              </w:tc>
            </w:tr>
            <w:tr w14:paraId="4591D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77B875A">
                  <w:pPr>
                    <w:widowControl/>
                    <w:jc w:val="center"/>
                    <w:textAlignment w:val="bottom"/>
                    <w:rPr>
                      <w:color w:val="auto"/>
                      <w:kern w:val="0"/>
                      <w:szCs w:val="21"/>
                      <w:lang w:bidi="ar"/>
                    </w:rPr>
                  </w:pPr>
                  <w:r>
                    <w:rPr>
                      <w:rFonts w:hint="eastAsia"/>
                      <w:color w:val="auto"/>
                      <w:kern w:val="0"/>
                      <w:szCs w:val="21"/>
                      <w:lang w:bidi="ar"/>
                    </w:rPr>
                    <w:t>43</w:t>
                  </w:r>
                </w:p>
              </w:tc>
              <w:tc>
                <w:tcPr>
                  <w:tcW w:w="2274" w:type="pct"/>
                  <w:noWrap/>
                  <w:vAlign w:val="center"/>
                </w:tcPr>
                <w:p w14:paraId="19045A0B">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全自动洗胃机</w:t>
                  </w:r>
                </w:p>
              </w:tc>
              <w:tc>
                <w:tcPr>
                  <w:tcW w:w="1166" w:type="pct"/>
                  <w:noWrap/>
                  <w:vAlign w:val="center"/>
                </w:tcPr>
                <w:p w14:paraId="56FF235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SC-IA</w:t>
                  </w:r>
                </w:p>
              </w:tc>
              <w:tc>
                <w:tcPr>
                  <w:tcW w:w="1048" w:type="pct"/>
                  <w:noWrap/>
                  <w:vAlign w:val="center"/>
                </w:tcPr>
                <w:p w14:paraId="14FCE960">
                  <w:pPr>
                    <w:widowControl/>
                    <w:jc w:val="center"/>
                    <w:textAlignment w:val="bottom"/>
                    <w:rPr>
                      <w:color w:val="auto"/>
                      <w:kern w:val="0"/>
                      <w:szCs w:val="21"/>
                      <w:lang w:bidi="ar"/>
                    </w:rPr>
                  </w:pPr>
                  <w:r>
                    <w:rPr>
                      <w:rFonts w:hint="eastAsia"/>
                      <w:color w:val="auto"/>
                      <w:kern w:val="0"/>
                      <w:szCs w:val="21"/>
                      <w:lang w:bidi="ar"/>
                    </w:rPr>
                    <w:t>1台</w:t>
                  </w:r>
                </w:p>
              </w:tc>
            </w:tr>
            <w:tr w14:paraId="576EE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6F1EDA6">
                  <w:pPr>
                    <w:widowControl/>
                    <w:jc w:val="center"/>
                    <w:textAlignment w:val="bottom"/>
                    <w:rPr>
                      <w:color w:val="auto"/>
                      <w:kern w:val="0"/>
                      <w:szCs w:val="21"/>
                      <w:lang w:bidi="ar"/>
                    </w:rPr>
                  </w:pPr>
                  <w:r>
                    <w:rPr>
                      <w:rFonts w:hint="eastAsia"/>
                      <w:color w:val="auto"/>
                      <w:kern w:val="0"/>
                      <w:szCs w:val="21"/>
                      <w:lang w:bidi="ar"/>
                    </w:rPr>
                    <w:t>44</w:t>
                  </w:r>
                </w:p>
              </w:tc>
              <w:tc>
                <w:tcPr>
                  <w:tcW w:w="2274" w:type="pct"/>
                  <w:noWrap/>
                  <w:vAlign w:val="center"/>
                </w:tcPr>
                <w:p w14:paraId="0A36BA32">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转运呼吸机</w:t>
                  </w:r>
                </w:p>
              </w:tc>
              <w:tc>
                <w:tcPr>
                  <w:tcW w:w="1166" w:type="pct"/>
                  <w:noWrap/>
                  <w:vAlign w:val="center"/>
                </w:tcPr>
                <w:p w14:paraId="7091CF2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Shangrila 510s</w:t>
                  </w:r>
                </w:p>
              </w:tc>
              <w:tc>
                <w:tcPr>
                  <w:tcW w:w="1048" w:type="pct"/>
                  <w:noWrap/>
                  <w:vAlign w:val="center"/>
                </w:tcPr>
                <w:p w14:paraId="24C5E856">
                  <w:pPr>
                    <w:widowControl/>
                    <w:jc w:val="center"/>
                    <w:textAlignment w:val="bottom"/>
                    <w:rPr>
                      <w:color w:val="auto"/>
                      <w:kern w:val="0"/>
                      <w:szCs w:val="21"/>
                      <w:lang w:bidi="ar"/>
                    </w:rPr>
                  </w:pPr>
                  <w:r>
                    <w:rPr>
                      <w:rFonts w:hint="eastAsia"/>
                      <w:color w:val="auto"/>
                      <w:kern w:val="0"/>
                      <w:szCs w:val="21"/>
                      <w:lang w:bidi="ar"/>
                    </w:rPr>
                    <w:t>1台</w:t>
                  </w:r>
                </w:p>
              </w:tc>
            </w:tr>
            <w:tr w14:paraId="4EB2D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5F26D07">
                  <w:pPr>
                    <w:widowControl/>
                    <w:jc w:val="center"/>
                    <w:textAlignment w:val="bottom"/>
                    <w:rPr>
                      <w:color w:val="auto"/>
                      <w:kern w:val="0"/>
                      <w:szCs w:val="21"/>
                      <w:lang w:bidi="ar"/>
                    </w:rPr>
                  </w:pPr>
                  <w:r>
                    <w:rPr>
                      <w:rFonts w:hint="eastAsia"/>
                      <w:color w:val="auto"/>
                      <w:kern w:val="0"/>
                      <w:szCs w:val="21"/>
                      <w:lang w:bidi="ar"/>
                    </w:rPr>
                    <w:t>45</w:t>
                  </w:r>
                </w:p>
              </w:tc>
              <w:tc>
                <w:tcPr>
                  <w:tcW w:w="2274" w:type="pct"/>
                  <w:noWrap/>
                  <w:vAlign w:val="center"/>
                </w:tcPr>
                <w:p w14:paraId="504D926A">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制氧机</w:t>
                  </w:r>
                </w:p>
              </w:tc>
              <w:tc>
                <w:tcPr>
                  <w:tcW w:w="1166" w:type="pct"/>
                  <w:noWrap/>
                  <w:vAlign w:val="center"/>
                </w:tcPr>
                <w:p w14:paraId="4AF6C36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EverFIo</w:t>
                  </w:r>
                </w:p>
              </w:tc>
              <w:tc>
                <w:tcPr>
                  <w:tcW w:w="1048" w:type="pct"/>
                  <w:noWrap/>
                  <w:vAlign w:val="center"/>
                </w:tcPr>
                <w:p w14:paraId="77B3FB0B">
                  <w:pPr>
                    <w:widowControl/>
                    <w:jc w:val="center"/>
                    <w:textAlignment w:val="bottom"/>
                    <w:rPr>
                      <w:color w:val="auto"/>
                      <w:kern w:val="0"/>
                      <w:szCs w:val="21"/>
                      <w:lang w:bidi="ar"/>
                    </w:rPr>
                  </w:pPr>
                  <w:r>
                    <w:rPr>
                      <w:rFonts w:hint="eastAsia"/>
                      <w:color w:val="auto"/>
                      <w:kern w:val="0"/>
                      <w:szCs w:val="21"/>
                      <w:lang w:bidi="ar"/>
                    </w:rPr>
                    <w:t>1台</w:t>
                  </w:r>
                </w:p>
              </w:tc>
            </w:tr>
            <w:tr w14:paraId="32C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EAF6B95">
                  <w:pPr>
                    <w:widowControl/>
                    <w:jc w:val="center"/>
                    <w:textAlignment w:val="bottom"/>
                    <w:rPr>
                      <w:color w:val="auto"/>
                      <w:kern w:val="0"/>
                      <w:szCs w:val="21"/>
                      <w:lang w:bidi="ar"/>
                    </w:rPr>
                  </w:pPr>
                  <w:r>
                    <w:rPr>
                      <w:rFonts w:hint="eastAsia"/>
                      <w:color w:val="auto"/>
                      <w:kern w:val="0"/>
                      <w:szCs w:val="21"/>
                      <w:lang w:bidi="ar"/>
                    </w:rPr>
                    <w:t>46</w:t>
                  </w:r>
                </w:p>
              </w:tc>
              <w:tc>
                <w:tcPr>
                  <w:tcW w:w="2274" w:type="pct"/>
                  <w:noWrap/>
                  <w:vAlign w:val="center"/>
                </w:tcPr>
                <w:p w14:paraId="6ABEFCB5">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隔离舱</w:t>
                  </w:r>
                </w:p>
              </w:tc>
              <w:tc>
                <w:tcPr>
                  <w:tcW w:w="1166" w:type="pct"/>
                  <w:noWrap/>
                  <w:vAlign w:val="center"/>
                </w:tcPr>
                <w:p w14:paraId="3BF193D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NP-320</w:t>
                  </w:r>
                </w:p>
              </w:tc>
              <w:tc>
                <w:tcPr>
                  <w:tcW w:w="1048" w:type="pct"/>
                  <w:noWrap/>
                  <w:vAlign w:val="center"/>
                </w:tcPr>
                <w:p w14:paraId="3DC11152">
                  <w:pPr>
                    <w:widowControl/>
                    <w:jc w:val="center"/>
                    <w:textAlignment w:val="bottom"/>
                    <w:rPr>
                      <w:color w:val="auto"/>
                      <w:kern w:val="0"/>
                      <w:szCs w:val="21"/>
                      <w:lang w:bidi="ar"/>
                    </w:rPr>
                  </w:pPr>
                  <w:r>
                    <w:rPr>
                      <w:rFonts w:hint="eastAsia"/>
                      <w:color w:val="auto"/>
                      <w:kern w:val="0"/>
                      <w:szCs w:val="21"/>
                      <w:lang w:bidi="ar"/>
                    </w:rPr>
                    <w:t>1台</w:t>
                  </w:r>
                </w:p>
              </w:tc>
            </w:tr>
            <w:tr w14:paraId="269C6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12F1E18">
                  <w:pPr>
                    <w:widowControl/>
                    <w:jc w:val="center"/>
                    <w:textAlignment w:val="bottom"/>
                    <w:rPr>
                      <w:color w:val="auto"/>
                      <w:kern w:val="0"/>
                      <w:szCs w:val="21"/>
                      <w:lang w:bidi="ar"/>
                    </w:rPr>
                  </w:pPr>
                  <w:r>
                    <w:rPr>
                      <w:rFonts w:hint="eastAsia"/>
                      <w:color w:val="auto"/>
                      <w:kern w:val="0"/>
                      <w:szCs w:val="21"/>
                      <w:lang w:bidi="ar"/>
                    </w:rPr>
                    <w:t>47</w:t>
                  </w:r>
                </w:p>
              </w:tc>
              <w:tc>
                <w:tcPr>
                  <w:tcW w:w="2274" w:type="pct"/>
                  <w:noWrap/>
                  <w:vAlign w:val="center"/>
                </w:tcPr>
                <w:p w14:paraId="67A25FE6">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人脸识别测温一体机</w:t>
                  </w:r>
                </w:p>
              </w:tc>
              <w:tc>
                <w:tcPr>
                  <w:tcW w:w="1166" w:type="pct"/>
                  <w:noWrap/>
                  <w:vAlign w:val="center"/>
                </w:tcPr>
                <w:p w14:paraId="5B45EAF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RL-GP</w:t>
                  </w:r>
                </w:p>
              </w:tc>
              <w:tc>
                <w:tcPr>
                  <w:tcW w:w="1048" w:type="pct"/>
                  <w:noWrap/>
                  <w:vAlign w:val="center"/>
                </w:tcPr>
                <w:p w14:paraId="24533170">
                  <w:pPr>
                    <w:widowControl/>
                    <w:jc w:val="center"/>
                    <w:textAlignment w:val="bottom"/>
                    <w:rPr>
                      <w:color w:val="auto"/>
                      <w:kern w:val="0"/>
                      <w:szCs w:val="21"/>
                      <w:lang w:bidi="ar"/>
                    </w:rPr>
                  </w:pPr>
                  <w:r>
                    <w:rPr>
                      <w:rFonts w:hint="eastAsia"/>
                      <w:color w:val="auto"/>
                      <w:kern w:val="0"/>
                      <w:szCs w:val="21"/>
                      <w:lang w:bidi="ar"/>
                    </w:rPr>
                    <w:t>1台</w:t>
                  </w:r>
                </w:p>
              </w:tc>
            </w:tr>
            <w:tr w14:paraId="04241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872969B">
                  <w:pPr>
                    <w:widowControl/>
                    <w:jc w:val="center"/>
                    <w:textAlignment w:val="bottom"/>
                    <w:rPr>
                      <w:color w:val="auto"/>
                      <w:kern w:val="0"/>
                      <w:szCs w:val="21"/>
                      <w:lang w:bidi="ar"/>
                    </w:rPr>
                  </w:pPr>
                  <w:r>
                    <w:rPr>
                      <w:rFonts w:hint="eastAsia"/>
                      <w:color w:val="auto"/>
                      <w:kern w:val="0"/>
                      <w:szCs w:val="21"/>
                      <w:lang w:bidi="ar"/>
                    </w:rPr>
                    <w:t>48</w:t>
                  </w:r>
                </w:p>
              </w:tc>
              <w:tc>
                <w:tcPr>
                  <w:tcW w:w="2274" w:type="pct"/>
                  <w:noWrap/>
                  <w:vAlign w:val="center"/>
                </w:tcPr>
                <w:p w14:paraId="3F089239">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麻醉治疗车</w:t>
                  </w:r>
                </w:p>
              </w:tc>
              <w:tc>
                <w:tcPr>
                  <w:tcW w:w="1166" w:type="pct"/>
                  <w:noWrap/>
                  <w:vAlign w:val="center"/>
                </w:tcPr>
                <w:p w14:paraId="46DE6D5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MZ101</w:t>
                  </w:r>
                </w:p>
              </w:tc>
              <w:tc>
                <w:tcPr>
                  <w:tcW w:w="1048" w:type="pct"/>
                  <w:noWrap/>
                  <w:vAlign w:val="center"/>
                </w:tcPr>
                <w:p w14:paraId="5E15C499">
                  <w:pPr>
                    <w:widowControl/>
                    <w:jc w:val="center"/>
                    <w:textAlignment w:val="bottom"/>
                    <w:rPr>
                      <w:color w:val="auto"/>
                      <w:kern w:val="0"/>
                      <w:szCs w:val="21"/>
                      <w:lang w:bidi="ar"/>
                    </w:rPr>
                  </w:pPr>
                  <w:r>
                    <w:rPr>
                      <w:rFonts w:hint="eastAsia"/>
                      <w:color w:val="auto"/>
                      <w:kern w:val="0"/>
                      <w:szCs w:val="21"/>
                      <w:lang w:bidi="ar"/>
                    </w:rPr>
                    <w:t>1台</w:t>
                  </w:r>
                </w:p>
              </w:tc>
            </w:tr>
            <w:tr w14:paraId="3D980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781C116">
                  <w:pPr>
                    <w:widowControl/>
                    <w:jc w:val="center"/>
                    <w:textAlignment w:val="bottom"/>
                    <w:rPr>
                      <w:color w:val="auto"/>
                      <w:kern w:val="0"/>
                      <w:szCs w:val="21"/>
                      <w:lang w:bidi="ar"/>
                    </w:rPr>
                  </w:pPr>
                  <w:r>
                    <w:rPr>
                      <w:rFonts w:hint="eastAsia"/>
                      <w:color w:val="auto"/>
                      <w:kern w:val="0"/>
                      <w:szCs w:val="21"/>
                      <w:lang w:bidi="ar"/>
                    </w:rPr>
                    <w:t>49</w:t>
                  </w:r>
                </w:p>
              </w:tc>
              <w:tc>
                <w:tcPr>
                  <w:tcW w:w="2274" w:type="pct"/>
                  <w:noWrap/>
                  <w:vAlign w:val="center"/>
                </w:tcPr>
                <w:p w14:paraId="47D96D17">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注射泵</w:t>
                  </w:r>
                </w:p>
              </w:tc>
              <w:tc>
                <w:tcPr>
                  <w:tcW w:w="1166" w:type="pct"/>
                  <w:noWrap/>
                  <w:vAlign w:val="center"/>
                </w:tcPr>
                <w:p w14:paraId="7B3AEE2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m260A</w:t>
                  </w:r>
                </w:p>
              </w:tc>
              <w:tc>
                <w:tcPr>
                  <w:tcW w:w="1048" w:type="pct"/>
                  <w:noWrap/>
                  <w:vAlign w:val="center"/>
                </w:tcPr>
                <w:p w14:paraId="1ED07152">
                  <w:pPr>
                    <w:widowControl/>
                    <w:jc w:val="center"/>
                    <w:textAlignment w:val="bottom"/>
                    <w:rPr>
                      <w:color w:val="auto"/>
                      <w:kern w:val="0"/>
                      <w:szCs w:val="21"/>
                      <w:lang w:bidi="ar"/>
                    </w:rPr>
                  </w:pPr>
                  <w:r>
                    <w:rPr>
                      <w:rFonts w:hint="eastAsia"/>
                      <w:color w:val="auto"/>
                      <w:kern w:val="0"/>
                      <w:szCs w:val="21"/>
                      <w:lang w:bidi="ar"/>
                    </w:rPr>
                    <w:t>1台</w:t>
                  </w:r>
                </w:p>
              </w:tc>
            </w:tr>
            <w:tr w14:paraId="7DA4F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D641DA7">
                  <w:pPr>
                    <w:widowControl/>
                    <w:jc w:val="center"/>
                    <w:textAlignment w:val="bottom"/>
                    <w:rPr>
                      <w:color w:val="auto"/>
                      <w:kern w:val="0"/>
                      <w:szCs w:val="21"/>
                      <w:lang w:bidi="ar"/>
                    </w:rPr>
                  </w:pPr>
                  <w:r>
                    <w:rPr>
                      <w:rFonts w:hint="eastAsia"/>
                      <w:color w:val="auto"/>
                      <w:kern w:val="0"/>
                      <w:szCs w:val="21"/>
                      <w:lang w:bidi="ar"/>
                    </w:rPr>
                    <w:t>50</w:t>
                  </w:r>
                </w:p>
              </w:tc>
              <w:tc>
                <w:tcPr>
                  <w:tcW w:w="2274" w:type="pct"/>
                  <w:noWrap/>
                  <w:vAlign w:val="center"/>
                </w:tcPr>
                <w:p w14:paraId="54D25294">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手术无影灯</w:t>
                  </w:r>
                </w:p>
              </w:tc>
              <w:tc>
                <w:tcPr>
                  <w:tcW w:w="1166" w:type="pct"/>
                  <w:noWrap/>
                  <w:vAlign w:val="center"/>
                </w:tcPr>
                <w:p w14:paraId="23B6D97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MXLED500L</w:t>
                  </w:r>
                </w:p>
              </w:tc>
              <w:tc>
                <w:tcPr>
                  <w:tcW w:w="1048" w:type="pct"/>
                  <w:noWrap/>
                  <w:vAlign w:val="center"/>
                </w:tcPr>
                <w:p w14:paraId="38C1CB67">
                  <w:pPr>
                    <w:widowControl/>
                    <w:jc w:val="center"/>
                    <w:textAlignment w:val="bottom"/>
                    <w:rPr>
                      <w:color w:val="auto"/>
                      <w:kern w:val="0"/>
                      <w:szCs w:val="21"/>
                      <w:lang w:bidi="ar"/>
                    </w:rPr>
                  </w:pPr>
                  <w:r>
                    <w:rPr>
                      <w:rFonts w:hint="eastAsia"/>
                      <w:color w:val="auto"/>
                      <w:kern w:val="0"/>
                      <w:szCs w:val="21"/>
                      <w:lang w:bidi="ar"/>
                    </w:rPr>
                    <w:t>1台</w:t>
                  </w:r>
                </w:p>
              </w:tc>
            </w:tr>
            <w:tr w14:paraId="1FD87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D8E50EB">
                  <w:pPr>
                    <w:widowControl/>
                    <w:jc w:val="center"/>
                    <w:textAlignment w:val="bottom"/>
                    <w:rPr>
                      <w:color w:val="auto"/>
                      <w:kern w:val="0"/>
                      <w:szCs w:val="21"/>
                      <w:lang w:bidi="ar"/>
                    </w:rPr>
                  </w:pPr>
                  <w:r>
                    <w:rPr>
                      <w:rFonts w:hint="eastAsia"/>
                      <w:color w:val="auto"/>
                      <w:kern w:val="0"/>
                      <w:szCs w:val="21"/>
                      <w:lang w:bidi="ar"/>
                    </w:rPr>
                    <w:t>51</w:t>
                  </w:r>
                </w:p>
              </w:tc>
              <w:tc>
                <w:tcPr>
                  <w:tcW w:w="2274" w:type="pct"/>
                  <w:noWrap/>
                  <w:vAlign w:val="center"/>
                </w:tcPr>
                <w:p w14:paraId="17C3211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留观机</w:t>
                  </w:r>
                </w:p>
              </w:tc>
              <w:tc>
                <w:tcPr>
                  <w:tcW w:w="1166" w:type="pct"/>
                  <w:noWrap/>
                  <w:vAlign w:val="center"/>
                </w:tcPr>
                <w:p w14:paraId="33D8268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JWX-86</w:t>
                  </w:r>
                </w:p>
              </w:tc>
              <w:tc>
                <w:tcPr>
                  <w:tcW w:w="1048" w:type="pct"/>
                  <w:noWrap/>
                  <w:vAlign w:val="center"/>
                </w:tcPr>
                <w:p w14:paraId="064BAA7F">
                  <w:pPr>
                    <w:widowControl/>
                    <w:jc w:val="center"/>
                    <w:textAlignment w:val="bottom"/>
                    <w:rPr>
                      <w:color w:val="auto"/>
                      <w:kern w:val="0"/>
                      <w:szCs w:val="21"/>
                      <w:lang w:bidi="ar"/>
                    </w:rPr>
                  </w:pPr>
                  <w:r>
                    <w:rPr>
                      <w:rFonts w:hint="eastAsia"/>
                      <w:color w:val="auto"/>
                      <w:kern w:val="0"/>
                      <w:szCs w:val="21"/>
                      <w:lang w:bidi="ar"/>
                    </w:rPr>
                    <w:t>1台</w:t>
                  </w:r>
                </w:p>
              </w:tc>
            </w:tr>
            <w:tr w14:paraId="68D46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D7D770C">
                  <w:pPr>
                    <w:widowControl/>
                    <w:jc w:val="center"/>
                    <w:textAlignment w:val="bottom"/>
                    <w:rPr>
                      <w:color w:val="auto"/>
                      <w:kern w:val="0"/>
                      <w:szCs w:val="21"/>
                      <w:lang w:bidi="ar"/>
                    </w:rPr>
                  </w:pPr>
                  <w:r>
                    <w:rPr>
                      <w:rFonts w:hint="eastAsia"/>
                      <w:color w:val="auto"/>
                      <w:kern w:val="0"/>
                      <w:szCs w:val="21"/>
                      <w:lang w:bidi="ar"/>
                    </w:rPr>
                    <w:t>52</w:t>
                  </w:r>
                </w:p>
              </w:tc>
              <w:tc>
                <w:tcPr>
                  <w:tcW w:w="2274" w:type="pct"/>
                  <w:noWrap/>
                  <w:vAlign w:val="center"/>
                </w:tcPr>
                <w:p w14:paraId="614CD62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取号机</w:t>
                  </w:r>
                </w:p>
              </w:tc>
              <w:tc>
                <w:tcPr>
                  <w:tcW w:w="1166" w:type="pct"/>
                  <w:noWrap/>
                  <w:vAlign w:val="center"/>
                </w:tcPr>
                <w:p w14:paraId="5BC1A63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JWX-99</w:t>
                  </w:r>
                </w:p>
              </w:tc>
              <w:tc>
                <w:tcPr>
                  <w:tcW w:w="1048" w:type="pct"/>
                  <w:noWrap/>
                  <w:vAlign w:val="center"/>
                </w:tcPr>
                <w:p w14:paraId="2F1236FE">
                  <w:pPr>
                    <w:widowControl/>
                    <w:jc w:val="center"/>
                    <w:textAlignment w:val="bottom"/>
                    <w:rPr>
                      <w:color w:val="auto"/>
                      <w:kern w:val="0"/>
                      <w:szCs w:val="21"/>
                      <w:lang w:bidi="ar"/>
                    </w:rPr>
                  </w:pPr>
                  <w:r>
                    <w:rPr>
                      <w:rFonts w:hint="eastAsia"/>
                      <w:color w:val="auto"/>
                      <w:kern w:val="0"/>
                      <w:szCs w:val="21"/>
                      <w:lang w:bidi="ar"/>
                    </w:rPr>
                    <w:t>1台</w:t>
                  </w:r>
                </w:p>
              </w:tc>
            </w:tr>
            <w:tr w14:paraId="77CA7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8380318">
                  <w:pPr>
                    <w:widowControl/>
                    <w:jc w:val="center"/>
                    <w:textAlignment w:val="bottom"/>
                    <w:rPr>
                      <w:color w:val="auto"/>
                      <w:kern w:val="0"/>
                      <w:szCs w:val="21"/>
                      <w:lang w:bidi="ar"/>
                    </w:rPr>
                  </w:pPr>
                  <w:r>
                    <w:rPr>
                      <w:rFonts w:hint="eastAsia"/>
                      <w:color w:val="auto"/>
                      <w:kern w:val="0"/>
                      <w:szCs w:val="21"/>
                      <w:lang w:bidi="ar"/>
                    </w:rPr>
                    <w:t>53</w:t>
                  </w:r>
                </w:p>
              </w:tc>
              <w:tc>
                <w:tcPr>
                  <w:tcW w:w="2274" w:type="pct"/>
                  <w:noWrap/>
                  <w:vAlign w:val="center"/>
                </w:tcPr>
                <w:p w14:paraId="57DB79F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温湿度监控智能数据网关</w:t>
                  </w:r>
                </w:p>
              </w:tc>
              <w:tc>
                <w:tcPr>
                  <w:tcW w:w="1166" w:type="pct"/>
                  <w:noWrap/>
                  <w:vAlign w:val="center"/>
                </w:tcPr>
                <w:p w14:paraId="19E31F8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VT601</w:t>
                  </w:r>
                </w:p>
              </w:tc>
              <w:tc>
                <w:tcPr>
                  <w:tcW w:w="1048" w:type="pct"/>
                  <w:noWrap/>
                  <w:vAlign w:val="center"/>
                </w:tcPr>
                <w:p w14:paraId="393D17E5">
                  <w:pPr>
                    <w:widowControl/>
                    <w:jc w:val="center"/>
                    <w:textAlignment w:val="bottom"/>
                    <w:rPr>
                      <w:color w:val="auto"/>
                      <w:kern w:val="0"/>
                      <w:szCs w:val="21"/>
                      <w:lang w:bidi="ar"/>
                    </w:rPr>
                  </w:pPr>
                  <w:r>
                    <w:rPr>
                      <w:rFonts w:hint="eastAsia"/>
                      <w:color w:val="auto"/>
                      <w:kern w:val="0"/>
                      <w:szCs w:val="21"/>
                      <w:lang w:bidi="ar"/>
                    </w:rPr>
                    <w:t>1台</w:t>
                  </w:r>
                </w:p>
              </w:tc>
            </w:tr>
            <w:tr w14:paraId="46B58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D9928B2">
                  <w:pPr>
                    <w:widowControl/>
                    <w:jc w:val="center"/>
                    <w:textAlignment w:val="bottom"/>
                    <w:rPr>
                      <w:color w:val="auto"/>
                      <w:kern w:val="0"/>
                      <w:szCs w:val="21"/>
                      <w:lang w:bidi="ar"/>
                    </w:rPr>
                  </w:pPr>
                  <w:r>
                    <w:rPr>
                      <w:rFonts w:hint="eastAsia"/>
                      <w:color w:val="auto"/>
                      <w:kern w:val="0"/>
                      <w:szCs w:val="21"/>
                      <w:lang w:bidi="ar"/>
                    </w:rPr>
                    <w:t>54</w:t>
                  </w:r>
                </w:p>
              </w:tc>
              <w:tc>
                <w:tcPr>
                  <w:tcW w:w="2274" w:type="pct"/>
                  <w:noWrap/>
                  <w:vAlign w:val="center"/>
                </w:tcPr>
                <w:p w14:paraId="67BAF5E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疫苗出入库专用PDA</w:t>
                  </w:r>
                </w:p>
              </w:tc>
              <w:tc>
                <w:tcPr>
                  <w:tcW w:w="1166" w:type="pct"/>
                  <w:noWrap/>
                  <w:vAlign w:val="center"/>
                </w:tcPr>
                <w:p w14:paraId="0A7966F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CPB02</w:t>
                  </w:r>
                </w:p>
              </w:tc>
              <w:tc>
                <w:tcPr>
                  <w:tcW w:w="1048" w:type="pct"/>
                  <w:noWrap/>
                  <w:vAlign w:val="center"/>
                </w:tcPr>
                <w:p w14:paraId="6E6F8105">
                  <w:pPr>
                    <w:widowControl/>
                    <w:jc w:val="center"/>
                    <w:textAlignment w:val="bottom"/>
                    <w:rPr>
                      <w:color w:val="auto"/>
                      <w:kern w:val="0"/>
                      <w:szCs w:val="21"/>
                      <w:lang w:bidi="ar"/>
                    </w:rPr>
                  </w:pPr>
                  <w:r>
                    <w:rPr>
                      <w:rFonts w:hint="eastAsia"/>
                      <w:color w:val="auto"/>
                      <w:kern w:val="0"/>
                      <w:szCs w:val="21"/>
                      <w:lang w:bidi="ar"/>
                    </w:rPr>
                    <w:t>1台</w:t>
                  </w:r>
                </w:p>
              </w:tc>
            </w:tr>
          </w:tbl>
          <w:p w14:paraId="3D6D1BFC">
            <w:pPr>
              <w:spacing w:before="120" w:beforeLines="50" w:line="360" w:lineRule="auto"/>
              <w:outlineLvl w:val="1"/>
              <w:rPr>
                <w:b/>
                <w:color w:val="auto"/>
                <w:sz w:val="24"/>
              </w:rPr>
            </w:pPr>
            <w:r>
              <w:rPr>
                <w:rFonts w:hint="eastAsia"/>
                <w:b/>
                <w:color w:val="auto"/>
                <w:sz w:val="24"/>
              </w:rPr>
              <w:t>4</w:t>
            </w:r>
            <w:r>
              <w:rPr>
                <w:b/>
                <w:color w:val="auto"/>
                <w:sz w:val="24"/>
              </w:rPr>
              <w:t>、原辅材料用量及来源</w:t>
            </w:r>
          </w:p>
          <w:p w14:paraId="1DD7651F">
            <w:pPr>
              <w:pStyle w:val="8"/>
              <w:adjustRightInd w:val="0"/>
              <w:spacing w:line="360" w:lineRule="auto"/>
              <w:ind w:firstLine="480"/>
              <w:rPr>
                <w:color w:val="auto"/>
                <w:szCs w:val="24"/>
              </w:rPr>
            </w:pPr>
            <w:r>
              <w:rPr>
                <w:rFonts w:hint="eastAsia"/>
                <w:color w:val="auto"/>
                <w:szCs w:val="24"/>
              </w:rPr>
              <w:t>（1）主要原辅材料</w:t>
            </w:r>
          </w:p>
          <w:p w14:paraId="6B4F102E">
            <w:pPr>
              <w:pStyle w:val="8"/>
              <w:adjustRightInd w:val="0"/>
              <w:spacing w:before="0" w:after="0" w:line="360" w:lineRule="auto"/>
              <w:ind w:firstLine="480"/>
              <w:rPr>
                <w:color w:val="auto"/>
                <w:szCs w:val="24"/>
              </w:rPr>
            </w:pPr>
            <w:r>
              <w:rPr>
                <w:rFonts w:hint="eastAsia"/>
                <w:color w:val="auto"/>
                <w:szCs w:val="24"/>
              </w:rPr>
              <w:t>本</w:t>
            </w:r>
            <w:r>
              <w:rPr>
                <w:color w:val="auto"/>
                <w:szCs w:val="24"/>
              </w:rPr>
              <w:t>项目涉及4个乡镇卫生院</w:t>
            </w:r>
            <w:r>
              <w:rPr>
                <w:rFonts w:hint="eastAsia"/>
                <w:color w:val="auto"/>
                <w:szCs w:val="24"/>
              </w:rPr>
              <w:t>，</w:t>
            </w:r>
            <w:r>
              <w:rPr>
                <w:rFonts w:hint="eastAsia"/>
                <w:color w:val="auto"/>
              </w:rPr>
              <w:t>根据建设单位提供的资料，现有项目</w:t>
            </w:r>
            <w:r>
              <w:rPr>
                <w:color w:val="auto"/>
                <w:szCs w:val="24"/>
              </w:rPr>
              <w:t>运营期间消耗的原辅材料主要有注射器、输液管、医用棉花、纱布、中药材、氧气等。各原辅材料消耗情况见表</w:t>
            </w:r>
            <w:r>
              <w:rPr>
                <w:rFonts w:hint="eastAsia"/>
                <w:color w:val="auto"/>
                <w:szCs w:val="24"/>
              </w:rPr>
              <w:t>2</w:t>
            </w:r>
            <w:r>
              <w:rPr>
                <w:color w:val="auto"/>
                <w:szCs w:val="24"/>
              </w:rPr>
              <w:t>-</w:t>
            </w:r>
            <w:r>
              <w:rPr>
                <w:rFonts w:hint="eastAsia"/>
                <w:color w:val="auto"/>
                <w:szCs w:val="24"/>
              </w:rPr>
              <w:t>20~表2-23</w:t>
            </w:r>
            <w:r>
              <w:rPr>
                <w:color w:val="auto"/>
                <w:szCs w:val="24"/>
              </w:rPr>
              <w:t>。</w:t>
            </w:r>
          </w:p>
          <w:p w14:paraId="532C9E36">
            <w:pPr>
              <w:adjustRightInd w:val="0"/>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20</w:t>
            </w:r>
            <w:r>
              <w:rPr>
                <w:rFonts w:hint="eastAsia" w:cs="宋体"/>
                <w:b/>
                <w:color w:val="auto"/>
                <w:sz w:val="24"/>
              </w:rPr>
              <w:t>现有项目</w:t>
            </w:r>
            <w:r>
              <w:rPr>
                <w:rFonts w:hint="eastAsia" w:ascii="宋体" w:hAnsi="宋体" w:cs="宋体"/>
                <w:b/>
                <w:color w:val="auto"/>
                <w:sz w:val="24"/>
              </w:rPr>
              <w:t>（四街卫生院）</w:t>
            </w:r>
            <w:r>
              <w:rPr>
                <w:rFonts w:ascii="宋体" w:hAnsi="宋体" w:cs="宋体"/>
                <w:b/>
                <w:color w:val="auto"/>
                <w:sz w:val="24"/>
              </w:rPr>
              <w:t>主要医疗用品消耗情况</w:t>
            </w:r>
          </w:p>
          <w:tbl>
            <w:tblPr>
              <w:tblStyle w:val="33"/>
              <w:tblW w:w="8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2276"/>
              <w:gridCol w:w="1412"/>
              <w:gridCol w:w="1561"/>
              <w:gridCol w:w="2404"/>
            </w:tblGrid>
            <w:tr w14:paraId="6CCA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jc w:val="center"/>
              </w:trPr>
              <w:tc>
                <w:tcPr>
                  <w:tcW w:w="544" w:type="dxa"/>
                  <w:vAlign w:val="center"/>
                </w:tcPr>
                <w:p w14:paraId="71BE4DDD">
                  <w:pPr>
                    <w:jc w:val="center"/>
                    <w:rPr>
                      <w:rFonts w:hint="eastAsia" w:ascii="宋体" w:hAnsi="宋体" w:cs="宋体"/>
                      <w:color w:val="auto"/>
                      <w:szCs w:val="21"/>
                    </w:rPr>
                  </w:pPr>
                  <w:r>
                    <w:rPr>
                      <w:rFonts w:hint="eastAsia" w:ascii="宋体" w:hAnsi="宋体" w:cs="宋体"/>
                      <w:color w:val="auto"/>
                      <w:szCs w:val="21"/>
                    </w:rPr>
                    <w:t>序号</w:t>
                  </w:r>
                </w:p>
              </w:tc>
              <w:tc>
                <w:tcPr>
                  <w:tcW w:w="2276" w:type="dxa"/>
                  <w:vAlign w:val="center"/>
                </w:tcPr>
                <w:p w14:paraId="2CBE05BB">
                  <w:pPr>
                    <w:jc w:val="center"/>
                    <w:rPr>
                      <w:rFonts w:hint="eastAsia" w:ascii="宋体" w:hAnsi="宋体" w:cs="宋体"/>
                      <w:color w:val="auto"/>
                      <w:szCs w:val="21"/>
                    </w:rPr>
                  </w:pPr>
                  <w:r>
                    <w:rPr>
                      <w:rFonts w:hint="eastAsia" w:ascii="宋体" w:hAnsi="宋体" w:cs="宋体"/>
                      <w:color w:val="auto"/>
                      <w:szCs w:val="21"/>
                    </w:rPr>
                    <w:t>医疗用品</w:t>
                  </w:r>
                </w:p>
              </w:tc>
              <w:tc>
                <w:tcPr>
                  <w:tcW w:w="1412" w:type="dxa"/>
                  <w:vAlign w:val="center"/>
                </w:tcPr>
                <w:p w14:paraId="10EEA6E3">
                  <w:pPr>
                    <w:jc w:val="center"/>
                    <w:rPr>
                      <w:rFonts w:hint="eastAsia" w:ascii="宋体" w:hAnsi="宋体" w:cs="宋体"/>
                      <w:color w:val="auto"/>
                      <w:szCs w:val="21"/>
                    </w:rPr>
                  </w:pPr>
                  <w:r>
                    <w:rPr>
                      <w:rFonts w:hint="eastAsia" w:ascii="宋体" w:hAnsi="宋体" w:cs="宋体"/>
                      <w:color w:val="auto"/>
                      <w:szCs w:val="21"/>
                    </w:rPr>
                    <w:t>用量</w:t>
                  </w:r>
                </w:p>
              </w:tc>
              <w:tc>
                <w:tcPr>
                  <w:tcW w:w="1561" w:type="dxa"/>
                  <w:vAlign w:val="center"/>
                </w:tcPr>
                <w:p w14:paraId="2E84FEAD">
                  <w:pPr>
                    <w:jc w:val="center"/>
                    <w:rPr>
                      <w:rFonts w:hint="eastAsia" w:ascii="宋体" w:hAnsi="宋体" w:cs="宋体"/>
                      <w:color w:val="auto"/>
                      <w:szCs w:val="21"/>
                    </w:rPr>
                  </w:pPr>
                  <w:r>
                    <w:rPr>
                      <w:rFonts w:hint="eastAsia" w:ascii="宋体" w:hAnsi="宋体" w:cs="宋体"/>
                      <w:color w:val="auto"/>
                      <w:szCs w:val="21"/>
                    </w:rPr>
                    <w:t>院内最大存储量</w:t>
                  </w:r>
                </w:p>
              </w:tc>
              <w:tc>
                <w:tcPr>
                  <w:tcW w:w="2404" w:type="dxa"/>
                  <w:vAlign w:val="center"/>
                </w:tcPr>
                <w:p w14:paraId="3F2AECC5">
                  <w:pPr>
                    <w:jc w:val="center"/>
                    <w:rPr>
                      <w:rFonts w:hint="eastAsia" w:ascii="宋体" w:hAnsi="宋体" w:cs="宋体"/>
                      <w:color w:val="auto"/>
                      <w:szCs w:val="21"/>
                    </w:rPr>
                  </w:pPr>
                  <w:r>
                    <w:rPr>
                      <w:rFonts w:hint="eastAsia" w:ascii="宋体" w:hAnsi="宋体" w:cs="宋体"/>
                      <w:color w:val="auto"/>
                      <w:szCs w:val="21"/>
                    </w:rPr>
                    <w:t>备注</w:t>
                  </w:r>
                </w:p>
              </w:tc>
            </w:tr>
            <w:tr w14:paraId="6AF0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544" w:type="dxa"/>
                  <w:vAlign w:val="center"/>
                </w:tcPr>
                <w:p w14:paraId="1D233DA4">
                  <w:pPr>
                    <w:jc w:val="center"/>
                    <w:rPr>
                      <w:rFonts w:hint="eastAsia" w:ascii="宋体" w:hAnsi="宋体" w:cs="宋体"/>
                      <w:color w:val="auto"/>
                      <w:szCs w:val="21"/>
                    </w:rPr>
                  </w:pPr>
                  <w:r>
                    <w:rPr>
                      <w:rFonts w:hint="eastAsia" w:ascii="宋体" w:hAnsi="宋体" w:cs="宋体"/>
                      <w:color w:val="auto"/>
                      <w:szCs w:val="21"/>
                    </w:rPr>
                    <w:t>一</w:t>
                  </w:r>
                </w:p>
              </w:tc>
              <w:tc>
                <w:tcPr>
                  <w:tcW w:w="7653" w:type="dxa"/>
                  <w:gridSpan w:val="4"/>
                  <w:vAlign w:val="center"/>
                </w:tcPr>
                <w:p w14:paraId="6C0084BB">
                  <w:pPr>
                    <w:jc w:val="center"/>
                    <w:rPr>
                      <w:rFonts w:hint="eastAsia" w:ascii="宋体" w:hAnsi="宋体" w:cs="宋体"/>
                      <w:color w:val="auto"/>
                      <w:szCs w:val="21"/>
                    </w:rPr>
                  </w:pPr>
                  <w:r>
                    <w:rPr>
                      <w:rFonts w:hint="eastAsia" w:ascii="宋体" w:hAnsi="宋体" w:cs="宋体"/>
                      <w:color w:val="auto"/>
                      <w:szCs w:val="21"/>
                    </w:rPr>
                    <w:t>原辅料</w:t>
                  </w:r>
                </w:p>
              </w:tc>
            </w:tr>
            <w:tr w14:paraId="21E1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394307D7">
                  <w:pPr>
                    <w:jc w:val="center"/>
                    <w:rPr>
                      <w:rFonts w:hint="eastAsia" w:ascii="宋体" w:hAnsi="宋体" w:cs="宋体"/>
                      <w:color w:val="auto"/>
                      <w:szCs w:val="21"/>
                    </w:rPr>
                  </w:pPr>
                  <w:r>
                    <w:rPr>
                      <w:rFonts w:hint="eastAsia" w:ascii="宋体" w:hAnsi="宋体" w:cs="宋体"/>
                      <w:color w:val="auto"/>
                      <w:szCs w:val="21"/>
                    </w:rPr>
                    <w:t>1</w:t>
                  </w:r>
                </w:p>
              </w:tc>
              <w:tc>
                <w:tcPr>
                  <w:tcW w:w="2276" w:type="dxa"/>
                  <w:vAlign w:val="center"/>
                </w:tcPr>
                <w:p w14:paraId="5B9093A7">
                  <w:pPr>
                    <w:jc w:val="center"/>
                    <w:rPr>
                      <w:rFonts w:hint="eastAsia" w:ascii="宋体" w:hAnsi="宋体" w:cs="宋体"/>
                      <w:color w:val="auto"/>
                      <w:szCs w:val="21"/>
                    </w:rPr>
                  </w:pPr>
                  <w:r>
                    <w:rPr>
                      <w:rFonts w:hint="eastAsia" w:ascii="宋体" w:hAnsi="宋体" w:cs="宋体"/>
                      <w:color w:val="auto"/>
                      <w:szCs w:val="21"/>
                    </w:rPr>
                    <w:t>注射器</w:t>
                  </w:r>
                </w:p>
              </w:tc>
              <w:tc>
                <w:tcPr>
                  <w:tcW w:w="1412" w:type="dxa"/>
                  <w:vAlign w:val="center"/>
                </w:tcPr>
                <w:p w14:paraId="547D519F">
                  <w:pPr>
                    <w:jc w:val="center"/>
                    <w:rPr>
                      <w:rFonts w:hint="eastAsia" w:ascii="宋体" w:hAnsi="宋体" w:cs="宋体"/>
                      <w:color w:val="auto"/>
                      <w:szCs w:val="21"/>
                    </w:rPr>
                  </w:pPr>
                  <w:r>
                    <w:rPr>
                      <w:rFonts w:hint="eastAsia" w:ascii="宋体" w:hAnsi="宋体" w:cs="宋体"/>
                      <w:color w:val="auto"/>
                      <w:szCs w:val="21"/>
                    </w:rPr>
                    <w:t>21585个/a</w:t>
                  </w:r>
                </w:p>
              </w:tc>
              <w:tc>
                <w:tcPr>
                  <w:tcW w:w="1561" w:type="dxa"/>
                  <w:vAlign w:val="center"/>
                </w:tcPr>
                <w:p w14:paraId="66B12670">
                  <w:pPr>
                    <w:jc w:val="center"/>
                    <w:rPr>
                      <w:rFonts w:hint="eastAsia" w:ascii="宋体" w:hAnsi="宋体" w:cs="宋体"/>
                      <w:color w:val="auto"/>
                      <w:szCs w:val="21"/>
                    </w:rPr>
                  </w:pPr>
                  <w:r>
                    <w:rPr>
                      <w:rFonts w:hint="eastAsia" w:ascii="宋体" w:hAnsi="宋体" w:cs="宋体"/>
                      <w:color w:val="auto"/>
                      <w:szCs w:val="21"/>
                    </w:rPr>
                    <w:t>500个</w:t>
                  </w:r>
                </w:p>
              </w:tc>
              <w:tc>
                <w:tcPr>
                  <w:tcW w:w="2404" w:type="dxa"/>
                  <w:vAlign w:val="center"/>
                </w:tcPr>
                <w:p w14:paraId="351C832F">
                  <w:pPr>
                    <w:jc w:val="center"/>
                    <w:rPr>
                      <w:rFonts w:hint="eastAsia" w:ascii="宋体" w:hAnsi="宋体" w:cs="宋体"/>
                      <w:color w:val="auto"/>
                      <w:szCs w:val="21"/>
                    </w:rPr>
                  </w:pPr>
                  <w:r>
                    <w:rPr>
                      <w:rFonts w:hint="eastAsia" w:ascii="宋体" w:hAnsi="宋体" w:cs="宋体"/>
                      <w:color w:val="auto"/>
                      <w:szCs w:val="21"/>
                    </w:rPr>
                    <w:t>/</w:t>
                  </w:r>
                </w:p>
              </w:tc>
            </w:tr>
            <w:tr w14:paraId="60BE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627290A5">
                  <w:pPr>
                    <w:jc w:val="center"/>
                    <w:rPr>
                      <w:rFonts w:hint="eastAsia" w:ascii="宋体" w:hAnsi="宋体" w:cs="宋体"/>
                      <w:color w:val="auto"/>
                      <w:szCs w:val="21"/>
                    </w:rPr>
                  </w:pPr>
                  <w:r>
                    <w:rPr>
                      <w:rFonts w:hint="eastAsia" w:ascii="宋体" w:hAnsi="宋体" w:cs="宋体"/>
                      <w:color w:val="auto"/>
                      <w:szCs w:val="21"/>
                    </w:rPr>
                    <w:t>2</w:t>
                  </w:r>
                </w:p>
              </w:tc>
              <w:tc>
                <w:tcPr>
                  <w:tcW w:w="2276" w:type="dxa"/>
                  <w:vAlign w:val="center"/>
                </w:tcPr>
                <w:p w14:paraId="6023E8B9">
                  <w:pPr>
                    <w:jc w:val="center"/>
                    <w:rPr>
                      <w:rFonts w:hint="eastAsia" w:ascii="宋体" w:hAnsi="宋体" w:cs="宋体"/>
                      <w:color w:val="auto"/>
                      <w:szCs w:val="21"/>
                    </w:rPr>
                  </w:pPr>
                  <w:r>
                    <w:rPr>
                      <w:rFonts w:hint="eastAsia" w:ascii="宋体" w:hAnsi="宋体" w:cs="宋体"/>
                      <w:color w:val="auto"/>
                      <w:szCs w:val="21"/>
                    </w:rPr>
                    <w:t>输液管</w:t>
                  </w:r>
                </w:p>
              </w:tc>
              <w:tc>
                <w:tcPr>
                  <w:tcW w:w="1412" w:type="dxa"/>
                  <w:vAlign w:val="center"/>
                </w:tcPr>
                <w:p w14:paraId="5CA3F8CB">
                  <w:pPr>
                    <w:jc w:val="center"/>
                    <w:rPr>
                      <w:rFonts w:hint="eastAsia" w:ascii="宋体" w:hAnsi="宋体" w:cs="宋体"/>
                      <w:color w:val="auto"/>
                      <w:szCs w:val="21"/>
                    </w:rPr>
                  </w:pPr>
                  <w:r>
                    <w:rPr>
                      <w:rFonts w:hint="eastAsia" w:ascii="宋体" w:hAnsi="宋体" w:cs="宋体"/>
                      <w:color w:val="auto"/>
                      <w:szCs w:val="21"/>
                    </w:rPr>
                    <w:t>46236套/a</w:t>
                  </w:r>
                </w:p>
              </w:tc>
              <w:tc>
                <w:tcPr>
                  <w:tcW w:w="1561" w:type="dxa"/>
                  <w:vAlign w:val="center"/>
                </w:tcPr>
                <w:p w14:paraId="198C59B1">
                  <w:pPr>
                    <w:jc w:val="center"/>
                    <w:rPr>
                      <w:rFonts w:hint="eastAsia" w:ascii="宋体" w:hAnsi="宋体" w:cs="宋体"/>
                      <w:color w:val="auto"/>
                      <w:szCs w:val="21"/>
                    </w:rPr>
                  </w:pPr>
                  <w:r>
                    <w:rPr>
                      <w:rFonts w:hint="eastAsia" w:ascii="宋体" w:hAnsi="宋体" w:cs="宋体"/>
                      <w:color w:val="auto"/>
                      <w:szCs w:val="21"/>
                    </w:rPr>
                    <w:t>1000套</w:t>
                  </w:r>
                </w:p>
              </w:tc>
              <w:tc>
                <w:tcPr>
                  <w:tcW w:w="2404" w:type="dxa"/>
                  <w:vAlign w:val="center"/>
                </w:tcPr>
                <w:p w14:paraId="38599BE4">
                  <w:pPr>
                    <w:jc w:val="center"/>
                    <w:rPr>
                      <w:rFonts w:hint="eastAsia" w:ascii="宋体" w:hAnsi="宋体" w:cs="宋体"/>
                      <w:color w:val="auto"/>
                      <w:szCs w:val="21"/>
                    </w:rPr>
                  </w:pPr>
                  <w:r>
                    <w:rPr>
                      <w:rFonts w:hint="eastAsia" w:ascii="宋体" w:hAnsi="宋体" w:cs="宋体"/>
                      <w:color w:val="auto"/>
                      <w:szCs w:val="21"/>
                    </w:rPr>
                    <w:t>/</w:t>
                  </w:r>
                </w:p>
              </w:tc>
            </w:tr>
            <w:tr w14:paraId="31DB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7E29F4FC">
                  <w:pPr>
                    <w:jc w:val="center"/>
                    <w:rPr>
                      <w:rFonts w:hint="eastAsia" w:ascii="宋体" w:hAnsi="宋体" w:cs="宋体"/>
                      <w:color w:val="auto"/>
                      <w:szCs w:val="21"/>
                    </w:rPr>
                  </w:pPr>
                  <w:r>
                    <w:rPr>
                      <w:rFonts w:hint="eastAsia" w:ascii="宋体" w:hAnsi="宋体" w:cs="宋体"/>
                      <w:color w:val="auto"/>
                      <w:szCs w:val="21"/>
                    </w:rPr>
                    <w:t>3</w:t>
                  </w:r>
                </w:p>
              </w:tc>
              <w:tc>
                <w:tcPr>
                  <w:tcW w:w="2276" w:type="dxa"/>
                  <w:vAlign w:val="center"/>
                </w:tcPr>
                <w:p w14:paraId="2AA850F9">
                  <w:pPr>
                    <w:jc w:val="center"/>
                    <w:rPr>
                      <w:rFonts w:hint="eastAsia" w:ascii="宋体" w:hAnsi="宋体" w:cs="宋体"/>
                      <w:color w:val="auto"/>
                      <w:szCs w:val="21"/>
                    </w:rPr>
                  </w:pPr>
                  <w:r>
                    <w:rPr>
                      <w:rFonts w:hint="eastAsia" w:ascii="宋体" w:hAnsi="宋体" w:cs="宋体"/>
                      <w:color w:val="auto"/>
                      <w:szCs w:val="21"/>
                    </w:rPr>
                    <w:t>医用棉签</w:t>
                  </w:r>
                </w:p>
              </w:tc>
              <w:tc>
                <w:tcPr>
                  <w:tcW w:w="1412" w:type="dxa"/>
                  <w:vAlign w:val="center"/>
                </w:tcPr>
                <w:p w14:paraId="163729D1">
                  <w:pPr>
                    <w:jc w:val="center"/>
                    <w:rPr>
                      <w:rFonts w:hint="eastAsia" w:ascii="宋体" w:hAnsi="宋体" w:cs="宋体"/>
                      <w:color w:val="auto"/>
                      <w:szCs w:val="21"/>
                    </w:rPr>
                  </w:pPr>
                  <w:r>
                    <w:rPr>
                      <w:rFonts w:hint="eastAsia" w:ascii="宋体" w:hAnsi="宋体" w:cs="宋体"/>
                      <w:color w:val="auto"/>
                      <w:szCs w:val="21"/>
                    </w:rPr>
                    <w:t>132包/a</w:t>
                  </w:r>
                </w:p>
              </w:tc>
              <w:tc>
                <w:tcPr>
                  <w:tcW w:w="1561" w:type="dxa"/>
                  <w:vAlign w:val="center"/>
                </w:tcPr>
                <w:p w14:paraId="5D4BE3BB">
                  <w:pPr>
                    <w:jc w:val="center"/>
                    <w:rPr>
                      <w:rFonts w:hint="eastAsia" w:ascii="宋体" w:hAnsi="宋体" w:cs="宋体"/>
                      <w:color w:val="auto"/>
                      <w:szCs w:val="21"/>
                    </w:rPr>
                  </w:pPr>
                  <w:r>
                    <w:rPr>
                      <w:rFonts w:hint="eastAsia" w:ascii="宋体" w:hAnsi="宋体" w:cs="宋体"/>
                      <w:color w:val="auto"/>
                      <w:szCs w:val="21"/>
                    </w:rPr>
                    <w:t>50包</w:t>
                  </w:r>
                </w:p>
              </w:tc>
              <w:tc>
                <w:tcPr>
                  <w:tcW w:w="2404" w:type="dxa"/>
                  <w:vAlign w:val="center"/>
                </w:tcPr>
                <w:p w14:paraId="436C6E9A">
                  <w:pPr>
                    <w:jc w:val="center"/>
                    <w:rPr>
                      <w:rFonts w:hint="eastAsia" w:ascii="宋体" w:hAnsi="宋体" w:cs="宋体"/>
                      <w:color w:val="auto"/>
                      <w:szCs w:val="21"/>
                    </w:rPr>
                  </w:pPr>
                  <w:r>
                    <w:rPr>
                      <w:rFonts w:hint="eastAsia" w:ascii="宋体" w:hAnsi="宋体" w:cs="宋体"/>
                      <w:color w:val="auto"/>
                      <w:szCs w:val="21"/>
                    </w:rPr>
                    <w:t>/</w:t>
                  </w:r>
                </w:p>
              </w:tc>
            </w:tr>
            <w:tr w14:paraId="2713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59266590">
                  <w:pPr>
                    <w:jc w:val="center"/>
                    <w:rPr>
                      <w:rFonts w:hint="eastAsia" w:ascii="宋体" w:hAnsi="宋体" w:cs="宋体"/>
                      <w:color w:val="auto"/>
                      <w:szCs w:val="21"/>
                    </w:rPr>
                  </w:pPr>
                  <w:r>
                    <w:rPr>
                      <w:rFonts w:hint="eastAsia" w:ascii="宋体" w:hAnsi="宋体" w:cs="宋体"/>
                      <w:color w:val="auto"/>
                      <w:szCs w:val="21"/>
                    </w:rPr>
                    <w:t>4</w:t>
                  </w:r>
                </w:p>
              </w:tc>
              <w:tc>
                <w:tcPr>
                  <w:tcW w:w="2276" w:type="dxa"/>
                  <w:vAlign w:val="center"/>
                </w:tcPr>
                <w:p w14:paraId="31133DF3">
                  <w:pPr>
                    <w:jc w:val="center"/>
                    <w:rPr>
                      <w:rFonts w:hint="eastAsia" w:ascii="宋体" w:hAnsi="宋体" w:cs="宋体"/>
                      <w:color w:val="auto"/>
                      <w:szCs w:val="21"/>
                    </w:rPr>
                  </w:pPr>
                  <w:r>
                    <w:rPr>
                      <w:rFonts w:hint="eastAsia" w:ascii="宋体" w:hAnsi="宋体" w:cs="宋体"/>
                      <w:color w:val="auto"/>
                      <w:szCs w:val="21"/>
                    </w:rPr>
                    <w:t>纱布</w:t>
                  </w:r>
                </w:p>
              </w:tc>
              <w:tc>
                <w:tcPr>
                  <w:tcW w:w="1412" w:type="dxa"/>
                  <w:vAlign w:val="center"/>
                </w:tcPr>
                <w:p w14:paraId="4A3C57B0">
                  <w:pPr>
                    <w:jc w:val="center"/>
                    <w:rPr>
                      <w:rFonts w:hint="eastAsia" w:ascii="宋体" w:hAnsi="宋体" w:cs="宋体"/>
                      <w:color w:val="auto"/>
                      <w:szCs w:val="21"/>
                    </w:rPr>
                  </w:pPr>
                  <w:r>
                    <w:rPr>
                      <w:rFonts w:hint="eastAsia" w:ascii="宋体" w:hAnsi="宋体" w:cs="宋体"/>
                      <w:color w:val="auto"/>
                      <w:szCs w:val="21"/>
                    </w:rPr>
                    <w:t>353包/a</w:t>
                  </w:r>
                </w:p>
              </w:tc>
              <w:tc>
                <w:tcPr>
                  <w:tcW w:w="1561" w:type="dxa"/>
                  <w:vAlign w:val="center"/>
                </w:tcPr>
                <w:p w14:paraId="07FCCE90">
                  <w:pPr>
                    <w:jc w:val="center"/>
                    <w:rPr>
                      <w:rFonts w:hint="eastAsia" w:ascii="宋体" w:hAnsi="宋体" w:cs="宋体"/>
                      <w:color w:val="auto"/>
                      <w:szCs w:val="21"/>
                    </w:rPr>
                  </w:pPr>
                  <w:r>
                    <w:rPr>
                      <w:rFonts w:hint="eastAsia" w:ascii="宋体" w:hAnsi="宋体" w:cs="宋体"/>
                      <w:color w:val="auto"/>
                      <w:szCs w:val="21"/>
                    </w:rPr>
                    <w:t>20包</w:t>
                  </w:r>
                </w:p>
              </w:tc>
              <w:tc>
                <w:tcPr>
                  <w:tcW w:w="2404" w:type="dxa"/>
                  <w:vAlign w:val="center"/>
                </w:tcPr>
                <w:p w14:paraId="088D12B4">
                  <w:pPr>
                    <w:jc w:val="center"/>
                    <w:rPr>
                      <w:rFonts w:hint="eastAsia" w:ascii="宋体" w:hAnsi="宋体" w:cs="宋体"/>
                      <w:color w:val="auto"/>
                      <w:szCs w:val="21"/>
                    </w:rPr>
                  </w:pPr>
                  <w:r>
                    <w:rPr>
                      <w:rFonts w:hint="eastAsia" w:ascii="宋体" w:hAnsi="宋体" w:cs="宋体"/>
                      <w:color w:val="auto"/>
                      <w:szCs w:val="21"/>
                    </w:rPr>
                    <w:t>/</w:t>
                  </w:r>
                </w:p>
              </w:tc>
            </w:tr>
            <w:tr w14:paraId="73A4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44" w:type="dxa"/>
                  <w:vAlign w:val="center"/>
                </w:tcPr>
                <w:p w14:paraId="269FDAA9">
                  <w:pPr>
                    <w:jc w:val="center"/>
                    <w:rPr>
                      <w:rFonts w:hint="eastAsia" w:ascii="宋体" w:hAnsi="宋体" w:cs="宋体"/>
                      <w:color w:val="auto"/>
                      <w:szCs w:val="21"/>
                    </w:rPr>
                  </w:pPr>
                  <w:r>
                    <w:rPr>
                      <w:rFonts w:hint="eastAsia" w:ascii="宋体" w:hAnsi="宋体" w:cs="宋体"/>
                      <w:color w:val="auto"/>
                      <w:szCs w:val="21"/>
                    </w:rPr>
                    <w:t>5</w:t>
                  </w:r>
                </w:p>
              </w:tc>
              <w:tc>
                <w:tcPr>
                  <w:tcW w:w="2276" w:type="dxa"/>
                  <w:vAlign w:val="center"/>
                </w:tcPr>
                <w:p w14:paraId="5D944289">
                  <w:pPr>
                    <w:jc w:val="center"/>
                    <w:rPr>
                      <w:rFonts w:hint="eastAsia" w:ascii="宋体" w:hAnsi="宋体" w:cs="宋体"/>
                      <w:color w:val="auto"/>
                      <w:szCs w:val="21"/>
                    </w:rPr>
                  </w:pPr>
                  <w:r>
                    <w:rPr>
                      <w:rFonts w:hint="eastAsia" w:ascii="宋体" w:hAnsi="宋体" w:cs="宋体"/>
                      <w:color w:val="auto"/>
                      <w:szCs w:val="21"/>
                    </w:rPr>
                    <w:t>乙醇</w:t>
                  </w:r>
                </w:p>
              </w:tc>
              <w:tc>
                <w:tcPr>
                  <w:tcW w:w="1412" w:type="dxa"/>
                  <w:vAlign w:val="center"/>
                </w:tcPr>
                <w:p w14:paraId="1BC96401">
                  <w:pPr>
                    <w:jc w:val="center"/>
                    <w:rPr>
                      <w:rFonts w:hint="eastAsia" w:ascii="宋体" w:hAnsi="宋体" w:cs="宋体"/>
                      <w:color w:val="auto"/>
                      <w:szCs w:val="21"/>
                    </w:rPr>
                  </w:pPr>
                  <w:r>
                    <w:rPr>
                      <w:rFonts w:hint="eastAsia" w:ascii="宋体" w:hAnsi="宋体" w:cs="宋体"/>
                      <w:color w:val="auto"/>
                      <w:szCs w:val="21"/>
                    </w:rPr>
                    <w:t>500mL×144瓶/a</w:t>
                  </w:r>
                </w:p>
              </w:tc>
              <w:tc>
                <w:tcPr>
                  <w:tcW w:w="1561" w:type="dxa"/>
                  <w:vAlign w:val="center"/>
                </w:tcPr>
                <w:p w14:paraId="180E32DD">
                  <w:pPr>
                    <w:jc w:val="center"/>
                    <w:rPr>
                      <w:rFonts w:hint="eastAsia" w:ascii="宋体" w:hAnsi="宋体" w:cs="宋体"/>
                      <w:color w:val="auto"/>
                      <w:szCs w:val="21"/>
                    </w:rPr>
                  </w:pPr>
                  <w:r>
                    <w:rPr>
                      <w:rFonts w:hint="eastAsia" w:ascii="宋体" w:hAnsi="宋体" w:cs="宋体"/>
                      <w:color w:val="auto"/>
                      <w:szCs w:val="21"/>
                    </w:rPr>
                    <w:t>20瓶</w:t>
                  </w:r>
                </w:p>
              </w:tc>
              <w:tc>
                <w:tcPr>
                  <w:tcW w:w="2404" w:type="dxa"/>
                  <w:vAlign w:val="center"/>
                </w:tcPr>
                <w:p w14:paraId="73C1FA1C">
                  <w:pPr>
                    <w:jc w:val="center"/>
                    <w:rPr>
                      <w:rFonts w:hint="eastAsia" w:ascii="宋体" w:hAnsi="宋体" w:cs="宋体"/>
                      <w:color w:val="auto"/>
                      <w:szCs w:val="21"/>
                    </w:rPr>
                  </w:pPr>
                  <w:r>
                    <w:rPr>
                      <w:rFonts w:hint="eastAsia" w:ascii="宋体" w:hAnsi="宋体" w:cs="宋体"/>
                      <w:color w:val="auto"/>
                      <w:szCs w:val="21"/>
                    </w:rPr>
                    <w:t>/</w:t>
                  </w:r>
                </w:p>
              </w:tc>
            </w:tr>
            <w:tr w14:paraId="68C5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44" w:type="dxa"/>
                  <w:vAlign w:val="center"/>
                </w:tcPr>
                <w:p w14:paraId="1B721663">
                  <w:pPr>
                    <w:jc w:val="center"/>
                    <w:rPr>
                      <w:rFonts w:hint="eastAsia" w:ascii="宋体" w:hAnsi="宋体" w:cs="宋体"/>
                      <w:color w:val="auto"/>
                      <w:szCs w:val="21"/>
                    </w:rPr>
                  </w:pPr>
                  <w:r>
                    <w:rPr>
                      <w:rFonts w:hint="eastAsia" w:ascii="宋体" w:hAnsi="宋体" w:cs="宋体"/>
                      <w:color w:val="auto"/>
                      <w:szCs w:val="21"/>
                    </w:rPr>
                    <w:t>6</w:t>
                  </w:r>
                </w:p>
              </w:tc>
              <w:tc>
                <w:tcPr>
                  <w:tcW w:w="2276" w:type="dxa"/>
                  <w:vAlign w:val="center"/>
                </w:tcPr>
                <w:p w14:paraId="02D19A07">
                  <w:pPr>
                    <w:jc w:val="center"/>
                    <w:rPr>
                      <w:rFonts w:hint="eastAsia" w:ascii="宋体" w:hAnsi="宋体" w:cs="宋体"/>
                      <w:color w:val="auto"/>
                      <w:szCs w:val="21"/>
                    </w:rPr>
                  </w:pPr>
                  <w:r>
                    <w:rPr>
                      <w:rFonts w:hint="eastAsia" w:ascii="宋体" w:hAnsi="宋体" w:cs="宋体"/>
                      <w:color w:val="auto"/>
                      <w:szCs w:val="21"/>
                    </w:rPr>
                    <w:t>氧气</w:t>
                  </w:r>
                </w:p>
              </w:tc>
              <w:tc>
                <w:tcPr>
                  <w:tcW w:w="1412" w:type="dxa"/>
                  <w:vAlign w:val="center"/>
                </w:tcPr>
                <w:p w14:paraId="3E0EABA6">
                  <w:pPr>
                    <w:jc w:val="center"/>
                    <w:rPr>
                      <w:rFonts w:hint="eastAsia" w:ascii="宋体" w:hAnsi="宋体" w:cs="宋体"/>
                      <w:color w:val="auto"/>
                      <w:szCs w:val="21"/>
                    </w:rPr>
                  </w:pPr>
                  <w:r>
                    <w:rPr>
                      <w:rFonts w:hint="eastAsia"/>
                      <w:color w:val="auto"/>
                      <w:szCs w:val="21"/>
                    </w:rPr>
                    <w:t>48瓶/</w:t>
                  </w:r>
                  <w:r>
                    <w:rPr>
                      <w:rFonts w:hint="eastAsia" w:ascii="宋体" w:hAnsi="宋体" w:cs="宋体"/>
                      <w:color w:val="auto"/>
                      <w:szCs w:val="21"/>
                    </w:rPr>
                    <w:t>a</w:t>
                  </w:r>
                </w:p>
              </w:tc>
              <w:tc>
                <w:tcPr>
                  <w:tcW w:w="1561" w:type="dxa"/>
                  <w:vAlign w:val="center"/>
                </w:tcPr>
                <w:p w14:paraId="53DBE67B">
                  <w:pPr>
                    <w:jc w:val="center"/>
                    <w:rPr>
                      <w:rFonts w:hint="eastAsia" w:ascii="宋体" w:hAnsi="宋体" w:cs="宋体"/>
                      <w:color w:val="auto"/>
                      <w:szCs w:val="21"/>
                    </w:rPr>
                  </w:pPr>
                  <w:r>
                    <w:rPr>
                      <w:rFonts w:hint="eastAsia"/>
                      <w:color w:val="auto"/>
                      <w:szCs w:val="21"/>
                    </w:rPr>
                    <w:t>15瓶/</w:t>
                  </w:r>
                  <w:r>
                    <w:rPr>
                      <w:rFonts w:hint="eastAsia" w:ascii="宋体" w:hAnsi="宋体" w:cs="宋体"/>
                      <w:color w:val="auto"/>
                      <w:szCs w:val="21"/>
                    </w:rPr>
                    <w:t>a</w:t>
                  </w:r>
                </w:p>
              </w:tc>
              <w:tc>
                <w:tcPr>
                  <w:tcW w:w="2404" w:type="dxa"/>
                  <w:vAlign w:val="center"/>
                </w:tcPr>
                <w:p w14:paraId="3625F219">
                  <w:pPr>
                    <w:jc w:val="center"/>
                    <w:rPr>
                      <w:rFonts w:hint="eastAsia" w:ascii="宋体" w:hAnsi="宋体" w:cs="宋体"/>
                      <w:color w:val="auto"/>
                      <w:szCs w:val="21"/>
                    </w:rPr>
                  </w:pPr>
                  <w:r>
                    <w:rPr>
                      <w:rFonts w:hint="eastAsia" w:ascii="宋体" w:hAnsi="宋体" w:cs="宋体"/>
                      <w:color w:val="auto"/>
                      <w:szCs w:val="21"/>
                    </w:rPr>
                    <w:t>外购进入5m</w:t>
                  </w:r>
                  <w:r>
                    <w:rPr>
                      <w:rFonts w:hint="eastAsia" w:ascii="宋体" w:hAnsi="宋体" w:cs="宋体"/>
                      <w:color w:val="auto"/>
                      <w:szCs w:val="21"/>
                      <w:vertAlign w:val="superscript"/>
                    </w:rPr>
                    <w:t>3</w:t>
                  </w:r>
                  <w:r>
                    <w:rPr>
                      <w:rFonts w:hint="eastAsia" w:ascii="宋体" w:hAnsi="宋体" w:cs="宋体"/>
                      <w:color w:val="auto"/>
                      <w:szCs w:val="21"/>
                    </w:rPr>
                    <w:t>的液氧储罐暂存</w:t>
                  </w:r>
                </w:p>
              </w:tc>
            </w:tr>
            <w:tr w14:paraId="17C6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7A1D21D8">
                  <w:pPr>
                    <w:jc w:val="center"/>
                    <w:rPr>
                      <w:rFonts w:hint="eastAsia" w:ascii="宋体" w:hAnsi="宋体" w:cs="宋体"/>
                      <w:color w:val="auto"/>
                      <w:szCs w:val="21"/>
                    </w:rPr>
                  </w:pPr>
                  <w:r>
                    <w:rPr>
                      <w:rFonts w:hint="eastAsia" w:ascii="宋体" w:hAnsi="宋体" w:cs="宋体"/>
                      <w:color w:val="auto"/>
                      <w:szCs w:val="21"/>
                    </w:rPr>
                    <w:t>7</w:t>
                  </w:r>
                </w:p>
              </w:tc>
              <w:tc>
                <w:tcPr>
                  <w:tcW w:w="2276" w:type="dxa"/>
                  <w:vAlign w:val="center"/>
                </w:tcPr>
                <w:p w14:paraId="4AA866D6">
                  <w:pPr>
                    <w:jc w:val="center"/>
                    <w:rPr>
                      <w:rFonts w:hint="eastAsia" w:ascii="宋体" w:hAnsi="宋体" w:cs="宋体"/>
                      <w:color w:val="auto"/>
                      <w:szCs w:val="21"/>
                    </w:rPr>
                  </w:pPr>
                  <w:r>
                    <w:rPr>
                      <w:rFonts w:hint="eastAsia" w:ascii="宋体" w:hAnsi="宋体" w:cs="宋体"/>
                      <w:color w:val="auto"/>
                      <w:szCs w:val="21"/>
                    </w:rPr>
                    <w:t>消毒灵</w:t>
                  </w:r>
                </w:p>
              </w:tc>
              <w:tc>
                <w:tcPr>
                  <w:tcW w:w="1412" w:type="dxa"/>
                  <w:vAlign w:val="center"/>
                </w:tcPr>
                <w:p w14:paraId="397DF3E3">
                  <w:pPr>
                    <w:jc w:val="center"/>
                    <w:rPr>
                      <w:rFonts w:hint="eastAsia" w:ascii="宋体" w:hAnsi="宋体" w:cs="宋体"/>
                      <w:color w:val="auto"/>
                      <w:szCs w:val="21"/>
                    </w:rPr>
                  </w:pPr>
                  <w:r>
                    <w:rPr>
                      <w:rFonts w:hint="eastAsia"/>
                      <w:color w:val="auto"/>
                      <w:szCs w:val="21"/>
                    </w:rPr>
                    <w:t>48包/</w:t>
                  </w:r>
                  <w:r>
                    <w:rPr>
                      <w:rFonts w:hint="eastAsia" w:ascii="宋体" w:hAnsi="宋体" w:cs="宋体"/>
                      <w:color w:val="auto"/>
                      <w:szCs w:val="21"/>
                    </w:rPr>
                    <w:t>a</w:t>
                  </w:r>
                </w:p>
              </w:tc>
              <w:tc>
                <w:tcPr>
                  <w:tcW w:w="1561" w:type="dxa"/>
                  <w:vAlign w:val="center"/>
                </w:tcPr>
                <w:p w14:paraId="300224A1">
                  <w:pPr>
                    <w:jc w:val="center"/>
                    <w:rPr>
                      <w:rFonts w:hint="eastAsia" w:ascii="宋体" w:hAnsi="宋体" w:cs="宋体"/>
                      <w:color w:val="auto"/>
                      <w:szCs w:val="21"/>
                    </w:rPr>
                  </w:pPr>
                  <w:r>
                    <w:rPr>
                      <w:rFonts w:hint="eastAsia" w:ascii="宋体" w:hAnsi="宋体" w:cs="宋体"/>
                      <w:color w:val="auto"/>
                      <w:szCs w:val="21"/>
                    </w:rPr>
                    <w:t>20包</w:t>
                  </w:r>
                </w:p>
              </w:tc>
              <w:tc>
                <w:tcPr>
                  <w:tcW w:w="2404" w:type="dxa"/>
                  <w:vAlign w:val="center"/>
                </w:tcPr>
                <w:p w14:paraId="5D44142C">
                  <w:pPr>
                    <w:jc w:val="center"/>
                    <w:rPr>
                      <w:rFonts w:hint="eastAsia" w:ascii="宋体" w:hAnsi="宋体" w:cs="宋体"/>
                      <w:color w:val="auto"/>
                      <w:szCs w:val="21"/>
                    </w:rPr>
                  </w:pPr>
                </w:p>
              </w:tc>
            </w:tr>
            <w:tr w14:paraId="0029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3CF8144D">
                  <w:pPr>
                    <w:jc w:val="center"/>
                    <w:rPr>
                      <w:rFonts w:hint="eastAsia" w:ascii="宋体" w:hAnsi="宋体" w:cs="宋体"/>
                      <w:color w:val="auto"/>
                      <w:szCs w:val="21"/>
                    </w:rPr>
                  </w:pPr>
                  <w:r>
                    <w:rPr>
                      <w:rFonts w:hint="eastAsia" w:ascii="宋体" w:hAnsi="宋体" w:cs="宋体"/>
                      <w:color w:val="auto"/>
                      <w:szCs w:val="21"/>
                    </w:rPr>
                    <w:t>二</w:t>
                  </w:r>
                </w:p>
              </w:tc>
              <w:tc>
                <w:tcPr>
                  <w:tcW w:w="7653" w:type="dxa"/>
                  <w:gridSpan w:val="4"/>
                  <w:vAlign w:val="center"/>
                </w:tcPr>
                <w:p w14:paraId="142F930F">
                  <w:pPr>
                    <w:jc w:val="center"/>
                    <w:rPr>
                      <w:rFonts w:hint="eastAsia" w:ascii="宋体" w:hAnsi="宋体" w:cs="宋体"/>
                      <w:color w:val="auto"/>
                      <w:szCs w:val="21"/>
                    </w:rPr>
                  </w:pPr>
                  <w:r>
                    <w:rPr>
                      <w:rFonts w:hint="eastAsia" w:ascii="宋体" w:hAnsi="宋体" w:cs="宋体"/>
                      <w:color w:val="auto"/>
                      <w:szCs w:val="21"/>
                    </w:rPr>
                    <w:t>能源</w:t>
                  </w:r>
                </w:p>
              </w:tc>
            </w:tr>
            <w:tr w14:paraId="0C77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50234B79">
                  <w:pPr>
                    <w:jc w:val="center"/>
                    <w:rPr>
                      <w:rFonts w:hint="eastAsia" w:ascii="宋体" w:hAnsi="宋体" w:cs="宋体"/>
                      <w:color w:val="auto"/>
                      <w:szCs w:val="21"/>
                    </w:rPr>
                  </w:pPr>
                  <w:r>
                    <w:rPr>
                      <w:rFonts w:hint="eastAsia" w:ascii="宋体" w:hAnsi="宋体" w:cs="宋体"/>
                      <w:color w:val="auto"/>
                      <w:szCs w:val="21"/>
                    </w:rPr>
                    <w:t>1</w:t>
                  </w:r>
                </w:p>
              </w:tc>
              <w:tc>
                <w:tcPr>
                  <w:tcW w:w="2276" w:type="dxa"/>
                  <w:vAlign w:val="center"/>
                </w:tcPr>
                <w:p w14:paraId="75133A7F">
                  <w:pPr>
                    <w:jc w:val="center"/>
                    <w:rPr>
                      <w:rFonts w:hint="eastAsia" w:ascii="宋体" w:hAnsi="宋体" w:cs="宋体"/>
                      <w:color w:val="auto"/>
                      <w:szCs w:val="21"/>
                    </w:rPr>
                  </w:pPr>
                  <w:r>
                    <w:rPr>
                      <w:rFonts w:hint="eastAsia" w:ascii="宋体" w:hAnsi="宋体" w:cs="宋体"/>
                      <w:color w:val="auto"/>
                      <w:szCs w:val="21"/>
                    </w:rPr>
                    <w:t>水</w:t>
                  </w:r>
                </w:p>
              </w:tc>
              <w:tc>
                <w:tcPr>
                  <w:tcW w:w="1412" w:type="dxa"/>
                  <w:vAlign w:val="center"/>
                </w:tcPr>
                <w:p w14:paraId="7DB804AE">
                  <w:pPr>
                    <w:jc w:val="center"/>
                    <w:rPr>
                      <w:rFonts w:hint="eastAsia" w:ascii="宋体" w:hAnsi="宋体" w:cs="宋体"/>
                      <w:color w:val="auto"/>
                      <w:szCs w:val="21"/>
                    </w:rPr>
                  </w:pPr>
                  <w:r>
                    <w:rPr>
                      <w:rFonts w:hint="eastAsia" w:ascii="宋体" w:hAnsi="宋体" w:cs="宋体"/>
                      <w:color w:val="auto"/>
                      <w:szCs w:val="21"/>
                    </w:rPr>
                    <w:t>3910t/a</w:t>
                  </w:r>
                </w:p>
              </w:tc>
              <w:tc>
                <w:tcPr>
                  <w:tcW w:w="1561" w:type="dxa"/>
                  <w:vAlign w:val="center"/>
                </w:tcPr>
                <w:p w14:paraId="179892CE">
                  <w:pPr>
                    <w:jc w:val="center"/>
                    <w:rPr>
                      <w:rFonts w:hint="eastAsia" w:ascii="宋体" w:hAnsi="宋体" w:cs="宋体"/>
                      <w:color w:val="auto"/>
                      <w:szCs w:val="21"/>
                    </w:rPr>
                  </w:pPr>
                  <w:r>
                    <w:rPr>
                      <w:rFonts w:hint="eastAsia" w:ascii="宋体" w:hAnsi="宋体" w:cs="宋体"/>
                      <w:color w:val="auto"/>
                      <w:szCs w:val="21"/>
                    </w:rPr>
                    <w:t>/</w:t>
                  </w:r>
                </w:p>
              </w:tc>
              <w:tc>
                <w:tcPr>
                  <w:tcW w:w="2404" w:type="dxa"/>
                  <w:vAlign w:val="center"/>
                </w:tcPr>
                <w:p w14:paraId="5344AB99">
                  <w:pPr>
                    <w:jc w:val="center"/>
                    <w:rPr>
                      <w:rFonts w:hint="eastAsia" w:ascii="宋体" w:hAnsi="宋体" w:cs="宋体"/>
                      <w:color w:val="auto"/>
                      <w:szCs w:val="21"/>
                    </w:rPr>
                  </w:pPr>
                  <w:r>
                    <w:rPr>
                      <w:rFonts w:hint="eastAsia" w:ascii="宋体" w:hAnsi="宋体" w:cs="宋体"/>
                      <w:color w:val="auto"/>
                      <w:szCs w:val="21"/>
                    </w:rPr>
                    <w:t>市政供水管网</w:t>
                  </w:r>
                </w:p>
              </w:tc>
            </w:tr>
            <w:tr w14:paraId="234B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44" w:type="dxa"/>
                  <w:vAlign w:val="center"/>
                </w:tcPr>
                <w:p w14:paraId="6DE6B961">
                  <w:pPr>
                    <w:jc w:val="center"/>
                    <w:rPr>
                      <w:rFonts w:hint="eastAsia" w:ascii="宋体" w:hAnsi="宋体" w:cs="宋体"/>
                      <w:color w:val="auto"/>
                      <w:szCs w:val="21"/>
                    </w:rPr>
                  </w:pPr>
                  <w:r>
                    <w:rPr>
                      <w:rFonts w:hint="eastAsia" w:ascii="宋体" w:hAnsi="宋体" w:cs="宋体"/>
                      <w:color w:val="auto"/>
                      <w:szCs w:val="21"/>
                    </w:rPr>
                    <w:t>2</w:t>
                  </w:r>
                </w:p>
              </w:tc>
              <w:tc>
                <w:tcPr>
                  <w:tcW w:w="2276" w:type="dxa"/>
                  <w:vAlign w:val="center"/>
                </w:tcPr>
                <w:p w14:paraId="4762B287">
                  <w:pPr>
                    <w:jc w:val="center"/>
                    <w:rPr>
                      <w:rFonts w:hint="eastAsia" w:ascii="宋体" w:hAnsi="宋体" w:cs="宋体"/>
                      <w:color w:val="auto"/>
                      <w:szCs w:val="21"/>
                    </w:rPr>
                  </w:pPr>
                  <w:r>
                    <w:rPr>
                      <w:rFonts w:hint="eastAsia" w:ascii="宋体" w:hAnsi="宋体" w:cs="宋体"/>
                      <w:color w:val="auto"/>
                      <w:szCs w:val="21"/>
                    </w:rPr>
                    <w:t>电</w:t>
                  </w:r>
                </w:p>
              </w:tc>
              <w:tc>
                <w:tcPr>
                  <w:tcW w:w="1412" w:type="dxa"/>
                  <w:vAlign w:val="center"/>
                </w:tcPr>
                <w:p w14:paraId="3067BB49">
                  <w:pPr>
                    <w:jc w:val="center"/>
                    <w:rPr>
                      <w:rFonts w:hint="eastAsia" w:ascii="宋体" w:hAnsi="宋体" w:cs="宋体"/>
                      <w:color w:val="auto"/>
                      <w:szCs w:val="21"/>
                    </w:rPr>
                  </w:pPr>
                  <w:r>
                    <w:rPr>
                      <w:rFonts w:hint="eastAsia" w:ascii="宋体" w:hAnsi="宋体" w:cs="宋体"/>
                      <w:color w:val="auto"/>
                      <w:szCs w:val="21"/>
                    </w:rPr>
                    <w:t>68796kW.h</w:t>
                  </w:r>
                </w:p>
              </w:tc>
              <w:tc>
                <w:tcPr>
                  <w:tcW w:w="1561" w:type="dxa"/>
                  <w:vAlign w:val="center"/>
                </w:tcPr>
                <w:p w14:paraId="1688BBFC">
                  <w:pPr>
                    <w:jc w:val="center"/>
                    <w:rPr>
                      <w:rFonts w:hint="eastAsia" w:ascii="宋体" w:hAnsi="宋体" w:cs="宋体"/>
                      <w:color w:val="auto"/>
                      <w:szCs w:val="21"/>
                    </w:rPr>
                  </w:pPr>
                  <w:r>
                    <w:rPr>
                      <w:rFonts w:hint="eastAsia" w:ascii="宋体" w:hAnsi="宋体" w:cs="宋体"/>
                      <w:color w:val="auto"/>
                      <w:szCs w:val="21"/>
                    </w:rPr>
                    <w:t>/</w:t>
                  </w:r>
                </w:p>
              </w:tc>
              <w:tc>
                <w:tcPr>
                  <w:tcW w:w="2404" w:type="dxa"/>
                  <w:vAlign w:val="center"/>
                </w:tcPr>
                <w:p w14:paraId="16A06B92">
                  <w:pPr>
                    <w:jc w:val="center"/>
                    <w:rPr>
                      <w:rFonts w:hint="eastAsia" w:ascii="宋体" w:hAnsi="宋体" w:cs="宋体"/>
                      <w:color w:val="auto"/>
                      <w:szCs w:val="21"/>
                    </w:rPr>
                  </w:pPr>
                  <w:r>
                    <w:rPr>
                      <w:rFonts w:hint="eastAsia" w:ascii="宋体" w:hAnsi="宋体" w:cs="宋体"/>
                      <w:color w:val="auto"/>
                      <w:szCs w:val="21"/>
                    </w:rPr>
                    <w:t>市政供电电网</w:t>
                  </w:r>
                </w:p>
              </w:tc>
            </w:tr>
            <w:tr w14:paraId="601C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44" w:type="dxa"/>
                  <w:vAlign w:val="center"/>
                </w:tcPr>
                <w:p w14:paraId="21EBB17F">
                  <w:pPr>
                    <w:jc w:val="center"/>
                    <w:rPr>
                      <w:rFonts w:hint="eastAsia" w:ascii="宋体" w:hAnsi="宋体" w:cs="宋体"/>
                      <w:color w:val="auto"/>
                      <w:szCs w:val="21"/>
                    </w:rPr>
                  </w:pPr>
                  <w:r>
                    <w:rPr>
                      <w:rFonts w:hint="eastAsia" w:ascii="宋体" w:hAnsi="宋体" w:cs="宋体"/>
                      <w:color w:val="auto"/>
                      <w:szCs w:val="21"/>
                    </w:rPr>
                    <w:t>3</w:t>
                  </w:r>
                </w:p>
              </w:tc>
              <w:tc>
                <w:tcPr>
                  <w:tcW w:w="2276" w:type="dxa"/>
                  <w:vAlign w:val="center"/>
                </w:tcPr>
                <w:p w14:paraId="6A0518B8">
                  <w:pPr>
                    <w:jc w:val="center"/>
                    <w:rPr>
                      <w:rFonts w:hint="eastAsia" w:ascii="宋体" w:hAnsi="宋体" w:cs="宋体"/>
                      <w:color w:val="auto"/>
                      <w:szCs w:val="21"/>
                    </w:rPr>
                  </w:pPr>
                  <w:r>
                    <w:rPr>
                      <w:rFonts w:hint="eastAsia" w:ascii="宋体" w:hAnsi="宋体" w:cs="宋体"/>
                      <w:color w:val="auto"/>
                      <w:szCs w:val="21"/>
                    </w:rPr>
                    <w:t>柴油</w:t>
                  </w:r>
                </w:p>
              </w:tc>
              <w:tc>
                <w:tcPr>
                  <w:tcW w:w="1412" w:type="dxa"/>
                  <w:vAlign w:val="center"/>
                </w:tcPr>
                <w:p w14:paraId="609244E6">
                  <w:pPr>
                    <w:jc w:val="center"/>
                    <w:rPr>
                      <w:rFonts w:hint="eastAsia" w:ascii="宋体" w:hAnsi="宋体" w:cs="宋体"/>
                      <w:color w:val="auto"/>
                      <w:szCs w:val="21"/>
                    </w:rPr>
                  </w:pPr>
                  <w:r>
                    <w:rPr>
                      <w:rFonts w:hint="eastAsia" w:ascii="宋体" w:hAnsi="宋体" w:cs="宋体"/>
                      <w:color w:val="auto"/>
                      <w:szCs w:val="21"/>
                    </w:rPr>
                    <w:t>0.032t/a</w:t>
                  </w:r>
                </w:p>
              </w:tc>
              <w:tc>
                <w:tcPr>
                  <w:tcW w:w="1561" w:type="dxa"/>
                  <w:vAlign w:val="center"/>
                </w:tcPr>
                <w:p w14:paraId="666A27A2">
                  <w:pPr>
                    <w:jc w:val="center"/>
                    <w:rPr>
                      <w:rFonts w:hint="eastAsia" w:ascii="宋体" w:hAnsi="宋体" w:cs="宋体"/>
                      <w:color w:val="auto"/>
                      <w:szCs w:val="21"/>
                    </w:rPr>
                  </w:pPr>
                </w:p>
              </w:tc>
              <w:tc>
                <w:tcPr>
                  <w:tcW w:w="2404" w:type="dxa"/>
                  <w:vAlign w:val="center"/>
                </w:tcPr>
                <w:p w14:paraId="117F6A44">
                  <w:pPr>
                    <w:jc w:val="center"/>
                    <w:rPr>
                      <w:rFonts w:hint="eastAsia" w:ascii="宋体" w:hAnsi="宋体" w:cs="宋体"/>
                      <w:color w:val="auto"/>
                      <w:szCs w:val="21"/>
                    </w:rPr>
                  </w:pPr>
                  <w:r>
                    <w:rPr>
                      <w:rFonts w:hint="eastAsia"/>
                      <w:color w:val="auto"/>
                      <w:szCs w:val="21"/>
                    </w:rPr>
                    <w:t>柴油发电机使用</w:t>
                  </w:r>
                </w:p>
              </w:tc>
            </w:tr>
          </w:tbl>
          <w:p w14:paraId="3BF06B3D">
            <w:pPr>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21现有项目（纳古卫生院）</w:t>
            </w:r>
            <w:r>
              <w:rPr>
                <w:rFonts w:ascii="宋体" w:hAnsi="宋体" w:cs="宋体"/>
                <w:b/>
                <w:color w:val="auto"/>
                <w:sz w:val="24"/>
              </w:rPr>
              <w:t>主要医疗用品消耗情况</w:t>
            </w:r>
          </w:p>
          <w:tbl>
            <w:tblPr>
              <w:tblStyle w:val="33"/>
              <w:tblW w:w="8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2276"/>
              <w:gridCol w:w="1412"/>
              <w:gridCol w:w="1561"/>
              <w:gridCol w:w="2404"/>
            </w:tblGrid>
            <w:tr w14:paraId="6A8D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blHeader/>
                <w:jc w:val="center"/>
              </w:trPr>
              <w:tc>
                <w:tcPr>
                  <w:tcW w:w="544" w:type="dxa"/>
                  <w:vAlign w:val="center"/>
                </w:tcPr>
                <w:p w14:paraId="114ED0CA">
                  <w:pPr>
                    <w:jc w:val="center"/>
                    <w:rPr>
                      <w:rFonts w:hint="eastAsia" w:ascii="宋体" w:hAnsi="宋体" w:cs="宋体"/>
                      <w:color w:val="auto"/>
                      <w:szCs w:val="21"/>
                    </w:rPr>
                  </w:pPr>
                  <w:r>
                    <w:rPr>
                      <w:rFonts w:hint="eastAsia" w:ascii="宋体" w:hAnsi="宋体" w:cs="宋体"/>
                      <w:color w:val="auto"/>
                      <w:szCs w:val="21"/>
                    </w:rPr>
                    <w:t>序号</w:t>
                  </w:r>
                </w:p>
              </w:tc>
              <w:tc>
                <w:tcPr>
                  <w:tcW w:w="2276" w:type="dxa"/>
                  <w:vAlign w:val="center"/>
                </w:tcPr>
                <w:p w14:paraId="17AC8FC1">
                  <w:pPr>
                    <w:jc w:val="center"/>
                    <w:rPr>
                      <w:rFonts w:hint="eastAsia" w:ascii="宋体" w:hAnsi="宋体" w:cs="宋体"/>
                      <w:color w:val="auto"/>
                      <w:szCs w:val="21"/>
                    </w:rPr>
                  </w:pPr>
                  <w:r>
                    <w:rPr>
                      <w:rFonts w:hint="eastAsia" w:ascii="宋体" w:hAnsi="宋体" w:cs="宋体"/>
                      <w:color w:val="auto"/>
                      <w:szCs w:val="21"/>
                    </w:rPr>
                    <w:t>医疗用品</w:t>
                  </w:r>
                </w:p>
              </w:tc>
              <w:tc>
                <w:tcPr>
                  <w:tcW w:w="1412" w:type="dxa"/>
                  <w:vAlign w:val="center"/>
                </w:tcPr>
                <w:p w14:paraId="5213A5B2">
                  <w:pPr>
                    <w:jc w:val="center"/>
                    <w:rPr>
                      <w:rFonts w:hint="eastAsia" w:ascii="宋体" w:hAnsi="宋体" w:cs="宋体"/>
                      <w:color w:val="auto"/>
                      <w:szCs w:val="21"/>
                    </w:rPr>
                  </w:pPr>
                  <w:r>
                    <w:rPr>
                      <w:rFonts w:hint="eastAsia" w:ascii="宋体" w:hAnsi="宋体" w:cs="宋体"/>
                      <w:color w:val="auto"/>
                      <w:szCs w:val="21"/>
                    </w:rPr>
                    <w:t>用量</w:t>
                  </w:r>
                </w:p>
              </w:tc>
              <w:tc>
                <w:tcPr>
                  <w:tcW w:w="1561" w:type="dxa"/>
                  <w:vAlign w:val="center"/>
                </w:tcPr>
                <w:p w14:paraId="56C87B8C">
                  <w:pPr>
                    <w:jc w:val="center"/>
                    <w:rPr>
                      <w:rFonts w:hint="eastAsia" w:ascii="宋体" w:hAnsi="宋体" w:cs="宋体"/>
                      <w:color w:val="auto"/>
                      <w:szCs w:val="21"/>
                    </w:rPr>
                  </w:pPr>
                  <w:r>
                    <w:rPr>
                      <w:rFonts w:hint="eastAsia" w:ascii="宋体" w:hAnsi="宋体" w:cs="宋体"/>
                      <w:color w:val="auto"/>
                      <w:szCs w:val="21"/>
                    </w:rPr>
                    <w:t>院内最大存储量</w:t>
                  </w:r>
                </w:p>
              </w:tc>
              <w:tc>
                <w:tcPr>
                  <w:tcW w:w="2404" w:type="dxa"/>
                  <w:vAlign w:val="center"/>
                </w:tcPr>
                <w:p w14:paraId="64389A8D">
                  <w:pPr>
                    <w:jc w:val="center"/>
                    <w:rPr>
                      <w:rFonts w:hint="eastAsia" w:ascii="宋体" w:hAnsi="宋体" w:cs="宋体"/>
                      <w:color w:val="auto"/>
                      <w:szCs w:val="21"/>
                    </w:rPr>
                  </w:pPr>
                  <w:r>
                    <w:rPr>
                      <w:rFonts w:hint="eastAsia" w:ascii="宋体" w:hAnsi="宋体" w:cs="宋体"/>
                      <w:color w:val="auto"/>
                      <w:szCs w:val="21"/>
                    </w:rPr>
                    <w:t>备注</w:t>
                  </w:r>
                </w:p>
              </w:tc>
            </w:tr>
            <w:tr w14:paraId="2CF5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544" w:type="dxa"/>
                  <w:vAlign w:val="center"/>
                </w:tcPr>
                <w:p w14:paraId="62E04411">
                  <w:pPr>
                    <w:jc w:val="center"/>
                    <w:rPr>
                      <w:rFonts w:hint="eastAsia" w:ascii="宋体" w:hAnsi="宋体" w:cs="宋体"/>
                      <w:color w:val="auto"/>
                      <w:szCs w:val="21"/>
                    </w:rPr>
                  </w:pPr>
                  <w:r>
                    <w:rPr>
                      <w:rFonts w:hint="eastAsia" w:ascii="宋体" w:hAnsi="宋体" w:cs="宋体"/>
                      <w:color w:val="auto"/>
                      <w:szCs w:val="21"/>
                    </w:rPr>
                    <w:t>一</w:t>
                  </w:r>
                </w:p>
              </w:tc>
              <w:tc>
                <w:tcPr>
                  <w:tcW w:w="7653" w:type="dxa"/>
                  <w:gridSpan w:val="4"/>
                  <w:vAlign w:val="center"/>
                </w:tcPr>
                <w:p w14:paraId="50A033F0">
                  <w:pPr>
                    <w:jc w:val="center"/>
                    <w:rPr>
                      <w:rFonts w:hint="eastAsia" w:ascii="宋体" w:hAnsi="宋体" w:cs="宋体"/>
                      <w:color w:val="auto"/>
                      <w:szCs w:val="21"/>
                    </w:rPr>
                  </w:pPr>
                  <w:r>
                    <w:rPr>
                      <w:rFonts w:hint="eastAsia" w:ascii="宋体" w:hAnsi="宋体" w:cs="宋体"/>
                      <w:color w:val="auto"/>
                      <w:szCs w:val="21"/>
                    </w:rPr>
                    <w:t>原辅料</w:t>
                  </w:r>
                </w:p>
              </w:tc>
            </w:tr>
            <w:tr w14:paraId="7849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44" w:type="dxa"/>
                  <w:vAlign w:val="center"/>
                </w:tcPr>
                <w:p w14:paraId="5EE50C2F">
                  <w:pPr>
                    <w:jc w:val="center"/>
                    <w:rPr>
                      <w:rFonts w:hint="eastAsia" w:ascii="宋体" w:hAnsi="宋体" w:cs="宋体"/>
                      <w:color w:val="auto"/>
                      <w:szCs w:val="21"/>
                    </w:rPr>
                  </w:pPr>
                  <w:r>
                    <w:rPr>
                      <w:rFonts w:hint="eastAsia" w:ascii="宋体" w:hAnsi="宋体" w:cs="宋体"/>
                      <w:color w:val="auto"/>
                      <w:szCs w:val="21"/>
                    </w:rPr>
                    <w:t>1</w:t>
                  </w:r>
                </w:p>
              </w:tc>
              <w:tc>
                <w:tcPr>
                  <w:tcW w:w="2276" w:type="dxa"/>
                  <w:vAlign w:val="center"/>
                </w:tcPr>
                <w:p w14:paraId="141143D7">
                  <w:pPr>
                    <w:jc w:val="center"/>
                    <w:rPr>
                      <w:rFonts w:hint="eastAsia" w:ascii="宋体" w:hAnsi="宋体" w:cs="宋体"/>
                      <w:color w:val="auto"/>
                      <w:szCs w:val="21"/>
                    </w:rPr>
                  </w:pPr>
                  <w:r>
                    <w:rPr>
                      <w:rFonts w:hint="eastAsia" w:ascii="宋体" w:hAnsi="宋体" w:cs="宋体"/>
                      <w:color w:val="auto"/>
                      <w:szCs w:val="21"/>
                    </w:rPr>
                    <w:t>注射器</w:t>
                  </w:r>
                </w:p>
              </w:tc>
              <w:tc>
                <w:tcPr>
                  <w:tcW w:w="1412" w:type="dxa"/>
                  <w:vAlign w:val="center"/>
                </w:tcPr>
                <w:p w14:paraId="75643DA2">
                  <w:pPr>
                    <w:jc w:val="center"/>
                    <w:rPr>
                      <w:rFonts w:hint="eastAsia" w:ascii="宋体" w:hAnsi="宋体" w:cs="宋体"/>
                      <w:color w:val="auto"/>
                      <w:szCs w:val="21"/>
                    </w:rPr>
                  </w:pPr>
                  <w:r>
                    <w:rPr>
                      <w:rFonts w:hint="eastAsia" w:ascii="宋体" w:hAnsi="宋体" w:cs="宋体"/>
                      <w:color w:val="auto"/>
                      <w:szCs w:val="21"/>
                    </w:rPr>
                    <w:t>15600个/a</w:t>
                  </w:r>
                </w:p>
              </w:tc>
              <w:tc>
                <w:tcPr>
                  <w:tcW w:w="1561" w:type="dxa"/>
                  <w:vAlign w:val="center"/>
                </w:tcPr>
                <w:p w14:paraId="219D6857">
                  <w:pPr>
                    <w:jc w:val="center"/>
                    <w:rPr>
                      <w:rFonts w:hint="eastAsia" w:ascii="宋体" w:hAnsi="宋体" w:cs="宋体"/>
                      <w:color w:val="auto"/>
                      <w:szCs w:val="21"/>
                    </w:rPr>
                  </w:pPr>
                  <w:r>
                    <w:rPr>
                      <w:rFonts w:hint="eastAsia" w:ascii="宋体" w:hAnsi="宋体" w:cs="宋体"/>
                      <w:color w:val="auto"/>
                      <w:szCs w:val="21"/>
                    </w:rPr>
                    <w:t>1200个</w:t>
                  </w:r>
                </w:p>
              </w:tc>
              <w:tc>
                <w:tcPr>
                  <w:tcW w:w="2404" w:type="dxa"/>
                  <w:vAlign w:val="center"/>
                </w:tcPr>
                <w:p w14:paraId="2EB88814">
                  <w:pPr>
                    <w:jc w:val="center"/>
                    <w:rPr>
                      <w:rFonts w:hint="eastAsia" w:ascii="宋体" w:hAnsi="宋体" w:cs="宋体"/>
                      <w:color w:val="auto"/>
                      <w:szCs w:val="21"/>
                    </w:rPr>
                  </w:pPr>
                  <w:r>
                    <w:rPr>
                      <w:rFonts w:hint="eastAsia" w:ascii="宋体" w:hAnsi="宋体" w:cs="宋体"/>
                      <w:color w:val="auto"/>
                      <w:szCs w:val="21"/>
                    </w:rPr>
                    <w:t>/</w:t>
                  </w:r>
                </w:p>
              </w:tc>
            </w:tr>
            <w:tr w14:paraId="48B8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44" w:type="dxa"/>
                  <w:vAlign w:val="center"/>
                </w:tcPr>
                <w:p w14:paraId="2DA116FD">
                  <w:pPr>
                    <w:jc w:val="center"/>
                    <w:rPr>
                      <w:rFonts w:hint="eastAsia" w:ascii="宋体" w:hAnsi="宋体" w:cs="宋体"/>
                      <w:color w:val="auto"/>
                      <w:szCs w:val="21"/>
                    </w:rPr>
                  </w:pPr>
                  <w:r>
                    <w:rPr>
                      <w:rFonts w:hint="eastAsia" w:ascii="宋体" w:hAnsi="宋体" w:cs="宋体"/>
                      <w:color w:val="auto"/>
                      <w:szCs w:val="21"/>
                    </w:rPr>
                    <w:t>2</w:t>
                  </w:r>
                </w:p>
              </w:tc>
              <w:tc>
                <w:tcPr>
                  <w:tcW w:w="2276" w:type="dxa"/>
                  <w:vAlign w:val="center"/>
                </w:tcPr>
                <w:p w14:paraId="17FBC533">
                  <w:pPr>
                    <w:jc w:val="center"/>
                    <w:rPr>
                      <w:rFonts w:hint="eastAsia" w:ascii="宋体" w:hAnsi="宋体" w:cs="宋体"/>
                      <w:color w:val="auto"/>
                      <w:szCs w:val="21"/>
                    </w:rPr>
                  </w:pPr>
                  <w:r>
                    <w:rPr>
                      <w:rFonts w:hint="eastAsia" w:ascii="宋体" w:hAnsi="宋体" w:cs="宋体"/>
                      <w:color w:val="auto"/>
                      <w:szCs w:val="21"/>
                    </w:rPr>
                    <w:t>输液管</w:t>
                  </w:r>
                </w:p>
              </w:tc>
              <w:tc>
                <w:tcPr>
                  <w:tcW w:w="1412" w:type="dxa"/>
                  <w:vAlign w:val="center"/>
                </w:tcPr>
                <w:p w14:paraId="30C8EE79">
                  <w:pPr>
                    <w:jc w:val="center"/>
                    <w:rPr>
                      <w:rFonts w:hint="eastAsia" w:ascii="宋体" w:hAnsi="宋体" w:cs="宋体"/>
                      <w:color w:val="auto"/>
                      <w:szCs w:val="21"/>
                    </w:rPr>
                  </w:pPr>
                  <w:r>
                    <w:rPr>
                      <w:rFonts w:hint="eastAsia" w:ascii="宋体" w:hAnsi="宋体" w:cs="宋体"/>
                      <w:color w:val="auto"/>
                      <w:szCs w:val="21"/>
                    </w:rPr>
                    <w:t>7200套/a</w:t>
                  </w:r>
                </w:p>
              </w:tc>
              <w:tc>
                <w:tcPr>
                  <w:tcW w:w="1561" w:type="dxa"/>
                  <w:vAlign w:val="center"/>
                </w:tcPr>
                <w:p w14:paraId="27717399">
                  <w:pPr>
                    <w:jc w:val="center"/>
                    <w:rPr>
                      <w:rFonts w:hint="eastAsia" w:ascii="宋体" w:hAnsi="宋体" w:cs="宋体"/>
                      <w:color w:val="auto"/>
                      <w:szCs w:val="21"/>
                    </w:rPr>
                  </w:pPr>
                  <w:r>
                    <w:rPr>
                      <w:rFonts w:hint="eastAsia" w:ascii="宋体" w:hAnsi="宋体" w:cs="宋体"/>
                      <w:color w:val="auto"/>
                      <w:szCs w:val="21"/>
                    </w:rPr>
                    <w:t>800套</w:t>
                  </w:r>
                </w:p>
              </w:tc>
              <w:tc>
                <w:tcPr>
                  <w:tcW w:w="2404" w:type="dxa"/>
                  <w:vAlign w:val="center"/>
                </w:tcPr>
                <w:p w14:paraId="466C6DAD">
                  <w:pPr>
                    <w:jc w:val="center"/>
                    <w:rPr>
                      <w:rFonts w:hint="eastAsia" w:ascii="宋体" w:hAnsi="宋体" w:cs="宋体"/>
                      <w:color w:val="auto"/>
                      <w:szCs w:val="21"/>
                    </w:rPr>
                  </w:pPr>
                  <w:r>
                    <w:rPr>
                      <w:rFonts w:hint="eastAsia" w:ascii="宋体" w:hAnsi="宋体" w:cs="宋体"/>
                      <w:color w:val="auto"/>
                      <w:szCs w:val="21"/>
                    </w:rPr>
                    <w:t>/</w:t>
                  </w:r>
                </w:p>
              </w:tc>
            </w:tr>
            <w:tr w14:paraId="0109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4" w:type="dxa"/>
                  <w:vAlign w:val="center"/>
                </w:tcPr>
                <w:p w14:paraId="66975973">
                  <w:pPr>
                    <w:jc w:val="center"/>
                    <w:rPr>
                      <w:rFonts w:hint="eastAsia" w:ascii="宋体" w:hAnsi="宋体" w:cs="宋体"/>
                      <w:color w:val="auto"/>
                      <w:szCs w:val="21"/>
                    </w:rPr>
                  </w:pPr>
                  <w:r>
                    <w:rPr>
                      <w:rFonts w:hint="eastAsia" w:ascii="宋体" w:hAnsi="宋体" w:cs="宋体"/>
                      <w:color w:val="auto"/>
                      <w:szCs w:val="21"/>
                    </w:rPr>
                    <w:t>3</w:t>
                  </w:r>
                </w:p>
              </w:tc>
              <w:tc>
                <w:tcPr>
                  <w:tcW w:w="2276" w:type="dxa"/>
                  <w:vAlign w:val="center"/>
                </w:tcPr>
                <w:p w14:paraId="574F7B19">
                  <w:pPr>
                    <w:jc w:val="center"/>
                    <w:rPr>
                      <w:rFonts w:hint="eastAsia" w:ascii="宋体" w:hAnsi="宋体" w:cs="宋体"/>
                      <w:color w:val="auto"/>
                      <w:szCs w:val="21"/>
                    </w:rPr>
                  </w:pPr>
                  <w:r>
                    <w:rPr>
                      <w:rFonts w:hint="eastAsia" w:ascii="宋体" w:hAnsi="宋体" w:cs="宋体"/>
                      <w:color w:val="auto"/>
                      <w:szCs w:val="21"/>
                    </w:rPr>
                    <w:t>医用棉花</w:t>
                  </w:r>
                </w:p>
              </w:tc>
              <w:tc>
                <w:tcPr>
                  <w:tcW w:w="1412" w:type="dxa"/>
                  <w:vAlign w:val="center"/>
                </w:tcPr>
                <w:p w14:paraId="1F32649F">
                  <w:pPr>
                    <w:jc w:val="center"/>
                    <w:rPr>
                      <w:rFonts w:hint="eastAsia" w:ascii="宋体" w:hAnsi="宋体" w:cs="宋体"/>
                      <w:color w:val="auto"/>
                      <w:szCs w:val="21"/>
                    </w:rPr>
                  </w:pPr>
                  <w:r>
                    <w:rPr>
                      <w:rFonts w:hint="eastAsia" w:ascii="宋体" w:hAnsi="宋体" w:cs="宋体"/>
                      <w:color w:val="auto"/>
                      <w:szCs w:val="21"/>
                    </w:rPr>
                    <w:t>288包/a</w:t>
                  </w:r>
                </w:p>
              </w:tc>
              <w:tc>
                <w:tcPr>
                  <w:tcW w:w="1561" w:type="dxa"/>
                  <w:vAlign w:val="center"/>
                </w:tcPr>
                <w:p w14:paraId="6B4AE8DF">
                  <w:pPr>
                    <w:jc w:val="center"/>
                    <w:rPr>
                      <w:rFonts w:hint="eastAsia" w:ascii="宋体" w:hAnsi="宋体" w:cs="宋体"/>
                      <w:color w:val="auto"/>
                      <w:szCs w:val="21"/>
                    </w:rPr>
                  </w:pPr>
                  <w:r>
                    <w:rPr>
                      <w:rFonts w:hint="eastAsia" w:ascii="宋体" w:hAnsi="宋体" w:cs="宋体"/>
                      <w:color w:val="auto"/>
                      <w:szCs w:val="21"/>
                    </w:rPr>
                    <w:t>50包</w:t>
                  </w:r>
                </w:p>
              </w:tc>
              <w:tc>
                <w:tcPr>
                  <w:tcW w:w="2404" w:type="dxa"/>
                  <w:vAlign w:val="center"/>
                </w:tcPr>
                <w:p w14:paraId="33D4AD4C">
                  <w:pPr>
                    <w:jc w:val="center"/>
                    <w:rPr>
                      <w:rFonts w:hint="eastAsia" w:ascii="宋体" w:hAnsi="宋体" w:cs="宋体"/>
                      <w:color w:val="auto"/>
                      <w:szCs w:val="21"/>
                    </w:rPr>
                  </w:pPr>
                  <w:r>
                    <w:rPr>
                      <w:rFonts w:hint="eastAsia" w:ascii="宋体" w:hAnsi="宋体" w:cs="宋体"/>
                      <w:color w:val="auto"/>
                      <w:szCs w:val="21"/>
                    </w:rPr>
                    <w:t>/</w:t>
                  </w:r>
                </w:p>
              </w:tc>
            </w:tr>
            <w:tr w14:paraId="76F6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44" w:type="dxa"/>
                  <w:vAlign w:val="center"/>
                </w:tcPr>
                <w:p w14:paraId="517330B2">
                  <w:pPr>
                    <w:jc w:val="center"/>
                    <w:rPr>
                      <w:rFonts w:hint="eastAsia" w:ascii="宋体" w:hAnsi="宋体" w:cs="宋体"/>
                      <w:color w:val="auto"/>
                      <w:szCs w:val="21"/>
                    </w:rPr>
                  </w:pPr>
                  <w:r>
                    <w:rPr>
                      <w:rFonts w:hint="eastAsia" w:ascii="宋体" w:hAnsi="宋体" w:cs="宋体"/>
                      <w:color w:val="auto"/>
                      <w:szCs w:val="21"/>
                    </w:rPr>
                    <w:t>4</w:t>
                  </w:r>
                </w:p>
              </w:tc>
              <w:tc>
                <w:tcPr>
                  <w:tcW w:w="2276" w:type="dxa"/>
                  <w:vAlign w:val="center"/>
                </w:tcPr>
                <w:p w14:paraId="4B1FF3A8">
                  <w:pPr>
                    <w:jc w:val="center"/>
                    <w:rPr>
                      <w:rFonts w:hint="eastAsia" w:ascii="宋体" w:hAnsi="宋体" w:cs="宋体"/>
                      <w:color w:val="auto"/>
                      <w:szCs w:val="21"/>
                    </w:rPr>
                  </w:pPr>
                  <w:r>
                    <w:rPr>
                      <w:rFonts w:hint="eastAsia" w:ascii="宋体" w:hAnsi="宋体" w:cs="宋体"/>
                      <w:color w:val="auto"/>
                      <w:szCs w:val="21"/>
                    </w:rPr>
                    <w:t>纱布</w:t>
                  </w:r>
                </w:p>
              </w:tc>
              <w:tc>
                <w:tcPr>
                  <w:tcW w:w="1412" w:type="dxa"/>
                  <w:vAlign w:val="center"/>
                </w:tcPr>
                <w:p w14:paraId="23D354EA">
                  <w:pPr>
                    <w:jc w:val="center"/>
                    <w:rPr>
                      <w:rFonts w:hint="eastAsia" w:ascii="宋体" w:hAnsi="宋体" w:cs="宋体"/>
                      <w:color w:val="auto"/>
                      <w:szCs w:val="21"/>
                    </w:rPr>
                  </w:pPr>
                  <w:r>
                    <w:rPr>
                      <w:rFonts w:hint="eastAsia" w:ascii="宋体" w:hAnsi="宋体" w:cs="宋体"/>
                      <w:color w:val="auto"/>
                      <w:szCs w:val="21"/>
                    </w:rPr>
                    <w:t>6720包/a</w:t>
                  </w:r>
                </w:p>
              </w:tc>
              <w:tc>
                <w:tcPr>
                  <w:tcW w:w="1561" w:type="dxa"/>
                  <w:vAlign w:val="center"/>
                </w:tcPr>
                <w:p w14:paraId="7D6D6986">
                  <w:pPr>
                    <w:jc w:val="center"/>
                    <w:rPr>
                      <w:rFonts w:hint="eastAsia" w:ascii="宋体" w:hAnsi="宋体" w:cs="宋体"/>
                      <w:color w:val="auto"/>
                      <w:szCs w:val="21"/>
                    </w:rPr>
                  </w:pPr>
                  <w:r>
                    <w:rPr>
                      <w:rFonts w:hint="eastAsia" w:ascii="宋体" w:hAnsi="宋体" w:cs="宋体"/>
                      <w:color w:val="auto"/>
                      <w:szCs w:val="21"/>
                    </w:rPr>
                    <w:t>480包</w:t>
                  </w:r>
                </w:p>
              </w:tc>
              <w:tc>
                <w:tcPr>
                  <w:tcW w:w="2404" w:type="dxa"/>
                  <w:vAlign w:val="center"/>
                </w:tcPr>
                <w:p w14:paraId="697635AF">
                  <w:pPr>
                    <w:jc w:val="center"/>
                    <w:rPr>
                      <w:rFonts w:hint="eastAsia" w:ascii="宋体" w:hAnsi="宋体" w:cs="宋体"/>
                      <w:color w:val="auto"/>
                      <w:szCs w:val="21"/>
                    </w:rPr>
                  </w:pPr>
                  <w:r>
                    <w:rPr>
                      <w:rFonts w:hint="eastAsia" w:ascii="宋体" w:hAnsi="宋体" w:cs="宋体"/>
                      <w:color w:val="auto"/>
                      <w:szCs w:val="21"/>
                    </w:rPr>
                    <w:t>/</w:t>
                  </w:r>
                </w:p>
              </w:tc>
            </w:tr>
            <w:tr w14:paraId="3C68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44" w:type="dxa"/>
                  <w:vAlign w:val="center"/>
                </w:tcPr>
                <w:p w14:paraId="669D8F50">
                  <w:pPr>
                    <w:jc w:val="center"/>
                    <w:rPr>
                      <w:rFonts w:hint="eastAsia" w:ascii="宋体" w:hAnsi="宋体" w:cs="宋体"/>
                      <w:color w:val="auto"/>
                      <w:szCs w:val="21"/>
                    </w:rPr>
                  </w:pPr>
                  <w:r>
                    <w:rPr>
                      <w:rFonts w:hint="eastAsia" w:ascii="宋体" w:hAnsi="宋体" w:cs="宋体"/>
                      <w:color w:val="auto"/>
                      <w:szCs w:val="21"/>
                    </w:rPr>
                    <w:t>5</w:t>
                  </w:r>
                </w:p>
              </w:tc>
              <w:tc>
                <w:tcPr>
                  <w:tcW w:w="2276" w:type="dxa"/>
                  <w:vAlign w:val="center"/>
                </w:tcPr>
                <w:p w14:paraId="458FCBB3">
                  <w:pPr>
                    <w:jc w:val="center"/>
                    <w:rPr>
                      <w:rFonts w:hint="eastAsia" w:ascii="宋体" w:hAnsi="宋体" w:cs="宋体"/>
                      <w:color w:val="auto"/>
                      <w:szCs w:val="21"/>
                    </w:rPr>
                  </w:pPr>
                  <w:r>
                    <w:rPr>
                      <w:rFonts w:hint="eastAsia" w:ascii="宋体" w:hAnsi="宋体" w:cs="宋体"/>
                      <w:color w:val="auto"/>
                      <w:szCs w:val="21"/>
                    </w:rPr>
                    <w:t>乙醇</w:t>
                  </w:r>
                </w:p>
              </w:tc>
              <w:tc>
                <w:tcPr>
                  <w:tcW w:w="1412" w:type="dxa"/>
                  <w:vAlign w:val="center"/>
                </w:tcPr>
                <w:p w14:paraId="3886717D">
                  <w:pPr>
                    <w:jc w:val="center"/>
                    <w:rPr>
                      <w:rFonts w:hint="eastAsia" w:ascii="宋体" w:hAnsi="宋体" w:cs="宋体"/>
                      <w:color w:val="auto"/>
                      <w:szCs w:val="21"/>
                    </w:rPr>
                  </w:pPr>
                  <w:r>
                    <w:rPr>
                      <w:rFonts w:hint="eastAsia" w:ascii="宋体" w:hAnsi="宋体" w:cs="宋体"/>
                      <w:color w:val="auto"/>
                      <w:szCs w:val="21"/>
                    </w:rPr>
                    <w:t>500mL×96瓶/年</w:t>
                  </w:r>
                </w:p>
              </w:tc>
              <w:tc>
                <w:tcPr>
                  <w:tcW w:w="1561" w:type="dxa"/>
                  <w:vAlign w:val="center"/>
                </w:tcPr>
                <w:p w14:paraId="18BC8BA0">
                  <w:pPr>
                    <w:jc w:val="center"/>
                    <w:rPr>
                      <w:rFonts w:hint="eastAsia" w:ascii="宋体" w:hAnsi="宋体" w:cs="宋体"/>
                      <w:color w:val="auto"/>
                      <w:szCs w:val="21"/>
                    </w:rPr>
                  </w:pPr>
                  <w:r>
                    <w:rPr>
                      <w:rFonts w:hint="eastAsia" w:ascii="宋体" w:hAnsi="宋体" w:cs="宋体"/>
                      <w:color w:val="auto"/>
                      <w:szCs w:val="21"/>
                    </w:rPr>
                    <w:t>30瓶</w:t>
                  </w:r>
                </w:p>
              </w:tc>
              <w:tc>
                <w:tcPr>
                  <w:tcW w:w="2404" w:type="dxa"/>
                  <w:vAlign w:val="center"/>
                </w:tcPr>
                <w:p w14:paraId="144529FB">
                  <w:pPr>
                    <w:jc w:val="center"/>
                    <w:rPr>
                      <w:rFonts w:hint="eastAsia" w:ascii="宋体" w:hAnsi="宋体" w:cs="宋体"/>
                      <w:color w:val="auto"/>
                      <w:szCs w:val="21"/>
                    </w:rPr>
                  </w:pPr>
                  <w:r>
                    <w:rPr>
                      <w:rFonts w:hint="eastAsia" w:ascii="宋体" w:hAnsi="宋体" w:cs="宋体"/>
                      <w:color w:val="auto"/>
                      <w:szCs w:val="21"/>
                    </w:rPr>
                    <w:t>/</w:t>
                  </w:r>
                </w:p>
              </w:tc>
            </w:tr>
            <w:tr w14:paraId="103B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44" w:type="dxa"/>
                  <w:vAlign w:val="center"/>
                </w:tcPr>
                <w:p w14:paraId="0757C99E">
                  <w:pPr>
                    <w:jc w:val="center"/>
                    <w:rPr>
                      <w:rFonts w:hint="eastAsia" w:ascii="宋体" w:hAnsi="宋体" w:cs="宋体"/>
                      <w:color w:val="auto"/>
                      <w:szCs w:val="21"/>
                    </w:rPr>
                  </w:pPr>
                  <w:r>
                    <w:rPr>
                      <w:rFonts w:hint="eastAsia" w:ascii="宋体" w:hAnsi="宋体" w:cs="宋体"/>
                      <w:color w:val="auto"/>
                      <w:szCs w:val="21"/>
                    </w:rPr>
                    <w:t>6</w:t>
                  </w:r>
                </w:p>
              </w:tc>
              <w:tc>
                <w:tcPr>
                  <w:tcW w:w="2276" w:type="dxa"/>
                  <w:vAlign w:val="center"/>
                </w:tcPr>
                <w:p w14:paraId="4DDE7383">
                  <w:pPr>
                    <w:jc w:val="center"/>
                    <w:rPr>
                      <w:rFonts w:hint="eastAsia" w:ascii="宋体" w:hAnsi="宋体" w:cs="宋体"/>
                      <w:color w:val="auto"/>
                      <w:szCs w:val="21"/>
                    </w:rPr>
                  </w:pPr>
                  <w:r>
                    <w:rPr>
                      <w:rFonts w:hint="eastAsia" w:ascii="宋体" w:hAnsi="宋体" w:cs="宋体"/>
                      <w:color w:val="auto"/>
                      <w:szCs w:val="21"/>
                    </w:rPr>
                    <w:t>氧气</w:t>
                  </w:r>
                </w:p>
              </w:tc>
              <w:tc>
                <w:tcPr>
                  <w:tcW w:w="1412" w:type="dxa"/>
                  <w:vAlign w:val="center"/>
                </w:tcPr>
                <w:p w14:paraId="6A023C82">
                  <w:pPr>
                    <w:jc w:val="center"/>
                    <w:rPr>
                      <w:rFonts w:hint="eastAsia" w:ascii="宋体" w:hAnsi="宋体" w:cs="宋体"/>
                      <w:color w:val="auto"/>
                      <w:szCs w:val="21"/>
                    </w:rPr>
                  </w:pPr>
                  <w:r>
                    <w:rPr>
                      <w:rFonts w:hint="eastAsia"/>
                      <w:color w:val="auto"/>
                      <w:szCs w:val="21"/>
                    </w:rPr>
                    <w:t>36瓶/</w:t>
                  </w:r>
                  <w:r>
                    <w:rPr>
                      <w:rFonts w:hint="eastAsia" w:ascii="宋体" w:hAnsi="宋体" w:cs="宋体"/>
                      <w:color w:val="auto"/>
                      <w:szCs w:val="21"/>
                    </w:rPr>
                    <w:t>a</w:t>
                  </w:r>
                </w:p>
              </w:tc>
              <w:tc>
                <w:tcPr>
                  <w:tcW w:w="1561" w:type="dxa"/>
                  <w:vAlign w:val="center"/>
                </w:tcPr>
                <w:p w14:paraId="72D831D9">
                  <w:pPr>
                    <w:jc w:val="center"/>
                    <w:rPr>
                      <w:rFonts w:hint="eastAsia" w:ascii="宋体" w:hAnsi="宋体" w:cs="宋体"/>
                      <w:color w:val="auto"/>
                      <w:szCs w:val="21"/>
                    </w:rPr>
                  </w:pPr>
                  <w:r>
                    <w:rPr>
                      <w:rFonts w:hint="eastAsia"/>
                      <w:color w:val="auto"/>
                      <w:szCs w:val="21"/>
                    </w:rPr>
                    <w:t>10瓶/年</w:t>
                  </w:r>
                </w:p>
              </w:tc>
              <w:tc>
                <w:tcPr>
                  <w:tcW w:w="2404" w:type="dxa"/>
                  <w:vAlign w:val="center"/>
                </w:tcPr>
                <w:p w14:paraId="6AFD3DE0">
                  <w:pPr>
                    <w:jc w:val="center"/>
                    <w:rPr>
                      <w:rFonts w:hint="eastAsia" w:ascii="宋体" w:hAnsi="宋体" w:cs="宋体"/>
                      <w:color w:val="auto"/>
                      <w:szCs w:val="21"/>
                    </w:rPr>
                  </w:pPr>
                  <w:r>
                    <w:rPr>
                      <w:rFonts w:hint="eastAsia" w:ascii="宋体" w:hAnsi="宋体" w:cs="宋体"/>
                      <w:color w:val="auto"/>
                      <w:szCs w:val="21"/>
                    </w:rPr>
                    <w:t>外购进入5m</w:t>
                  </w:r>
                  <w:r>
                    <w:rPr>
                      <w:rFonts w:hint="eastAsia" w:ascii="宋体" w:hAnsi="宋体" w:cs="宋体"/>
                      <w:color w:val="auto"/>
                      <w:szCs w:val="21"/>
                      <w:vertAlign w:val="superscript"/>
                    </w:rPr>
                    <w:t>3</w:t>
                  </w:r>
                  <w:r>
                    <w:rPr>
                      <w:rFonts w:hint="eastAsia" w:ascii="宋体" w:hAnsi="宋体" w:cs="宋体"/>
                      <w:color w:val="auto"/>
                      <w:szCs w:val="21"/>
                    </w:rPr>
                    <w:t>的液氧储罐暂存</w:t>
                  </w:r>
                </w:p>
              </w:tc>
            </w:tr>
            <w:tr w14:paraId="219F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4" w:type="dxa"/>
                  <w:vAlign w:val="center"/>
                </w:tcPr>
                <w:p w14:paraId="5E0A162B">
                  <w:pPr>
                    <w:jc w:val="center"/>
                    <w:rPr>
                      <w:rFonts w:hint="eastAsia" w:ascii="宋体" w:hAnsi="宋体" w:cs="宋体"/>
                      <w:color w:val="auto"/>
                      <w:szCs w:val="21"/>
                    </w:rPr>
                  </w:pPr>
                  <w:r>
                    <w:rPr>
                      <w:rFonts w:hint="eastAsia" w:ascii="宋体" w:hAnsi="宋体" w:cs="宋体"/>
                      <w:color w:val="auto"/>
                      <w:szCs w:val="21"/>
                    </w:rPr>
                    <w:t>7</w:t>
                  </w:r>
                </w:p>
              </w:tc>
              <w:tc>
                <w:tcPr>
                  <w:tcW w:w="2276" w:type="dxa"/>
                  <w:vAlign w:val="center"/>
                </w:tcPr>
                <w:p w14:paraId="44014AE2">
                  <w:pPr>
                    <w:jc w:val="center"/>
                    <w:rPr>
                      <w:rFonts w:hint="eastAsia" w:ascii="宋体" w:hAnsi="宋体" w:cs="宋体"/>
                      <w:color w:val="auto"/>
                      <w:szCs w:val="21"/>
                    </w:rPr>
                  </w:pPr>
                  <w:r>
                    <w:rPr>
                      <w:rFonts w:hint="eastAsia"/>
                      <w:color w:val="auto"/>
                      <w:szCs w:val="21"/>
                    </w:rPr>
                    <w:t>二氧化氯</w:t>
                  </w:r>
                </w:p>
              </w:tc>
              <w:tc>
                <w:tcPr>
                  <w:tcW w:w="1412" w:type="dxa"/>
                  <w:vAlign w:val="center"/>
                </w:tcPr>
                <w:p w14:paraId="00A2A316">
                  <w:pPr>
                    <w:jc w:val="center"/>
                    <w:rPr>
                      <w:rFonts w:hint="eastAsia" w:ascii="宋体" w:hAnsi="宋体" w:cs="宋体"/>
                      <w:color w:val="auto"/>
                      <w:szCs w:val="21"/>
                    </w:rPr>
                  </w:pPr>
                  <w:r>
                    <w:rPr>
                      <w:rFonts w:hint="eastAsia" w:ascii="宋体" w:hAnsi="宋体" w:cs="宋体"/>
                      <w:color w:val="auto"/>
                      <w:szCs w:val="21"/>
                    </w:rPr>
                    <w:t>0.06吨/a</w:t>
                  </w:r>
                </w:p>
              </w:tc>
              <w:tc>
                <w:tcPr>
                  <w:tcW w:w="1561" w:type="dxa"/>
                  <w:vAlign w:val="center"/>
                </w:tcPr>
                <w:p w14:paraId="7A573471">
                  <w:pPr>
                    <w:jc w:val="center"/>
                    <w:rPr>
                      <w:rFonts w:hint="eastAsia" w:ascii="宋体" w:hAnsi="宋体" w:cs="宋体"/>
                      <w:color w:val="auto"/>
                      <w:szCs w:val="21"/>
                    </w:rPr>
                  </w:pPr>
                  <w:r>
                    <w:rPr>
                      <w:rFonts w:hint="eastAsia"/>
                      <w:color w:val="auto"/>
                      <w:szCs w:val="21"/>
                    </w:rPr>
                    <w:t>0.05吨/年</w:t>
                  </w:r>
                </w:p>
              </w:tc>
              <w:tc>
                <w:tcPr>
                  <w:tcW w:w="2404" w:type="dxa"/>
                  <w:vAlign w:val="center"/>
                </w:tcPr>
                <w:p w14:paraId="7E83CEC1">
                  <w:pPr>
                    <w:jc w:val="center"/>
                    <w:rPr>
                      <w:rFonts w:hint="eastAsia" w:ascii="宋体" w:hAnsi="宋体" w:cs="宋体"/>
                      <w:color w:val="auto"/>
                      <w:szCs w:val="21"/>
                    </w:rPr>
                  </w:pPr>
                </w:p>
              </w:tc>
            </w:tr>
            <w:tr w14:paraId="745B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44" w:type="dxa"/>
                  <w:vAlign w:val="center"/>
                </w:tcPr>
                <w:p w14:paraId="0A082281">
                  <w:pPr>
                    <w:jc w:val="center"/>
                    <w:rPr>
                      <w:rFonts w:hint="eastAsia" w:ascii="宋体" w:hAnsi="宋体" w:cs="宋体"/>
                      <w:color w:val="auto"/>
                      <w:szCs w:val="21"/>
                    </w:rPr>
                  </w:pPr>
                  <w:r>
                    <w:rPr>
                      <w:rFonts w:hint="eastAsia" w:ascii="宋体" w:hAnsi="宋体" w:cs="宋体"/>
                      <w:color w:val="auto"/>
                      <w:szCs w:val="21"/>
                    </w:rPr>
                    <w:t>二</w:t>
                  </w:r>
                </w:p>
              </w:tc>
              <w:tc>
                <w:tcPr>
                  <w:tcW w:w="7653" w:type="dxa"/>
                  <w:gridSpan w:val="4"/>
                  <w:vAlign w:val="center"/>
                </w:tcPr>
                <w:p w14:paraId="752054A0">
                  <w:pPr>
                    <w:jc w:val="center"/>
                    <w:rPr>
                      <w:rFonts w:hint="eastAsia" w:ascii="宋体" w:hAnsi="宋体" w:cs="宋体"/>
                      <w:color w:val="auto"/>
                      <w:szCs w:val="21"/>
                    </w:rPr>
                  </w:pPr>
                  <w:r>
                    <w:rPr>
                      <w:rFonts w:hint="eastAsia" w:ascii="宋体" w:hAnsi="宋体" w:cs="宋体"/>
                      <w:color w:val="auto"/>
                      <w:szCs w:val="21"/>
                    </w:rPr>
                    <w:t>能源</w:t>
                  </w:r>
                </w:p>
              </w:tc>
            </w:tr>
            <w:tr w14:paraId="388F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dxa"/>
                  <w:vAlign w:val="center"/>
                </w:tcPr>
                <w:p w14:paraId="726F4C43">
                  <w:pPr>
                    <w:jc w:val="center"/>
                    <w:rPr>
                      <w:rFonts w:hint="eastAsia" w:ascii="宋体" w:hAnsi="宋体" w:cs="宋体"/>
                      <w:color w:val="auto"/>
                      <w:szCs w:val="21"/>
                    </w:rPr>
                  </w:pPr>
                  <w:r>
                    <w:rPr>
                      <w:rFonts w:hint="eastAsia" w:ascii="宋体" w:hAnsi="宋体" w:cs="宋体"/>
                      <w:color w:val="auto"/>
                      <w:szCs w:val="21"/>
                    </w:rPr>
                    <w:t>1</w:t>
                  </w:r>
                </w:p>
              </w:tc>
              <w:tc>
                <w:tcPr>
                  <w:tcW w:w="2276" w:type="dxa"/>
                  <w:vAlign w:val="center"/>
                </w:tcPr>
                <w:p w14:paraId="32CDAA24">
                  <w:pPr>
                    <w:jc w:val="center"/>
                    <w:rPr>
                      <w:rFonts w:hint="eastAsia" w:ascii="宋体" w:hAnsi="宋体" w:cs="宋体"/>
                      <w:color w:val="auto"/>
                      <w:szCs w:val="21"/>
                    </w:rPr>
                  </w:pPr>
                  <w:r>
                    <w:rPr>
                      <w:rFonts w:hint="eastAsia" w:ascii="宋体" w:hAnsi="宋体" w:cs="宋体"/>
                      <w:color w:val="auto"/>
                      <w:szCs w:val="21"/>
                    </w:rPr>
                    <w:t>水</w:t>
                  </w:r>
                </w:p>
              </w:tc>
              <w:tc>
                <w:tcPr>
                  <w:tcW w:w="1412" w:type="dxa"/>
                  <w:vAlign w:val="center"/>
                </w:tcPr>
                <w:p w14:paraId="1704EE0A">
                  <w:pPr>
                    <w:jc w:val="center"/>
                    <w:rPr>
                      <w:rFonts w:hint="eastAsia" w:ascii="宋体" w:hAnsi="宋体" w:cs="宋体"/>
                      <w:color w:val="auto"/>
                      <w:szCs w:val="21"/>
                    </w:rPr>
                  </w:pPr>
                  <w:r>
                    <w:rPr>
                      <w:rFonts w:hint="eastAsia" w:ascii="宋体" w:hAnsi="宋体" w:cs="宋体"/>
                      <w:color w:val="auto"/>
                      <w:szCs w:val="21"/>
                    </w:rPr>
                    <w:t>3910t/a</w:t>
                  </w:r>
                </w:p>
              </w:tc>
              <w:tc>
                <w:tcPr>
                  <w:tcW w:w="1561" w:type="dxa"/>
                  <w:vAlign w:val="center"/>
                </w:tcPr>
                <w:p w14:paraId="332CA9A2">
                  <w:pPr>
                    <w:jc w:val="center"/>
                    <w:rPr>
                      <w:rFonts w:hint="eastAsia" w:ascii="宋体" w:hAnsi="宋体" w:cs="宋体"/>
                      <w:color w:val="auto"/>
                      <w:szCs w:val="21"/>
                    </w:rPr>
                  </w:pPr>
                  <w:r>
                    <w:rPr>
                      <w:rFonts w:hint="eastAsia" w:ascii="宋体" w:hAnsi="宋体" w:cs="宋体"/>
                      <w:color w:val="auto"/>
                      <w:szCs w:val="21"/>
                    </w:rPr>
                    <w:t>/</w:t>
                  </w:r>
                </w:p>
              </w:tc>
              <w:tc>
                <w:tcPr>
                  <w:tcW w:w="2404" w:type="dxa"/>
                  <w:vAlign w:val="center"/>
                </w:tcPr>
                <w:p w14:paraId="537487F0">
                  <w:pPr>
                    <w:jc w:val="center"/>
                    <w:rPr>
                      <w:rFonts w:hint="eastAsia" w:ascii="宋体" w:hAnsi="宋体" w:cs="宋体"/>
                      <w:color w:val="auto"/>
                      <w:szCs w:val="21"/>
                    </w:rPr>
                  </w:pPr>
                  <w:r>
                    <w:rPr>
                      <w:rFonts w:hint="eastAsia" w:ascii="宋体" w:hAnsi="宋体" w:cs="宋体"/>
                      <w:color w:val="auto"/>
                      <w:szCs w:val="21"/>
                    </w:rPr>
                    <w:t>市政供水管网</w:t>
                  </w:r>
                </w:p>
              </w:tc>
            </w:tr>
            <w:tr w14:paraId="6388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44" w:type="dxa"/>
                  <w:vAlign w:val="center"/>
                </w:tcPr>
                <w:p w14:paraId="03549A92">
                  <w:pPr>
                    <w:jc w:val="center"/>
                    <w:rPr>
                      <w:rFonts w:hint="eastAsia" w:ascii="宋体" w:hAnsi="宋体" w:cs="宋体"/>
                      <w:color w:val="auto"/>
                      <w:szCs w:val="21"/>
                    </w:rPr>
                  </w:pPr>
                  <w:r>
                    <w:rPr>
                      <w:rFonts w:hint="eastAsia" w:ascii="宋体" w:hAnsi="宋体" w:cs="宋体"/>
                      <w:color w:val="auto"/>
                      <w:szCs w:val="21"/>
                    </w:rPr>
                    <w:t>2</w:t>
                  </w:r>
                </w:p>
              </w:tc>
              <w:tc>
                <w:tcPr>
                  <w:tcW w:w="2276" w:type="dxa"/>
                  <w:vAlign w:val="center"/>
                </w:tcPr>
                <w:p w14:paraId="5FBA8623">
                  <w:pPr>
                    <w:jc w:val="center"/>
                    <w:rPr>
                      <w:rFonts w:hint="eastAsia" w:ascii="宋体" w:hAnsi="宋体" w:cs="宋体"/>
                      <w:color w:val="auto"/>
                      <w:szCs w:val="21"/>
                    </w:rPr>
                  </w:pPr>
                  <w:r>
                    <w:rPr>
                      <w:rFonts w:hint="eastAsia" w:ascii="宋体" w:hAnsi="宋体" w:cs="宋体"/>
                      <w:color w:val="auto"/>
                      <w:szCs w:val="21"/>
                    </w:rPr>
                    <w:t>电</w:t>
                  </w:r>
                </w:p>
              </w:tc>
              <w:tc>
                <w:tcPr>
                  <w:tcW w:w="1412" w:type="dxa"/>
                  <w:vAlign w:val="center"/>
                </w:tcPr>
                <w:p w14:paraId="11B8E847">
                  <w:pPr>
                    <w:jc w:val="center"/>
                    <w:rPr>
                      <w:rFonts w:hint="eastAsia" w:ascii="宋体" w:hAnsi="宋体" w:cs="宋体"/>
                      <w:color w:val="auto"/>
                      <w:szCs w:val="21"/>
                    </w:rPr>
                  </w:pPr>
                  <w:r>
                    <w:rPr>
                      <w:rFonts w:hint="eastAsia" w:ascii="宋体" w:hAnsi="宋体" w:cs="宋体"/>
                      <w:color w:val="auto"/>
                      <w:szCs w:val="21"/>
                    </w:rPr>
                    <w:t>68796kW.h</w:t>
                  </w:r>
                </w:p>
              </w:tc>
              <w:tc>
                <w:tcPr>
                  <w:tcW w:w="1561" w:type="dxa"/>
                  <w:vAlign w:val="center"/>
                </w:tcPr>
                <w:p w14:paraId="7DB3A410">
                  <w:pPr>
                    <w:jc w:val="center"/>
                    <w:rPr>
                      <w:rFonts w:hint="eastAsia" w:ascii="宋体" w:hAnsi="宋体" w:cs="宋体"/>
                      <w:color w:val="auto"/>
                      <w:szCs w:val="21"/>
                    </w:rPr>
                  </w:pPr>
                  <w:r>
                    <w:rPr>
                      <w:rFonts w:hint="eastAsia" w:ascii="宋体" w:hAnsi="宋体" w:cs="宋体"/>
                      <w:color w:val="auto"/>
                      <w:szCs w:val="21"/>
                    </w:rPr>
                    <w:t>/</w:t>
                  </w:r>
                </w:p>
              </w:tc>
              <w:tc>
                <w:tcPr>
                  <w:tcW w:w="2404" w:type="dxa"/>
                  <w:vAlign w:val="center"/>
                </w:tcPr>
                <w:p w14:paraId="6FA9E375">
                  <w:pPr>
                    <w:jc w:val="center"/>
                    <w:rPr>
                      <w:rFonts w:hint="eastAsia" w:ascii="宋体" w:hAnsi="宋体" w:cs="宋体"/>
                      <w:color w:val="auto"/>
                      <w:szCs w:val="21"/>
                    </w:rPr>
                  </w:pPr>
                  <w:r>
                    <w:rPr>
                      <w:rFonts w:hint="eastAsia" w:ascii="宋体" w:hAnsi="宋体" w:cs="宋体"/>
                      <w:color w:val="auto"/>
                      <w:szCs w:val="21"/>
                    </w:rPr>
                    <w:t>市政供电电网</w:t>
                  </w:r>
                </w:p>
              </w:tc>
            </w:tr>
            <w:tr w14:paraId="20C8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44" w:type="dxa"/>
                  <w:vAlign w:val="center"/>
                </w:tcPr>
                <w:p w14:paraId="74160CBD">
                  <w:pPr>
                    <w:jc w:val="center"/>
                    <w:rPr>
                      <w:rFonts w:hint="eastAsia" w:ascii="宋体" w:hAnsi="宋体" w:cs="宋体"/>
                      <w:color w:val="auto"/>
                      <w:szCs w:val="21"/>
                    </w:rPr>
                  </w:pPr>
                  <w:r>
                    <w:rPr>
                      <w:rFonts w:hint="eastAsia" w:ascii="宋体" w:hAnsi="宋体" w:cs="宋体"/>
                      <w:color w:val="auto"/>
                      <w:szCs w:val="21"/>
                    </w:rPr>
                    <w:t>3</w:t>
                  </w:r>
                </w:p>
              </w:tc>
              <w:tc>
                <w:tcPr>
                  <w:tcW w:w="2276" w:type="dxa"/>
                  <w:vAlign w:val="center"/>
                </w:tcPr>
                <w:p w14:paraId="0CF3A44D">
                  <w:pPr>
                    <w:jc w:val="center"/>
                    <w:rPr>
                      <w:rFonts w:hint="eastAsia" w:ascii="宋体" w:hAnsi="宋体" w:cs="宋体"/>
                      <w:color w:val="auto"/>
                      <w:szCs w:val="21"/>
                    </w:rPr>
                  </w:pPr>
                  <w:r>
                    <w:rPr>
                      <w:rFonts w:hint="eastAsia" w:ascii="宋体" w:hAnsi="宋体" w:cs="宋体"/>
                      <w:color w:val="auto"/>
                      <w:szCs w:val="21"/>
                    </w:rPr>
                    <w:t>柴油</w:t>
                  </w:r>
                </w:p>
              </w:tc>
              <w:tc>
                <w:tcPr>
                  <w:tcW w:w="1412" w:type="dxa"/>
                  <w:vAlign w:val="center"/>
                </w:tcPr>
                <w:p w14:paraId="79F2D857">
                  <w:pPr>
                    <w:jc w:val="center"/>
                    <w:rPr>
                      <w:rFonts w:hint="eastAsia" w:ascii="宋体" w:hAnsi="宋体" w:cs="宋体"/>
                      <w:color w:val="auto"/>
                      <w:szCs w:val="21"/>
                    </w:rPr>
                  </w:pPr>
                  <w:r>
                    <w:rPr>
                      <w:rFonts w:hint="eastAsia"/>
                      <w:color w:val="auto"/>
                      <w:szCs w:val="21"/>
                    </w:rPr>
                    <w:t>0.025t/</w:t>
                  </w:r>
                  <w:r>
                    <w:rPr>
                      <w:rFonts w:hint="eastAsia" w:ascii="宋体" w:hAnsi="宋体" w:cs="宋体"/>
                      <w:color w:val="auto"/>
                      <w:szCs w:val="21"/>
                    </w:rPr>
                    <w:t>a</w:t>
                  </w:r>
                </w:p>
              </w:tc>
              <w:tc>
                <w:tcPr>
                  <w:tcW w:w="1561" w:type="dxa"/>
                  <w:vAlign w:val="center"/>
                </w:tcPr>
                <w:p w14:paraId="74626E8C">
                  <w:pPr>
                    <w:jc w:val="center"/>
                    <w:rPr>
                      <w:rFonts w:hint="eastAsia" w:ascii="宋体" w:hAnsi="宋体" w:cs="宋体"/>
                      <w:color w:val="auto"/>
                      <w:szCs w:val="21"/>
                    </w:rPr>
                  </w:pPr>
                  <w:r>
                    <w:rPr>
                      <w:rFonts w:hint="eastAsia"/>
                      <w:color w:val="auto"/>
                      <w:szCs w:val="21"/>
                    </w:rPr>
                    <w:t>0.025吨/年</w:t>
                  </w:r>
                </w:p>
              </w:tc>
              <w:tc>
                <w:tcPr>
                  <w:tcW w:w="2404" w:type="dxa"/>
                  <w:vAlign w:val="center"/>
                </w:tcPr>
                <w:p w14:paraId="7F37F541">
                  <w:pPr>
                    <w:jc w:val="center"/>
                    <w:rPr>
                      <w:rFonts w:hint="eastAsia" w:ascii="宋体" w:hAnsi="宋体" w:cs="宋体"/>
                      <w:color w:val="auto"/>
                      <w:szCs w:val="21"/>
                    </w:rPr>
                  </w:pPr>
                  <w:r>
                    <w:rPr>
                      <w:rFonts w:hint="eastAsia"/>
                      <w:color w:val="auto"/>
                      <w:szCs w:val="21"/>
                    </w:rPr>
                    <w:t>柴油发电机使用</w:t>
                  </w:r>
                </w:p>
              </w:tc>
            </w:tr>
          </w:tbl>
          <w:p w14:paraId="5013AC42">
            <w:pPr>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22现有项目（九龙卫生院）</w:t>
            </w:r>
            <w:r>
              <w:rPr>
                <w:rFonts w:ascii="宋体" w:hAnsi="宋体" w:cs="宋体"/>
                <w:b/>
                <w:color w:val="auto"/>
                <w:sz w:val="24"/>
              </w:rPr>
              <w:t>主要医疗用品消耗情况</w:t>
            </w:r>
          </w:p>
          <w:tbl>
            <w:tblPr>
              <w:tblStyle w:val="33"/>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2270"/>
              <w:gridCol w:w="1409"/>
              <w:gridCol w:w="1557"/>
              <w:gridCol w:w="2398"/>
            </w:tblGrid>
            <w:tr w14:paraId="7CA5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blHeader/>
                <w:jc w:val="center"/>
              </w:trPr>
              <w:tc>
                <w:tcPr>
                  <w:tcW w:w="543" w:type="dxa"/>
                  <w:vAlign w:val="center"/>
                </w:tcPr>
                <w:p w14:paraId="1DC44608">
                  <w:pPr>
                    <w:jc w:val="center"/>
                    <w:rPr>
                      <w:rFonts w:hint="eastAsia" w:ascii="宋体" w:hAnsi="宋体" w:cs="宋体"/>
                      <w:color w:val="auto"/>
                      <w:szCs w:val="21"/>
                    </w:rPr>
                  </w:pPr>
                  <w:r>
                    <w:rPr>
                      <w:rFonts w:hint="eastAsia" w:ascii="宋体" w:hAnsi="宋体" w:cs="宋体"/>
                      <w:color w:val="auto"/>
                      <w:szCs w:val="21"/>
                    </w:rPr>
                    <w:t>序号</w:t>
                  </w:r>
                </w:p>
              </w:tc>
              <w:tc>
                <w:tcPr>
                  <w:tcW w:w="2270" w:type="dxa"/>
                  <w:vAlign w:val="center"/>
                </w:tcPr>
                <w:p w14:paraId="0DBF6385">
                  <w:pPr>
                    <w:jc w:val="center"/>
                    <w:rPr>
                      <w:rFonts w:hint="eastAsia" w:ascii="宋体" w:hAnsi="宋体" w:cs="宋体"/>
                      <w:color w:val="auto"/>
                      <w:szCs w:val="21"/>
                    </w:rPr>
                  </w:pPr>
                  <w:r>
                    <w:rPr>
                      <w:rFonts w:hint="eastAsia" w:ascii="宋体" w:hAnsi="宋体" w:cs="宋体"/>
                      <w:color w:val="auto"/>
                      <w:szCs w:val="21"/>
                    </w:rPr>
                    <w:t>医疗用品</w:t>
                  </w:r>
                </w:p>
              </w:tc>
              <w:tc>
                <w:tcPr>
                  <w:tcW w:w="1409" w:type="dxa"/>
                  <w:vAlign w:val="center"/>
                </w:tcPr>
                <w:p w14:paraId="0259AB27">
                  <w:pPr>
                    <w:jc w:val="center"/>
                    <w:rPr>
                      <w:rFonts w:hint="eastAsia" w:ascii="宋体" w:hAnsi="宋体" w:cs="宋体"/>
                      <w:color w:val="auto"/>
                      <w:szCs w:val="21"/>
                    </w:rPr>
                  </w:pPr>
                  <w:r>
                    <w:rPr>
                      <w:rFonts w:hint="eastAsia" w:ascii="宋体" w:hAnsi="宋体" w:cs="宋体"/>
                      <w:color w:val="auto"/>
                      <w:szCs w:val="21"/>
                    </w:rPr>
                    <w:t>用量</w:t>
                  </w:r>
                </w:p>
              </w:tc>
              <w:tc>
                <w:tcPr>
                  <w:tcW w:w="1557" w:type="dxa"/>
                  <w:vAlign w:val="center"/>
                </w:tcPr>
                <w:p w14:paraId="4507B5BC">
                  <w:pPr>
                    <w:jc w:val="center"/>
                    <w:rPr>
                      <w:rFonts w:hint="eastAsia" w:ascii="宋体" w:hAnsi="宋体" w:cs="宋体"/>
                      <w:color w:val="auto"/>
                      <w:szCs w:val="21"/>
                    </w:rPr>
                  </w:pPr>
                  <w:r>
                    <w:rPr>
                      <w:rFonts w:hint="eastAsia" w:ascii="宋体" w:hAnsi="宋体" w:cs="宋体"/>
                      <w:color w:val="auto"/>
                      <w:szCs w:val="21"/>
                    </w:rPr>
                    <w:t>院内最大存储量</w:t>
                  </w:r>
                </w:p>
              </w:tc>
              <w:tc>
                <w:tcPr>
                  <w:tcW w:w="2398" w:type="dxa"/>
                  <w:vAlign w:val="center"/>
                </w:tcPr>
                <w:p w14:paraId="53D3BA79">
                  <w:pPr>
                    <w:jc w:val="center"/>
                    <w:rPr>
                      <w:rFonts w:hint="eastAsia" w:ascii="宋体" w:hAnsi="宋体" w:cs="宋体"/>
                      <w:color w:val="auto"/>
                      <w:szCs w:val="21"/>
                    </w:rPr>
                  </w:pPr>
                  <w:r>
                    <w:rPr>
                      <w:rFonts w:hint="eastAsia" w:ascii="宋体" w:hAnsi="宋体" w:cs="宋体"/>
                      <w:color w:val="auto"/>
                      <w:szCs w:val="21"/>
                    </w:rPr>
                    <w:t>备注</w:t>
                  </w:r>
                </w:p>
              </w:tc>
            </w:tr>
            <w:tr w14:paraId="1791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543" w:type="dxa"/>
                  <w:vAlign w:val="center"/>
                </w:tcPr>
                <w:p w14:paraId="7A344F20">
                  <w:pPr>
                    <w:jc w:val="center"/>
                    <w:rPr>
                      <w:rFonts w:hint="eastAsia" w:ascii="宋体" w:hAnsi="宋体" w:cs="宋体"/>
                      <w:color w:val="auto"/>
                      <w:szCs w:val="21"/>
                    </w:rPr>
                  </w:pPr>
                  <w:r>
                    <w:rPr>
                      <w:rFonts w:hint="eastAsia" w:ascii="宋体" w:hAnsi="宋体" w:cs="宋体"/>
                      <w:color w:val="auto"/>
                      <w:szCs w:val="21"/>
                    </w:rPr>
                    <w:t>一</w:t>
                  </w:r>
                </w:p>
              </w:tc>
              <w:tc>
                <w:tcPr>
                  <w:tcW w:w="7634" w:type="dxa"/>
                  <w:gridSpan w:val="4"/>
                  <w:vAlign w:val="center"/>
                </w:tcPr>
                <w:p w14:paraId="43CC8186">
                  <w:pPr>
                    <w:jc w:val="center"/>
                    <w:rPr>
                      <w:rFonts w:hint="eastAsia" w:ascii="宋体" w:hAnsi="宋体" w:cs="宋体"/>
                      <w:color w:val="auto"/>
                      <w:szCs w:val="21"/>
                    </w:rPr>
                  </w:pPr>
                  <w:r>
                    <w:rPr>
                      <w:rFonts w:hint="eastAsia" w:ascii="宋体" w:hAnsi="宋体" w:cs="宋体"/>
                      <w:color w:val="auto"/>
                      <w:szCs w:val="21"/>
                    </w:rPr>
                    <w:t>原辅料</w:t>
                  </w:r>
                </w:p>
              </w:tc>
            </w:tr>
            <w:tr w14:paraId="6C23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43" w:type="dxa"/>
                  <w:vAlign w:val="center"/>
                </w:tcPr>
                <w:p w14:paraId="511C6943">
                  <w:pPr>
                    <w:jc w:val="center"/>
                    <w:rPr>
                      <w:rFonts w:hint="eastAsia" w:ascii="宋体" w:hAnsi="宋体" w:cs="宋体"/>
                      <w:color w:val="auto"/>
                      <w:szCs w:val="21"/>
                    </w:rPr>
                  </w:pPr>
                  <w:r>
                    <w:rPr>
                      <w:rFonts w:hint="eastAsia" w:ascii="宋体" w:hAnsi="宋体" w:cs="宋体"/>
                      <w:color w:val="auto"/>
                      <w:szCs w:val="21"/>
                    </w:rPr>
                    <w:t>2</w:t>
                  </w:r>
                </w:p>
              </w:tc>
              <w:tc>
                <w:tcPr>
                  <w:tcW w:w="2270" w:type="dxa"/>
                  <w:vAlign w:val="center"/>
                </w:tcPr>
                <w:p w14:paraId="49FF06EE">
                  <w:pPr>
                    <w:jc w:val="center"/>
                    <w:rPr>
                      <w:rFonts w:hint="eastAsia" w:ascii="宋体" w:hAnsi="宋体" w:cs="宋体"/>
                      <w:color w:val="auto"/>
                      <w:szCs w:val="21"/>
                    </w:rPr>
                  </w:pPr>
                  <w:r>
                    <w:rPr>
                      <w:rFonts w:hint="eastAsia" w:ascii="宋体" w:hAnsi="宋体" w:cs="宋体"/>
                      <w:color w:val="auto"/>
                      <w:szCs w:val="21"/>
                    </w:rPr>
                    <w:t>注射器</w:t>
                  </w:r>
                </w:p>
              </w:tc>
              <w:tc>
                <w:tcPr>
                  <w:tcW w:w="1409" w:type="dxa"/>
                  <w:vAlign w:val="center"/>
                </w:tcPr>
                <w:p w14:paraId="57B9BF43">
                  <w:pPr>
                    <w:jc w:val="center"/>
                    <w:rPr>
                      <w:rFonts w:hint="eastAsia" w:ascii="宋体" w:hAnsi="宋体" w:cs="宋体"/>
                      <w:color w:val="auto"/>
                      <w:szCs w:val="21"/>
                    </w:rPr>
                  </w:pPr>
                  <w:r>
                    <w:rPr>
                      <w:rFonts w:hint="eastAsia" w:ascii="宋体" w:hAnsi="宋体" w:cs="宋体"/>
                      <w:color w:val="auto"/>
                      <w:szCs w:val="21"/>
                    </w:rPr>
                    <w:t>15600个/a</w:t>
                  </w:r>
                </w:p>
              </w:tc>
              <w:tc>
                <w:tcPr>
                  <w:tcW w:w="1557" w:type="dxa"/>
                  <w:vAlign w:val="center"/>
                </w:tcPr>
                <w:p w14:paraId="0BEB4F46">
                  <w:pPr>
                    <w:jc w:val="center"/>
                    <w:rPr>
                      <w:rFonts w:hint="eastAsia" w:ascii="宋体" w:hAnsi="宋体" w:cs="宋体"/>
                      <w:color w:val="auto"/>
                      <w:szCs w:val="21"/>
                    </w:rPr>
                  </w:pPr>
                  <w:r>
                    <w:rPr>
                      <w:rFonts w:hint="eastAsia" w:ascii="宋体" w:hAnsi="宋体" w:cs="宋体"/>
                      <w:color w:val="auto"/>
                      <w:szCs w:val="21"/>
                    </w:rPr>
                    <w:t>500个</w:t>
                  </w:r>
                </w:p>
              </w:tc>
              <w:tc>
                <w:tcPr>
                  <w:tcW w:w="2398" w:type="dxa"/>
                  <w:vAlign w:val="center"/>
                </w:tcPr>
                <w:p w14:paraId="5D4CF36A">
                  <w:pPr>
                    <w:jc w:val="center"/>
                    <w:rPr>
                      <w:rFonts w:hint="eastAsia" w:ascii="宋体" w:hAnsi="宋体" w:cs="宋体"/>
                      <w:color w:val="auto"/>
                      <w:szCs w:val="21"/>
                    </w:rPr>
                  </w:pPr>
                  <w:r>
                    <w:rPr>
                      <w:rFonts w:hint="eastAsia" w:ascii="宋体" w:hAnsi="宋体" w:cs="宋体"/>
                      <w:color w:val="auto"/>
                      <w:szCs w:val="21"/>
                    </w:rPr>
                    <w:t>/</w:t>
                  </w:r>
                </w:p>
              </w:tc>
            </w:tr>
            <w:tr w14:paraId="0940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187D6566">
                  <w:pPr>
                    <w:jc w:val="center"/>
                    <w:rPr>
                      <w:rFonts w:hint="eastAsia" w:ascii="宋体" w:hAnsi="宋体" w:cs="宋体"/>
                      <w:color w:val="auto"/>
                      <w:szCs w:val="21"/>
                    </w:rPr>
                  </w:pPr>
                  <w:r>
                    <w:rPr>
                      <w:rFonts w:hint="eastAsia" w:ascii="宋体" w:hAnsi="宋体" w:cs="宋体"/>
                      <w:color w:val="auto"/>
                      <w:szCs w:val="21"/>
                    </w:rPr>
                    <w:t>3</w:t>
                  </w:r>
                </w:p>
              </w:tc>
              <w:tc>
                <w:tcPr>
                  <w:tcW w:w="2270" w:type="dxa"/>
                  <w:vAlign w:val="center"/>
                </w:tcPr>
                <w:p w14:paraId="1DA7C91B">
                  <w:pPr>
                    <w:jc w:val="center"/>
                    <w:rPr>
                      <w:rFonts w:hint="eastAsia" w:ascii="宋体" w:hAnsi="宋体" w:cs="宋体"/>
                      <w:color w:val="auto"/>
                      <w:szCs w:val="21"/>
                    </w:rPr>
                  </w:pPr>
                  <w:r>
                    <w:rPr>
                      <w:rFonts w:hint="eastAsia" w:ascii="宋体" w:hAnsi="宋体" w:cs="宋体"/>
                      <w:color w:val="auto"/>
                      <w:szCs w:val="21"/>
                    </w:rPr>
                    <w:t>输液管</w:t>
                  </w:r>
                </w:p>
              </w:tc>
              <w:tc>
                <w:tcPr>
                  <w:tcW w:w="1409" w:type="dxa"/>
                  <w:vAlign w:val="center"/>
                </w:tcPr>
                <w:p w14:paraId="48DADC7C">
                  <w:pPr>
                    <w:jc w:val="center"/>
                    <w:rPr>
                      <w:rFonts w:hint="eastAsia" w:ascii="宋体" w:hAnsi="宋体" w:cs="宋体"/>
                      <w:color w:val="auto"/>
                      <w:szCs w:val="21"/>
                    </w:rPr>
                  </w:pPr>
                  <w:r>
                    <w:rPr>
                      <w:rFonts w:hint="eastAsia" w:ascii="宋体" w:hAnsi="宋体" w:cs="宋体"/>
                      <w:color w:val="auto"/>
                      <w:szCs w:val="21"/>
                    </w:rPr>
                    <w:t>14400套/a</w:t>
                  </w:r>
                </w:p>
              </w:tc>
              <w:tc>
                <w:tcPr>
                  <w:tcW w:w="1557" w:type="dxa"/>
                  <w:vAlign w:val="center"/>
                </w:tcPr>
                <w:p w14:paraId="0F496C6C">
                  <w:pPr>
                    <w:jc w:val="center"/>
                    <w:rPr>
                      <w:rFonts w:hint="eastAsia" w:ascii="宋体" w:hAnsi="宋体" w:cs="宋体"/>
                      <w:color w:val="auto"/>
                      <w:szCs w:val="21"/>
                    </w:rPr>
                  </w:pPr>
                  <w:r>
                    <w:rPr>
                      <w:rFonts w:hint="eastAsia" w:ascii="宋体" w:hAnsi="宋体" w:cs="宋体"/>
                      <w:color w:val="auto"/>
                      <w:szCs w:val="21"/>
                    </w:rPr>
                    <w:t>1000套</w:t>
                  </w:r>
                </w:p>
              </w:tc>
              <w:tc>
                <w:tcPr>
                  <w:tcW w:w="2398" w:type="dxa"/>
                  <w:vAlign w:val="center"/>
                </w:tcPr>
                <w:p w14:paraId="0ED129E1">
                  <w:pPr>
                    <w:jc w:val="center"/>
                    <w:rPr>
                      <w:rFonts w:hint="eastAsia" w:ascii="宋体" w:hAnsi="宋体" w:cs="宋体"/>
                      <w:color w:val="auto"/>
                      <w:szCs w:val="21"/>
                    </w:rPr>
                  </w:pPr>
                  <w:r>
                    <w:rPr>
                      <w:rFonts w:hint="eastAsia" w:ascii="宋体" w:hAnsi="宋体" w:cs="宋体"/>
                      <w:color w:val="auto"/>
                      <w:szCs w:val="21"/>
                    </w:rPr>
                    <w:t>/</w:t>
                  </w:r>
                </w:p>
              </w:tc>
            </w:tr>
            <w:tr w14:paraId="0928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0277A97C">
                  <w:pPr>
                    <w:jc w:val="center"/>
                    <w:rPr>
                      <w:rFonts w:hint="eastAsia" w:ascii="宋体" w:hAnsi="宋体" w:cs="宋体"/>
                      <w:color w:val="auto"/>
                      <w:szCs w:val="21"/>
                    </w:rPr>
                  </w:pPr>
                  <w:r>
                    <w:rPr>
                      <w:rFonts w:hint="eastAsia" w:ascii="宋体" w:hAnsi="宋体" w:cs="宋体"/>
                      <w:color w:val="auto"/>
                      <w:szCs w:val="21"/>
                    </w:rPr>
                    <w:t>4</w:t>
                  </w:r>
                </w:p>
              </w:tc>
              <w:tc>
                <w:tcPr>
                  <w:tcW w:w="2270" w:type="dxa"/>
                  <w:vAlign w:val="center"/>
                </w:tcPr>
                <w:p w14:paraId="43ADB35E">
                  <w:pPr>
                    <w:jc w:val="center"/>
                    <w:rPr>
                      <w:rFonts w:hint="eastAsia" w:ascii="宋体" w:hAnsi="宋体" w:cs="宋体"/>
                      <w:color w:val="auto"/>
                      <w:szCs w:val="21"/>
                    </w:rPr>
                  </w:pPr>
                  <w:r>
                    <w:rPr>
                      <w:rFonts w:hint="eastAsia" w:ascii="宋体" w:hAnsi="宋体" w:cs="宋体"/>
                      <w:color w:val="auto"/>
                      <w:szCs w:val="21"/>
                    </w:rPr>
                    <w:t>医用棉签</w:t>
                  </w:r>
                </w:p>
              </w:tc>
              <w:tc>
                <w:tcPr>
                  <w:tcW w:w="1409" w:type="dxa"/>
                  <w:vAlign w:val="center"/>
                </w:tcPr>
                <w:p w14:paraId="79C6F543">
                  <w:pPr>
                    <w:jc w:val="center"/>
                    <w:rPr>
                      <w:rFonts w:hint="eastAsia" w:ascii="宋体" w:hAnsi="宋体" w:cs="宋体"/>
                      <w:color w:val="auto"/>
                      <w:szCs w:val="21"/>
                    </w:rPr>
                  </w:pPr>
                  <w:r>
                    <w:rPr>
                      <w:rFonts w:hint="eastAsia" w:ascii="宋体" w:hAnsi="宋体" w:cs="宋体"/>
                      <w:color w:val="auto"/>
                      <w:szCs w:val="21"/>
                    </w:rPr>
                    <w:t>96包/a</w:t>
                  </w:r>
                </w:p>
              </w:tc>
              <w:tc>
                <w:tcPr>
                  <w:tcW w:w="1557" w:type="dxa"/>
                  <w:vAlign w:val="center"/>
                </w:tcPr>
                <w:p w14:paraId="60BC138F">
                  <w:pPr>
                    <w:jc w:val="center"/>
                    <w:rPr>
                      <w:rFonts w:hint="eastAsia" w:ascii="宋体" w:hAnsi="宋体" w:cs="宋体"/>
                      <w:color w:val="auto"/>
                      <w:szCs w:val="21"/>
                    </w:rPr>
                  </w:pPr>
                  <w:r>
                    <w:rPr>
                      <w:rFonts w:hint="eastAsia" w:ascii="宋体" w:hAnsi="宋体" w:cs="宋体"/>
                      <w:color w:val="auto"/>
                      <w:szCs w:val="21"/>
                    </w:rPr>
                    <w:t>10包</w:t>
                  </w:r>
                </w:p>
              </w:tc>
              <w:tc>
                <w:tcPr>
                  <w:tcW w:w="2398" w:type="dxa"/>
                  <w:vAlign w:val="center"/>
                </w:tcPr>
                <w:p w14:paraId="2A47377B">
                  <w:pPr>
                    <w:jc w:val="center"/>
                    <w:rPr>
                      <w:rFonts w:hint="eastAsia" w:ascii="宋体" w:hAnsi="宋体" w:cs="宋体"/>
                      <w:color w:val="auto"/>
                      <w:szCs w:val="21"/>
                    </w:rPr>
                  </w:pPr>
                  <w:r>
                    <w:rPr>
                      <w:rFonts w:hint="eastAsia" w:ascii="宋体" w:hAnsi="宋体" w:cs="宋体"/>
                      <w:color w:val="auto"/>
                      <w:szCs w:val="21"/>
                    </w:rPr>
                    <w:t>/</w:t>
                  </w:r>
                </w:p>
              </w:tc>
            </w:tr>
            <w:tr w14:paraId="0B57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67E166CA">
                  <w:pPr>
                    <w:jc w:val="center"/>
                    <w:rPr>
                      <w:rFonts w:hint="eastAsia" w:ascii="宋体" w:hAnsi="宋体" w:cs="宋体"/>
                      <w:color w:val="auto"/>
                      <w:szCs w:val="21"/>
                    </w:rPr>
                  </w:pPr>
                  <w:r>
                    <w:rPr>
                      <w:rFonts w:hint="eastAsia" w:ascii="宋体" w:hAnsi="宋体" w:cs="宋体"/>
                      <w:color w:val="auto"/>
                      <w:szCs w:val="21"/>
                    </w:rPr>
                    <w:t>5</w:t>
                  </w:r>
                </w:p>
              </w:tc>
              <w:tc>
                <w:tcPr>
                  <w:tcW w:w="2270" w:type="dxa"/>
                  <w:vAlign w:val="center"/>
                </w:tcPr>
                <w:p w14:paraId="4D314D11">
                  <w:pPr>
                    <w:jc w:val="center"/>
                    <w:rPr>
                      <w:rFonts w:hint="eastAsia" w:ascii="宋体" w:hAnsi="宋体" w:cs="宋体"/>
                      <w:color w:val="auto"/>
                      <w:szCs w:val="21"/>
                    </w:rPr>
                  </w:pPr>
                  <w:r>
                    <w:rPr>
                      <w:rFonts w:hint="eastAsia" w:ascii="宋体" w:hAnsi="宋体" w:cs="宋体"/>
                      <w:color w:val="auto"/>
                      <w:szCs w:val="21"/>
                    </w:rPr>
                    <w:t>纱布</w:t>
                  </w:r>
                </w:p>
              </w:tc>
              <w:tc>
                <w:tcPr>
                  <w:tcW w:w="1409" w:type="dxa"/>
                  <w:vAlign w:val="center"/>
                </w:tcPr>
                <w:p w14:paraId="77665E6A">
                  <w:pPr>
                    <w:jc w:val="center"/>
                    <w:rPr>
                      <w:rFonts w:hint="eastAsia" w:ascii="宋体" w:hAnsi="宋体" w:cs="宋体"/>
                      <w:color w:val="auto"/>
                      <w:szCs w:val="21"/>
                    </w:rPr>
                  </w:pPr>
                  <w:r>
                    <w:rPr>
                      <w:rFonts w:hint="eastAsia" w:ascii="宋体" w:hAnsi="宋体" w:cs="宋体"/>
                      <w:color w:val="auto"/>
                      <w:szCs w:val="21"/>
                    </w:rPr>
                    <w:t>180包/a</w:t>
                  </w:r>
                </w:p>
              </w:tc>
              <w:tc>
                <w:tcPr>
                  <w:tcW w:w="1557" w:type="dxa"/>
                  <w:vAlign w:val="center"/>
                </w:tcPr>
                <w:p w14:paraId="2D40EF29">
                  <w:pPr>
                    <w:jc w:val="center"/>
                    <w:rPr>
                      <w:rFonts w:hint="eastAsia" w:ascii="宋体" w:hAnsi="宋体" w:cs="宋体"/>
                      <w:color w:val="auto"/>
                      <w:szCs w:val="21"/>
                    </w:rPr>
                  </w:pPr>
                  <w:r>
                    <w:rPr>
                      <w:rFonts w:hint="eastAsia" w:ascii="宋体" w:hAnsi="宋体" w:cs="宋体"/>
                      <w:color w:val="auto"/>
                      <w:szCs w:val="21"/>
                    </w:rPr>
                    <w:t>20包</w:t>
                  </w:r>
                </w:p>
              </w:tc>
              <w:tc>
                <w:tcPr>
                  <w:tcW w:w="2398" w:type="dxa"/>
                  <w:vAlign w:val="center"/>
                </w:tcPr>
                <w:p w14:paraId="2F23CC0A">
                  <w:pPr>
                    <w:jc w:val="center"/>
                    <w:rPr>
                      <w:rFonts w:hint="eastAsia" w:ascii="宋体" w:hAnsi="宋体" w:cs="宋体"/>
                      <w:color w:val="auto"/>
                      <w:szCs w:val="21"/>
                    </w:rPr>
                  </w:pPr>
                  <w:r>
                    <w:rPr>
                      <w:rFonts w:hint="eastAsia" w:ascii="宋体" w:hAnsi="宋体" w:cs="宋体"/>
                      <w:color w:val="auto"/>
                      <w:szCs w:val="21"/>
                    </w:rPr>
                    <w:t>/</w:t>
                  </w:r>
                </w:p>
              </w:tc>
            </w:tr>
            <w:tr w14:paraId="6538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43" w:type="dxa"/>
                  <w:vAlign w:val="center"/>
                </w:tcPr>
                <w:p w14:paraId="352895CB">
                  <w:pPr>
                    <w:jc w:val="center"/>
                    <w:rPr>
                      <w:rFonts w:hint="eastAsia" w:ascii="宋体" w:hAnsi="宋体" w:cs="宋体"/>
                      <w:color w:val="auto"/>
                      <w:szCs w:val="21"/>
                    </w:rPr>
                  </w:pPr>
                  <w:r>
                    <w:rPr>
                      <w:rFonts w:hint="eastAsia" w:ascii="宋体" w:hAnsi="宋体" w:cs="宋体"/>
                      <w:color w:val="auto"/>
                      <w:szCs w:val="21"/>
                    </w:rPr>
                    <w:t>6</w:t>
                  </w:r>
                </w:p>
              </w:tc>
              <w:tc>
                <w:tcPr>
                  <w:tcW w:w="2270" w:type="dxa"/>
                  <w:vAlign w:val="center"/>
                </w:tcPr>
                <w:p w14:paraId="710764DC">
                  <w:pPr>
                    <w:jc w:val="center"/>
                    <w:rPr>
                      <w:rFonts w:hint="eastAsia" w:ascii="宋体" w:hAnsi="宋体" w:cs="宋体"/>
                      <w:color w:val="auto"/>
                      <w:szCs w:val="21"/>
                    </w:rPr>
                  </w:pPr>
                  <w:r>
                    <w:rPr>
                      <w:rFonts w:hint="eastAsia" w:ascii="宋体" w:hAnsi="宋体" w:cs="宋体"/>
                      <w:color w:val="auto"/>
                      <w:szCs w:val="21"/>
                    </w:rPr>
                    <w:t>乙醇</w:t>
                  </w:r>
                </w:p>
              </w:tc>
              <w:tc>
                <w:tcPr>
                  <w:tcW w:w="1409" w:type="dxa"/>
                  <w:vAlign w:val="center"/>
                </w:tcPr>
                <w:p w14:paraId="43B53D23">
                  <w:pPr>
                    <w:jc w:val="center"/>
                    <w:rPr>
                      <w:rFonts w:hint="eastAsia" w:ascii="宋体" w:hAnsi="宋体" w:cs="宋体"/>
                      <w:color w:val="auto"/>
                      <w:szCs w:val="21"/>
                    </w:rPr>
                  </w:pPr>
                  <w:r>
                    <w:rPr>
                      <w:rFonts w:hint="eastAsia" w:ascii="宋体" w:hAnsi="宋体" w:cs="宋体"/>
                      <w:color w:val="auto"/>
                      <w:szCs w:val="21"/>
                    </w:rPr>
                    <w:t>500mL×96瓶/年</w:t>
                  </w:r>
                </w:p>
              </w:tc>
              <w:tc>
                <w:tcPr>
                  <w:tcW w:w="1557" w:type="dxa"/>
                  <w:vAlign w:val="center"/>
                </w:tcPr>
                <w:p w14:paraId="1AF7533D">
                  <w:pPr>
                    <w:jc w:val="center"/>
                    <w:rPr>
                      <w:rFonts w:hint="eastAsia" w:ascii="宋体" w:hAnsi="宋体" w:cs="宋体"/>
                      <w:color w:val="auto"/>
                      <w:szCs w:val="21"/>
                    </w:rPr>
                  </w:pPr>
                  <w:r>
                    <w:rPr>
                      <w:rFonts w:hint="eastAsia" w:ascii="宋体" w:hAnsi="宋体" w:cs="宋体"/>
                      <w:color w:val="auto"/>
                      <w:szCs w:val="21"/>
                    </w:rPr>
                    <w:t>40瓶</w:t>
                  </w:r>
                </w:p>
              </w:tc>
              <w:tc>
                <w:tcPr>
                  <w:tcW w:w="2398" w:type="dxa"/>
                  <w:vAlign w:val="center"/>
                </w:tcPr>
                <w:p w14:paraId="1D4117BD">
                  <w:pPr>
                    <w:jc w:val="center"/>
                    <w:rPr>
                      <w:rFonts w:hint="eastAsia" w:ascii="宋体" w:hAnsi="宋体" w:cs="宋体"/>
                      <w:color w:val="auto"/>
                      <w:szCs w:val="21"/>
                    </w:rPr>
                  </w:pPr>
                  <w:r>
                    <w:rPr>
                      <w:rFonts w:hint="eastAsia" w:ascii="宋体" w:hAnsi="宋体" w:cs="宋体"/>
                      <w:color w:val="auto"/>
                      <w:szCs w:val="21"/>
                    </w:rPr>
                    <w:t>/</w:t>
                  </w:r>
                </w:p>
              </w:tc>
            </w:tr>
            <w:tr w14:paraId="74DC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43" w:type="dxa"/>
                  <w:vAlign w:val="center"/>
                </w:tcPr>
                <w:p w14:paraId="429C633A">
                  <w:pPr>
                    <w:jc w:val="center"/>
                    <w:rPr>
                      <w:rFonts w:hint="eastAsia" w:ascii="宋体" w:hAnsi="宋体" w:cs="宋体"/>
                      <w:color w:val="auto"/>
                      <w:szCs w:val="21"/>
                    </w:rPr>
                  </w:pPr>
                  <w:r>
                    <w:rPr>
                      <w:rFonts w:hint="eastAsia" w:ascii="宋体" w:hAnsi="宋体" w:cs="宋体"/>
                      <w:color w:val="auto"/>
                      <w:szCs w:val="21"/>
                    </w:rPr>
                    <w:t>7</w:t>
                  </w:r>
                </w:p>
              </w:tc>
              <w:tc>
                <w:tcPr>
                  <w:tcW w:w="2270" w:type="dxa"/>
                  <w:vAlign w:val="center"/>
                </w:tcPr>
                <w:p w14:paraId="049780B7">
                  <w:pPr>
                    <w:jc w:val="center"/>
                    <w:rPr>
                      <w:rFonts w:hint="eastAsia" w:ascii="宋体" w:hAnsi="宋体" w:cs="宋体"/>
                      <w:color w:val="auto"/>
                      <w:szCs w:val="21"/>
                    </w:rPr>
                  </w:pPr>
                  <w:r>
                    <w:rPr>
                      <w:rFonts w:hint="eastAsia" w:ascii="宋体" w:hAnsi="宋体" w:cs="宋体"/>
                      <w:color w:val="auto"/>
                      <w:szCs w:val="21"/>
                    </w:rPr>
                    <w:t>氧气</w:t>
                  </w:r>
                </w:p>
              </w:tc>
              <w:tc>
                <w:tcPr>
                  <w:tcW w:w="1409" w:type="dxa"/>
                  <w:vAlign w:val="center"/>
                </w:tcPr>
                <w:p w14:paraId="43319B63">
                  <w:pPr>
                    <w:jc w:val="center"/>
                    <w:rPr>
                      <w:rFonts w:hint="eastAsia" w:ascii="宋体" w:hAnsi="宋体" w:cs="宋体"/>
                      <w:color w:val="auto"/>
                      <w:szCs w:val="21"/>
                    </w:rPr>
                  </w:pPr>
                  <w:r>
                    <w:rPr>
                      <w:rFonts w:hint="eastAsia"/>
                      <w:color w:val="auto"/>
                      <w:szCs w:val="21"/>
                    </w:rPr>
                    <w:t>36瓶/</w:t>
                  </w:r>
                  <w:r>
                    <w:rPr>
                      <w:rFonts w:hint="eastAsia" w:ascii="宋体" w:hAnsi="宋体" w:cs="宋体"/>
                      <w:color w:val="auto"/>
                      <w:szCs w:val="21"/>
                    </w:rPr>
                    <w:t>a</w:t>
                  </w:r>
                </w:p>
              </w:tc>
              <w:tc>
                <w:tcPr>
                  <w:tcW w:w="1557" w:type="dxa"/>
                  <w:vAlign w:val="center"/>
                </w:tcPr>
                <w:p w14:paraId="6122F390">
                  <w:pPr>
                    <w:jc w:val="center"/>
                    <w:rPr>
                      <w:rFonts w:hint="eastAsia" w:ascii="宋体" w:hAnsi="宋体" w:cs="宋体"/>
                      <w:color w:val="auto"/>
                      <w:szCs w:val="21"/>
                    </w:rPr>
                  </w:pPr>
                  <w:r>
                    <w:rPr>
                      <w:rFonts w:hint="eastAsia"/>
                      <w:color w:val="auto"/>
                      <w:szCs w:val="21"/>
                    </w:rPr>
                    <w:t>10瓶/年</w:t>
                  </w:r>
                </w:p>
              </w:tc>
              <w:tc>
                <w:tcPr>
                  <w:tcW w:w="2398" w:type="dxa"/>
                  <w:vAlign w:val="center"/>
                </w:tcPr>
                <w:p w14:paraId="14E6C9E9">
                  <w:pPr>
                    <w:jc w:val="center"/>
                    <w:rPr>
                      <w:rFonts w:hint="eastAsia" w:ascii="宋体" w:hAnsi="宋体" w:cs="宋体"/>
                      <w:color w:val="auto"/>
                      <w:szCs w:val="21"/>
                    </w:rPr>
                  </w:pPr>
                  <w:r>
                    <w:rPr>
                      <w:rFonts w:hint="eastAsia" w:ascii="宋体" w:hAnsi="宋体" w:cs="宋体"/>
                      <w:color w:val="auto"/>
                      <w:szCs w:val="21"/>
                    </w:rPr>
                    <w:t>外购进入5m</w:t>
                  </w:r>
                  <w:r>
                    <w:rPr>
                      <w:rFonts w:hint="eastAsia" w:ascii="宋体" w:hAnsi="宋体" w:cs="宋体"/>
                      <w:color w:val="auto"/>
                      <w:szCs w:val="21"/>
                      <w:vertAlign w:val="superscript"/>
                    </w:rPr>
                    <w:t>3</w:t>
                  </w:r>
                  <w:r>
                    <w:rPr>
                      <w:rFonts w:hint="eastAsia" w:ascii="宋体" w:hAnsi="宋体" w:cs="宋体"/>
                      <w:color w:val="auto"/>
                      <w:szCs w:val="21"/>
                    </w:rPr>
                    <w:t>的液氧储罐暂存</w:t>
                  </w:r>
                </w:p>
              </w:tc>
            </w:tr>
            <w:tr w14:paraId="5A7B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50002735">
                  <w:pPr>
                    <w:jc w:val="center"/>
                    <w:rPr>
                      <w:rFonts w:hint="eastAsia" w:ascii="宋体" w:hAnsi="宋体" w:cs="宋体"/>
                      <w:color w:val="auto"/>
                      <w:szCs w:val="21"/>
                    </w:rPr>
                  </w:pPr>
                  <w:r>
                    <w:rPr>
                      <w:rFonts w:hint="eastAsia" w:ascii="宋体" w:hAnsi="宋体" w:cs="宋体"/>
                      <w:color w:val="auto"/>
                      <w:szCs w:val="21"/>
                    </w:rPr>
                    <w:t>8</w:t>
                  </w:r>
                </w:p>
              </w:tc>
              <w:tc>
                <w:tcPr>
                  <w:tcW w:w="2270" w:type="dxa"/>
                  <w:vAlign w:val="center"/>
                </w:tcPr>
                <w:p w14:paraId="30ED05AE">
                  <w:pPr>
                    <w:jc w:val="center"/>
                    <w:rPr>
                      <w:rFonts w:hint="eastAsia" w:ascii="宋体" w:hAnsi="宋体" w:cs="宋体"/>
                      <w:color w:val="auto"/>
                      <w:szCs w:val="21"/>
                    </w:rPr>
                  </w:pPr>
                  <w:r>
                    <w:rPr>
                      <w:rFonts w:hint="eastAsia"/>
                      <w:color w:val="auto"/>
                      <w:szCs w:val="21"/>
                    </w:rPr>
                    <w:t>二氧化氯</w:t>
                  </w:r>
                </w:p>
              </w:tc>
              <w:tc>
                <w:tcPr>
                  <w:tcW w:w="1409" w:type="dxa"/>
                  <w:vAlign w:val="center"/>
                </w:tcPr>
                <w:p w14:paraId="0FFFAD7E">
                  <w:pPr>
                    <w:jc w:val="center"/>
                    <w:rPr>
                      <w:rFonts w:hint="eastAsia" w:ascii="宋体" w:hAnsi="宋体" w:cs="宋体"/>
                      <w:color w:val="auto"/>
                      <w:szCs w:val="21"/>
                    </w:rPr>
                  </w:pPr>
                  <w:r>
                    <w:rPr>
                      <w:rFonts w:hint="eastAsia" w:ascii="宋体" w:hAnsi="宋体" w:cs="宋体"/>
                      <w:color w:val="auto"/>
                      <w:szCs w:val="21"/>
                    </w:rPr>
                    <w:t>0.05t/a</w:t>
                  </w:r>
                </w:p>
              </w:tc>
              <w:tc>
                <w:tcPr>
                  <w:tcW w:w="1557" w:type="dxa"/>
                  <w:vAlign w:val="center"/>
                </w:tcPr>
                <w:p w14:paraId="5EAF86F9">
                  <w:pPr>
                    <w:jc w:val="center"/>
                    <w:rPr>
                      <w:rFonts w:hint="eastAsia" w:ascii="宋体" w:hAnsi="宋体" w:cs="宋体"/>
                      <w:color w:val="auto"/>
                      <w:szCs w:val="21"/>
                    </w:rPr>
                  </w:pPr>
                  <w:r>
                    <w:rPr>
                      <w:rFonts w:hint="eastAsia"/>
                      <w:color w:val="auto"/>
                      <w:szCs w:val="21"/>
                    </w:rPr>
                    <w:t>0.05t/</w:t>
                  </w:r>
                  <w:r>
                    <w:rPr>
                      <w:rFonts w:hint="eastAsia" w:ascii="宋体" w:hAnsi="宋体" w:cs="宋体"/>
                      <w:color w:val="auto"/>
                      <w:szCs w:val="21"/>
                    </w:rPr>
                    <w:t>a</w:t>
                  </w:r>
                </w:p>
              </w:tc>
              <w:tc>
                <w:tcPr>
                  <w:tcW w:w="2398" w:type="dxa"/>
                  <w:vAlign w:val="center"/>
                </w:tcPr>
                <w:p w14:paraId="0ED9F43F">
                  <w:pPr>
                    <w:jc w:val="center"/>
                    <w:rPr>
                      <w:rFonts w:hint="eastAsia" w:ascii="宋体" w:hAnsi="宋体" w:cs="宋体"/>
                      <w:color w:val="auto"/>
                      <w:szCs w:val="21"/>
                    </w:rPr>
                  </w:pPr>
                </w:p>
              </w:tc>
            </w:tr>
            <w:tr w14:paraId="5E0E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5CDBC5C3">
                  <w:pPr>
                    <w:jc w:val="center"/>
                    <w:rPr>
                      <w:rFonts w:hint="eastAsia" w:ascii="宋体" w:hAnsi="宋体" w:cs="宋体"/>
                      <w:color w:val="auto"/>
                      <w:szCs w:val="21"/>
                    </w:rPr>
                  </w:pPr>
                  <w:r>
                    <w:rPr>
                      <w:rFonts w:hint="eastAsia" w:ascii="宋体" w:hAnsi="宋体" w:cs="宋体"/>
                      <w:color w:val="auto"/>
                      <w:szCs w:val="21"/>
                    </w:rPr>
                    <w:t>二</w:t>
                  </w:r>
                </w:p>
              </w:tc>
              <w:tc>
                <w:tcPr>
                  <w:tcW w:w="7634" w:type="dxa"/>
                  <w:gridSpan w:val="4"/>
                  <w:vAlign w:val="center"/>
                </w:tcPr>
                <w:p w14:paraId="763EB0B7">
                  <w:pPr>
                    <w:jc w:val="center"/>
                    <w:rPr>
                      <w:rFonts w:hint="eastAsia" w:ascii="宋体" w:hAnsi="宋体" w:cs="宋体"/>
                      <w:color w:val="auto"/>
                      <w:szCs w:val="21"/>
                    </w:rPr>
                  </w:pPr>
                  <w:r>
                    <w:rPr>
                      <w:rFonts w:hint="eastAsia" w:ascii="宋体" w:hAnsi="宋体" w:cs="宋体"/>
                      <w:color w:val="auto"/>
                      <w:szCs w:val="21"/>
                    </w:rPr>
                    <w:t>能源</w:t>
                  </w:r>
                </w:p>
              </w:tc>
            </w:tr>
            <w:tr w14:paraId="1B3D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64887F77">
                  <w:pPr>
                    <w:jc w:val="center"/>
                    <w:rPr>
                      <w:rFonts w:hint="eastAsia" w:ascii="宋体" w:hAnsi="宋体" w:cs="宋体"/>
                      <w:color w:val="auto"/>
                      <w:szCs w:val="21"/>
                    </w:rPr>
                  </w:pPr>
                  <w:r>
                    <w:rPr>
                      <w:rFonts w:hint="eastAsia" w:ascii="宋体" w:hAnsi="宋体" w:cs="宋体"/>
                      <w:color w:val="auto"/>
                      <w:szCs w:val="21"/>
                    </w:rPr>
                    <w:t>1</w:t>
                  </w:r>
                </w:p>
              </w:tc>
              <w:tc>
                <w:tcPr>
                  <w:tcW w:w="2270" w:type="dxa"/>
                  <w:vAlign w:val="center"/>
                </w:tcPr>
                <w:p w14:paraId="638EE147">
                  <w:pPr>
                    <w:jc w:val="center"/>
                    <w:rPr>
                      <w:rFonts w:hint="eastAsia" w:ascii="宋体" w:hAnsi="宋体" w:cs="宋体"/>
                      <w:color w:val="auto"/>
                      <w:szCs w:val="21"/>
                    </w:rPr>
                  </w:pPr>
                  <w:r>
                    <w:rPr>
                      <w:rFonts w:hint="eastAsia" w:ascii="宋体" w:hAnsi="宋体" w:cs="宋体"/>
                      <w:color w:val="auto"/>
                      <w:szCs w:val="21"/>
                    </w:rPr>
                    <w:t>水</w:t>
                  </w:r>
                </w:p>
              </w:tc>
              <w:tc>
                <w:tcPr>
                  <w:tcW w:w="1409" w:type="dxa"/>
                  <w:vAlign w:val="center"/>
                </w:tcPr>
                <w:p w14:paraId="7B6553F4">
                  <w:pPr>
                    <w:jc w:val="center"/>
                    <w:rPr>
                      <w:rFonts w:hint="eastAsia" w:ascii="宋体" w:hAnsi="宋体" w:cs="宋体"/>
                      <w:color w:val="auto"/>
                      <w:szCs w:val="21"/>
                    </w:rPr>
                  </w:pPr>
                  <w:r>
                    <w:rPr>
                      <w:rFonts w:hint="eastAsia" w:ascii="宋体" w:hAnsi="宋体" w:cs="宋体"/>
                      <w:color w:val="auto"/>
                      <w:szCs w:val="21"/>
                    </w:rPr>
                    <w:t>3910t/a</w:t>
                  </w:r>
                </w:p>
              </w:tc>
              <w:tc>
                <w:tcPr>
                  <w:tcW w:w="1557" w:type="dxa"/>
                  <w:vAlign w:val="center"/>
                </w:tcPr>
                <w:p w14:paraId="7952BECF">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766EFF1C">
                  <w:pPr>
                    <w:jc w:val="center"/>
                    <w:rPr>
                      <w:rFonts w:hint="eastAsia" w:ascii="宋体" w:hAnsi="宋体" w:cs="宋体"/>
                      <w:color w:val="auto"/>
                      <w:szCs w:val="21"/>
                    </w:rPr>
                  </w:pPr>
                  <w:r>
                    <w:rPr>
                      <w:rFonts w:hint="eastAsia" w:ascii="宋体" w:hAnsi="宋体" w:cs="宋体"/>
                      <w:color w:val="auto"/>
                      <w:szCs w:val="21"/>
                    </w:rPr>
                    <w:t>市政供水管网</w:t>
                  </w:r>
                </w:p>
              </w:tc>
            </w:tr>
            <w:tr w14:paraId="23CA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43" w:type="dxa"/>
                  <w:vAlign w:val="center"/>
                </w:tcPr>
                <w:p w14:paraId="2E2F95A0">
                  <w:pPr>
                    <w:jc w:val="center"/>
                    <w:rPr>
                      <w:rFonts w:hint="eastAsia" w:ascii="宋体" w:hAnsi="宋体" w:cs="宋体"/>
                      <w:color w:val="auto"/>
                      <w:szCs w:val="21"/>
                    </w:rPr>
                  </w:pPr>
                  <w:r>
                    <w:rPr>
                      <w:rFonts w:hint="eastAsia" w:ascii="宋体" w:hAnsi="宋体" w:cs="宋体"/>
                      <w:color w:val="auto"/>
                      <w:szCs w:val="21"/>
                    </w:rPr>
                    <w:t>2</w:t>
                  </w:r>
                </w:p>
              </w:tc>
              <w:tc>
                <w:tcPr>
                  <w:tcW w:w="2270" w:type="dxa"/>
                  <w:vAlign w:val="center"/>
                </w:tcPr>
                <w:p w14:paraId="728BD51E">
                  <w:pPr>
                    <w:jc w:val="center"/>
                    <w:rPr>
                      <w:rFonts w:hint="eastAsia" w:ascii="宋体" w:hAnsi="宋体" w:cs="宋体"/>
                      <w:color w:val="auto"/>
                      <w:szCs w:val="21"/>
                    </w:rPr>
                  </w:pPr>
                  <w:r>
                    <w:rPr>
                      <w:rFonts w:hint="eastAsia" w:ascii="宋体" w:hAnsi="宋体" w:cs="宋体"/>
                      <w:color w:val="auto"/>
                      <w:szCs w:val="21"/>
                    </w:rPr>
                    <w:t>电</w:t>
                  </w:r>
                </w:p>
              </w:tc>
              <w:tc>
                <w:tcPr>
                  <w:tcW w:w="1409" w:type="dxa"/>
                  <w:vAlign w:val="center"/>
                </w:tcPr>
                <w:p w14:paraId="797BD05D">
                  <w:pPr>
                    <w:jc w:val="center"/>
                    <w:rPr>
                      <w:rFonts w:hint="eastAsia" w:ascii="宋体" w:hAnsi="宋体" w:cs="宋体"/>
                      <w:color w:val="auto"/>
                      <w:szCs w:val="21"/>
                    </w:rPr>
                  </w:pPr>
                  <w:r>
                    <w:rPr>
                      <w:rFonts w:hint="eastAsia" w:ascii="宋体" w:hAnsi="宋体" w:cs="宋体"/>
                      <w:color w:val="auto"/>
                      <w:szCs w:val="21"/>
                    </w:rPr>
                    <w:t>68796kW.h</w:t>
                  </w:r>
                </w:p>
              </w:tc>
              <w:tc>
                <w:tcPr>
                  <w:tcW w:w="1557" w:type="dxa"/>
                  <w:vAlign w:val="center"/>
                </w:tcPr>
                <w:p w14:paraId="1DF5725A">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6C30B631">
                  <w:pPr>
                    <w:jc w:val="center"/>
                    <w:rPr>
                      <w:rFonts w:hint="eastAsia" w:ascii="宋体" w:hAnsi="宋体" w:cs="宋体"/>
                      <w:color w:val="auto"/>
                      <w:szCs w:val="21"/>
                    </w:rPr>
                  </w:pPr>
                  <w:r>
                    <w:rPr>
                      <w:rFonts w:hint="eastAsia" w:ascii="宋体" w:hAnsi="宋体" w:cs="宋体"/>
                      <w:color w:val="auto"/>
                      <w:szCs w:val="21"/>
                    </w:rPr>
                    <w:t>市政供电电网</w:t>
                  </w:r>
                </w:p>
              </w:tc>
            </w:tr>
            <w:tr w14:paraId="0467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43" w:type="dxa"/>
                  <w:vAlign w:val="center"/>
                </w:tcPr>
                <w:p w14:paraId="2782C888">
                  <w:pPr>
                    <w:jc w:val="center"/>
                    <w:rPr>
                      <w:rFonts w:hint="eastAsia" w:ascii="宋体" w:hAnsi="宋体" w:cs="宋体"/>
                      <w:color w:val="auto"/>
                      <w:szCs w:val="21"/>
                    </w:rPr>
                  </w:pPr>
                  <w:r>
                    <w:rPr>
                      <w:rFonts w:hint="eastAsia" w:ascii="宋体" w:hAnsi="宋体" w:cs="宋体"/>
                      <w:color w:val="auto"/>
                      <w:szCs w:val="21"/>
                    </w:rPr>
                    <w:t>3</w:t>
                  </w:r>
                </w:p>
              </w:tc>
              <w:tc>
                <w:tcPr>
                  <w:tcW w:w="2270" w:type="dxa"/>
                  <w:vAlign w:val="center"/>
                </w:tcPr>
                <w:p w14:paraId="5F53CA4B">
                  <w:pPr>
                    <w:jc w:val="center"/>
                    <w:rPr>
                      <w:rFonts w:hint="eastAsia" w:ascii="宋体" w:hAnsi="宋体" w:cs="宋体"/>
                      <w:color w:val="auto"/>
                      <w:szCs w:val="21"/>
                    </w:rPr>
                  </w:pPr>
                  <w:r>
                    <w:rPr>
                      <w:rFonts w:hint="eastAsia" w:ascii="宋体" w:hAnsi="宋体" w:cs="宋体"/>
                      <w:color w:val="auto"/>
                      <w:szCs w:val="21"/>
                    </w:rPr>
                    <w:t>柴油</w:t>
                  </w:r>
                </w:p>
              </w:tc>
              <w:tc>
                <w:tcPr>
                  <w:tcW w:w="1409" w:type="dxa"/>
                  <w:vAlign w:val="center"/>
                </w:tcPr>
                <w:p w14:paraId="2C8484A0">
                  <w:pPr>
                    <w:jc w:val="center"/>
                    <w:rPr>
                      <w:rFonts w:hint="eastAsia" w:ascii="宋体" w:hAnsi="宋体" w:cs="宋体"/>
                      <w:color w:val="auto"/>
                      <w:szCs w:val="21"/>
                    </w:rPr>
                  </w:pPr>
                  <w:r>
                    <w:rPr>
                      <w:rFonts w:hint="eastAsia"/>
                      <w:color w:val="auto"/>
                      <w:szCs w:val="21"/>
                    </w:rPr>
                    <w:t>0.025</w:t>
                  </w:r>
                  <w:r>
                    <w:rPr>
                      <w:rFonts w:hint="eastAsia" w:ascii="宋体" w:hAnsi="宋体" w:cs="宋体"/>
                      <w:color w:val="auto"/>
                      <w:szCs w:val="21"/>
                    </w:rPr>
                    <w:t>t/a</w:t>
                  </w:r>
                </w:p>
              </w:tc>
              <w:tc>
                <w:tcPr>
                  <w:tcW w:w="1557" w:type="dxa"/>
                  <w:vAlign w:val="center"/>
                </w:tcPr>
                <w:p w14:paraId="72E0BEBF">
                  <w:pPr>
                    <w:jc w:val="center"/>
                    <w:rPr>
                      <w:rFonts w:hint="eastAsia" w:ascii="宋体" w:hAnsi="宋体" w:cs="宋体"/>
                      <w:color w:val="auto"/>
                      <w:szCs w:val="21"/>
                    </w:rPr>
                  </w:pPr>
                  <w:r>
                    <w:rPr>
                      <w:rFonts w:hint="eastAsia"/>
                      <w:color w:val="auto"/>
                      <w:szCs w:val="21"/>
                    </w:rPr>
                    <w:t>0.025</w:t>
                  </w:r>
                  <w:r>
                    <w:rPr>
                      <w:rFonts w:hint="eastAsia" w:ascii="宋体" w:hAnsi="宋体" w:cs="宋体"/>
                      <w:color w:val="auto"/>
                      <w:szCs w:val="21"/>
                    </w:rPr>
                    <w:t>t/a</w:t>
                  </w:r>
                </w:p>
              </w:tc>
              <w:tc>
                <w:tcPr>
                  <w:tcW w:w="2398" w:type="dxa"/>
                  <w:vAlign w:val="center"/>
                </w:tcPr>
                <w:p w14:paraId="3302904F">
                  <w:pPr>
                    <w:jc w:val="center"/>
                    <w:rPr>
                      <w:rFonts w:hint="eastAsia" w:ascii="宋体" w:hAnsi="宋体" w:cs="宋体"/>
                      <w:color w:val="auto"/>
                      <w:szCs w:val="21"/>
                    </w:rPr>
                  </w:pPr>
                </w:p>
              </w:tc>
            </w:tr>
          </w:tbl>
          <w:p w14:paraId="7FB7725A">
            <w:pPr>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23现有项目（杨广卫生院）</w:t>
            </w:r>
            <w:r>
              <w:rPr>
                <w:rFonts w:ascii="宋体" w:hAnsi="宋体" w:cs="宋体"/>
                <w:b/>
                <w:color w:val="auto"/>
                <w:sz w:val="24"/>
              </w:rPr>
              <w:t>主要医疗用品消耗情况</w:t>
            </w:r>
          </w:p>
          <w:tbl>
            <w:tblPr>
              <w:tblStyle w:val="33"/>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2271"/>
              <w:gridCol w:w="1408"/>
              <w:gridCol w:w="1557"/>
              <w:gridCol w:w="2398"/>
            </w:tblGrid>
            <w:tr w14:paraId="638C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blHeader/>
                <w:jc w:val="center"/>
              </w:trPr>
              <w:tc>
                <w:tcPr>
                  <w:tcW w:w="543" w:type="dxa"/>
                  <w:vAlign w:val="center"/>
                </w:tcPr>
                <w:p w14:paraId="3BAADFDB">
                  <w:pPr>
                    <w:jc w:val="center"/>
                    <w:rPr>
                      <w:rFonts w:hint="eastAsia" w:ascii="宋体" w:hAnsi="宋体" w:cs="宋体"/>
                      <w:color w:val="auto"/>
                      <w:szCs w:val="21"/>
                    </w:rPr>
                  </w:pPr>
                  <w:r>
                    <w:rPr>
                      <w:rFonts w:hint="eastAsia" w:ascii="宋体" w:hAnsi="宋体" w:cs="宋体"/>
                      <w:color w:val="auto"/>
                      <w:szCs w:val="21"/>
                    </w:rPr>
                    <w:t>序号</w:t>
                  </w:r>
                </w:p>
              </w:tc>
              <w:tc>
                <w:tcPr>
                  <w:tcW w:w="2271" w:type="dxa"/>
                  <w:vAlign w:val="center"/>
                </w:tcPr>
                <w:p w14:paraId="255AA376">
                  <w:pPr>
                    <w:jc w:val="center"/>
                    <w:rPr>
                      <w:rFonts w:hint="eastAsia" w:ascii="宋体" w:hAnsi="宋体" w:cs="宋体"/>
                      <w:color w:val="auto"/>
                      <w:szCs w:val="21"/>
                    </w:rPr>
                  </w:pPr>
                  <w:r>
                    <w:rPr>
                      <w:rFonts w:hint="eastAsia" w:ascii="宋体" w:hAnsi="宋体" w:cs="宋体"/>
                      <w:color w:val="auto"/>
                      <w:szCs w:val="21"/>
                    </w:rPr>
                    <w:t>医疗用品</w:t>
                  </w:r>
                </w:p>
              </w:tc>
              <w:tc>
                <w:tcPr>
                  <w:tcW w:w="1408" w:type="dxa"/>
                  <w:vAlign w:val="center"/>
                </w:tcPr>
                <w:p w14:paraId="213DA39C">
                  <w:pPr>
                    <w:jc w:val="center"/>
                    <w:rPr>
                      <w:rFonts w:hint="eastAsia" w:ascii="宋体" w:hAnsi="宋体" w:cs="宋体"/>
                      <w:color w:val="auto"/>
                      <w:szCs w:val="21"/>
                    </w:rPr>
                  </w:pPr>
                  <w:r>
                    <w:rPr>
                      <w:rFonts w:hint="eastAsia" w:ascii="宋体" w:hAnsi="宋体" w:cs="宋体"/>
                      <w:color w:val="auto"/>
                      <w:szCs w:val="21"/>
                    </w:rPr>
                    <w:t>用量</w:t>
                  </w:r>
                </w:p>
              </w:tc>
              <w:tc>
                <w:tcPr>
                  <w:tcW w:w="1557" w:type="dxa"/>
                  <w:vAlign w:val="center"/>
                </w:tcPr>
                <w:p w14:paraId="54BA64EC">
                  <w:pPr>
                    <w:jc w:val="center"/>
                    <w:rPr>
                      <w:rFonts w:hint="eastAsia" w:ascii="宋体" w:hAnsi="宋体" w:cs="宋体"/>
                      <w:color w:val="auto"/>
                      <w:szCs w:val="21"/>
                    </w:rPr>
                  </w:pPr>
                  <w:r>
                    <w:rPr>
                      <w:rFonts w:hint="eastAsia" w:ascii="宋体" w:hAnsi="宋体" w:cs="宋体"/>
                      <w:color w:val="auto"/>
                      <w:szCs w:val="21"/>
                    </w:rPr>
                    <w:t>院内最大存储量</w:t>
                  </w:r>
                </w:p>
              </w:tc>
              <w:tc>
                <w:tcPr>
                  <w:tcW w:w="2398" w:type="dxa"/>
                  <w:vAlign w:val="center"/>
                </w:tcPr>
                <w:p w14:paraId="0DBE95FE">
                  <w:pPr>
                    <w:jc w:val="center"/>
                    <w:rPr>
                      <w:rFonts w:hint="eastAsia" w:ascii="宋体" w:hAnsi="宋体" w:cs="宋体"/>
                      <w:color w:val="auto"/>
                      <w:szCs w:val="21"/>
                    </w:rPr>
                  </w:pPr>
                  <w:r>
                    <w:rPr>
                      <w:rFonts w:hint="eastAsia" w:ascii="宋体" w:hAnsi="宋体" w:cs="宋体"/>
                      <w:color w:val="auto"/>
                      <w:szCs w:val="21"/>
                    </w:rPr>
                    <w:t>备注</w:t>
                  </w:r>
                </w:p>
              </w:tc>
            </w:tr>
            <w:tr w14:paraId="2041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543" w:type="dxa"/>
                  <w:vAlign w:val="center"/>
                </w:tcPr>
                <w:p w14:paraId="2F642918">
                  <w:pPr>
                    <w:jc w:val="center"/>
                    <w:rPr>
                      <w:rFonts w:hint="eastAsia" w:ascii="宋体" w:hAnsi="宋体" w:cs="宋体"/>
                      <w:color w:val="auto"/>
                      <w:szCs w:val="21"/>
                    </w:rPr>
                  </w:pPr>
                  <w:r>
                    <w:rPr>
                      <w:rFonts w:hint="eastAsia" w:ascii="宋体" w:hAnsi="宋体" w:cs="宋体"/>
                      <w:color w:val="auto"/>
                      <w:szCs w:val="21"/>
                    </w:rPr>
                    <w:t>一</w:t>
                  </w:r>
                </w:p>
              </w:tc>
              <w:tc>
                <w:tcPr>
                  <w:tcW w:w="7634" w:type="dxa"/>
                  <w:gridSpan w:val="4"/>
                  <w:vAlign w:val="center"/>
                </w:tcPr>
                <w:p w14:paraId="308959A8">
                  <w:pPr>
                    <w:jc w:val="center"/>
                    <w:rPr>
                      <w:rFonts w:hint="eastAsia" w:ascii="宋体" w:hAnsi="宋体" w:cs="宋体"/>
                      <w:color w:val="auto"/>
                      <w:szCs w:val="21"/>
                    </w:rPr>
                  </w:pPr>
                  <w:r>
                    <w:rPr>
                      <w:rFonts w:hint="eastAsia" w:ascii="宋体" w:hAnsi="宋体" w:cs="宋体"/>
                      <w:color w:val="auto"/>
                      <w:szCs w:val="21"/>
                    </w:rPr>
                    <w:t>原辅料</w:t>
                  </w:r>
                </w:p>
              </w:tc>
            </w:tr>
            <w:tr w14:paraId="1B70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05B37418">
                  <w:pPr>
                    <w:jc w:val="center"/>
                    <w:rPr>
                      <w:rFonts w:hint="eastAsia" w:ascii="宋体" w:hAnsi="宋体" w:cs="宋体"/>
                      <w:color w:val="auto"/>
                      <w:szCs w:val="21"/>
                    </w:rPr>
                  </w:pPr>
                  <w:r>
                    <w:rPr>
                      <w:rFonts w:hint="eastAsia" w:ascii="宋体" w:hAnsi="宋体" w:cs="宋体"/>
                      <w:color w:val="auto"/>
                      <w:szCs w:val="21"/>
                    </w:rPr>
                    <w:t>2</w:t>
                  </w:r>
                </w:p>
              </w:tc>
              <w:tc>
                <w:tcPr>
                  <w:tcW w:w="2271" w:type="dxa"/>
                  <w:vAlign w:val="center"/>
                </w:tcPr>
                <w:p w14:paraId="50796F12">
                  <w:pPr>
                    <w:jc w:val="center"/>
                    <w:rPr>
                      <w:rFonts w:hint="eastAsia" w:ascii="宋体" w:hAnsi="宋体" w:cs="宋体"/>
                      <w:color w:val="auto"/>
                      <w:szCs w:val="21"/>
                    </w:rPr>
                  </w:pPr>
                  <w:r>
                    <w:rPr>
                      <w:rFonts w:hint="eastAsia" w:ascii="宋体" w:hAnsi="宋体" w:cs="宋体"/>
                      <w:color w:val="auto"/>
                      <w:szCs w:val="21"/>
                    </w:rPr>
                    <w:t>注射器</w:t>
                  </w:r>
                </w:p>
              </w:tc>
              <w:tc>
                <w:tcPr>
                  <w:tcW w:w="1408" w:type="dxa"/>
                  <w:vAlign w:val="center"/>
                </w:tcPr>
                <w:p w14:paraId="5DA6E1C6">
                  <w:pPr>
                    <w:jc w:val="center"/>
                    <w:rPr>
                      <w:rFonts w:hint="eastAsia" w:ascii="宋体" w:hAnsi="宋体" w:cs="宋体"/>
                      <w:color w:val="auto"/>
                      <w:szCs w:val="21"/>
                    </w:rPr>
                  </w:pPr>
                  <w:r>
                    <w:rPr>
                      <w:rFonts w:hint="eastAsia" w:ascii="宋体" w:hAnsi="宋体" w:cs="宋体"/>
                      <w:color w:val="auto"/>
                      <w:szCs w:val="21"/>
                    </w:rPr>
                    <w:t>24200个/a</w:t>
                  </w:r>
                </w:p>
              </w:tc>
              <w:tc>
                <w:tcPr>
                  <w:tcW w:w="1557" w:type="dxa"/>
                  <w:vAlign w:val="center"/>
                </w:tcPr>
                <w:p w14:paraId="663059C5">
                  <w:pPr>
                    <w:jc w:val="center"/>
                    <w:rPr>
                      <w:rFonts w:hint="eastAsia" w:ascii="宋体" w:hAnsi="宋体" w:cs="宋体"/>
                      <w:color w:val="auto"/>
                      <w:szCs w:val="21"/>
                    </w:rPr>
                  </w:pPr>
                  <w:r>
                    <w:rPr>
                      <w:rFonts w:hint="eastAsia" w:ascii="宋体" w:hAnsi="宋体" w:cs="宋体"/>
                      <w:color w:val="auto"/>
                      <w:szCs w:val="21"/>
                    </w:rPr>
                    <w:t>500个</w:t>
                  </w:r>
                </w:p>
              </w:tc>
              <w:tc>
                <w:tcPr>
                  <w:tcW w:w="2398" w:type="dxa"/>
                  <w:vAlign w:val="center"/>
                </w:tcPr>
                <w:p w14:paraId="67F0C988">
                  <w:pPr>
                    <w:jc w:val="center"/>
                    <w:rPr>
                      <w:rFonts w:hint="eastAsia" w:ascii="宋体" w:hAnsi="宋体" w:cs="宋体"/>
                      <w:color w:val="auto"/>
                      <w:szCs w:val="21"/>
                    </w:rPr>
                  </w:pPr>
                  <w:r>
                    <w:rPr>
                      <w:rFonts w:hint="eastAsia" w:ascii="宋体" w:hAnsi="宋体" w:cs="宋体"/>
                      <w:color w:val="auto"/>
                      <w:szCs w:val="21"/>
                    </w:rPr>
                    <w:t>/</w:t>
                  </w:r>
                </w:p>
              </w:tc>
            </w:tr>
            <w:tr w14:paraId="339F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422B9FB3">
                  <w:pPr>
                    <w:jc w:val="center"/>
                    <w:rPr>
                      <w:rFonts w:hint="eastAsia" w:ascii="宋体" w:hAnsi="宋体" w:cs="宋体"/>
                      <w:color w:val="auto"/>
                      <w:szCs w:val="21"/>
                    </w:rPr>
                  </w:pPr>
                  <w:r>
                    <w:rPr>
                      <w:rFonts w:hint="eastAsia" w:ascii="宋体" w:hAnsi="宋体" w:cs="宋体"/>
                      <w:color w:val="auto"/>
                      <w:szCs w:val="21"/>
                    </w:rPr>
                    <w:t>3</w:t>
                  </w:r>
                </w:p>
              </w:tc>
              <w:tc>
                <w:tcPr>
                  <w:tcW w:w="2271" w:type="dxa"/>
                  <w:vAlign w:val="center"/>
                </w:tcPr>
                <w:p w14:paraId="1E9A5AD0">
                  <w:pPr>
                    <w:jc w:val="center"/>
                    <w:rPr>
                      <w:rFonts w:hint="eastAsia" w:ascii="宋体" w:hAnsi="宋体" w:cs="宋体"/>
                      <w:color w:val="auto"/>
                      <w:szCs w:val="21"/>
                    </w:rPr>
                  </w:pPr>
                  <w:r>
                    <w:rPr>
                      <w:rFonts w:hint="eastAsia" w:ascii="宋体" w:hAnsi="宋体" w:cs="宋体"/>
                      <w:color w:val="auto"/>
                      <w:szCs w:val="21"/>
                    </w:rPr>
                    <w:t>输液管</w:t>
                  </w:r>
                </w:p>
              </w:tc>
              <w:tc>
                <w:tcPr>
                  <w:tcW w:w="1408" w:type="dxa"/>
                  <w:vAlign w:val="center"/>
                </w:tcPr>
                <w:p w14:paraId="229AADAA">
                  <w:pPr>
                    <w:jc w:val="center"/>
                    <w:rPr>
                      <w:rFonts w:hint="eastAsia" w:ascii="宋体" w:hAnsi="宋体" w:cs="宋体"/>
                      <w:color w:val="auto"/>
                      <w:szCs w:val="21"/>
                    </w:rPr>
                  </w:pPr>
                  <w:r>
                    <w:rPr>
                      <w:rFonts w:hint="eastAsia" w:ascii="宋体" w:hAnsi="宋体" w:cs="宋体"/>
                      <w:color w:val="auto"/>
                      <w:szCs w:val="21"/>
                    </w:rPr>
                    <w:t>37410套/a</w:t>
                  </w:r>
                </w:p>
              </w:tc>
              <w:tc>
                <w:tcPr>
                  <w:tcW w:w="1557" w:type="dxa"/>
                  <w:vAlign w:val="center"/>
                </w:tcPr>
                <w:p w14:paraId="23050CE7">
                  <w:pPr>
                    <w:jc w:val="center"/>
                    <w:rPr>
                      <w:rFonts w:hint="eastAsia" w:ascii="宋体" w:hAnsi="宋体" w:cs="宋体"/>
                      <w:color w:val="auto"/>
                      <w:szCs w:val="21"/>
                    </w:rPr>
                  </w:pPr>
                  <w:r>
                    <w:rPr>
                      <w:rFonts w:hint="eastAsia" w:ascii="宋体" w:hAnsi="宋体" w:cs="宋体"/>
                      <w:color w:val="auto"/>
                      <w:szCs w:val="21"/>
                    </w:rPr>
                    <w:t>1000套</w:t>
                  </w:r>
                </w:p>
              </w:tc>
              <w:tc>
                <w:tcPr>
                  <w:tcW w:w="2398" w:type="dxa"/>
                  <w:vAlign w:val="center"/>
                </w:tcPr>
                <w:p w14:paraId="13CCD1F6">
                  <w:pPr>
                    <w:jc w:val="center"/>
                    <w:rPr>
                      <w:rFonts w:hint="eastAsia" w:ascii="宋体" w:hAnsi="宋体" w:cs="宋体"/>
                      <w:color w:val="auto"/>
                      <w:szCs w:val="21"/>
                    </w:rPr>
                  </w:pPr>
                  <w:r>
                    <w:rPr>
                      <w:rFonts w:hint="eastAsia" w:ascii="宋体" w:hAnsi="宋体" w:cs="宋体"/>
                      <w:color w:val="auto"/>
                      <w:szCs w:val="21"/>
                    </w:rPr>
                    <w:t>/</w:t>
                  </w:r>
                </w:p>
              </w:tc>
            </w:tr>
            <w:tr w14:paraId="189E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0B211CD2">
                  <w:pPr>
                    <w:jc w:val="center"/>
                    <w:rPr>
                      <w:rFonts w:hint="eastAsia" w:ascii="宋体" w:hAnsi="宋体" w:cs="宋体"/>
                      <w:color w:val="auto"/>
                      <w:szCs w:val="21"/>
                    </w:rPr>
                  </w:pPr>
                  <w:r>
                    <w:rPr>
                      <w:rFonts w:hint="eastAsia" w:ascii="宋体" w:hAnsi="宋体" w:cs="宋体"/>
                      <w:color w:val="auto"/>
                      <w:szCs w:val="21"/>
                    </w:rPr>
                    <w:t>4</w:t>
                  </w:r>
                </w:p>
              </w:tc>
              <w:tc>
                <w:tcPr>
                  <w:tcW w:w="2271" w:type="dxa"/>
                  <w:vAlign w:val="center"/>
                </w:tcPr>
                <w:p w14:paraId="105B6987">
                  <w:pPr>
                    <w:jc w:val="center"/>
                    <w:rPr>
                      <w:rFonts w:hint="eastAsia" w:ascii="宋体" w:hAnsi="宋体" w:cs="宋体"/>
                      <w:color w:val="auto"/>
                      <w:szCs w:val="21"/>
                    </w:rPr>
                  </w:pPr>
                  <w:r>
                    <w:rPr>
                      <w:rFonts w:hint="eastAsia" w:ascii="宋体" w:hAnsi="宋体" w:cs="宋体"/>
                      <w:color w:val="auto"/>
                      <w:szCs w:val="21"/>
                    </w:rPr>
                    <w:t>医用棉花</w:t>
                  </w:r>
                </w:p>
              </w:tc>
              <w:tc>
                <w:tcPr>
                  <w:tcW w:w="1408" w:type="dxa"/>
                  <w:vAlign w:val="center"/>
                </w:tcPr>
                <w:p w14:paraId="1DEC0D3A">
                  <w:pPr>
                    <w:jc w:val="center"/>
                    <w:rPr>
                      <w:rFonts w:hint="eastAsia" w:ascii="宋体" w:hAnsi="宋体" w:cs="宋体"/>
                      <w:color w:val="auto"/>
                      <w:szCs w:val="21"/>
                    </w:rPr>
                  </w:pPr>
                  <w:r>
                    <w:rPr>
                      <w:rFonts w:hint="eastAsia" w:ascii="宋体" w:hAnsi="宋体" w:cs="宋体"/>
                      <w:color w:val="auto"/>
                      <w:szCs w:val="21"/>
                    </w:rPr>
                    <w:t>180包/a</w:t>
                  </w:r>
                </w:p>
              </w:tc>
              <w:tc>
                <w:tcPr>
                  <w:tcW w:w="1557" w:type="dxa"/>
                  <w:vAlign w:val="center"/>
                </w:tcPr>
                <w:p w14:paraId="03C431DB">
                  <w:pPr>
                    <w:jc w:val="center"/>
                    <w:rPr>
                      <w:rFonts w:hint="eastAsia" w:ascii="宋体" w:hAnsi="宋体" w:cs="宋体"/>
                      <w:color w:val="auto"/>
                      <w:szCs w:val="21"/>
                    </w:rPr>
                  </w:pPr>
                  <w:r>
                    <w:rPr>
                      <w:rFonts w:hint="eastAsia" w:ascii="宋体" w:hAnsi="宋体" w:cs="宋体"/>
                      <w:color w:val="auto"/>
                      <w:szCs w:val="21"/>
                    </w:rPr>
                    <w:t>10包</w:t>
                  </w:r>
                </w:p>
              </w:tc>
              <w:tc>
                <w:tcPr>
                  <w:tcW w:w="2398" w:type="dxa"/>
                  <w:vAlign w:val="center"/>
                </w:tcPr>
                <w:p w14:paraId="18B9527D">
                  <w:pPr>
                    <w:jc w:val="center"/>
                    <w:rPr>
                      <w:rFonts w:hint="eastAsia" w:ascii="宋体" w:hAnsi="宋体" w:cs="宋体"/>
                      <w:color w:val="auto"/>
                      <w:szCs w:val="21"/>
                    </w:rPr>
                  </w:pPr>
                  <w:r>
                    <w:rPr>
                      <w:rFonts w:hint="eastAsia" w:ascii="宋体" w:hAnsi="宋体" w:cs="宋体"/>
                      <w:color w:val="auto"/>
                      <w:szCs w:val="21"/>
                    </w:rPr>
                    <w:t>/</w:t>
                  </w:r>
                </w:p>
              </w:tc>
            </w:tr>
            <w:tr w14:paraId="4952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0844164A">
                  <w:pPr>
                    <w:jc w:val="center"/>
                    <w:rPr>
                      <w:rFonts w:hint="eastAsia" w:ascii="宋体" w:hAnsi="宋体" w:cs="宋体"/>
                      <w:color w:val="auto"/>
                      <w:szCs w:val="21"/>
                    </w:rPr>
                  </w:pPr>
                  <w:r>
                    <w:rPr>
                      <w:rFonts w:hint="eastAsia" w:ascii="宋体" w:hAnsi="宋体" w:cs="宋体"/>
                      <w:color w:val="auto"/>
                      <w:szCs w:val="21"/>
                    </w:rPr>
                    <w:t>5</w:t>
                  </w:r>
                </w:p>
              </w:tc>
              <w:tc>
                <w:tcPr>
                  <w:tcW w:w="2271" w:type="dxa"/>
                  <w:vAlign w:val="center"/>
                </w:tcPr>
                <w:p w14:paraId="3717BEFE">
                  <w:pPr>
                    <w:jc w:val="center"/>
                    <w:rPr>
                      <w:rFonts w:hint="eastAsia" w:ascii="宋体" w:hAnsi="宋体" w:cs="宋体"/>
                      <w:color w:val="auto"/>
                      <w:szCs w:val="21"/>
                    </w:rPr>
                  </w:pPr>
                  <w:r>
                    <w:rPr>
                      <w:rFonts w:hint="eastAsia" w:ascii="宋体" w:hAnsi="宋体" w:cs="宋体"/>
                      <w:color w:val="auto"/>
                      <w:szCs w:val="21"/>
                    </w:rPr>
                    <w:t>纱布</w:t>
                  </w:r>
                </w:p>
              </w:tc>
              <w:tc>
                <w:tcPr>
                  <w:tcW w:w="1408" w:type="dxa"/>
                  <w:vAlign w:val="center"/>
                </w:tcPr>
                <w:p w14:paraId="2506F343">
                  <w:pPr>
                    <w:jc w:val="center"/>
                    <w:rPr>
                      <w:rFonts w:hint="eastAsia" w:ascii="宋体" w:hAnsi="宋体" w:cs="宋体"/>
                      <w:color w:val="auto"/>
                      <w:szCs w:val="21"/>
                    </w:rPr>
                  </w:pPr>
                  <w:r>
                    <w:rPr>
                      <w:rFonts w:hint="eastAsia" w:ascii="宋体" w:hAnsi="宋体" w:cs="宋体"/>
                      <w:color w:val="auto"/>
                      <w:szCs w:val="21"/>
                    </w:rPr>
                    <w:t>23包/a</w:t>
                  </w:r>
                </w:p>
              </w:tc>
              <w:tc>
                <w:tcPr>
                  <w:tcW w:w="1557" w:type="dxa"/>
                  <w:vAlign w:val="center"/>
                </w:tcPr>
                <w:p w14:paraId="16AF14C7">
                  <w:pPr>
                    <w:jc w:val="center"/>
                    <w:rPr>
                      <w:rFonts w:hint="eastAsia" w:ascii="宋体" w:hAnsi="宋体" w:cs="宋体"/>
                      <w:color w:val="auto"/>
                      <w:szCs w:val="21"/>
                    </w:rPr>
                  </w:pPr>
                  <w:r>
                    <w:rPr>
                      <w:rFonts w:hint="eastAsia" w:ascii="宋体" w:hAnsi="宋体" w:cs="宋体"/>
                      <w:color w:val="auto"/>
                      <w:szCs w:val="21"/>
                    </w:rPr>
                    <w:t>20包</w:t>
                  </w:r>
                </w:p>
              </w:tc>
              <w:tc>
                <w:tcPr>
                  <w:tcW w:w="2398" w:type="dxa"/>
                  <w:vAlign w:val="center"/>
                </w:tcPr>
                <w:p w14:paraId="55BCDC0D">
                  <w:pPr>
                    <w:jc w:val="center"/>
                    <w:rPr>
                      <w:rFonts w:hint="eastAsia" w:ascii="宋体" w:hAnsi="宋体" w:cs="宋体"/>
                      <w:color w:val="auto"/>
                      <w:szCs w:val="21"/>
                    </w:rPr>
                  </w:pPr>
                  <w:r>
                    <w:rPr>
                      <w:rFonts w:hint="eastAsia" w:ascii="宋体" w:hAnsi="宋体" w:cs="宋体"/>
                      <w:color w:val="auto"/>
                      <w:szCs w:val="21"/>
                    </w:rPr>
                    <w:t>/</w:t>
                  </w:r>
                </w:p>
              </w:tc>
            </w:tr>
            <w:tr w14:paraId="1F27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43" w:type="dxa"/>
                  <w:vAlign w:val="center"/>
                </w:tcPr>
                <w:p w14:paraId="061D56E0">
                  <w:pPr>
                    <w:jc w:val="center"/>
                    <w:rPr>
                      <w:rFonts w:hint="eastAsia" w:ascii="宋体" w:hAnsi="宋体" w:cs="宋体"/>
                      <w:color w:val="auto"/>
                      <w:szCs w:val="21"/>
                    </w:rPr>
                  </w:pPr>
                  <w:r>
                    <w:rPr>
                      <w:rFonts w:hint="eastAsia" w:ascii="宋体" w:hAnsi="宋体" w:cs="宋体"/>
                      <w:color w:val="auto"/>
                      <w:szCs w:val="21"/>
                    </w:rPr>
                    <w:t>6</w:t>
                  </w:r>
                </w:p>
              </w:tc>
              <w:tc>
                <w:tcPr>
                  <w:tcW w:w="2271" w:type="dxa"/>
                  <w:vAlign w:val="center"/>
                </w:tcPr>
                <w:p w14:paraId="2E9A85ED">
                  <w:pPr>
                    <w:jc w:val="center"/>
                    <w:rPr>
                      <w:rFonts w:hint="eastAsia" w:ascii="宋体" w:hAnsi="宋体" w:cs="宋体"/>
                      <w:color w:val="auto"/>
                      <w:szCs w:val="21"/>
                    </w:rPr>
                  </w:pPr>
                  <w:r>
                    <w:rPr>
                      <w:rFonts w:hint="eastAsia" w:ascii="宋体" w:hAnsi="宋体" w:cs="宋体"/>
                      <w:color w:val="auto"/>
                      <w:szCs w:val="21"/>
                    </w:rPr>
                    <w:t>乙醇</w:t>
                  </w:r>
                </w:p>
              </w:tc>
              <w:tc>
                <w:tcPr>
                  <w:tcW w:w="1408" w:type="dxa"/>
                  <w:vAlign w:val="center"/>
                </w:tcPr>
                <w:p w14:paraId="79109190">
                  <w:pPr>
                    <w:jc w:val="center"/>
                    <w:rPr>
                      <w:rFonts w:hint="eastAsia" w:ascii="宋体" w:hAnsi="宋体" w:cs="宋体"/>
                      <w:color w:val="auto"/>
                      <w:szCs w:val="21"/>
                    </w:rPr>
                  </w:pPr>
                  <w:r>
                    <w:rPr>
                      <w:rFonts w:hint="eastAsia" w:ascii="宋体" w:hAnsi="宋体" w:cs="宋体"/>
                      <w:color w:val="auto"/>
                      <w:szCs w:val="21"/>
                    </w:rPr>
                    <w:t>500mL×300瓶/a</w:t>
                  </w:r>
                </w:p>
              </w:tc>
              <w:tc>
                <w:tcPr>
                  <w:tcW w:w="1557" w:type="dxa"/>
                  <w:vAlign w:val="center"/>
                </w:tcPr>
                <w:p w14:paraId="0BAD318F">
                  <w:pPr>
                    <w:jc w:val="center"/>
                    <w:rPr>
                      <w:rFonts w:hint="eastAsia" w:ascii="宋体" w:hAnsi="宋体" w:cs="宋体"/>
                      <w:color w:val="auto"/>
                      <w:szCs w:val="21"/>
                    </w:rPr>
                  </w:pPr>
                  <w:r>
                    <w:rPr>
                      <w:rFonts w:hint="eastAsia" w:ascii="宋体" w:hAnsi="宋体" w:cs="宋体"/>
                      <w:color w:val="auto"/>
                      <w:szCs w:val="21"/>
                    </w:rPr>
                    <w:t>40瓶</w:t>
                  </w:r>
                </w:p>
              </w:tc>
              <w:tc>
                <w:tcPr>
                  <w:tcW w:w="2398" w:type="dxa"/>
                  <w:vAlign w:val="center"/>
                </w:tcPr>
                <w:p w14:paraId="0E52F253">
                  <w:pPr>
                    <w:jc w:val="center"/>
                    <w:rPr>
                      <w:rFonts w:hint="eastAsia" w:ascii="宋体" w:hAnsi="宋体" w:cs="宋体"/>
                      <w:color w:val="auto"/>
                      <w:szCs w:val="21"/>
                    </w:rPr>
                  </w:pPr>
                  <w:r>
                    <w:rPr>
                      <w:rFonts w:hint="eastAsia" w:ascii="宋体" w:hAnsi="宋体" w:cs="宋体"/>
                      <w:color w:val="auto"/>
                      <w:szCs w:val="21"/>
                    </w:rPr>
                    <w:t>/</w:t>
                  </w:r>
                </w:p>
              </w:tc>
            </w:tr>
            <w:tr w14:paraId="0900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43" w:type="dxa"/>
                  <w:vAlign w:val="center"/>
                </w:tcPr>
                <w:p w14:paraId="3998BBC5">
                  <w:pPr>
                    <w:jc w:val="center"/>
                    <w:rPr>
                      <w:rFonts w:hint="eastAsia" w:ascii="宋体" w:hAnsi="宋体" w:cs="宋体"/>
                      <w:color w:val="auto"/>
                      <w:szCs w:val="21"/>
                    </w:rPr>
                  </w:pPr>
                  <w:r>
                    <w:rPr>
                      <w:rFonts w:hint="eastAsia" w:ascii="宋体" w:hAnsi="宋体" w:cs="宋体"/>
                      <w:color w:val="auto"/>
                      <w:szCs w:val="21"/>
                    </w:rPr>
                    <w:t>7</w:t>
                  </w:r>
                </w:p>
              </w:tc>
              <w:tc>
                <w:tcPr>
                  <w:tcW w:w="2271" w:type="dxa"/>
                  <w:vAlign w:val="center"/>
                </w:tcPr>
                <w:p w14:paraId="33685646">
                  <w:pPr>
                    <w:jc w:val="center"/>
                    <w:rPr>
                      <w:rFonts w:hint="eastAsia" w:ascii="宋体" w:hAnsi="宋体" w:cs="宋体"/>
                      <w:color w:val="auto"/>
                      <w:szCs w:val="21"/>
                    </w:rPr>
                  </w:pPr>
                  <w:r>
                    <w:rPr>
                      <w:rFonts w:hint="eastAsia" w:ascii="宋体" w:hAnsi="宋体" w:cs="宋体"/>
                      <w:color w:val="auto"/>
                      <w:szCs w:val="21"/>
                    </w:rPr>
                    <w:t>氧气</w:t>
                  </w:r>
                </w:p>
              </w:tc>
              <w:tc>
                <w:tcPr>
                  <w:tcW w:w="1408" w:type="dxa"/>
                  <w:vAlign w:val="center"/>
                </w:tcPr>
                <w:p w14:paraId="44C28FE0">
                  <w:pPr>
                    <w:jc w:val="center"/>
                    <w:rPr>
                      <w:rFonts w:hint="eastAsia" w:ascii="宋体" w:hAnsi="宋体" w:cs="宋体"/>
                      <w:color w:val="auto"/>
                      <w:szCs w:val="21"/>
                    </w:rPr>
                  </w:pPr>
                  <w:r>
                    <w:rPr>
                      <w:rFonts w:hint="eastAsia"/>
                      <w:color w:val="auto"/>
                      <w:szCs w:val="21"/>
                    </w:rPr>
                    <w:t>50瓶/</w:t>
                  </w:r>
                  <w:r>
                    <w:rPr>
                      <w:rFonts w:hint="eastAsia" w:ascii="宋体" w:hAnsi="宋体" w:cs="宋体"/>
                      <w:color w:val="auto"/>
                      <w:szCs w:val="21"/>
                    </w:rPr>
                    <w:t>a</w:t>
                  </w:r>
                </w:p>
              </w:tc>
              <w:tc>
                <w:tcPr>
                  <w:tcW w:w="1557" w:type="dxa"/>
                  <w:vAlign w:val="center"/>
                </w:tcPr>
                <w:p w14:paraId="7716530C">
                  <w:pPr>
                    <w:jc w:val="center"/>
                    <w:rPr>
                      <w:rFonts w:hint="eastAsia" w:ascii="宋体" w:hAnsi="宋体" w:cs="宋体"/>
                      <w:color w:val="auto"/>
                      <w:szCs w:val="21"/>
                    </w:rPr>
                  </w:pPr>
                  <w:r>
                    <w:rPr>
                      <w:rFonts w:hint="eastAsia"/>
                      <w:color w:val="auto"/>
                      <w:szCs w:val="21"/>
                    </w:rPr>
                    <w:t>10瓶/</w:t>
                  </w:r>
                  <w:r>
                    <w:rPr>
                      <w:rFonts w:hint="eastAsia" w:ascii="宋体" w:hAnsi="宋体" w:cs="宋体"/>
                      <w:color w:val="auto"/>
                      <w:szCs w:val="21"/>
                    </w:rPr>
                    <w:t>a</w:t>
                  </w:r>
                </w:p>
              </w:tc>
              <w:tc>
                <w:tcPr>
                  <w:tcW w:w="2398" w:type="dxa"/>
                  <w:vAlign w:val="center"/>
                </w:tcPr>
                <w:p w14:paraId="2E7CE8EC">
                  <w:pPr>
                    <w:jc w:val="center"/>
                    <w:rPr>
                      <w:rFonts w:hint="eastAsia" w:ascii="宋体" w:hAnsi="宋体" w:cs="宋体"/>
                      <w:color w:val="auto"/>
                      <w:szCs w:val="21"/>
                    </w:rPr>
                  </w:pPr>
                  <w:r>
                    <w:rPr>
                      <w:rFonts w:hint="eastAsia" w:ascii="宋体" w:hAnsi="宋体" w:cs="宋体"/>
                      <w:color w:val="auto"/>
                      <w:szCs w:val="21"/>
                    </w:rPr>
                    <w:t>外购进入5m</w:t>
                  </w:r>
                  <w:r>
                    <w:rPr>
                      <w:rFonts w:hint="eastAsia" w:ascii="宋体" w:hAnsi="宋体" w:cs="宋体"/>
                      <w:color w:val="auto"/>
                      <w:szCs w:val="21"/>
                      <w:vertAlign w:val="superscript"/>
                    </w:rPr>
                    <w:t>3</w:t>
                  </w:r>
                  <w:r>
                    <w:rPr>
                      <w:rFonts w:hint="eastAsia" w:ascii="宋体" w:hAnsi="宋体" w:cs="宋体"/>
                      <w:color w:val="auto"/>
                      <w:szCs w:val="21"/>
                    </w:rPr>
                    <w:t>的液氧储罐暂存</w:t>
                  </w:r>
                </w:p>
              </w:tc>
            </w:tr>
            <w:tr w14:paraId="5B4F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43" w:type="dxa"/>
                  <w:vAlign w:val="center"/>
                </w:tcPr>
                <w:p w14:paraId="73253C54">
                  <w:pPr>
                    <w:jc w:val="center"/>
                    <w:rPr>
                      <w:rFonts w:hint="eastAsia" w:ascii="宋体" w:hAnsi="宋体" w:cs="宋体"/>
                      <w:color w:val="auto"/>
                      <w:szCs w:val="21"/>
                    </w:rPr>
                  </w:pPr>
                  <w:r>
                    <w:rPr>
                      <w:rFonts w:hint="eastAsia" w:ascii="宋体" w:hAnsi="宋体" w:cs="宋体"/>
                      <w:color w:val="auto"/>
                      <w:szCs w:val="21"/>
                    </w:rPr>
                    <w:t>8</w:t>
                  </w:r>
                </w:p>
              </w:tc>
              <w:tc>
                <w:tcPr>
                  <w:tcW w:w="2271" w:type="dxa"/>
                  <w:vAlign w:val="center"/>
                </w:tcPr>
                <w:p w14:paraId="76886A82">
                  <w:pPr>
                    <w:jc w:val="center"/>
                    <w:rPr>
                      <w:rFonts w:hint="eastAsia" w:ascii="宋体" w:hAnsi="宋体" w:cs="宋体"/>
                      <w:color w:val="auto"/>
                      <w:szCs w:val="21"/>
                    </w:rPr>
                  </w:pPr>
                  <w:r>
                    <w:rPr>
                      <w:rFonts w:hint="eastAsia"/>
                      <w:color w:val="auto"/>
                      <w:szCs w:val="21"/>
                    </w:rPr>
                    <w:t>二氧化氯</w:t>
                  </w:r>
                </w:p>
              </w:tc>
              <w:tc>
                <w:tcPr>
                  <w:tcW w:w="1408" w:type="dxa"/>
                  <w:vAlign w:val="center"/>
                </w:tcPr>
                <w:p w14:paraId="6A6AF123">
                  <w:pPr>
                    <w:jc w:val="center"/>
                    <w:rPr>
                      <w:rFonts w:hint="eastAsia" w:ascii="宋体" w:hAnsi="宋体" w:cs="宋体"/>
                      <w:color w:val="auto"/>
                      <w:szCs w:val="21"/>
                    </w:rPr>
                  </w:pPr>
                  <w:r>
                    <w:rPr>
                      <w:rFonts w:hint="eastAsia" w:ascii="宋体" w:hAnsi="宋体" w:cs="宋体"/>
                      <w:color w:val="auto"/>
                      <w:szCs w:val="21"/>
                    </w:rPr>
                    <w:t>0.05t/a</w:t>
                  </w:r>
                </w:p>
              </w:tc>
              <w:tc>
                <w:tcPr>
                  <w:tcW w:w="1557" w:type="dxa"/>
                  <w:vAlign w:val="center"/>
                </w:tcPr>
                <w:p w14:paraId="23B1CBEB">
                  <w:pPr>
                    <w:jc w:val="center"/>
                    <w:rPr>
                      <w:rFonts w:hint="eastAsia" w:ascii="宋体" w:hAnsi="宋体" w:cs="宋体"/>
                      <w:color w:val="auto"/>
                      <w:szCs w:val="21"/>
                    </w:rPr>
                  </w:pPr>
                  <w:r>
                    <w:rPr>
                      <w:rFonts w:hint="eastAsia"/>
                      <w:color w:val="auto"/>
                      <w:szCs w:val="21"/>
                    </w:rPr>
                    <w:t>0.05</w:t>
                  </w:r>
                  <w:r>
                    <w:rPr>
                      <w:rFonts w:hint="eastAsia" w:ascii="宋体" w:hAnsi="宋体" w:cs="宋体"/>
                      <w:color w:val="auto"/>
                      <w:szCs w:val="21"/>
                    </w:rPr>
                    <w:t>t/a</w:t>
                  </w:r>
                </w:p>
              </w:tc>
              <w:tc>
                <w:tcPr>
                  <w:tcW w:w="2398" w:type="dxa"/>
                  <w:vAlign w:val="center"/>
                </w:tcPr>
                <w:p w14:paraId="76E8C80A">
                  <w:pPr>
                    <w:jc w:val="center"/>
                    <w:rPr>
                      <w:rFonts w:hint="eastAsia" w:ascii="宋体" w:hAnsi="宋体" w:cs="宋体"/>
                      <w:color w:val="auto"/>
                      <w:szCs w:val="21"/>
                    </w:rPr>
                  </w:pPr>
                </w:p>
              </w:tc>
            </w:tr>
            <w:tr w14:paraId="2DB6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06A6CF45">
                  <w:pPr>
                    <w:jc w:val="center"/>
                    <w:rPr>
                      <w:rFonts w:hint="eastAsia" w:ascii="宋体" w:hAnsi="宋体" w:cs="宋体"/>
                      <w:color w:val="auto"/>
                      <w:szCs w:val="21"/>
                    </w:rPr>
                  </w:pPr>
                  <w:r>
                    <w:rPr>
                      <w:rFonts w:hint="eastAsia" w:ascii="宋体" w:hAnsi="宋体" w:cs="宋体"/>
                      <w:color w:val="auto"/>
                      <w:szCs w:val="21"/>
                    </w:rPr>
                    <w:t>二</w:t>
                  </w:r>
                </w:p>
              </w:tc>
              <w:tc>
                <w:tcPr>
                  <w:tcW w:w="7634" w:type="dxa"/>
                  <w:gridSpan w:val="4"/>
                  <w:vAlign w:val="center"/>
                </w:tcPr>
                <w:p w14:paraId="486A366C">
                  <w:pPr>
                    <w:jc w:val="center"/>
                    <w:rPr>
                      <w:rFonts w:hint="eastAsia" w:ascii="宋体" w:hAnsi="宋体" w:cs="宋体"/>
                      <w:color w:val="auto"/>
                      <w:szCs w:val="21"/>
                    </w:rPr>
                  </w:pPr>
                  <w:r>
                    <w:rPr>
                      <w:rFonts w:hint="eastAsia" w:ascii="宋体" w:hAnsi="宋体" w:cs="宋体"/>
                      <w:color w:val="auto"/>
                      <w:szCs w:val="21"/>
                    </w:rPr>
                    <w:t>能源</w:t>
                  </w:r>
                </w:p>
              </w:tc>
            </w:tr>
            <w:tr w14:paraId="4153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56423266">
                  <w:pPr>
                    <w:jc w:val="center"/>
                    <w:rPr>
                      <w:rFonts w:hint="eastAsia" w:ascii="宋体" w:hAnsi="宋体" w:cs="宋体"/>
                      <w:color w:val="auto"/>
                      <w:szCs w:val="21"/>
                    </w:rPr>
                  </w:pPr>
                  <w:r>
                    <w:rPr>
                      <w:rFonts w:hint="eastAsia" w:ascii="宋体" w:hAnsi="宋体" w:cs="宋体"/>
                      <w:color w:val="auto"/>
                      <w:szCs w:val="21"/>
                    </w:rPr>
                    <w:t>1</w:t>
                  </w:r>
                </w:p>
              </w:tc>
              <w:tc>
                <w:tcPr>
                  <w:tcW w:w="2271" w:type="dxa"/>
                  <w:vAlign w:val="center"/>
                </w:tcPr>
                <w:p w14:paraId="4494440D">
                  <w:pPr>
                    <w:jc w:val="center"/>
                    <w:rPr>
                      <w:rFonts w:hint="eastAsia" w:ascii="宋体" w:hAnsi="宋体" w:cs="宋体"/>
                      <w:color w:val="auto"/>
                      <w:szCs w:val="21"/>
                    </w:rPr>
                  </w:pPr>
                  <w:r>
                    <w:rPr>
                      <w:rFonts w:hint="eastAsia" w:ascii="宋体" w:hAnsi="宋体" w:cs="宋体"/>
                      <w:color w:val="auto"/>
                      <w:szCs w:val="21"/>
                    </w:rPr>
                    <w:t>水</w:t>
                  </w:r>
                </w:p>
              </w:tc>
              <w:tc>
                <w:tcPr>
                  <w:tcW w:w="1408" w:type="dxa"/>
                  <w:vAlign w:val="center"/>
                </w:tcPr>
                <w:p w14:paraId="07038E21">
                  <w:pPr>
                    <w:jc w:val="center"/>
                    <w:rPr>
                      <w:rFonts w:hint="eastAsia" w:ascii="宋体" w:hAnsi="宋体" w:cs="宋体"/>
                      <w:color w:val="auto"/>
                      <w:szCs w:val="21"/>
                    </w:rPr>
                  </w:pPr>
                  <w:r>
                    <w:rPr>
                      <w:rFonts w:hint="eastAsia" w:ascii="宋体" w:hAnsi="宋体" w:cs="宋体"/>
                      <w:color w:val="auto"/>
                      <w:szCs w:val="21"/>
                    </w:rPr>
                    <w:t>3910t/a</w:t>
                  </w:r>
                </w:p>
              </w:tc>
              <w:tc>
                <w:tcPr>
                  <w:tcW w:w="1557" w:type="dxa"/>
                  <w:vAlign w:val="center"/>
                </w:tcPr>
                <w:p w14:paraId="2E702E94">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20B7AC26">
                  <w:pPr>
                    <w:jc w:val="center"/>
                    <w:rPr>
                      <w:rFonts w:hint="eastAsia" w:ascii="宋体" w:hAnsi="宋体" w:cs="宋体"/>
                      <w:color w:val="auto"/>
                      <w:szCs w:val="21"/>
                    </w:rPr>
                  </w:pPr>
                  <w:r>
                    <w:rPr>
                      <w:rFonts w:hint="eastAsia" w:ascii="宋体" w:hAnsi="宋体" w:cs="宋体"/>
                      <w:color w:val="auto"/>
                      <w:szCs w:val="21"/>
                    </w:rPr>
                    <w:t>市政供水管网</w:t>
                  </w:r>
                </w:p>
              </w:tc>
            </w:tr>
            <w:tr w14:paraId="0BC1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43" w:type="dxa"/>
                  <w:vAlign w:val="center"/>
                </w:tcPr>
                <w:p w14:paraId="4CA27A0C">
                  <w:pPr>
                    <w:jc w:val="center"/>
                    <w:rPr>
                      <w:rFonts w:hint="eastAsia" w:ascii="宋体" w:hAnsi="宋体" w:cs="宋体"/>
                      <w:color w:val="auto"/>
                      <w:szCs w:val="21"/>
                    </w:rPr>
                  </w:pPr>
                  <w:r>
                    <w:rPr>
                      <w:rFonts w:hint="eastAsia" w:ascii="宋体" w:hAnsi="宋体" w:cs="宋体"/>
                      <w:color w:val="auto"/>
                      <w:szCs w:val="21"/>
                    </w:rPr>
                    <w:t>2</w:t>
                  </w:r>
                </w:p>
              </w:tc>
              <w:tc>
                <w:tcPr>
                  <w:tcW w:w="2271" w:type="dxa"/>
                  <w:vAlign w:val="center"/>
                </w:tcPr>
                <w:p w14:paraId="10310863">
                  <w:pPr>
                    <w:jc w:val="center"/>
                    <w:rPr>
                      <w:rFonts w:hint="eastAsia" w:ascii="宋体" w:hAnsi="宋体" w:cs="宋体"/>
                      <w:color w:val="auto"/>
                      <w:szCs w:val="21"/>
                    </w:rPr>
                  </w:pPr>
                  <w:r>
                    <w:rPr>
                      <w:rFonts w:hint="eastAsia" w:ascii="宋体" w:hAnsi="宋体" w:cs="宋体"/>
                      <w:color w:val="auto"/>
                      <w:szCs w:val="21"/>
                    </w:rPr>
                    <w:t>电</w:t>
                  </w:r>
                </w:p>
              </w:tc>
              <w:tc>
                <w:tcPr>
                  <w:tcW w:w="1408" w:type="dxa"/>
                  <w:vAlign w:val="center"/>
                </w:tcPr>
                <w:p w14:paraId="441B7244">
                  <w:pPr>
                    <w:jc w:val="center"/>
                    <w:rPr>
                      <w:rFonts w:hint="eastAsia" w:ascii="宋体" w:hAnsi="宋体" w:cs="宋体"/>
                      <w:color w:val="auto"/>
                      <w:szCs w:val="21"/>
                    </w:rPr>
                  </w:pPr>
                  <w:r>
                    <w:rPr>
                      <w:rFonts w:hint="eastAsia" w:ascii="宋体" w:hAnsi="宋体" w:cs="宋体"/>
                      <w:color w:val="auto"/>
                      <w:szCs w:val="21"/>
                    </w:rPr>
                    <w:t>68796kW.h</w:t>
                  </w:r>
                </w:p>
              </w:tc>
              <w:tc>
                <w:tcPr>
                  <w:tcW w:w="1557" w:type="dxa"/>
                  <w:vAlign w:val="center"/>
                </w:tcPr>
                <w:p w14:paraId="6BFB6C4C">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27769865">
                  <w:pPr>
                    <w:jc w:val="center"/>
                    <w:rPr>
                      <w:rFonts w:hint="eastAsia" w:ascii="宋体" w:hAnsi="宋体" w:cs="宋体"/>
                      <w:color w:val="auto"/>
                      <w:szCs w:val="21"/>
                    </w:rPr>
                  </w:pPr>
                  <w:r>
                    <w:rPr>
                      <w:rFonts w:hint="eastAsia" w:ascii="宋体" w:hAnsi="宋体" w:cs="宋体"/>
                      <w:color w:val="auto"/>
                      <w:szCs w:val="21"/>
                    </w:rPr>
                    <w:t>市政供电电网</w:t>
                  </w:r>
                </w:p>
              </w:tc>
            </w:tr>
            <w:tr w14:paraId="62EC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43" w:type="dxa"/>
                  <w:vAlign w:val="center"/>
                </w:tcPr>
                <w:p w14:paraId="0CE9A404">
                  <w:pPr>
                    <w:jc w:val="center"/>
                    <w:rPr>
                      <w:rFonts w:hint="eastAsia" w:ascii="宋体" w:hAnsi="宋体" w:cs="宋体"/>
                      <w:color w:val="auto"/>
                      <w:szCs w:val="21"/>
                    </w:rPr>
                  </w:pPr>
                  <w:r>
                    <w:rPr>
                      <w:rFonts w:hint="eastAsia" w:ascii="宋体" w:hAnsi="宋体" w:cs="宋体"/>
                      <w:color w:val="auto"/>
                      <w:szCs w:val="21"/>
                    </w:rPr>
                    <w:t>3</w:t>
                  </w:r>
                </w:p>
              </w:tc>
              <w:tc>
                <w:tcPr>
                  <w:tcW w:w="2271" w:type="dxa"/>
                  <w:vAlign w:val="center"/>
                </w:tcPr>
                <w:p w14:paraId="7A45D696">
                  <w:pPr>
                    <w:jc w:val="center"/>
                    <w:rPr>
                      <w:rFonts w:hint="eastAsia" w:ascii="宋体" w:hAnsi="宋体" w:cs="宋体"/>
                      <w:color w:val="auto"/>
                      <w:szCs w:val="21"/>
                    </w:rPr>
                  </w:pPr>
                  <w:r>
                    <w:rPr>
                      <w:rFonts w:hint="eastAsia" w:ascii="宋体" w:hAnsi="宋体" w:cs="宋体"/>
                      <w:color w:val="auto"/>
                      <w:szCs w:val="21"/>
                    </w:rPr>
                    <w:t>柴油</w:t>
                  </w:r>
                </w:p>
              </w:tc>
              <w:tc>
                <w:tcPr>
                  <w:tcW w:w="1408" w:type="dxa"/>
                  <w:vAlign w:val="center"/>
                </w:tcPr>
                <w:p w14:paraId="64462DFA">
                  <w:pPr>
                    <w:jc w:val="center"/>
                    <w:rPr>
                      <w:rFonts w:hint="eastAsia" w:ascii="宋体" w:hAnsi="宋体" w:cs="宋体"/>
                      <w:color w:val="auto"/>
                      <w:szCs w:val="21"/>
                    </w:rPr>
                  </w:pPr>
                  <w:r>
                    <w:rPr>
                      <w:rFonts w:hint="eastAsia" w:ascii="宋体" w:hAnsi="宋体" w:cs="宋体"/>
                      <w:color w:val="auto"/>
                      <w:szCs w:val="21"/>
                    </w:rPr>
                    <w:t>0.23t/a</w:t>
                  </w:r>
                </w:p>
              </w:tc>
              <w:tc>
                <w:tcPr>
                  <w:tcW w:w="1557" w:type="dxa"/>
                  <w:vAlign w:val="center"/>
                </w:tcPr>
                <w:p w14:paraId="735EC8D4">
                  <w:pPr>
                    <w:jc w:val="center"/>
                    <w:rPr>
                      <w:rFonts w:hint="eastAsia" w:ascii="宋体" w:hAnsi="宋体" w:cs="宋体"/>
                      <w:color w:val="auto"/>
                      <w:szCs w:val="21"/>
                    </w:rPr>
                  </w:pPr>
                  <w:r>
                    <w:rPr>
                      <w:rFonts w:hint="eastAsia" w:ascii="宋体" w:hAnsi="宋体" w:cs="宋体"/>
                      <w:color w:val="auto"/>
                      <w:szCs w:val="21"/>
                    </w:rPr>
                    <w:t>0.23t/a</w:t>
                  </w:r>
                </w:p>
              </w:tc>
              <w:tc>
                <w:tcPr>
                  <w:tcW w:w="2398" w:type="dxa"/>
                  <w:vAlign w:val="center"/>
                </w:tcPr>
                <w:p w14:paraId="164B5445">
                  <w:pPr>
                    <w:jc w:val="center"/>
                    <w:rPr>
                      <w:rFonts w:hint="eastAsia" w:ascii="宋体" w:hAnsi="宋体" w:cs="宋体"/>
                      <w:color w:val="auto"/>
                      <w:szCs w:val="21"/>
                    </w:rPr>
                  </w:pPr>
                  <w:r>
                    <w:rPr>
                      <w:rFonts w:hint="eastAsia"/>
                      <w:color w:val="auto"/>
                      <w:szCs w:val="21"/>
                    </w:rPr>
                    <w:t>柴油发电机使用</w:t>
                  </w:r>
                </w:p>
              </w:tc>
            </w:tr>
          </w:tbl>
          <w:p w14:paraId="29E5A7FF">
            <w:pPr>
              <w:pStyle w:val="8"/>
              <w:adjustRightInd w:val="0"/>
              <w:spacing w:line="360" w:lineRule="auto"/>
              <w:ind w:firstLine="480"/>
              <w:rPr>
                <w:color w:val="auto"/>
                <w:szCs w:val="24"/>
              </w:rPr>
            </w:pPr>
            <w:r>
              <w:rPr>
                <w:rFonts w:hint="eastAsia"/>
                <w:color w:val="auto"/>
                <w:szCs w:val="24"/>
              </w:rPr>
              <w:t>（2）主要医疗试剂</w:t>
            </w:r>
          </w:p>
          <w:p w14:paraId="6A6A9DF4">
            <w:pPr>
              <w:spacing w:line="360" w:lineRule="auto"/>
              <w:ind w:firstLine="480" w:firstLineChars="200"/>
              <w:rPr>
                <w:color w:val="auto"/>
                <w:sz w:val="24"/>
              </w:rPr>
            </w:pPr>
            <w:r>
              <w:rPr>
                <w:rFonts w:hint="eastAsia"/>
                <w:color w:val="auto"/>
                <w:sz w:val="24"/>
              </w:rPr>
              <w:t>本</w:t>
            </w:r>
            <w:r>
              <w:rPr>
                <w:color w:val="auto"/>
                <w:sz w:val="24"/>
              </w:rPr>
              <w:t>项目涉及4个乡镇卫生院</w:t>
            </w:r>
            <w:r>
              <w:rPr>
                <w:rFonts w:hint="eastAsia"/>
                <w:color w:val="auto"/>
                <w:sz w:val="24"/>
              </w:rPr>
              <w:t>，根据建设单位提供的资料，现有项目医疗试剂主要在检验科使用，本次环评仅列出主要医疗试剂，详见下表。</w:t>
            </w:r>
          </w:p>
          <w:p w14:paraId="173A7BF3">
            <w:pPr>
              <w:spacing w:line="360" w:lineRule="auto"/>
              <w:ind w:firstLine="422" w:firstLineChars="200"/>
              <w:jc w:val="center"/>
              <w:rPr>
                <w:b/>
                <w:color w:val="auto"/>
                <w:szCs w:val="21"/>
              </w:rPr>
            </w:pPr>
            <w:r>
              <w:rPr>
                <w:rFonts w:hint="eastAsia"/>
                <w:b/>
                <w:color w:val="auto"/>
                <w:szCs w:val="21"/>
              </w:rPr>
              <w:t>表2-24现有项目主要医疗试剂一览表</w:t>
            </w:r>
          </w:p>
          <w:tbl>
            <w:tblPr>
              <w:tblStyle w:val="33"/>
              <w:tblW w:w="7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4214"/>
              <w:gridCol w:w="1572"/>
            </w:tblGrid>
            <w:tr w14:paraId="3D62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8" w:type="dxa"/>
                  <w:vAlign w:val="center"/>
                </w:tcPr>
                <w:p w14:paraId="39B1D8BE">
                  <w:pPr>
                    <w:jc w:val="center"/>
                    <w:rPr>
                      <w:b/>
                      <w:bCs/>
                      <w:color w:val="auto"/>
                      <w:szCs w:val="21"/>
                    </w:rPr>
                  </w:pPr>
                  <w:r>
                    <w:rPr>
                      <w:rFonts w:hint="eastAsia"/>
                      <w:b/>
                      <w:bCs/>
                      <w:color w:val="auto"/>
                      <w:szCs w:val="21"/>
                    </w:rPr>
                    <w:t>分区</w:t>
                  </w:r>
                </w:p>
              </w:tc>
              <w:tc>
                <w:tcPr>
                  <w:tcW w:w="4214" w:type="dxa"/>
                  <w:vAlign w:val="center"/>
                </w:tcPr>
                <w:p w14:paraId="76D4C517">
                  <w:pPr>
                    <w:jc w:val="center"/>
                    <w:rPr>
                      <w:b/>
                      <w:bCs/>
                      <w:color w:val="auto"/>
                      <w:szCs w:val="21"/>
                    </w:rPr>
                  </w:pPr>
                  <w:r>
                    <w:rPr>
                      <w:rFonts w:hint="eastAsia"/>
                      <w:b/>
                      <w:color w:val="auto"/>
                      <w:szCs w:val="21"/>
                    </w:rPr>
                    <w:t>试剂</w:t>
                  </w:r>
                  <w:r>
                    <w:rPr>
                      <w:b/>
                      <w:bCs/>
                      <w:color w:val="auto"/>
                      <w:szCs w:val="21"/>
                    </w:rPr>
                    <w:t>名称</w:t>
                  </w:r>
                </w:p>
              </w:tc>
              <w:tc>
                <w:tcPr>
                  <w:tcW w:w="1572" w:type="dxa"/>
                  <w:vAlign w:val="center"/>
                </w:tcPr>
                <w:p w14:paraId="5B99FBEA">
                  <w:pPr>
                    <w:jc w:val="center"/>
                    <w:rPr>
                      <w:b/>
                      <w:bCs/>
                      <w:color w:val="auto"/>
                      <w:szCs w:val="21"/>
                    </w:rPr>
                  </w:pPr>
                  <w:r>
                    <w:rPr>
                      <w:b/>
                      <w:bCs/>
                      <w:color w:val="auto"/>
                      <w:szCs w:val="21"/>
                    </w:rPr>
                    <w:t>数量</w:t>
                  </w:r>
                </w:p>
              </w:tc>
            </w:tr>
            <w:tr w14:paraId="2DA5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restart"/>
                  <w:vAlign w:val="center"/>
                </w:tcPr>
                <w:p w14:paraId="79079A2C">
                  <w:pPr>
                    <w:jc w:val="center"/>
                    <w:rPr>
                      <w:color w:val="auto"/>
                      <w:szCs w:val="21"/>
                    </w:rPr>
                  </w:pPr>
                  <w:r>
                    <w:rPr>
                      <w:rFonts w:hint="eastAsia"/>
                      <w:color w:val="auto"/>
                      <w:szCs w:val="21"/>
                    </w:rPr>
                    <w:t>纳古卫生院</w:t>
                  </w:r>
                </w:p>
              </w:tc>
              <w:tc>
                <w:tcPr>
                  <w:tcW w:w="4214" w:type="dxa"/>
                  <w:vAlign w:val="center"/>
                </w:tcPr>
                <w:p w14:paraId="33B27A9A">
                  <w:pPr>
                    <w:jc w:val="center"/>
                    <w:rPr>
                      <w:color w:val="auto"/>
                      <w:szCs w:val="21"/>
                    </w:rPr>
                  </w:pPr>
                  <w:r>
                    <w:rPr>
                      <w:rFonts w:hint="eastAsia"/>
                      <w:color w:val="auto"/>
                      <w:szCs w:val="21"/>
                    </w:rPr>
                    <w:t>葡萄糖检测试剂</w:t>
                  </w:r>
                </w:p>
              </w:tc>
              <w:tc>
                <w:tcPr>
                  <w:tcW w:w="1572" w:type="dxa"/>
                  <w:vAlign w:val="center"/>
                </w:tcPr>
                <w:p w14:paraId="61164015">
                  <w:pPr>
                    <w:jc w:val="center"/>
                    <w:rPr>
                      <w:color w:val="auto"/>
                      <w:szCs w:val="21"/>
                    </w:rPr>
                  </w:pPr>
                  <w:r>
                    <w:rPr>
                      <w:rFonts w:hint="eastAsia"/>
                      <w:color w:val="auto"/>
                      <w:szCs w:val="21"/>
                    </w:rPr>
                    <w:t>10</w:t>
                  </w:r>
                </w:p>
              </w:tc>
            </w:tr>
            <w:tr w14:paraId="1B03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8" w:type="dxa"/>
                  <w:vMerge w:val="continue"/>
                  <w:vAlign w:val="center"/>
                </w:tcPr>
                <w:p w14:paraId="3A74AE41">
                  <w:pPr>
                    <w:jc w:val="center"/>
                    <w:rPr>
                      <w:color w:val="auto"/>
                      <w:szCs w:val="21"/>
                    </w:rPr>
                  </w:pPr>
                </w:p>
              </w:tc>
              <w:tc>
                <w:tcPr>
                  <w:tcW w:w="4214" w:type="dxa"/>
                  <w:vAlign w:val="center"/>
                </w:tcPr>
                <w:p w14:paraId="294DC357">
                  <w:pPr>
                    <w:jc w:val="center"/>
                    <w:rPr>
                      <w:color w:val="auto"/>
                      <w:szCs w:val="21"/>
                    </w:rPr>
                  </w:pPr>
                  <w:r>
                    <w:rPr>
                      <w:rFonts w:hint="eastAsia"/>
                      <w:color w:val="auto"/>
                      <w:szCs w:val="21"/>
                    </w:rPr>
                    <w:t>75％医用酒精</w:t>
                  </w:r>
                </w:p>
              </w:tc>
              <w:tc>
                <w:tcPr>
                  <w:tcW w:w="1572" w:type="dxa"/>
                  <w:vAlign w:val="center"/>
                </w:tcPr>
                <w:p w14:paraId="274B9E46">
                  <w:pPr>
                    <w:jc w:val="center"/>
                    <w:rPr>
                      <w:color w:val="auto"/>
                    </w:rPr>
                  </w:pPr>
                  <w:r>
                    <w:rPr>
                      <w:rFonts w:hint="eastAsia"/>
                      <w:color w:val="auto"/>
                    </w:rPr>
                    <w:t>5</w:t>
                  </w:r>
                </w:p>
              </w:tc>
            </w:tr>
            <w:tr w14:paraId="30AD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7692937D">
                  <w:pPr>
                    <w:jc w:val="center"/>
                    <w:rPr>
                      <w:color w:val="auto"/>
                      <w:szCs w:val="21"/>
                    </w:rPr>
                  </w:pPr>
                </w:p>
              </w:tc>
              <w:tc>
                <w:tcPr>
                  <w:tcW w:w="4214" w:type="dxa"/>
                  <w:vAlign w:val="center"/>
                </w:tcPr>
                <w:p w14:paraId="70312395">
                  <w:pPr>
                    <w:jc w:val="center"/>
                    <w:rPr>
                      <w:color w:val="auto"/>
                      <w:szCs w:val="21"/>
                    </w:rPr>
                  </w:pPr>
                  <w:r>
                    <w:rPr>
                      <w:rFonts w:hint="eastAsia" w:hAnsi="宋体"/>
                      <w:color w:val="auto"/>
                      <w:szCs w:val="21"/>
                    </w:rPr>
                    <w:t>血细胞分析试剂</w:t>
                  </w:r>
                </w:p>
              </w:tc>
              <w:tc>
                <w:tcPr>
                  <w:tcW w:w="1572" w:type="dxa"/>
                  <w:vAlign w:val="center"/>
                </w:tcPr>
                <w:p w14:paraId="282F1107">
                  <w:pPr>
                    <w:jc w:val="center"/>
                    <w:rPr>
                      <w:color w:val="auto"/>
                      <w:szCs w:val="21"/>
                    </w:rPr>
                  </w:pPr>
                  <w:r>
                    <w:rPr>
                      <w:rFonts w:hint="eastAsia"/>
                      <w:color w:val="auto"/>
                      <w:szCs w:val="21"/>
                    </w:rPr>
                    <w:t>1箱</w:t>
                  </w:r>
                </w:p>
              </w:tc>
            </w:tr>
            <w:tr w14:paraId="6B01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7877832C">
                  <w:pPr>
                    <w:jc w:val="center"/>
                    <w:rPr>
                      <w:color w:val="auto"/>
                      <w:szCs w:val="21"/>
                    </w:rPr>
                  </w:pPr>
                </w:p>
              </w:tc>
              <w:tc>
                <w:tcPr>
                  <w:tcW w:w="4214" w:type="dxa"/>
                  <w:vAlign w:val="center"/>
                </w:tcPr>
                <w:p w14:paraId="1BF01590">
                  <w:pPr>
                    <w:jc w:val="center"/>
                    <w:rPr>
                      <w:color w:val="auto"/>
                      <w:szCs w:val="21"/>
                    </w:rPr>
                  </w:pPr>
                  <w:r>
                    <w:rPr>
                      <w:rFonts w:hint="eastAsia"/>
                      <w:color w:val="auto"/>
                      <w:szCs w:val="21"/>
                    </w:rPr>
                    <w:t>谷丙转氨酶</w:t>
                  </w:r>
                </w:p>
              </w:tc>
              <w:tc>
                <w:tcPr>
                  <w:tcW w:w="1572" w:type="dxa"/>
                  <w:vAlign w:val="center"/>
                </w:tcPr>
                <w:p w14:paraId="64780269">
                  <w:pPr>
                    <w:jc w:val="center"/>
                    <w:rPr>
                      <w:color w:val="auto"/>
                      <w:szCs w:val="21"/>
                    </w:rPr>
                  </w:pPr>
                  <w:r>
                    <w:rPr>
                      <w:rFonts w:hint="eastAsia"/>
                      <w:color w:val="auto"/>
                      <w:szCs w:val="21"/>
                    </w:rPr>
                    <w:t>2盒</w:t>
                  </w:r>
                </w:p>
              </w:tc>
            </w:tr>
            <w:tr w14:paraId="1982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319EEC15">
                  <w:pPr>
                    <w:jc w:val="center"/>
                    <w:rPr>
                      <w:color w:val="auto"/>
                      <w:szCs w:val="21"/>
                    </w:rPr>
                  </w:pPr>
                </w:p>
              </w:tc>
              <w:tc>
                <w:tcPr>
                  <w:tcW w:w="4214" w:type="dxa"/>
                  <w:vAlign w:val="center"/>
                </w:tcPr>
                <w:p w14:paraId="38D3BCF8">
                  <w:pPr>
                    <w:jc w:val="center"/>
                    <w:rPr>
                      <w:color w:val="auto"/>
                      <w:szCs w:val="21"/>
                    </w:rPr>
                  </w:pPr>
                  <w:r>
                    <w:rPr>
                      <w:rFonts w:hAnsi="宋体"/>
                      <w:color w:val="auto"/>
                      <w:szCs w:val="21"/>
                    </w:rPr>
                    <w:t>尿酸检测试剂</w:t>
                  </w:r>
                </w:p>
              </w:tc>
              <w:tc>
                <w:tcPr>
                  <w:tcW w:w="1572" w:type="dxa"/>
                  <w:vAlign w:val="center"/>
                </w:tcPr>
                <w:p w14:paraId="2E0539AE">
                  <w:pPr>
                    <w:jc w:val="center"/>
                    <w:rPr>
                      <w:color w:val="auto"/>
                      <w:szCs w:val="21"/>
                    </w:rPr>
                  </w:pPr>
                  <w:r>
                    <w:rPr>
                      <w:rFonts w:hint="eastAsia"/>
                      <w:color w:val="auto"/>
                      <w:szCs w:val="21"/>
                    </w:rPr>
                    <w:t>1</w:t>
                  </w:r>
                  <w:r>
                    <w:rPr>
                      <w:color w:val="auto"/>
                      <w:szCs w:val="21"/>
                    </w:rPr>
                    <w:t>盒</w:t>
                  </w:r>
                </w:p>
              </w:tc>
            </w:tr>
            <w:tr w14:paraId="63C8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42A3E900">
                  <w:pPr>
                    <w:jc w:val="center"/>
                    <w:rPr>
                      <w:color w:val="auto"/>
                      <w:szCs w:val="21"/>
                    </w:rPr>
                  </w:pPr>
                </w:p>
              </w:tc>
              <w:tc>
                <w:tcPr>
                  <w:tcW w:w="4214" w:type="dxa"/>
                  <w:vAlign w:val="center"/>
                </w:tcPr>
                <w:p w14:paraId="252E770C">
                  <w:pPr>
                    <w:jc w:val="center"/>
                    <w:rPr>
                      <w:color w:val="auto"/>
                      <w:szCs w:val="21"/>
                    </w:rPr>
                  </w:pPr>
                  <w:r>
                    <w:rPr>
                      <w:rFonts w:hAnsi="宋体"/>
                      <w:color w:val="auto"/>
                      <w:szCs w:val="21"/>
                    </w:rPr>
                    <w:t>尿素氮检测试剂</w:t>
                  </w:r>
                </w:p>
              </w:tc>
              <w:tc>
                <w:tcPr>
                  <w:tcW w:w="1572" w:type="dxa"/>
                  <w:vAlign w:val="center"/>
                </w:tcPr>
                <w:p w14:paraId="0299DD3B">
                  <w:pPr>
                    <w:jc w:val="center"/>
                    <w:rPr>
                      <w:color w:val="auto"/>
                      <w:szCs w:val="21"/>
                    </w:rPr>
                  </w:pPr>
                  <w:r>
                    <w:rPr>
                      <w:rFonts w:hint="eastAsia"/>
                      <w:color w:val="auto"/>
                      <w:szCs w:val="21"/>
                    </w:rPr>
                    <w:t>2</w:t>
                  </w:r>
                  <w:r>
                    <w:rPr>
                      <w:color w:val="auto"/>
                      <w:szCs w:val="21"/>
                    </w:rPr>
                    <w:t>盒</w:t>
                  </w:r>
                </w:p>
              </w:tc>
            </w:tr>
            <w:tr w14:paraId="0C22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2B6218B7">
                  <w:pPr>
                    <w:jc w:val="center"/>
                    <w:rPr>
                      <w:color w:val="auto"/>
                      <w:szCs w:val="21"/>
                    </w:rPr>
                  </w:pPr>
                </w:p>
              </w:tc>
              <w:tc>
                <w:tcPr>
                  <w:tcW w:w="4214" w:type="dxa"/>
                  <w:vAlign w:val="center"/>
                </w:tcPr>
                <w:p w14:paraId="6D5AF5DA">
                  <w:pPr>
                    <w:jc w:val="center"/>
                    <w:rPr>
                      <w:color w:val="auto"/>
                      <w:szCs w:val="21"/>
                    </w:rPr>
                  </w:pPr>
                  <w:r>
                    <w:rPr>
                      <w:rFonts w:hAnsi="宋体"/>
                      <w:color w:val="auto"/>
                      <w:szCs w:val="21"/>
                    </w:rPr>
                    <w:t>总胆固醇检测试剂</w:t>
                  </w:r>
                </w:p>
              </w:tc>
              <w:tc>
                <w:tcPr>
                  <w:tcW w:w="1572" w:type="dxa"/>
                  <w:vAlign w:val="center"/>
                </w:tcPr>
                <w:p w14:paraId="55969013">
                  <w:pPr>
                    <w:jc w:val="center"/>
                    <w:rPr>
                      <w:color w:val="auto"/>
                      <w:szCs w:val="21"/>
                    </w:rPr>
                  </w:pPr>
                  <w:r>
                    <w:rPr>
                      <w:rFonts w:hint="eastAsia"/>
                      <w:color w:val="auto"/>
                      <w:szCs w:val="21"/>
                    </w:rPr>
                    <w:t>4盒</w:t>
                  </w:r>
                </w:p>
              </w:tc>
            </w:tr>
            <w:tr w14:paraId="736A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08DBC2A">
                  <w:pPr>
                    <w:jc w:val="center"/>
                    <w:rPr>
                      <w:color w:val="auto"/>
                      <w:szCs w:val="21"/>
                    </w:rPr>
                  </w:pPr>
                </w:p>
              </w:tc>
              <w:tc>
                <w:tcPr>
                  <w:tcW w:w="4214" w:type="dxa"/>
                  <w:vAlign w:val="center"/>
                </w:tcPr>
                <w:p w14:paraId="287846D7">
                  <w:pPr>
                    <w:jc w:val="center"/>
                    <w:rPr>
                      <w:color w:val="auto"/>
                      <w:szCs w:val="21"/>
                    </w:rPr>
                  </w:pPr>
                  <w:r>
                    <w:rPr>
                      <w:rFonts w:hAnsi="宋体"/>
                      <w:color w:val="auto"/>
                      <w:szCs w:val="21"/>
                    </w:rPr>
                    <w:t>电解质标准液</w:t>
                  </w:r>
                </w:p>
              </w:tc>
              <w:tc>
                <w:tcPr>
                  <w:tcW w:w="1572" w:type="dxa"/>
                  <w:vAlign w:val="center"/>
                </w:tcPr>
                <w:p w14:paraId="294266B2">
                  <w:pPr>
                    <w:jc w:val="center"/>
                    <w:rPr>
                      <w:color w:val="auto"/>
                      <w:szCs w:val="21"/>
                    </w:rPr>
                  </w:pPr>
                  <w:r>
                    <w:rPr>
                      <w:rFonts w:hint="eastAsia"/>
                      <w:color w:val="auto"/>
                      <w:szCs w:val="21"/>
                    </w:rPr>
                    <w:t>1瓶</w:t>
                  </w:r>
                </w:p>
              </w:tc>
            </w:tr>
            <w:tr w14:paraId="7FC0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585D46BA">
                  <w:pPr>
                    <w:jc w:val="center"/>
                    <w:rPr>
                      <w:color w:val="auto"/>
                      <w:szCs w:val="21"/>
                    </w:rPr>
                  </w:pPr>
                </w:p>
              </w:tc>
              <w:tc>
                <w:tcPr>
                  <w:tcW w:w="4214" w:type="dxa"/>
                  <w:vAlign w:val="center"/>
                </w:tcPr>
                <w:p w14:paraId="0D6F36FF">
                  <w:pPr>
                    <w:jc w:val="center"/>
                    <w:rPr>
                      <w:color w:val="auto"/>
                      <w:szCs w:val="21"/>
                    </w:rPr>
                  </w:pPr>
                  <w:r>
                    <w:rPr>
                      <w:rFonts w:hAnsi="宋体"/>
                      <w:color w:val="auto"/>
                      <w:szCs w:val="21"/>
                    </w:rPr>
                    <w:t>电解质清洗液</w:t>
                  </w:r>
                </w:p>
              </w:tc>
              <w:tc>
                <w:tcPr>
                  <w:tcW w:w="1572" w:type="dxa"/>
                  <w:vAlign w:val="center"/>
                </w:tcPr>
                <w:p w14:paraId="7E9D9DEA">
                  <w:pPr>
                    <w:jc w:val="center"/>
                    <w:rPr>
                      <w:color w:val="auto"/>
                      <w:szCs w:val="21"/>
                    </w:rPr>
                  </w:pPr>
                  <w:r>
                    <w:rPr>
                      <w:rFonts w:hint="eastAsia"/>
                      <w:color w:val="auto"/>
                      <w:szCs w:val="21"/>
                    </w:rPr>
                    <w:t>1</w:t>
                  </w:r>
                  <w:r>
                    <w:rPr>
                      <w:color w:val="auto"/>
                      <w:szCs w:val="21"/>
                    </w:rPr>
                    <w:t>瓶</w:t>
                  </w:r>
                </w:p>
              </w:tc>
            </w:tr>
            <w:tr w14:paraId="63AF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05AF32E8">
                  <w:pPr>
                    <w:jc w:val="center"/>
                    <w:rPr>
                      <w:color w:val="auto"/>
                      <w:szCs w:val="21"/>
                    </w:rPr>
                  </w:pPr>
                </w:p>
              </w:tc>
              <w:tc>
                <w:tcPr>
                  <w:tcW w:w="4214" w:type="dxa"/>
                  <w:vAlign w:val="center"/>
                </w:tcPr>
                <w:p w14:paraId="2D40971E">
                  <w:pPr>
                    <w:jc w:val="center"/>
                    <w:rPr>
                      <w:color w:val="auto"/>
                      <w:szCs w:val="21"/>
                    </w:rPr>
                  </w:pPr>
                  <w:r>
                    <w:rPr>
                      <w:rFonts w:hAnsi="宋体"/>
                      <w:color w:val="auto"/>
                      <w:szCs w:val="21"/>
                    </w:rPr>
                    <w:t>生理盐水</w:t>
                  </w:r>
                </w:p>
              </w:tc>
              <w:tc>
                <w:tcPr>
                  <w:tcW w:w="1572" w:type="dxa"/>
                  <w:vAlign w:val="center"/>
                </w:tcPr>
                <w:p w14:paraId="21F23384">
                  <w:pPr>
                    <w:jc w:val="center"/>
                    <w:rPr>
                      <w:color w:val="auto"/>
                      <w:szCs w:val="21"/>
                    </w:rPr>
                  </w:pPr>
                  <w:r>
                    <w:rPr>
                      <w:rFonts w:hint="eastAsia"/>
                      <w:color w:val="auto"/>
                      <w:szCs w:val="21"/>
                    </w:rPr>
                    <w:t>1</w:t>
                  </w:r>
                  <w:r>
                    <w:rPr>
                      <w:color w:val="auto"/>
                      <w:szCs w:val="21"/>
                    </w:rPr>
                    <w:t>瓶</w:t>
                  </w:r>
                </w:p>
              </w:tc>
            </w:tr>
            <w:tr w14:paraId="76D7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928" w:type="dxa"/>
                  <w:vMerge w:val="continue"/>
                  <w:vAlign w:val="center"/>
                </w:tcPr>
                <w:p w14:paraId="4D617799">
                  <w:pPr>
                    <w:jc w:val="center"/>
                    <w:rPr>
                      <w:color w:val="auto"/>
                      <w:szCs w:val="21"/>
                    </w:rPr>
                  </w:pPr>
                </w:p>
              </w:tc>
              <w:tc>
                <w:tcPr>
                  <w:tcW w:w="4214" w:type="dxa"/>
                  <w:vAlign w:val="center"/>
                </w:tcPr>
                <w:p w14:paraId="2F35F5AF">
                  <w:pPr>
                    <w:jc w:val="center"/>
                    <w:rPr>
                      <w:color w:val="auto"/>
                      <w:szCs w:val="21"/>
                    </w:rPr>
                  </w:pPr>
                  <w:r>
                    <w:rPr>
                      <w:rFonts w:hint="eastAsia" w:hAnsi="宋体"/>
                      <w:color w:val="auto"/>
                      <w:szCs w:val="21"/>
                    </w:rPr>
                    <w:t>血肌酐</w:t>
                  </w:r>
                </w:p>
              </w:tc>
              <w:tc>
                <w:tcPr>
                  <w:tcW w:w="1572" w:type="dxa"/>
                  <w:vAlign w:val="center"/>
                </w:tcPr>
                <w:p w14:paraId="441F10E4">
                  <w:pPr>
                    <w:jc w:val="center"/>
                    <w:rPr>
                      <w:color w:val="auto"/>
                      <w:szCs w:val="21"/>
                    </w:rPr>
                  </w:pPr>
                  <w:r>
                    <w:rPr>
                      <w:rFonts w:hint="eastAsia"/>
                      <w:color w:val="auto"/>
                      <w:szCs w:val="21"/>
                    </w:rPr>
                    <w:t>3盒</w:t>
                  </w:r>
                </w:p>
              </w:tc>
            </w:tr>
            <w:tr w14:paraId="1CF2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5276653D">
                  <w:pPr>
                    <w:jc w:val="center"/>
                    <w:rPr>
                      <w:color w:val="auto"/>
                      <w:szCs w:val="21"/>
                    </w:rPr>
                  </w:pPr>
                </w:p>
              </w:tc>
              <w:tc>
                <w:tcPr>
                  <w:tcW w:w="4214" w:type="dxa"/>
                  <w:vAlign w:val="center"/>
                </w:tcPr>
                <w:p w14:paraId="2316B84B">
                  <w:pPr>
                    <w:jc w:val="center"/>
                    <w:rPr>
                      <w:color w:val="auto"/>
                      <w:szCs w:val="21"/>
                    </w:rPr>
                  </w:pPr>
                  <w:r>
                    <w:rPr>
                      <w:rFonts w:hint="eastAsia"/>
                      <w:color w:val="auto"/>
                      <w:szCs w:val="21"/>
                    </w:rPr>
                    <w:t>尿素氨</w:t>
                  </w:r>
                </w:p>
              </w:tc>
              <w:tc>
                <w:tcPr>
                  <w:tcW w:w="1572" w:type="dxa"/>
                  <w:vAlign w:val="center"/>
                </w:tcPr>
                <w:p w14:paraId="39A8D4A3">
                  <w:pPr>
                    <w:jc w:val="center"/>
                    <w:rPr>
                      <w:color w:val="auto"/>
                      <w:szCs w:val="21"/>
                    </w:rPr>
                  </w:pPr>
                  <w:r>
                    <w:rPr>
                      <w:rFonts w:hint="eastAsia"/>
                      <w:color w:val="auto"/>
                      <w:szCs w:val="21"/>
                    </w:rPr>
                    <w:t>3盒</w:t>
                  </w:r>
                </w:p>
              </w:tc>
            </w:tr>
            <w:tr w14:paraId="1047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44D7FBF">
                  <w:pPr>
                    <w:jc w:val="center"/>
                    <w:rPr>
                      <w:color w:val="auto"/>
                      <w:szCs w:val="21"/>
                    </w:rPr>
                  </w:pPr>
                </w:p>
              </w:tc>
              <w:tc>
                <w:tcPr>
                  <w:tcW w:w="4214" w:type="dxa"/>
                  <w:vAlign w:val="center"/>
                </w:tcPr>
                <w:p w14:paraId="7C2A7F73">
                  <w:pPr>
                    <w:jc w:val="center"/>
                    <w:rPr>
                      <w:color w:val="auto"/>
                      <w:szCs w:val="21"/>
                    </w:rPr>
                  </w:pPr>
                  <w:r>
                    <w:rPr>
                      <w:rFonts w:hint="eastAsia" w:hAnsi="宋体"/>
                      <w:color w:val="auto"/>
                      <w:szCs w:val="21"/>
                    </w:rPr>
                    <w:t>直接胆红素试剂</w:t>
                  </w:r>
                </w:p>
              </w:tc>
              <w:tc>
                <w:tcPr>
                  <w:tcW w:w="1572" w:type="dxa"/>
                  <w:vAlign w:val="center"/>
                </w:tcPr>
                <w:p w14:paraId="05686068">
                  <w:pPr>
                    <w:jc w:val="center"/>
                    <w:rPr>
                      <w:color w:val="auto"/>
                      <w:szCs w:val="21"/>
                    </w:rPr>
                  </w:pPr>
                  <w:r>
                    <w:rPr>
                      <w:rFonts w:hint="eastAsia"/>
                      <w:color w:val="auto"/>
                      <w:szCs w:val="21"/>
                    </w:rPr>
                    <w:t>1</w:t>
                  </w:r>
                  <w:r>
                    <w:rPr>
                      <w:color w:val="auto"/>
                      <w:szCs w:val="21"/>
                    </w:rPr>
                    <w:t>盒</w:t>
                  </w:r>
                </w:p>
              </w:tc>
            </w:tr>
            <w:tr w14:paraId="3B2E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66B0A9D">
                  <w:pPr>
                    <w:jc w:val="center"/>
                    <w:rPr>
                      <w:color w:val="auto"/>
                      <w:szCs w:val="21"/>
                    </w:rPr>
                  </w:pPr>
                </w:p>
              </w:tc>
              <w:tc>
                <w:tcPr>
                  <w:tcW w:w="4214" w:type="dxa"/>
                  <w:vAlign w:val="center"/>
                </w:tcPr>
                <w:p w14:paraId="2382F623">
                  <w:pPr>
                    <w:jc w:val="center"/>
                    <w:rPr>
                      <w:color w:val="auto"/>
                      <w:szCs w:val="21"/>
                    </w:rPr>
                  </w:pPr>
                  <w:r>
                    <w:rPr>
                      <w:rFonts w:hAnsi="宋体"/>
                      <w:color w:val="auto"/>
                      <w:szCs w:val="21"/>
                    </w:rPr>
                    <w:t>消毒液</w:t>
                  </w:r>
                </w:p>
              </w:tc>
              <w:tc>
                <w:tcPr>
                  <w:tcW w:w="1572" w:type="dxa"/>
                  <w:vAlign w:val="center"/>
                </w:tcPr>
                <w:p w14:paraId="72297308">
                  <w:pPr>
                    <w:jc w:val="center"/>
                    <w:rPr>
                      <w:color w:val="auto"/>
                      <w:szCs w:val="21"/>
                    </w:rPr>
                  </w:pPr>
                  <w:r>
                    <w:rPr>
                      <w:rFonts w:hint="eastAsia"/>
                      <w:color w:val="auto"/>
                      <w:szCs w:val="21"/>
                    </w:rPr>
                    <w:t>2</w:t>
                  </w:r>
                  <w:r>
                    <w:rPr>
                      <w:color w:val="auto"/>
                      <w:szCs w:val="21"/>
                    </w:rPr>
                    <w:t>瓶</w:t>
                  </w:r>
                </w:p>
              </w:tc>
            </w:tr>
            <w:tr w14:paraId="5BD9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0FEE0795">
                  <w:pPr>
                    <w:jc w:val="center"/>
                    <w:rPr>
                      <w:color w:val="auto"/>
                      <w:szCs w:val="21"/>
                    </w:rPr>
                  </w:pPr>
                </w:p>
              </w:tc>
              <w:tc>
                <w:tcPr>
                  <w:tcW w:w="4214" w:type="dxa"/>
                  <w:vAlign w:val="center"/>
                </w:tcPr>
                <w:p w14:paraId="39A5A2B7">
                  <w:pPr>
                    <w:jc w:val="center"/>
                    <w:rPr>
                      <w:color w:val="auto"/>
                      <w:szCs w:val="21"/>
                    </w:rPr>
                  </w:pPr>
                  <w:r>
                    <w:rPr>
                      <w:rFonts w:hint="eastAsia" w:hAnsi="宋体"/>
                      <w:color w:val="auto"/>
                      <w:szCs w:val="21"/>
                    </w:rPr>
                    <w:t>碘伏</w:t>
                  </w:r>
                </w:p>
              </w:tc>
              <w:tc>
                <w:tcPr>
                  <w:tcW w:w="1572" w:type="dxa"/>
                  <w:vAlign w:val="center"/>
                </w:tcPr>
                <w:p w14:paraId="22601A2D">
                  <w:pPr>
                    <w:jc w:val="center"/>
                    <w:rPr>
                      <w:color w:val="auto"/>
                      <w:szCs w:val="21"/>
                    </w:rPr>
                  </w:pPr>
                  <w:r>
                    <w:rPr>
                      <w:rFonts w:hint="eastAsia"/>
                      <w:color w:val="auto"/>
                      <w:szCs w:val="21"/>
                    </w:rPr>
                    <w:t>15瓶</w:t>
                  </w:r>
                </w:p>
              </w:tc>
            </w:tr>
            <w:tr w14:paraId="6110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928" w:type="dxa"/>
                  <w:vMerge w:val="restart"/>
                  <w:vAlign w:val="center"/>
                </w:tcPr>
                <w:p w14:paraId="2FCA8C39">
                  <w:pPr>
                    <w:jc w:val="center"/>
                    <w:rPr>
                      <w:color w:val="auto"/>
                      <w:szCs w:val="21"/>
                    </w:rPr>
                  </w:pPr>
                  <w:r>
                    <w:rPr>
                      <w:rFonts w:hint="eastAsia"/>
                      <w:color w:val="auto"/>
                      <w:szCs w:val="21"/>
                    </w:rPr>
                    <w:t>九龙卫生院</w:t>
                  </w:r>
                </w:p>
              </w:tc>
              <w:tc>
                <w:tcPr>
                  <w:tcW w:w="4214" w:type="dxa"/>
                  <w:vAlign w:val="center"/>
                </w:tcPr>
                <w:p w14:paraId="08723C94">
                  <w:pPr>
                    <w:jc w:val="center"/>
                    <w:rPr>
                      <w:color w:val="auto"/>
                      <w:szCs w:val="21"/>
                    </w:rPr>
                  </w:pPr>
                  <w:r>
                    <w:rPr>
                      <w:rFonts w:hint="eastAsia" w:hAnsi="宋体"/>
                      <w:color w:val="auto"/>
                      <w:szCs w:val="21"/>
                    </w:rPr>
                    <w:t>血细胞分析试剂</w:t>
                  </w:r>
                </w:p>
              </w:tc>
              <w:tc>
                <w:tcPr>
                  <w:tcW w:w="1572" w:type="dxa"/>
                  <w:vAlign w:val="center"/>
                </w:tcPr>
                <w:p w14:paraId="218AB363">
                  <w:pPr>
                    <w:jc w:val="center"/>
                    <w:rPr>
                      <w:color w:val="auto"/>
                    </w:rPr>
                  </w:pPr>
                  <w:r>
                    <w:rPr>
                      <w:rFonts w:hint="eastAsia"/>
                      <w:color w:val="auto"/>
                      <w:szCs w:val="21"/>
                    </w:rPr>
                    <w:t>2箱</w:t>
                  </w:r>
                </w:p>
              </w:tc>
            </w:tr>
            <w:tr w14:paraId="70DD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576D4396">
                  <w:pPr>
                    <w:jc w:val="center"/>
                    <w:rPr>
                      <w:color w:val="auto"/>
                      <w:szCs w:val="21"/>
                    </w:rPr>
                  </w:pPr>
                </w:p>
              </w:tc>
              <w:tc>
                <w:tcPr>
                  <w:tcW w:w="4214" w:type="dxa"/>
                  <w:vAlign w:val="center"/>
                </w:tcPr>
                <w:p w14:paraId="15C6BE71">
                  <w:pPr>
                    <w:jc w:val="center"/>
                    <w:rPr>
                      <w:color w:val="auto"/>
                      <w:szCs w:val="21"/>
                    </w:rPr>
                  </w:pPr>
                  <w:r>
                    <w:rPr>
                      <w:rFonts w:hint="eastAsia"/>
                      <w:color w:val="auto"/>
                      <w:szCs w:val="21"/>
                    </w:rPr>
                    <w:t>谷丙转氨酶</w:t>
                  </w:r>
                </w:p>
              </w:tc>
              <w:tc>
                <w:tcPr>
                  <w:tcW w:w="1572" w:type="dxa"/>
                  <w:vAlign w:val="center"/>
                </w:tcPr>
                <w:p w14:paraId="0484AC94">
                  <w:pPr>
                    <w:jc w:val="center"/>
                    <w:rPr>
                      <w:color w:val="auto"/>
                      <w:szCs w:val="21"/>
                    </w:rPr>
                  </w:pPr>
                  <w:r>
                    <w:rPr>
                      <w:rFonts w:hint="eastAsia"/>
                      <w:color w:val="auto"/>
                      <w:szCs w:val="21"/>
                    </w:rPr>
                    <w:t>3盒</w:t>
                  </w:r>
                </w:p>
              </w:tc>
            </w:tr>
            <w:tr w14:paraId="7E8C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74FBDFF6">
                  <w:pPr>
                    <w:jc w:val="center"/>
                    <w:rPr>
                      <w:color w:val="auto"/>
                      <w:szCs w:val="21"/>
                    </w:rPr>
                  </w:pPr>
                </w:p>
              </w:tc>
              <w:tc>
                <w:tcPr>
                  <w:tcW w:w="4214" w:type="dxa"/>
                  <w:vAlign w:val="center"/>
                </w:tcPr>
                <w:p w14:paraId="7DCBE942">
                  <w:pPr>
                    <w:jc w:val="center"/>
                    <w:rPr>
                      <w:color w:val="auto"/>
                      <w:szCs w:val="21"/>
                    </w:rPr>
                  </w:pPr>
                  <w:r>
                    <w:rPr>
                      <w:rFonts w:hAnsi="宋体"/>
                      <w:color w:val="auto"/>
                      <w:szCs w:val="21"/>
                    </w:rPr>
                    <w:t>尿酸检测试剂</w:t>
                  </w:r>
                </w:p>
              </w:tc>
              <w:tc>
                <w:tcPr>
                  <w:tcW w:w="1572" w:type="dxa"/>
                  <w:vAlign w:val="center"/>
                </w:tcPr>
                <w:p w14:paraId="12C083CA">
                  <w:pPr>
                    <w:jc w:val="center"/>
                    <w:rPr>
                      <w:color w:val="auto"/>
                      <w:szCs w:val="21"/>
                    </w:rPr>
                  </w:pPr>
                  <w:r>
                    <w:rPr>
                      <w:rFonts w:hint="eastAsia"/>
                      <w:color w:val="auto"/>
                      <w:szCs w:val="21"/>
                    </w:rPr>
                    <w:t>5盒</w:t>
                  </w:r>
                </w:p>
              </w:tc>
            </w:tr>
            <w:tr w14:paraId="100A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6FCE4FBB">
                  <w:pPr>
                    <w:jc w:val="center"/>
                    <w:rPr>
                      <w:color w:val="auto"/>
                      <w:szCs w:val="21"/>
                    </w:rPr>
                  </w:pPr>
                </w:p>
              </w:tc>
              <w:tc>
                <w:tcPr>
                  <w:tcW w:w="4214" w:type="dxa"/>
                  <w:vAlign w:val="center"/>
                </w:tcPr>
                <w:p w14:paraId="58D5B4F0">
                  <w:pPr>
                    <w:jc w:val="center"/>
                    <w:rPr>
                      <w:color w:val="auto"/>
                      <w:szCs w:val="21"/>
                    </w:rPr>
                  </w:pPr>
                  <w:r>
                    <w:rPr>
                      <w:rFonts w:hAnsi="宋体"/>
                      <w:color w:val="auto"/>
                      <w:szCs w:val="21"/>
                    </w:rPr>
                    <w:t>尿素氮检测试剂</w:t>
                  </w:r>
                </w:p>
              </w:tc>
              <w:tc>
                <w:tcPr>
                  <w:tcW w:w="1572" w:type="dxa"/>
                  <w:vAlign w:val="center"/>
                </w:tcPr>
                <w:p w14:paraId="198B4CB5">
                  <w:pPr>
                    <w:jc w:val="center"/>
                    <w:rPr>
                      <w:color w:val="auto"/>
                      <w:szCs w:val="21"/>
                    </w:rPr>
                  </w:pPr>
                  <w:r>
                    <w:rPr>
                      <w:rFonts w:hint="eastAsia"/>
                      <w:color w:val="auto"/>
                      <w:szCs w:val="21"/>
                    </w:rPr>
                    <w:t>5盒</w:t>
                  </w:r>
                </w:p>
              </w:tc>
            </w:tr>
            <w:tr w14:paraId="6E2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7C6B0FD1">
                  <w:pPr>
                    <w:jc w:val="center"/>
                    <w:rPr>
                      <w:color w:val="auto"/>
                      <w:szCs w:val="21"/>
                    </w:rPr>
                  </w:pPr>
                </w:p>
              </w:tc>
              <w:tc>
                <w:tcPr>
                  <w:tcW w:w="4214" w:type="dxa"/>
                  <w:vAlign w:val="center"/>
                </w:tcPr>
                <w:p w14:paraId="324ABCD0">
                  <w:pPr>
                    <w:jc w:val="center"/>
                    <w:rPr>
                      <w:color w:val="auto"/>
                      <w:szCs w:val="21"/>
                    </w:rPr>
                  </w:pPr>
                  <w:r>
                    <w:rPr>
                      <w:rFonts w:hAnsi="宋体"/>
                      <w:color w:val="auto"/>
                      <w:szCs w:val="21"/>
                    </w:rPr>
                    <w:t>葡萄糖检测试剂</w:t>
                  </w:r>
                </w:p>
              </w:tc>
              <w:tc>
                <w:tcPr>
                  <w:tcW w:w="1572" w:type="dxa"/>
                  <w:vAlign w:val="center"/>
                </w:tcPr>
                <w:p w14:paraId="783A4303">
                  <w:pPr>
                    <w:jc w:val="center"/>
                    <w:rPr>
                      <w:color w:val="auto"/>
                      <w:szCs w:val="21"/>
                    </w:rPr>
                  </w:pPr>
                  <w:r>
                    <w:rPr>
                      <w:rFonts w:hint="eastAsia"/>
                      <w:color w:val="auto"/>
                      <w:szCs w:val="21"/>
                    </w:rPr>
                    <w:t>5盒</w:t>
                  </w:r>
                </w:p>
              </w:tc>
            </w:tr>
            <w:tr w14:paraId="224F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53C116E3">
                  <w:pPr>
                    <w:jc w:val="center"/>
                    <w:rPr>
                      <w:color w:val="auto"/>
                      <w:szCs w:val="21"/>
                    </w:rPr>
                  </w:pPr>
                </w:p>
              </w:tc>
              <w:tc>
                <w:tcPr>
                  <w:tcW w:w="4214" w:type="dxa"/>
                  <w:vAlign w:val="center"/>
                </w:tcPr>
                <w:p w14:paraId="3197E380">
                  <w:pPr>
                    <w:jc w:val="center"/>
                    <w:rPr>
                      <w:color w:val="auto"/>
                      <w:szCs w:val="21"/>
                    </w:rPr>
                  </w:pPr>
                  <w:r>
                    <w:rPr>
                      <w:rFonts w:hAnsi="宋体"/>
                      <w:color w:val="auto"/>
                      <w:szCs w:val="21"/>
                    </w:rPr>
                    <w:t>总胆固醇检测试剂</w:t>
                  </w:r>
                </w:p>
              </w:tc>
              <w:tc>
                <w:tcPr>
                  <w:tcW w:w="1572" w:type="dxa"/>
                  <w:vAlign w:val="center"/>
                </w:tcPr>
                <w:p w14:paraId="2AFF6198">
                  <w:pPr>
                    <w:jc w:val="center"/>
                    <w:rPr>
                      <w:color w:val="auto"/>
                      <w:szCs w:val="21"/>
                    </w:rPr>
                  </w:pPr>
                  <w:r>
                    <w:rPr>
                      <w:rFonts w:hint="eastAsia"/>
                      <w:color w:val="auto"/>
                      <w:szCs w:val="21"/>
                    </w:rPr>
                    <w:t>7盒</w:t>
                  </w:r>
                </w:p>
              </w:tc>
            </w:tr>
            <w:tr w14:paraId="2AF7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6B298C96">
                  <w:pPr>
                    <w:jc w:val="center"/>
                    <w:rPr>
                      <w:color w:val="auto"/>
                      <w:szCs w:val="21"/>
                    </w:rPr>
                  </w:pPr>
                </w:p>
              </w:tc>
              <w:tc>
                <w:tcPr>
                  <w:tcW w:w="4214" w:type="dxa"/>
                  <w:vAlign w:val="center"/>
                </w:tcPr>
                <w:p w14:paraId="34034FCD">
                  <w:pPr>
                    <w:jc w:val="center"/>
                    <w:rPr>
                      <w:color w:val="auto"/>
                      <w:szCs w:val="21"/>
                    </w:rPr>
                  </w:pPr>
                  <w:r>
                    <w:rPr>
                      <w:color w:val="auto"/>
                      <w:szCs w:val="21"/>
                    </w:rPr>
                    <w:t>75</w:t>
                  </w:r>
                  <w:r>
                    <w:rPr>
                      <w:rFonts w:hAnsi="宋体"/>
                      <w:color w:val="auto"/>
                      <w:szCs w:val="21"/>
                    </w:rPr>
                    <w:t>％医用酒精</w:t>
                  </w:r>
                </w:p>
              </w:tc>
              <w:tc>
                <w:tcPr>
                  <w:tcW w:w="1572" w:type="dxa"/>
                  <w:vAlign w:val="center"/>
                </w:tcPr>
                <w:p w14:paraId="7E19484E">
                  <w:pPr>
                    <w:jc w:val="center"/>
                    <w:rPr>
                      <w:color w:val="auto"/>
                    </w:rPr>
                  </w:pPr>
                  <w:r>
                    <w:rPr>
                      <w:rFonts w:hint="eastAsia"/>
                      <w:color w:val="auto"/>
                      <w:szCs w:val="21"/>
                    </w:rPr>
                    <w:t>20瓶</w:t>
                  </w:r>
                </w:p>
              </w:tc>
            </w:tr>
            <w:tr w14:paraId="6C9B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928" w:type="dxa"/>
                  <w:vMerge w:val="continue"/>
                  <w:vAlign w:val="center"/>
                </w:tcPr>
                <w:p w14:paraId="01889478">
                  <w:pPr>
                    <w:jc w:val="center"/>
                    <w:rPr>
                      <w:color w:val="auto"/>
                      <w:szCs w:val="21"/>
                    </w:rPr>
                  </w:pPr>
                </w:p>
              </w:tc>
              <w:tc>
                <w:tcPr>
                  <w:tcW w:w="4214" w:type="dxa"/>
                  <w:vAlign w:val="center"/>
                </w:tcPr>
                <w:p w14:paraId="6FB45E03">
                  <w:pPr>
                    <w:jc w:val="center"/>
                    <w:rPr>
                      <w:color w:val="auto"/>
                      <w:szCs w:val="21"/>
                    </w:rPr>
                  </w:pPr>
                  <w:r>
                    <w:rPr>
                      <w:rFonts w:hAnsi="宋体"/>
                      <w:color w:val="auto"/>
                      <w:szCs w:val="21"/>
                    </w:rPr>
                    <w:t>生理盐水</w:t>
                  </w:r>
                </w:p>
              </w:tc>
              <w:tc>
                <w:tcPr>
                  <w:tcW w:w="1572" w:type="dxa"/>
                  <w:vAlign w:val="center"/>
                </w:tcPr>
                <w:p w14:paraId="75878F8D">
                  <w:pPr>
                    <w:jc w:val="center"/>
                    <w:rPr>
                      <w:color w:val="auto"/>
                      <w:szCs w:val="21"/>
                    </w:rPr>
                  </w:pPr>
                  <w:r>
                    <w:rPr>
                      <w:rFonts w:hint="eastAsia"/>
                      <w:color w:val="auto"/>
                    </w:rPr>
                    <w:t>200瓶</w:t>
                  </w:r>
                </w:p>
              </w:tc>
            </w:tr>
            <w:tr w14:paraId="2D79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1690E02">
                  <w:pPr>
                    <w:jc w:val="center"/>
                    <w:rPr>
                      <w:color w:val="auto"/>
                      <w:szCs w:val="21"/>
                    </w:rPr>
                  </w:pPr>
                </w:p>
              </w:tc>
              <w:tc>
                <w:tcPr>
                  <w:tcW w:w="4214" w:type="dxa"/>
                  <w:vAlign w:val="center"/>
                </w:tcPr>
                <w:p w14:paraId="064B14B5">
                  <w:pPr>
                    <w:jc w:val="center"/>
                    <w:rPr>
                      <w:rFonts w:hint="eastAsia" w:hAnsi="宋体"/>
                      <w:color w:val="auto"/>
                      <w:szCs w:val="21"/>
                    </w:rPr>
                  </w:pPr>
                  <w:r>
                    <w:rPr>
                      <w:rFonts w:hint="eastAsia" w:hAnsi="宋体"/>
                      <w:color w:val="auto"/>
                      <w:szCs w:val="21"/>
                    </w:rPr>
                    <w:t>血肌酐</w:t>
                  </w:r>
                </w:p>
              </w:tc>
              <w:tc>
                <w:tcPr>
                  <w:tcW w:w="1572" w:type="dxa"/>
                </w:tcPr>
                <w:p w14:paraId="09661D27">
                  <w:pPr>
                    <w:jc w:val="center"/>
                    <w:rPr>
                      <w:color w:val="auto"/>
                    </w:rPr>
                  </w:pPr>
                  <w:r>
                    <w:rPr>
                      <w:rFonts w:hint="eastAsia"/>
                      <w:color w:val="auto"/>
                    </w:rPr>
                    <w:t>5</w:t>
                  </w:r>
                  <w:r>
                    <w:rPr>
                      <w:rFonts w:hint="eastAsia"/>
                      <w:color w:val="auto"/>
                      <w:szCs w:val="21"/>
                    </w:rPr>
                    <w:t>盒</w:t>
                  </w:r>
                </w:p>
              </w:tc>
            </w:tr>
            <w:tr w14:paraId="2697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9E30690">
                  <w:pPr>
                    <w:jc w:val="center"/>
                    <w:rPr>
                      <w:color w:val="auto"/>
                      <w:szCs w:val="21"/>
                    </w:rPr>
                  </w:pPr>
                </w:p>
              </w:tc>
              <w:tc>
                <w:tcPr>
                  <w:tcW w:w="4214" w:type="dxa"/>
                  <w:vAlign w:val="center"/>
                </w:tcPr>
                <w:p w14:paraId="357F87C6">
                  <w:pPr>
                    <w:jc w:val="center"/>
                    <w:rPr>
                      <w:rFonts w:hint="eastAsia" w:hAnsi="宋体"/>
                      <w:color w:val="auto"/>
                      <w:szCs w:val="21"/>
                    </w:rPr>
                  </w:pPr>
                  <w:r>
                    <w:rPr>
                      <w:rFonts w:hint="eastAsia"/>
                      <w:color w:val="auto"/>
                      <w:szCs w:val="21"/>
                    </w:rPr>
                    <w:t>尿素氨</w:t>
                  </w:r>
                </w:p>
              </w:tc>
              <w:tc>
                <w:tcPr>
                  <w:tcW w:w="1572" w:type="dxa"/>
                  <w:vAlign w:val="center"/>
                </w:tcPr>
                <w:p w14:paraId="78887903">
                  <w:pPr>
                    <w:jc w:val="center"/>
                    <w:rPr>
                      <w:color w:val="auto"/>
                    </w:rPr>
                  </w:pPr>
                  <w:r>
                    <w:rPr>
                      <w:rFonts w:hint="eastAsia"/>
                      <w:color w:val="auto"/>
                      <w:szCs w:val="21"/>
                    </w:rPr>
                    <w:t>5盒</w:t>
                  </w:r>
                </w:p>
              </w:tc>
            </w:tr>
            <w:tr w14:paraId="05AC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AB98949">
                  <w:pPr>
                    <w:jc w:val="center"/>
                    <w:rPr>
                      <w:color w:val="auto"/>
                      <w:szCs w:val="21"/>
                    </w:rPr>
                  </w:pPr>
                </w:p>
              </w:tc>
              <w:tc>
                <w:tcPr>
                  <w:tcW w:w="4214" w:type="dxa"/>
                  <w:vAlign w:val="center"/>
                </w:tcPr>
                <w:p w14:paraId="5AD4870A">
                  <w:pPr>
                    <w:jc w:val="center"/>
                    <w:rPr>
                      <w:color w:val="auto"/>
                      <w:szCs w:val="21"/>
                    </w:rPr>
                  </w:pPr>
                  <w:r>
                    <w:rPr>
                      <w:rFonts w:hint="eastAsia" w:hAnsi="宋体"/>
                      <w:color w:val="auto"/>
                      <w:szCs w:val="21"/>
                    </w:rPr>
                    <w:t>直接胆红素试剂</w:t>
                  </w:r>
                </w:p>
              </w:tc>
              <w:tc>
                <w:tcPr>
                  <w:tcW w:w="1572" w:type="dxa"/>
                  <w:vAlign w:val="center"/>
                </w:tcPr>
                <w:p w14:paraId="264D7C73">
                  <w:pPr>
                    <w:jc w:val="center"/>
                    <w:rPr>
                      <w:color w:val="auto"/>
                      <w:szCs w:val="21"/>
                    </w:rPr>
                  </w:pPr>
                  <w:r>
                    <w:rPr>
                      <w:rFonts w:hint="eastAsia"/>
                      <w:color w:val="auto"/>
                      <w:szCs w:val="21"/>
                    </w:rPr>
                    <w:t>7盒</w:t>
                  </w:r>
                </w:p>
              </w:tc>
            </w:tr>
            <w:tr w14:paraId="2BDC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restart"/>
                  <w:vAlign w:val="center"/>
                </w:tcPr>
                <w:p w14:paraId="371121E4">
                  <w:pPr>
                    <w:jc w:val="center"/>
                    <w:rPr>
                      <w:color w:val="auto"/>
                      <w:szCs w:val="21"/>
                    </w:rPr>
                  </w:pPr>
                  <w:r>
                    <w:rPr>
                      <w:rFonts w:hint="eastAsia"/>
                      <w:color w:val="auto"/>
                      <w:szCs w:val="21"/>
                    </w:rPr>
                    <w:t>四街卫生院</w:t>
                  </w:r>
                </w:p>
              </w:tc>
              <w:tc>
                <w:tcPr>
                  <w:tcW w:w="4214" w:type="dxa"/>
                  <w:vAlign w:val="center"/>
                </w:tcPr>
                <w:p w14:paraId="274DFADA">
                  <w:pPr>
                    <w:jc w:val="center"/>
                    <w:rPr>
                      <w:color w:val="auto"/>
                      <w:szCs w:val="21"/>
                    </w:rPr>
                  </w:pPr>
                  <w:r>
                    <w:rPr>
                      <w:rFonts w:hint="eastAsia" w:hAnsi="宋体"/>
                      <w:color w:val="auto"/>
                      <w:szCs w:val="21"/>
                    </w:rPr>
                    <w:t>血细胞分析试剂</w:t>
                  </w:r>
                </w:p>
              </w:tc>
              <w:tc>
                <w:tcPr>
                  <w:tcW w:w="1572" w:type="dxa"/>
                  <w:vAlign w:val="center"/>
                </w:tcPr>
                <w:p w14:paraId="759D3A8F">
                  <w:pPr>
                    <w:jc w:val="center"/>
                    <w:rPr>
                      <w:color w:val="auto"/>
                    </w:rPr>
                  </w:pPr>
                  <w:r>
                    <w:rPr>
                      <w:rFonts w:hint="eastAsia"/>
                      <w:color w:val="auto"/>
                      <w:szCs w:val="21"/>
                    </w:rPr>
                    <w:t>2箱</w:t>
                  </w:r>
                </w:p>
              </w:tc>
            </w:tr>
            <w:tr w14:paraId="4BDB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8" w:type="dxa"/>
                  <w:vMerge w:val="continue"/>
                  <w:vAlign w:val="center"/>
                </w:tcPr>
                <w:p w14:paraId="43D159A3">
                  <w:pPr>
                    <w:jc w:val="center"/>
                    <w:rPr>
                      <w:color w:val="auto"/>
                      <w:szCs w:val="21"/>
                    </w:rPr>
                  </w:pPr>
                </w:p>
              </w:tc>
              <w:tc>
                <w:tcPr>
                  <w:tcW w:w="4214" w:type="dxa"/>
                  <w:vAlign w:val="center"/>
                </w:tcPr>
                <w:p w14:paraId="5168A977">
                  <w:pPr>
                    <w:jc w:val="center"/>
                    <w:rPr>
                      <w:color w:val="auto"/>
                      <w:szCs w:val="21"/>
                    </w:rPr>
                  </w:pPr>
                  <w:r>
                    <w:rPr>
                      <w:rFonts w:hint="eastAsia"/>
                      <w:color w:val="auto"/>
                      <w:szCs w:val="21"/>
                    </w:rPr>
                    <w:t>谷丙转氨酶</w:t>
                  </w:r>
                </w:p>
              </w:tc>
              <w:tc>
                <w:tcPr>
                  <w:tcW w:w="1572" w:type="dxa"/>
                  <w:vAlign w:val="center"/>
                </w:tcPr>
                <w:p w14:paraId="373A1F9C">
                  <w:pPr>
                    <w:jc w:val="center"/>
                    <w:rPr>
                      <w:color w:val="auto"/>
                      <w:szCs w:val="21"/>
                    </w:rPr>
                  </w:pPr>
                  <w:r>
                    <w:rPr>
                      <w:rFonts w:hint="eastAsia"/>
                      <w:color w:val="auto"/>
                      <w:szCs w:val="21"/>
                    </w:rPr>
                    <w:t>3盒</w:t>
                  </w:r>
                </w:p>
              </w:tc>
            </w:tr>
            <w:tr w14:paraId="689E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928" w:type="dxa"/>
                  <w:vMerge w:val="continue"/>
                  <w:vAlign w:val="center"/>
                </w:tcPr>
                <w:p w14:paraId="3D094C2B">
                  <w:pPr>
                    <w:jc w:val="center"/>
                    <w:rPr>
                      <w:color w:val="auto"/>
                      <w:szCs w:val="21"/>
                    </w:rPr>
                  </w:pPr>
                </w:p>
              </w:tc>
              <w:tc>
                <w:tcPr>
                  <w:tcW w:w="4214" w:type="dxa"/>
                  <w:vAlign w:val="center"/>
                </w:tcPr>
                <w:p w14:paraId="28BBEF2E">
                  <w:pPr>
                    <w:jc w:val="center"/>
                    <w:rPr>
                      <w:rFonts w:hint="eastAsia" w:hAnsi="宋体"/>
                      <w:color w:val="auto"/>
                      <w:szCs w:val="21"/>
                    </w:rPr>
                  </w:pPr>
                  <w:r>
                    <w:rPr>
                      <w:rFonts w:hAnsi="宋体"/>
                      <w:color w:val="auto"/>
                      <w:szCs w:val="21"/>
                    </w:rPr>
                    <w:t>尿酸检测试剂</w:t>
                  </w:r>
                </w:p>
              </w:tc>
              <w:tc>
                <w:tcPr>
                  <w:tcW w:w="1572" w:type="dxa"/>
                  <w:vAlign w:val="center"/>
                </w:tcPr>
                <w:p w14:paraId="4CD37E38">
                  <w:pPr>
                    <w:jc w:val="center"/>
                    <w:rPr>
                      <w:color w:val="auto"/>
                      <w:szCs w:val="21"/>
                    </w:rPr>
                  </w:pPr>
                  <w:r>
                    <w:rPr>
                      <w:rFonts w:hint="eastAsia"/>
                      <w:color w:val="auto"/>
                      <w:szCs w:val="21"/>
                    </w:rPr>
                    <w:t>1</w:t>
                  </w:r>
                  <w:r>
                    <w:rPr>
                      <w:color w:val="auto"/>
                      <w:szCs w:val="21"/>
                    </w:rPr>
                    <w:t>盒</w:t>
                  </w:r>
                </w:p>
              </w:tc>
            </w:tr>
            <w:tr w14:paraId="1FE3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928" w:type="dxa"/>
                  <w:vMerge w:val="continue"/>
                  <w:vAlign w:val="center"/>
                </w:tcPr>
                <w:p w14:paraId="10A335CB">
                  <w:pPr>
                    <w:jc w:val="center"/>
                    <w:rPr>
                      <w:color w:val="auto"/>
                      <w:szCs w:val="21"/>
                    </w:rPr>
                  </w:pPr>
                </w:p>
              </w:tc>
              <w:tc>
                <w:tcPr>
                  <w:tcW w:w="4214" w:type="dxa"/>
                  <w:vAlign w:val="center"/>
                </w:tcPr>
                <w:p w14:paraId="6053670A">
                  <w:pPr>
                    <w:jc w:val="center"/>
                    <w:rPr>
                      <w:color w:val="auto"/>
                      <w:szCs w:val="21"/>
                    </w:rPr>
                  </w:pPr>
                  <w:r>
                    <w:rPr>
                      <w:rFonts w:hAnsi="宋体"/>
                      <w:color w:val="auto"/>
                      <w:szCs w:val="21"/>
                    </w:rPr>
                    <w:t>尿素氮检测试剂</w:t>
                  </w:r>
                </w:p>
              </w:tc>
              <w:tc>
                <w:tcPr>
                  <w:tcW w:w="1572" w:type="dxa"/>
                  <w:vAlign w:val="center"/>
                </w:tcPr>
                <w:p w14:paraId="7AA4D09B">
                  <w:pPr>
                    <w:jc w:val="center"/>
                    <w:rPr>
                      <w:color w:val="auto"/>
                    </w:rPr>
                  </w:pPr>
                  <w:r>
                    <w:rPr>
                      <w:rFonts w:hint="eastAsia"/>
                      <w:color w:val="auto"/>
                      <w:szCs w:val="21"/>
                    </w:rPr>
                    <w:t>4</w:t>
                  </w:r>
                  <w:r>
                    <w:rPr>
                      <w:color w:val="auto"/>
                      <w:szCs w:val="21"/>
                    </w:rPr>
                    <w:t>盒</w:t>
                  </w:r>
                </w:p>
              </w:tc>
            </w:tr>
            <w:tr w14:paraId="7C23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216272B">
                  <w:pPr>
                    <w:jc w:val="center"/>
                    <w:rPr>
                      <w:color w:val="auto"/>
                      <w:szCs w:val="21"/>
                    </w:rPr>
                  </w:pPr>
                </w:p>
              </w:tc>
              <w:tc>
                <w:tcPr>
                  <w:tcW w:w="4214" w:type="dxa"/>
                  <w:vAlign w:val="center"/>
                </w:tcPr>
                <w:p w14:paraId="26E95AD0">
                  <w:pPr>
                    <w:jc w:val="center"/>
                    <w:rPr>
                      <w:color w:val="auto"/>
                      <w:szCs w:val="21"/>
                    </w:rPr>
                  </w:pPr>
                  <w:r>
                    <w:rPr>
                      <w:rFonts w:hAnsi="宋体"/>
                      <w:color w:val="auto"/>
                      <w:szCs w:val="21"/>
                    </w:rPr>
                    <w:t>葡萄糖检测试剂</w:t>
                  </w:r>
                </w:p>
              </w:tc>
              <w:tc>
                <w:tcPr>
                  <w:tcW w:w="1572" w:type="dxa"/>
                  <w:vAlign w:val="center"/>
                </w:tcPr>
                <w:p w14:paraId="614DAE43">
                  <w:pPr>
                    <w:jc w:val="center"/>
                    <w:rPr>
                      <w:color w:val="auto"/>
                      <w:szCs w:val="21"/>
                    </w:rPr>
                  </w:pPr>
                  <w:r>
                    <w:rPr>
                      <w:rFonts w:hint="eastAsia"/>
                      <w:color w:val="auto"/>
                      <w:szCs w:val="21"/>
                    </w:rPr>
                    <w:t>3盒</w:t>
                  </w:r>
                </w:p>
              </w:tc>
            </w:tr>
            <w:tr w14:paraId="22B6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6AFD9961">
                  <w:pPr>
                    <w:jc w:val="center"/>
                    <w:rPr>
                      <w:color w:val="auto"/>
                      <w:szCs w:val="21"/>
                    </w:rPr>
                  </w:pPr>
                </w:p>
              </w:tc>
              <w:tc>
                <w:tcPr>
                  <w:tcW w:w="4214" w:type="dxa"/>
                  <w:vAlign w:val="center"/>
                </w:tcPr>
                <w:p w14:paraId="1DF20C76">
                  <w:pPr>
                    <w:jc w:val="center"/>
                    <w:rPr>
                      <w:rFonts w:hint="eastAsia" w:hAnsi="宋体"/>
                      <w:color w:val="auto"/>
                      <w:szCs w:val="21"/>
                    </w:rPr>
                  </w:pPr>
                  <w:r>
                    <w:rPr>
                      <w:rFonts w:hAnsi="宋体"/>
                      <w:color w:val="auto"/>
                      <w:szCs w:val="21"/>
                    </w:rPr>
                    <w:t>总胆固醇检测试剂</w:t>
                  </w:r>
                </w:p>
              </w:tc>
              <w:tc>
                <w:tcPr>
                  <w:tcW w:w="1572" w:type="dxa"/>
                  <w:vAlign w:val="center"/>
                </w:tcPr>
                <w:p w14:paraId="69D4C5D5">
                  <w:pPr>
                    <w:jc w:val="center"/>
                    <w:rPr>
                      <w:color w:val="auto"/>
                      <w:szCs w:val="21"/>
                    </w:rPr>
                  </w:pPr>
                  <w:r>
                    <w:rPr>
                      <w:rFonts w:hint="eastAsia"/>
                      <w:color w:val="auto"/>
                      <w:szCs w:val="21"/>
                    </w:rPr>
                    <w:t>5盒</w:t>
                  </w:r>
                </w:p>
              </w:tc>
            </w:tr>
            <w:tr w14:paraId="12DA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D8E5509">
                  <w:pPr>
                    <w:jc w:val="center"/>
                    <w:rPr>
                      <w:color w:val="auto"/>
                      <w:szCs w:val="21"/>
                    </w:rPr>
                  </w:pPr>
                </w:p>
              </w:tc>
              <w:tc>
                <w:tcPr>
                  <w:tcW w:w="4214" w:type="dxa"/>
                  <w:vAlign w:val="center"/>
                </w:tcPr>
                <w:p w14:paraId="68610798">
                  <w:pPr>
                    <w:jc w:val="center"/>
                    <w:rPr>
                      <w:rFonts w:hint="eastAsia" w:hAnsi="宋体"/>
                      <w:color w:val="auto"/>
                      <w:szCs w:val="21"/>
                    </w:rPr>
                  </w:pPr>
                  <w:r>
                    <w:rPr>
                      <w:rFonts w:hAnsi="宋体"/>
                      <w:color w:val="auto"/>
                      <w:szCs w:val="21"/>
                    </w:rPr>
                    <w:t>电解质标准液</w:t>
                  </w:r>
                </w:p>
              </w:tc>
              <w:tc>
                <w:tcPr>
                  <w:tcW w:w="1572" w:type="dxa"/>
                  <w:vAlign w:val="center"/>
                </w:tcPr>
                <w:p w14:paraId="6D6D3D70">
                  <w:pPr>
                    <w:jc w:val="center"/>
                    <w:rPr>
                      <w:color w:val="auto"/>
                      <w:szCs w:val="21"/>
                    </w:rPr>
                  </w:pPr>
                  <w:r>
                    <w:rPr>
                      <w:rFonts w:hint="eastAsia"/>
                      <w:color w:val="auto"/>
                      <w:szCs w:val="21"/>
                    </w:rPr>
                    <w:t>1瓶</w:t>
                  </w:r>
                </w:p>
              </w:tc>
            </w:tr>
            <w:tr w14:paraId="3C45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4142E6F">
                  <w:pPr>
                    <w:jc w:val="center"/>
                    <w:rPr>
                      <w:color w:val="auto"/>
                      <w:szCs w:val="21"/>
                    </w:rPr>
                  </w:pPr>
                </w:p>
              </w:tc>
              <w:tc>
                <w:tcPr>
                  <w:tcW w:w="4214" w:type="dxa"/>
                  <w:vAlign w:val="center"/>
                </w:tcPr>
                <w:p w14:paraId="45463EAD">
                  <w:pPr>
                    <w:jc w:val="center"/>
                    <w:rPr>
                      <w:rFonts w:hint="eastAsia" w:hAnsi="宋体"/>
                      <w:color w:val="auto"/>
                      <w:szCs w:val="21"/>
                    </w:rPr>
                  </w:pPr>
                  <w:r>
                    <w:rPr>
                      <w:rFonts w:hAnsi="宋体"/>
                      <w:color w:val="auto"/>
                      <w:szCs w:val="21"/>
                    </w:rPr>
                    <w:t>电解质清洗液</w:t>
                  </w:r>
                </w:p>
              </w:tc>
              <w:tc>
                <w:tcPr>
                  <w:tcW w:w="1572" w:type="dxa"/>
                  <w:vAlign w:val="center"/>
                </w:tcPr>
                <w:p w14:paraId="32DF517C">
                  <w:pPr>
                    <w:jc w:val="center"/>
                    <w:rPr>
                      <w:color w:val="auto"/>
                      <w:szCs w:val="21"/>
                    </w:rPr>
                  </w:pPr>
                  <w:r>
                    <w:rPr>
                      <w:rFonts w:hint="eastAsia"/>
                      <w:color w:val="auto"/>
                      <w:szCs w:val="21"/>
                    </w:rPr>
                    <w:t>1</w:t>
                  </w:r>
                  <w:r>
                    <w:rPr>
                      <w:color w:val="auto"/>
                      <w:szCs w:val="21"/>
                    </w:rPr>
                    <w:t>瓶</w:t>
                  </w:r>
                </w:p>
              </w:tc>
            </w:tr>
            <w:tr w14:paraId="5B97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BB02C10">
                  <w:pPr>
                    <w:jc w:val="center"/>
                    <w:rPr>
                      <w:color w:val="auto"/>
                      <w:szCs w:val="21"/>
                    </w:rPr>
                  </w:pPr>
                </w:p>
              </w:tc>
              <w:tc>
                <w:tcPr>
                  <w:tcW w:w="4214" w:type="dxa"/>
                  <w:vAlign w:val="center"/>
                </w:tcPr>
                <w:p w14:paraId="10974805">
                  <w:pPr>
                    <w:jc w:val="center"/>
                    <w:rPr>
                      <w:rFonts w:hint="eastAsia" w:hAnsi="宋体"/>
                      <w:color w:val="auto"/>
                      <w:szCs w:val="21"/>
                    </w:rPr>
                  </w:pPr>
                  <w:r>
                    <w:rPr>
                      <w:color w:val="auto"/>
                      <w:szCs w:val="21"/>
                    </w:rPr>
                    <w:t>75</w:t>
                  </w:r>
                  <w:r>
                    <w:rPr>
                      <w:rFonts w:hAnsi="宋体"/>
                      <w:color w:val="auto"/>
                      <w:szCs w:val="21"/>
                    </w:rPr>
                    <w:t>％医用酒精</w:t>
                  </w:r>
                </w:p>
              </w:tc>
              <w:tc>
                <w:tcPr>
                  <w:tcW w:w="1572" w:type="dxa"/>
                  <w:vAlign w:val="center"/>
                </w:tcPr>
                <w:p w14:paraId="16B29201">
                  <w:pPr>
                    <w:jc w:val="center"/>
                    <w:rPr>
                      <w:color w:val="auto"/>
                      <w:szCs w:val="21"/>
                    </w:rPr>
                  </w:pPr>
                  <w:r>
                    <w:rPr>
                      <w:rFonts w:hint="eastAsia"/>
                      <w:color w:val="auto"/>
                      <w:szCs w:val="21"/>
                    </w:rPr>
                    <w:t>7</w:t>
                  </w:r>
                  <w:r>
                    <w:rPr>
                      <w:color w:val="auto"/>
                      <w:szCs w:val="21"/>
                    </w:rPr>
                    <w:t>瓶</w:t>
                  </w:r>
                </w:p>
              </w:tc>
            </w:tr>
            <w:tr w14:paraId="1132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6E908F51">
                  <w:pPr>
                    <w:jc w:val="center"/>
                    <w:rPr>
                      <w:color w:val="auto"/>
                      <w:szCs w:val="21"/>
                    </w:rPr>
                  </w:pPr>
                </w:p>
              </w:tc>
              <w:tc>
                <w:tcPr>
                  <w:tcW w:w="4214" w:type="dxa"/>
                  <w:vAlign w:val="center"/>
                </w:tcPr>
                <w:p w14:paraId="3AD702EC">
                  <w:pPr>
                    <w:jc w:val="center"/>
                    <w:rPr>
                      <w:rFonts w:hint="eastAsia" w:hAnsi="宋体"/>
                      <w:color w:val="auto"/>
                      <w:szCs w:val="21"/>
                    </w:rPr>
                  </w:pPr>
                  <w:r>
                    <w:rPr>
                      <w:rFonts w:hAnsi="宋体"/>
                      <w:color w:val="auto"/>
                      <w:szCs w:val="21"/>
                    </w:rPr>
                    <w:t>生理盐水</w:t>
                  </w:r>
                </w:p>
              </w:tc>
              <w:tc>
                <w:tcPr>
                  <w:tcW w:w="1572" w:type="dxa"/>
                  <w:vAlign w:val="center"/>
                </w:tcPr>
                <w:p w14:paraId="6597F22C">
                  <w:pPr>
                    <w:jc w:val="center"/>
                    <w:rPr>
                      <w:color w:val="auto"/>
                      <w:szCs w:val="21"/>
                    </w:rPr>
                  </w:pPr>
                  <w:r>
                    <w:rPr>
                      <w:rFonts w:hint="eastAsia"/>
                      <w:color w:val="auto"/>
                      <w:szCs w:val="21"/>
                    </w:rPr>
                    <w:t>1</w:t>
                  </w:r>
                  <w:r>
                    <w:rPr>
                      <w:color w:val="auto"/>
                      <w:szCs w:val="21"/>
                    </w:rPr>
                    <w:t>瓶</w:t>
                  </w:r>
                </w:p>
              </w:tc>
            </w:tr>
            <w:tr w14:paraId="488A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55B0F6B">
                  <w:pPr>
                    <w:jc w:val="center"/>
                    <w:rPr>
                      <w:color w:val="auto"/>
                      <w:szCs w:val="21"/>
                    </w:rPr>
                  </w:pPr>
                </w:p>
              </w:tc>
              <w:tc>
                <w:tcPr>
                  <w:tcW w:w="4214" w:type="dxa"/>
                  <w:vAlign w:val="center"/>
                </w:tcPr>
                <w:p w14:paraId="216B4D18">
                  <w:pPr>
                    <w:jc w:val="center"/>
                    <w:rPr>
                      <w:rFonts w:hint="eastAsia" w:hAnsi="宋体"/>
                      <w:color w:val="auto"/>
                      <w:szCs w:val="21"/>
                    </w:rPr>
                  </w:pPr>
                  <w:r>
                    <w:rPr>
                      <w:rFonts w:hint="eastAsia" w:hAnsi="宋体"/>
                      <w:color w:val="auto"/>
                      <w:szCs w:val="21"/>
                    </w:rPr>
                    <w:t>血肌酐</w:t>
                  </w:r>
                </w:p>
              </w:tc>
              <w:tc>
                <w:tcPr>
                  <w:tcW w:w="1572" w:type="dxa"/>
                  <w:vAlign w:val="center"/>
                </w:tcPr>
                <w:p w14:paraId="2C7967AA">
                  <w:pPr>
                    <w:jc w:val="center"/>
                    <w:rPr>
                      <w:color w:val="auto"/>
                      <w:szCs w:val="21"/>
                    </w:rPr>
                  </w:pPr>
                  <w:r>
                    <w:rPr>
                      <w:rFonts w:hint="eastAsia"/>
                      <w:color w:val="auto"/>
                      <w:szCs w:val="21"/>
                    </w:rPr>
                    <w:t>3盒</w:t>
                  </w:r>
                </w:p>
              </w:tc>
            </w:tr>
            <w:tr w14:paraId="6A2D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28" w:type="dxa"/>
                  <w:vMerge w:val="continue"/>
                  <w:vAlign w:val="center"/>
                </w:tcPr>
                <w:p w14:paraId="09F610D7">
                  <w:pPr>
                    <w:jc w:val="center"/>
                    <w:rPr>
                      <w:color w:val="auto"/>
                      <w:szCs w:val="21"/>
                    </w:rPr>
                  </w:pPr>
                </w:p>
              </w:tc>
              <w:tc>
                <w:tcPr>
                  <w:tcW w:w="4214" w:type="dxa"/>
                  <w:vAlign w:val="center"/>
                </w:tcPr>
                <w:p w14:paraId="3FF0C2D9">
                  <w:pPr>
                    <w:jc w:val="center"/>
                    <w:rPr>
                      <w:rFonts w:hint="eastAsia" w:hAnsi="宋体"/>
                      <w:color w:val="auto"/>
                      <w:szCs w:val="21"/>
                    </w:rPr>
                  </w:pPr>
                  <w:r>
                    <w:rPr>
                      <w:rFonts w:hint="eastAsia"/>
                      <w:color w:val="auto"/>
                      <w:szCs w:val="21"/>
                    </w:rPr>
                    <w:t>尿素氨</w:t>
                  </w:r>
                </w:p>
              </w:tc>
              <w:tc>
                <w:tcPr>
                  <w:tcW w:w="1572" w:type="dxa"/>
                  <w:vAlign w:val="center"/>
                </w:tcPr>
                <w:p w14:paraId="126FE842">
                  <w:pPr>
                    <w:jc w:val="center"/>
                    <w:rPr>
                      <w:color w:val="auto"/>
                      <w:szCs w:val="21"/>
                    </w:rPr>
                  </w:pPr>
                  <w:r>
                    <w:rPr>
                      <w:rFonts w:hint="eastAsia"/>
                      <w:color w:val="auto"/>
                      <w:szCs w:val="21"/>
                    </w:rPr>
                    <w:t>3盒</w:t>
                  </w:r>
                </w:p>
              </w:tc>
            </w:tr>
            <w:tr w14:paraId="5604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026B12F">
                  <w:pPr>
                    <w:jc w:val="center"/>
                    <w:rPr>
                      <w:color w:val="auto"/>
                      <w:szCs w:val="21"/>
                    </w:rPr>
                  </w:pPr>
                </w:p>
              </w:tc>
              <w:tc>
                <w:tcPr>
                  <w:tcW w:w="4214" w:type="dxa"/>
                  <w:vAlign w:val="center"/>
                </w:tcPr>
                <w:p w14:paraId="67680122">
                  <w:pPr>
                    <w:jc w:val="center"/>
                    <w:rPr>
                      <w:rFonts w:hint="eastAsia" w:hAnsi="宋体"/>
                      <w:color w:val="auto"/>
                      <w:szCs w:val="21"/>
                    </w:rPr>
                  </w:pPr>
                  <w:r>
                    <w:rPr>
                      <w:rFonts w:hint="eastAsia" w:hAnsi="宋体"/>
                      <w:color w:val="auto"/>
                      <w:szCs w:val="21"/>
                    </w:rPr>
                    <w:t>直接胆红素试剂</w:t>
                  </w:r>
                </w:p>
              </w:tc>
              <w:tc>
                <w:tcPr>
                  <w:tcW w:w="1572" w:type="dxa"/>
                  <w:vAlign w:val="center"/>
                </w:tcPr>
                <w:p w14:paraId="1C0063E0">
                  <w:pPr>
                    <w:jc w:val="center"/>
                    <w:rPr>
                      <w:color w:val="auto"/>
                      <w:szCs w:val="21"/>
                    </w:rPr>
                  </w:pPr>
                  <w:r>
                    <w:rPr>
                      <w:rFonts w:hint="eastAsia"/>
                      <w:color w:val="auto"/>
                      <w:szCs w:val="21"/>
                    </w:rPr>
                    <w:t>1</w:t>
                  </w:r>
                  <w:r>
                    <w:rPr>
                      <w:color w:val="auto"/>
                      <w:szCs w:val="21"/>
                    </w:rPr>
                    <w:t>盒</w:t>
                  </w:r>
                </w:p>
              </w:tc>
            </w:tr>
            <w:tr w14:paraId="4EFC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D2AF856">
                  <w:pPr>
                    <w:jc w:val="center"/>
                    <w:rPr>
                      <w:color w:val="auto"/>
                      <w:szCs w:val="21"/>
                    </w:rPr>
                  </w:pPr>
                </w:p>
              </w:tc>
              <w:tc>
                <w:tcPr>
                  <w:tcW w:w="4214" w:type="dxa"/>
                  <w:vAlign w:val="center"/>
                </w:tcPr>
                <w:p w14:paraId="7485F286">
                  <w:pPr>
                    <w:jc w:val="center"/>
                    <w:rPr>
                      <w:rFonts w:hint="eastAsia" w:hAnsi="宋体"/>
                      <w:color w:val="auto"/>
                      <w:szCs w:val="21"/>
                    </w:rPr>
                  </w:pPr>
                  <w:r>
                    <w:rPr>
                      <w:rFonts w:hAnsi="宋体"/>
                      <w:color w:val="auto"/>
                      <w:szCs w:val="21"/>
                    </w:rPr>
                    <w:t>消毒液</w:t>
                  </w:r>
                </w:p>
              </w:tc>
              <w:tc>
                <w:tcPr>
                  <w:tcW w:w="1572" w:type="dxa"/>
                  <w:vAlign w:val="center"/>
                </w:tcPr>
                <w:p w14:paraId="51B6057A">
                  <w:pPr>
                    <w:jc w:val="center"/>
                    <w:rPr>
                      <w:color w:val="auto"/>
                      <w:szCs w:val="21"/>
                    </w:rPr>
                  </w:pPr>
                  <w:r>
                    <w:rPr>
                      <w:rFonts w:hint="eastAsia"/>
                      <w:color w:val="auto"/>
                      <w:szCs w:val="21"/>
                    </w:rPr>
                    <w:t>2</w:t>
                  </w:r>
                  <w:r>
                    <w:rPr>
                      <w:color w:val="auto"/>
                      <w:szCs w:val="21"/>
                    </w:rPr>
                    <w:t>瓶</w:t>
                  </w:r>
                </w:p>
              </w:tc>
            </w:tr>
            <w:tr w14:paraId="336A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7BBCC91">
                  <w:pPr>
                    <w:jc w:val="center"/>
                    <w:rPr>
                      <w:color w:val="auto"/>
                      <w:szCs w:val="21"/>
                    </w:rPr>
                  </w:pPr>
                </w:p>
              </w:tc>
              <w:tc>
                <w:tcPr>
                  <w:tcW w:w="4214" w:type="dxa"/>
                  <w:vAlign w:val="center"/>
                </w:tcPr>
                <w:p w14:paraId="5AA3C1BF">
                  <w:pPr>
                    <w:jc w:val="center"/>
                    <w:rPr>
                      <w:rFonts w:hint="eastAsia" w:hAnsi="宋体"/>
                      <w:color w:val="auto"/>
                      <w:szCs w:val="21"/>
                    </w:rPr>
                  </w:pPr>
                  <w:r>
                    <w:rPr>
                      <w:rFonts w:hint="eastAsia" w:hAnsi="宋体"/>
                      <w:color w:val="auto"/>
                      <w:szCs w:val="21"/>
                    </w:rPr>
                    <w:t>碘伏</w:t>
                  </w:r>
                </w:p>
              </w:tc>
              <w:tc>
                <w:tcPr>
                  <w:tcW w:w="1572" w:type="dxa"/>
                  <w:vAlign w:val="center"/>
                </w:tcPr>
                <w:p w14:paraId="574CABE1">
                  <w:pPr>
                    <w:jc w:val="center"/>
                    <w:rPr>
                      <w:color w:val="auto"/>
                      <w:szCs w:val="21"/>
                    </w:rPr>
                  </w:pPr>
                  <w:r>
                    <w:rPr>
                      <w:rFonts w:hint="eastAsia"/>
                      <w:color w:val="auto"/>
                      <w:szCs w:val="21"/>
                    </w:rPr>
                    <w:t>22瓶</w:t>
                  </w:r>
                </w:p>
              </w:tc>
            </w:tr>
            <w:tr w14:paraId="7E73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28" w:type="dxa"/>
                  <w:vMerge w:val="continue"/>
                  <w:vAlign w:val="center"/>
                </w:tcPr>
                <w:p w14:paraId="20A2DCD1">
                  <w:pPr>
                    <w:jc w:val="center"/>
                    <w:rPr>
                      <w:color w:val="auto"/>
                      <w:szCs w:val="21"/>
                    </w:rPr>
                  </w:pPr>
                </w:p>
              </w:tc>
              <w:tc>
                <w:tcPr>
                  <w:tcW w:w="4214" w:type="dxa"/>
                  <w:vAlign w:val="center"/>
                </w:tcPr>
                <w:p w14:paraId="22FE0556">
                  <w:pPr>
                    <w:jc w:val="center"/>
                    <w:rPr>
                      <w:rFonts w:hint="eastAsia" w:hAnsi="宋体"/>
                      <w:color w:val="auto"/>
                      <w:szCs w:val="21"/>
                    </w:rPr>
                  </w:pPr>
                  <w:r>
                    <w:rPr>
                      <w:rFonts w:hint="eastAsia" w:hAnsi="宋体"/>
                      <w:color w:val="auto"/>
                      <w:szCs w:val="21"/>
                    </w:rPr>
                    <w:t>天门冬氨酸氨基转移酶试剂</w:t>
                  </w:r>
                </w:p>
              </w:tc>
              <w:tc>
                <w:tcPr>
                  <w:tcW w:w="1572" w:type="dxa"/>
                  <w:vAlign w:val="center"/>
                </w:tcPr>
                <w:p w14:paraId="061F6BB1">
                  <w:pPr>
                    <w:jc w:val="center"/>
                    <w:rPr>
                      <w:color w:val="auto"/>
                      <w:szCs w:val="21"/>
                    </w:rPr>
                  </w:pPr>
                  <w:r>
                    <w:rPr>
                      <w:rFonts w:hint="eastAsia"/>
                      <w:color w:val="auto"/>
                      <w:szCs w:val="21"/>
                    </w:rPr>
                    <w:t>3盒</w:t>
                  </w:r>
                </w:p>
              </w:tc>
            </w:tr>
            <w:tr w14:paraId="2962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2EBC08D">
                  <w:pPr>
                    <w:jc w:val="center"/>
                    <w:rPr>
                      <w:color w:val="auto"/>
                      <w:szCs w:val="21"/>
                    </w:rPr>
                  </w:pPr>
                </w:p>
              </w:tc>
              <w:tc>
                <w:tcPr>
                  <w:tcW w:w="4214" w:type="dxa"/>
                  <w:vAlign w:val="center"/>
                </w:tcPr>
                <w:p w14:paraId="49469D17">
                  <w:pPr>
                    <w:jc w:val="center"/>
                    <w:rPr>
                      <w:rFonts w:hint="eastAsia" w:hAnsi="宋体"/>
                      <w:color w:val="auto"/>
                      <w:szCs w:val="21"/>
                    </w:rPr>
                  </w:pPr>
                  <w:r>
                    <w:rPr>
                      <w:rFonts w:hint="eastAsia" w:hAnsi="宋体"/>
                      <w:color w:val="auto"/>
                      <w:szCs w:val="21"/>
                    </w:rPr>
                    <w:t>γ-谷氨酰基转移酶试剂</w:t>
                  </w:r>
                </w:p>
              </w:tc>
              <w:tc>
                <w:tcPr>
                  <w:tcW w:w="1572" w:type="dxa"/>
                  <w:vAlign w:val="center"/>
                </w:tcPr>
                <w:p w14:paraId="35055A37">
                  <w:pPr>
                    <w:jc w:val="center"/>
                    <w:rPr>
                      <w:color w:val="auto"/>
                      <w:szCs w:val="21"/>
                    </w:rPr>
                  </w:pPr>
                  <w:r>
                    <w:rPr>
                      <w:rFonts w:hint="eastAsia"/>
                      <w:color w:val="auto"/>
                      <w:szCs w:val="21"/>
                    </w:rPr>
                    <w:t>1盒</w:t>
                  </w:r>
                </w:p>
              </w:tc>
            </w:tr>
            <w:tr w14:paraId="6A9C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DA611CE">
                  <w:pPr>
                    <w:jc w:val="center"/>
                    <w:rPr>
                      <w:color w:val="auto"/>
                      <w:szCs w:val="21"/>
                    </w:rPr>
                  </w:pPr>
                </w:p>
              </w:tc>
              <w:tc>
                <w:tcPr>
                  <w:tcW w:w="4214" w:type="dxa"/>
                  <w:vAlign w:val="center"/>
                </w:tcPr>
                <w:p w14:paraId="7705F329">
                  <w:pPr>
                    <w:jc w:val="center"/>
                    <w:rPr>
                      <w:rFonts w:hint="eastAsia" w:hAnsi="宋体"/>
                      <w:color w:val="auto"/>
                      <w:szCs w:val="21"/>
                    </w:rPr>
                  </w:pPr>
                  <w:r>
                    <w:rPr>
                      <w:rFonts w:hint="eastAsia" w:hAnsi="宋体"/>
                      <w:color w:val="auto"/>
                      <w:szCs w:val="21"/>
                    </w:rPr>
                    <w:t>总胆红素试剂</w:t>
                  </w:r>
                </w:p>
              </w:tc>
              <w:tc>
                <w:tcPr>
                  <w:tcW w:w="1572" w:type="dxa"/>
                  <w:vAlign w:val="center"/>
                </w:tcPr>
                <w:p w14:paraId="3A4E583E">
                  <w:pPr>
                    <w:jc w:val="center"/>
                    <w:rPr>
                      <w:color w:val="auto"/>
                      <w:szCs w:val="21"/>
                    </w:rPr>
                  </w:pPr>
                  <w:r>
                    <w:rPr>
                      <w:rFonts w:hint="eastAsia"/>
                      <w:color w:val="auto"/>
                      <w:szCs w:val="21"/>
                    </w:rPr>
                    <w:t>4盒</w:t>
                  </w:r>
                </w:p>
              </w:tc>
            </w:tr>
            <w:tr w14:paraId="5CBF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FFF0437">
                  <w:pPr>
                    <w:jc w:val="center"/>
                    <w:rPr>
                      <w:color w:val="auto"/>
                      <w:szCs w:val="21"/>
                    </w:rPr>
                  </w:pPr>
                </w:p>
              </w:tc>
              <w:tc>
                <w:tcPr>
                  <w:tcW w:w="4214" w:type="dxa"/>
                  <w:vAlign w:val="center"/>
                </w:tcPr>
                <w:p w14:paraId="7551AE22">
                  <w:pPr>
                    <w:jc w:val="center"/>
                    <w:rPr>
                      <w:rFonts w:hint="eastAsia" w:hAnsi="宋体"/>
                      <w:color w:val="auto"/>
                      <w:szCs w:val="21"/>
                    </w:rPr>
                  </w:pPr>
                  <w:r>
                    <w:rPr>
                      <w:rFonts w:hint="eastAsia" w:hAnsi="宋体"/>
                      <w:color w:val="auto"/>
                      <w:szCs w:val="21"/>
                    </w:rPr>
                    <w:t>总蛋白试剂</w:t>
                  </w:r>
                </w:p>
              </w:tc>
              <w:tc>
                <w:tcPr>
                  <w:tcW w:w="1572" w:type="dxa"/>
                  <w:vAlign w:val="center"/>
                </w:tcPr>
                <w:p w14:paraId="59924DCE">
                  <w:pPr>
                    <w:jc w:val="center"/>
                    <w:rPr>
                      <w:color w:val="auto"/>
                      <w:szCs w:val="21"/>
                    </w:rPr>
                  </w:pPr>
                  <w:r>
                    <w:rPr>
                      <w:rFonts w:hint="eastAsia"/>
                      <w:color w:val="auto"/>
                      <w:szCs w:val="21"/>
                    </w:rPr>
                    <w:t>1盒</w:t>
                  </w:r>
                </w:p>
              </w:tc>
            </w:tr>
            <w:tr w14:paraId="60A5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0E7CD55">
                  <w:pPr>
                    <w:jc w:val="center"/>
                    <w:rPr>
                      <w:color w:val="auto"/>
                      <w:szCs w:val="21"/>
                    </w:rPr>
                  </w:pPr>
                </w:p>
              </w:tc>
              <w:tc>
                <w:tcPr>
                  <w:tcW w:w="4214" w:type="dxa"/>
                  <w:vAlign w:val="center"/>
                </w:tcPr>
                <w:p w14:paraId="17BCFC3D">
                  <w:pPr>
                    <w:jc w:val="center"/>
                    <w:rPr>
                      <w:rFonts w:hint="eastAsia" w:hAnsi="宋体"/>
                      <w:color w:val="auto"/>
                      <w:szCs w:val="21"/>
                    </w:rPr>
                  </w:pPr>
                  <w:r>
                    <w:rPr>
                      <w:rFonts w:hint="eastAsia" w:hAnsi="宋体"/>
                      <w:color w:val="auto"/>
                      <w:szCs w:val="21"/>
                    </w:rPr>
                    <w:t>白蛋白试剂</w:t>
                  </w:r>
                </w:p>
              </w:tc>
              <w:tc>
                <w:tcPr>
                  <w:tcW w:w="1572" w:type="dxa"/>
                  <w:vAlign w:val="center"/>
                </w:tcPr>
                <w:p w14:paraId="48257924">
                  <w:pPr>
                    <w:jc w:val="center"/>
                    <w:rPr>
                      <w:color w:val="auto"/>
                      <w:szCs w:val="21"/>
                    </w:rPr>
                  </w:pPr>
                  <w:r>
                    <w:rPr>
                      <w:rFonts w:hint="eastAsia"/>
                      <w:color w:val="auto"/>
                      <w:szCs w:val="21"/>
                    </w:rPr>
                    <w:t>1盒</w:t>
                  </w:r>
                </w:p>
              </w:tc>
            </w:tr>
            <w:tr w14:paraId="6393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C4CD57A">
                  <w:pPr>
                    <w:jc w:val="center"/>
                    <w:rPr>
                      <w:color w:val="auto"/>
                      <w:szCs w:val="21"/>
                    </w:rPr>
                  </w:pPr>
                </w:p>
              </w:tc>
              <w:tc>
                <w:tcPr>
                  <w:tcW w:w="4214" w:type="dxa"/>
                  <w:vAlign w:val="center"/>
                </w:tcPr>
                <w:p w14:paraId="6AA66FFA">
                  <w:pPr>
                    <w:jc w:val="center"/>
                    <w:rPr>
                      <w:rFonts w:hint="eastAsia" w:hAnsi="宋体"/>
                      <w:color w:val="auto"/>
                      <w:szCs w:val="21"/>
                    </w:rPr>
                  </w:pPr>
                  <w:r>
                    <w:rPr>
                      <w:rFonts w:hint="eastAsia" w:hAnsi="宋体"/>
                      <w:color w:val="auto"/>
                      <w:szCs w:val="21"/>
                    </w:rPr>
                    <w:t>碱性磷酸酶试剂</w:t>
                  </w:r>
                </w:p>
              </w:tc>
              <w:tc>
                <w:tcPr>
                  <w:tcW w:w="1572" w:type="dxa"/>
                  <w:vAlign w:val="center"/>
                </w:tcPr>
                <w:p w14:paraId="0E22AEAD">
                  <w:pPr>
                    <w:jc w:val="center"/>
                    <w:rPr>
                      <w:color w:val="auto"/>
                      <w:szCs w:val="21"/>
                    </w:rPr>
                  </w:pPr>
                  <w:r>
                    <w:rPr>
                      <w:rFonts w:hint="eastAsia"/>
                      <w:color w:val="auto"/>
                      <w:szCs w:val="21"/>
                    </w:rPr>
                    <w:t>1盒</w:t>
                  </w:r>
                </w:p>
              </w:tc>
            </w:tr>
            <w:tr w14:paraId="1C33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C609F7E">
                  <w:pPr>
                    <w:jc w:val="center"/>
                    <w:rPr>
                      <w:color w:val="auto"/>
                      <w:szCs w:val="21"/>
                    </w:rPr>
                  </w:pPr>
                </w:p>
              </w:tc>
              <w:tc>
                <w:tcPr>
                  <w:tcW w:w="4214" w:type="dxa"/>
                  <w:vAlign w:val="center"/>
                </w:tcPr>
                <w:p w14:paraId="61D383B5">
                  <w:pPr>
                    <w:jc w:val="center"/>
                    <w:rPr>
                      <w:rFonts w:hint="eastAsia" w:hAnsi="宋体"/>
                      <w:color w:val="auto"/>
                      <w:szCs w:val="21"/>
                    </w:rPr>
                  </w:pPr>
                  <w:r>
                    <w:rPr>
                      <w:rFonts w:hint="eastAsia" w:hAnsi="宋体"/>
                      <w:color w:val="auto"/>
                      <w:szCs w:val="21"/>
                    </w:rPr>
                    <w:t>胱抑素C试剂</w:t>
                  </w:r>
                </w:p>
              </w:tc>
              <w:tc>
                <w:tcPr>
                  <w:tcW w:w="1572" w:type="dxa"/>
                  <w:vAlign w:val="center"/>
                </w:tcPr>
                <w:p w14:paraId="0A7095EB">
                  <w:pPr>
                    <w:jc w:val="center"/>
                    <w:rPr>
                      <w:color w:val="auto"/>
                      <w:szCs w:val="21"/>
                    </w:rPr>
                  </w:pPr>
                  <w:r>
                    <w:rPr>
                      <w:rFonts w:hint="eastAsia"/>
                      <w:color w:val="auto"/>
                      <w:szCs w:val="21"/>
                    </w:rPr>
                    <w:t>1盒</w:t>
                  </w:r>
                </w:p>
              </w:tc>
            </w:tr>
            <w:tr w14:paraId="256E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1E5AA75">
                  <w:pPr>
                    <w:jc w:val="center"/>
                    <w:rPr>
                      <w:color w:val="auto"/>
                      <w:szCs w:val="21"/>
                    </w:rPr>
                  </w:pPr>
                </w:p>
              </w:tc>
              <w:tc>
                <w:tcPr>
                  <w:tcW w:w="4214" w:type="dxa"/>
                  <w:vAlign w:val="center"/>
                </w:tcPr>
                <w:p w14:paraId="32C90CF7">
                  <w:pPr>
                    <w:jc w:val="center"/>
                    <w:rPr>
                      <w:rFonts w:hint="eastAsia" w:hAnsi="宋体"/>
                      <w:color w:val="auto"/>
                      <w:szCs w:val="21"/>
                    </w:rPr>
                  </w:pPr>
                  <w:r>
                    <w:rPr>
                      <w:rFonts w:hint="eastAsia" w:hAnsi="宋体"/>
                      <w:color w:val="auto"/>
                      <w:szCs w:val="21"/>
                    </w:rPr>
                    <w:t>甘油三脂试剂</w:t>
                  </w:r>
                </w:p>
              </w:tc>
              <w:tc>
                <w:tcPr>
                  <w:tcW w:w="1572" w:type="dxa"/>
                  <w:vAlign w:val="center"/>
                </w:tcPr>
                <w:p w14:paraId="66033DFD">
                  <w:pPr>
                    <w:jc w:val="center"/>
                    <w:rPr>
                      <w:color w:val="auto"/>
                      <w:szCs w:val="21"/>
                    </w:rPr>
                  </w:pPr>
                  <w:r>
                    <w:rPr>
                      <w:rFonts w:hint="eastAsia"/>
                      <w:color w:val="auto"/>
                      <w:szCs w:val="21"/>
                    </w:rPr>
                    <w:t>3盒</w:t>
                  </w:r>
                </w:p>
              </w:tc>
            </w:tr>
            <w:tr w14:paraId="0F6C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805F20F">
                  <w:pPr>
                    <w:jc w:val="center"/>
                    <w:rPr>
                      <w:color w:val="auto"/>
                      <w:szCs w:val="21"/>
                    </w:rPr>
                  </w:pPr>
                </w:p>
              </w:tc>
              <w:tc>
                <w:tcPr>
                  <w:tcW w:w="4214" w:type="dxa"/>
                  <w:vAlign w:val="center"/>
                </w:tcPr>
                <w:p w14:paraId="6723E76A">
                  <w:pPr>
                    <w:jc w:val="center"/>
                    <w:rPr>
                      <w:rFonts w:hint="eastAsia" w:hAnsi="宋体"/>
                      <w:color w:val="auto"/>
                      <w:szCs w:val="21"/>
                    </w:rPr>
                  </w:pPr>
                  <w:r>
                    <w:rPr>
                      <w:rFonts w:hint="eastAsia" w:hAnsi="宋体"/>
                      <w:color w:val="auto"/>
                      <w:szCs w:val="21"/>
                    </w:rPr>
                    <w:t>高密度脂蛋白胆固醇试剂</w:t>
                  </w:r>
                </w:p>
              </w:tc>
              <w:tc>
                <w:tcPr>
                  <w:tcW w:w="1572" w:type="dxa"/>
                  <w:vAlign w:val="center"/>
                </w:tcPr>
                <w:p w14:paraId="6771AFA9">
                  <w:pPr>
                    <w:jc w:val="center"/>
                    <w:rPr>
                      <w:color w:val="auto"/>
                      <w:szCs w:val="21"/>
                    </w:rPr>
                  </w:pPr>
                  <w:r>
                    <w:rPr>
                      <w:rFonts w:hint="eastAsia"/>
                      <w:color w:val="auto"/>
                      <w:szCs w:val="21"/>
                    </w:rPr>
                    <w:t>3盒</w:t>
                  </w:r>
                </w:p>
              </w:tc>
            </w:tr>
            <w:tr w14:paraId="544E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F8C909D">
                  <w:pPr>
                    <w:jc w:val="center"/>
                    <w:rPr>
                      <w:color w:val="auto"/>
                      <w:szCs w:val="21"/>
                    </w:rPr>
                  </w:pPr>
                </w:p>
              </w:tc>
              <w:tc>
                <w:tcPr>
                  <w:tcW w:w="4214" w:type="dxa"/>
                  <w:vAlign w:val="center"/>
                </w:tcPr>
                <w:p w14:paraId="2E94CED9">
                  <w:pPr>
                    <w:jc w:val="center"/>
                    <w:rPr>
                      <w:rFonts w:hint="eastAsia" w:hAnsi="宋体"/>
                      <w:color w:val="auto"/>
                      <w:szCs w:val="21"/>
                    </w:rPr>
                  </w:pPr>
                  <w:r>
                    <w:rPr>
                      <w:rFonts w:hint="eastAsia" w:hAnsi="宋体"/>
                      <w:color w:val="auto"/>
                      <w:szCs w:val="21"/>
                    </w:rPr>
                    <w:t>低密度脂蛋白胆固醇试剂</w:t>
                  </w:r>
                </w:p>
              </w:tc>
              <w:tc>
                <w:tcPr>
                  <w:tcW w:w="1572" w:type="dxa"/>
                  <w:vAlign w:val="center"/>
                </w:tcPr>
                <w:p w14:paraId="1DD01F52">
                  <w:pPr>
                    <w:jc w:val="center"/>
                    <w:rPr>
                      <w:color w:val="auto"/>
                      <w:szCs w:val="21"/>
                    </w:rPr>
                  </w:pPr>
                  <w:r>
                    <w:rPr>
                      <w:rFonts w:hint="eastAsia"/>
                      <w:color w:val="auto"/>
                      <w:szCs w:val="21"/>
                    </w:rPr>
                    <w:t>4盒</w:t>
                  </w:r>
                </w:p>
              </w:tc>
            </w:tr>
            <w:tr w14:paraId="3CDA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9210115">
                  <w:pPr>
                    <w:jc w:val="center"/>
                    <w:rPr>
                      <w:color w:val="auto"/>
                      <w:szCs w:val="21"/>
                    </w:rPr>
                  </w:pPr>
                </w:p>
              </w:tc>
              <w:tc>
                <w:tcPr>
                  <w:tcW w:w="4214" w:type="dxa"/>
                  <w:vAlign w:val="center"/>
                </w:tcPr>
                <w:p w14:paraId="6233592B">
                  <w:pPr>
                    <w:jc w:val="center"/>
                    <w:rPr>
                      <w:rFonts w:hint="eastAsia" w:hAnsi="宋体"/>
                      <w:color w:val="auto"/>
                      <w:szCs w:val="21"/>
                    </w:rPr>
                  </w:pPr>
                  <w:r>
                    <w:rPr>
                      <w:rFonts w:hint="eastAsia" w:hAnsi="宋体"/>
                      <w:color w:val="auto"/>
                      <w:szCs w:val="21"/>
                    </w:rPr>
                    <w:t>心肌三项Ⅰ试剂</w:t>
                  </w:r>
                </w:p>
              </w:tc>
              <w:tc>
                <w:tcPr>
                  <w:tcW w:w="1572" w:type="dxa"/>
                  <w:vAlign w:val="center"/>
                </w:tcPr>
                <w:p w14:paraId="66F0BEF4">
                  <w:pPr>
                    <w:jc w:val="center"/>
                    <w:rPr>
                      <w:color w:val="auto"/>
                      <w:szCs w:val="21"/>
                    </w:rPr>
                  </w:pPr>
                  <w:r>
                    <w:rPr>
                      <w:rFonts w:hint="eastAsia"/>
                      <w:color w:val="auto"/>
                      <w:szCs w:val="21"/>
                    </w:rPr>
                    <w:t>2盒</w:t>
                  </w:r>
                </w:p>
              </w:tc>
            </w:tr>
            <w:tr w14:paraId="00BF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7360106">
                  <w:pPr>
                    <w:jc w:val="center"/>
                    <w:rPr>
                      <w:color w:val="auto"/>
                      <w:szCs w:val="21"/>
                    </w:rPr>
                  </w:pPr>
                </w:p>
              </w:tc>
              <w:tc>
                <w:tcPr>
                  <w:tcW w:w="4214" w:type="dxa"/>
                  <w:vAlign w:val="center"/>
                </w:tcPr>
                <w:p w14:paraId="5DD2106E">
                  <w:pPr>
                    <w:jc w:val="center"/>
                    <w:rPr>
                      <w:rFonts w:hint="eastAsia" w:hAnsi="宋体"/>
                      <w:color w:val="auto"/>
                      <w:szCs w:val="21"/>
                    </w:rPr>
                  </w:pPr>
                  <w:r>
                    <w:rPr>
                      <w:rFonts w:hint="eastAsia" w:hAnsi="宋体"/>
                      <w:color w:val="auto"/>
                      <w:szCs w:val="21"/>
                    </w:rPr>
                    <w:t>肌钙蛋白I试剂</w:t>
                  </w:r>
                </w:p>
              </w:tc>
              <w:tc>
                <w:tcPr>
                  <w:tcW w:w="1572" w:type="dxa"/>
                  <w:vAlign w:val="center"/>
                </w:tcPr>
                <w:p w14:paraId="5ECD3037">
                  <w:pPr>
                    <w:jc w:val="center"/>
                    <w:rPr>
                      <w:color w:val="auto"/>
                      <w:szCs w:val="21"/>
                    </w:rPr>
                  </w:pPr>
                  <w:r>
                    <w:rPr>
                      <w:rFonts w:hint="eastAsia"/>
                      <w:color w:val="auto"/>
                      <w:szCs w:val="21"/>
                    </w:rPr>
                    <w:t>2盒</w:t>
                  </w:r>
                </w:p>
              </w:tc>
            </w:tr>
            <w:tr w14:paraId="589E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EFE12A2">
                  <w:pPr>
                    <w:jc w:val="center"/>
                    <w:rPr>
                      <w:color w:val="auto"/>
                      <w:szCs w:val="21"/>
                    </w:rPr>
                  </w:pPr>
                </w:p>
              </w:tc>
              <w:tc>
                <w:tcPr>
                  <w:tcW w:w="4214" w:type="dxa"/>
                  <w:vAlign w:val="center"/>
                </w:tcPr>
                <w:p w14:paraId="041DACCB">
                  <w:pPr>
                    <w:jc w:val="center"/>
                    <w:rPr>
                      <w:rFonts w:hint="eastAsia" w:hAnsi="宋体"/>
                      <w:color w:val="auto"/>
                      <w:szCs w:val="21"/>
                    </w:rPr>
                  </w:pPr>
                  <w:r>
                    <w:rPr>
                      <w:rFonts w:hint="eastAsia" w:hAnsi="宋体"/>
                      <w:color w:val="auto"/>
                      <w:szCs w:val="21"/>
                    </w:rPr>
                    <w:t>人类免疫缺陷病毒抗体试剂</w:t>
                  </w:r>
                </w:p>
              </w:tc>
              <w:tc>
                <w:tcPr>
                  <w:tcW w:w="1572" w:type="dxa"/>
                  <w:vAlign w:val="center"/>
                </w:tcPr>
                <w:p w14:paraId="017AA1D2">
                  <w:pPr>
                    <w:jc w:val="center"/>
                    <w:rPr>
                      <w:color w:val="auto"/>
                      <w:szCs w:val="21"/>
                    </w:rPr>
                  </w:pPr>
                  <w:r>
                    <w:rPr>
                      <w:rFonts w:hint="eastAsia"/>
                      <w:color w:val="auto"/>
                      <w:szCs w:val="21"/>
                    </w:rPr>
                    <w:t>6盒</w:t>
                  </w:r>
                </w:p>
              </w:tc>
            </w:tr>
            <w:tr w14:paraId="0AD5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86CE802">
                  <w:pPr>
                    <w:jc w:val="center"/>
                    <w:rPr>
                      <w:color w:val="auto"/>
                      <w:szCs w:val="21"/>
                    </w:rPr>
                  </w:pPr>
                </w:p>
              </w:tc>
              <w:tc>
                <w:tcPr>
                  <w:tcW w:w="4214" w:type="dxa"/>
                  <w:vAlign w:val="center"/>
                </w:tcPr>
                <w:p w14:paraId="650D6905">
                  <w:pPr>
                    <w:jc w:val="center"/>
                    <w:rPr>
                      <w:rFonts w:hint="eastAsia" w:hAnsi="宋体"/>
                      <w:color w:val="auto"/>
                      <w:szCs w:val="21"/>
                    </w:rPr>
                  </w:pPr>
                  <w:r>
                    <w:rPr>
                      <w:rFonts w:hint="eastAsia" w:hAnsi="宋体"/>
                      <w:color w:val="auto"/>
                      <w:szCs w:val="21"/>
                    </w:rPr>
                    <w:t>乙肝两对半试剂</w:t>
                  </w:r>
                </w:p>
              </w:tc>
              <w:tc>
                <w:tcPr>
                  <w:tcW w:w="1572" w:type="dxa"/>
                  <w:vAlign w:val="center"/>
                </w:tcPr>
                <w:p w14:paraId="4E82CBEB">
                  <w:pPr>
                    <w:jc w:val="center"/>
                    <w:rPr>
                      <w:color w:val="auto"/>
                      <w:szCs w:val="21"/>
                    </w:rPr>
                  </w:pPr>
                  <w:r>
                    <w:rPr>
                      <w:rFonts w:hint="eastAsia"/>
                      <w:color w:val="auto"/>
                      <w:szCs w:val="21"/>
                    </w:rPr>
                    <w:t>2盒</w:t>
                  </w:r>
                </w:p>
              </w:tc>
            </w:tr>
            <w:tr w14:paraId="5D4E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7457D6D">
                  <w:pPr>
                    <w:jc w:val="center"/>
                    <w:rPr>
                      <w:color w:val="auto"/>
                      <w:szCs w:val="21"/>
                    </w:rPr>
                  </w:pPr>
                </w:p>
              </w:tc>
              <w:tc>
                <w:tcPr>
                  <w:tcW w:w="4214" w:type="dxa"/>
                  <w:vAlign w:val="center"/>
                </w:tcPr>
                <w:p w14:paraId="4FE9A8C5">
                  <w:pPr>
                    <w:jc w:val="center"/>
                    <w:rPr>
                      <w:rFonts w:hint="eastAsia" w:hAnsi="宋体"/>
                      <w:color w:val="auto"/>
                      <w:szCs w:val="21"/>
                    </w:rPr>
                  </w:pPr>
                  <w:r>
                    <w:rPr>
                      <w:rFonts w:hint="eastAsia" w:hAnsi="宋体"/>
                      <w:color w:val="auto"/>
                      <w:szCs w:val="21"/>
                    </w:rPr>
                    <w:t>梅毒螺旋体抗体试剂</w:t>
                  </w:r>
                </w:p>
              </w:tc>
              <w:tc>
                <w:tcPr>
                  <w:tcW w:w="1572" w:type="dxa"/>
                  <w:vAlign w:val="center"/>
                </w:tcPr>
                <w:p w14:paraId="51FC762A">
                  <w:pPr>
                    <w:jc w:val="center"/>
                    <w:rPr>
                      <w:color w:val="auto"/>
                      <w:szCs w:val="21"/>
                    </w:rPr>
                  </w:pPr>
                  <w:r>
                    <w:rPr>
                      <w:rFonts w:hint="eastAsia"/>
                      <w:color w:val="auto"/>
                      <w:szCs w:val="21"/>
                    </w:rPr>
                    <w:t>2盒</w:t>
                  </w:r>
                </w:p>
              </w:tc>
            </w:tr>
            <w:tr w14:paraId="0759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82101FE">
                  <w:pPr>
                    <w:jc w:val="center"/>
                    <w:rPr>
                      <w:color w:val="auto"/>
                      <w:szCs w:val="21"/>
                    </w:rPr>
                  </w:pPr>
                </w:p>
              </w:tc>
              <w:tc>
                <w:tcPr>
                  <w:tcW w:w="4214" w:type="dxa"/>
                  <w:vAlign w:val="center"/>
                </w:tcPr>
                <w:p w14:paraId="45563894">
                  <w:pPr>
                    <w:jc w:val="center"/>
                    <w:rPr>
                      <w:rFonts w:hint="eastAsia" w:hAnsi="宋体"/>
                      <w:color w:val="auto"/>
                      <w:szCs w:val="21"/>
                    </w:rPr>
                  </w:pPr>
                  <w:r>
                    <w:rPr>
                      <w:rFonts w:hint="eastAsia" w:hAnsi="宋体"/>
                      <w:color w:val="auto"/>
                      <w:szCs w:val="21"/>
                    </w:rPr>
                    <w:t>全程C-反应蛋白（hsCRP+常规CRP）试剂</w:t>
                  </w:r>
                </w:p>
              </w:tc>
              <w:tc>
                <w:tcPr>
                  <w:tcW w:w="1572" w:type="dxa"/>
                  <w:vAlign w:val="center"/>
                </w:tcPr>
                <w:p w14:paraId="17C54E4D">
                  <w:pPr>
                    <w:jc w:val="center"/>
                    <w:rPr>
                      <w:color w:val="auto"/>
                      <w:szCs w:val="21"/>
                    </w:rPr>
                  </w:pPr>
                  <w:r>
                    <w:rPr>
                      <w:rFonts w:hint="eastAsia"/>
                      <w:color w:val="auto"/>
                      <w:szCs w:val="21"/>
                    </w:rPr>
                    <w:t>21盒</w:t>
                  </w:r>
                </w:p>
              </w:tc>
            </w:tr>
            <w:tr w14:paraId="535E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17D7FD5">
                  <w:pPr>
                    <w:jc w:val="center"/>
                    <w:rPr>
                      <w:color w:val="auto"/>
                      <w:szCs w:val="21"/>
                    </w:rPr>
                  </w:pPr>
                </w:p>
              </w:tc>
              <w:tc>
                <w:tcPr>
                  <w:tcW w:w="4214" w:type="dxa"/>
                  <w:vAlign w:val="center"/>
                </w:tcPr>
                <w:p w14:paraId="169DD2CB">
                  <w:pPr>
                    <w:jc w:val="center"/>
                    <w:rPr>
                      <w:rFonts w:hint="eastAsia" w:hAnsi="宋体"/>
                      <w:color w:val="auto"/>
                      <w:szCs w:val="21"/>
                    </w:rPr>
                  </w:pPr>
                  <w:r>
                    <w:rPr>
                      <w:rFonts w:hint="eastAsia" w:hAnsi="宋体"/>
                      <w:color w:val="auto"/>
                      <w:szCs w:val="21"/>
                    </w:rPr>
                    <w:t>降钙素原试剂</w:t>
                  </w:r>
                </w:p>
              </w:tc>
              <w:tc>
                <w:tcPr>
                  <w:tcW w:w="1572" w:type="dxa"/>
                  <w:vAlign w:val="center"/>
                </w:tcPr>
                <w:p w14:paraId="3FAC6301">
                  <w:pPr>
                    <w:jc w:val="center"/>
                    <w:rPr>
                      <w:color w:val="auto"/>
                      <w:szCs w:val="21"/>
                    </w:rPr>
                  </w:pPr>
                  <w:r>
                    <w:rPr>
                      <w:rFonts w:hint="eastAsia"/>
                      <w:color w:val="auto"/>
                      <w:szCs w:val="21"/>
                    </w:rPr>
                    <w:t>1盒</w:t>
                  </w:r>
                </w:p>
              </w:tc>
            </w:tr>
            <w:tr w14:paraId="71D8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B94EAB3">
                  <w:pPr>
                    <w:jc w:val="center"/>
                    <w:rPr>
                      <w:color w:val="auto"/>
                      <w:szCs w:val="21"/>
                    </w:rPr>
                  </w:pPr>
                </w:p>
              </w:tc>
              <w:tc>
                <w:tcPr>
                  <w:tcW w:w="4214" w:type="dxa"/>
                  <w:vAlign w:val="center"/>
                </w:tcPr>
                <w:p w14:paraId="1AFCD0E3">
                  <w:pPr>
                    <w:jc w:val="center"/>
                    <w:rPr>
                      <w:rFonts w:hint="eastAsia" w:hAnsi="宋体"/>
                      <w:color w:val="auto"/>
                      <w:szCs w:val="21"/>
                    </w:rPr>
                  </w:pPr>
                  <w:r>
                    <w:rPr>
                      <w:rFonts w:hint="eastAsia" w:hAnsi="宋体"/>
                      <w:color w:val="auto"/>
                      <w:szCs w:val="21"/>
                    </w:rPr>
                    <w:t>人绒毛膜促性腺激素试剂</w:t>
                  </w:r>
                </w:p>
              </w:tc>
              <w:tc>
                <w:tcPr>
                  <w:tcW w:w="1572" w:type="dxa"/>
                  <w:vAlign w:val="center"/>
                </w:tcPr>
                <w:p w14:paraId="6FE651AE">
                  <w:pPr>
                    <w:jc w:val="center"/>
                    <w:rPr>
                      <w:color w:val="auto"/>
                      <w:szCs w:val="21"/>
                    </w:rPr>
                  </w:pPr>
                  <w:r>
                    <w:rPr>
                      <w:rFonts w:hint="eastAsia"/>
                      <w:color w:val="auto"/>
                      <w:szCs w:val="21"/>
                    </w:rPr>
                    <w:t>1盒</w:t>
                  </w:r>
                </w:p>
              </w:tc>
            </w:tr>
            <w:tr w14:paraId="5B63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650BBE3">
                  <w:pPr>
                    <w:jc w:val="center"/>
                    <w:rPr>
                      <w:color w:val="auto"/>
                      <w:szCs w:val="21"/>
                    </w:rPr>
                  </w:pPr>
                </w:p>
              </w:tc>
              <w:tc>
                <w:tcPr>
                  <w:tcW w:w="4214" w:type="dxa"/>
                  <w:vAlign w:val="center"/>
                </w:tcPr>
                <w:p w14:paraId="3244A5BE">
                  <w:pPr>
                    <w:jc w:val="center"/>
                    <w:rPr>
                      <w:rFonts w:hint="eastAsia" w:hAnsi="宋体"/>
                      <w:color w:val="auto"/>
                      <w:szCs w:val="21"/>
                    </w:rPr>
                  </w:pPr>
                  <w:r>
                    <w:rPr>
                      <w:rFonts w:hint="eastAsia" w:hAnsi="宋体"/>
                      <w:color w:val="auto"/>
                      <w:szCs w:val="21"/>
                    </w:rPr>
                    <w:t>便隐血FOB试验试剂</w:t>
                  </w:r>
                </w:p>
              </w:tc>
              <w:tc>
                <w:tcPr>
                  <w:tcW w:w="1572" w:type="dxa"/>
                  <w:vAlign w:val="center"/>
                </w:tcPr>
                <w:p w14:paraId="0E973F4C">
                  <w:pPr>
                    <w:jc w:val="center"/>
                    <w:rPr>
                      <w:color w:val="auto"/>
                      <w:szCs w:val="21"/>
                    </w:rPr>
                  </w:pPr>
                  <w:r>
                    <w:rPr>
                      <w:rFonts w:hint="eastAsia"/>
                      <w:color w:val="auto"/>
                      <w:szCs w:val="21"/>
                    </w:rPr>
                    <w:t>2盒</w:t>
                  </w:r>
                </w:p>
              </w:tc>
            </w:tr>
            <w:tr w14:paraId="7214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3CEC311">
                  <w:pPr>
                    <w:jc w:val="center"/>
                    <w:rPr>
                      <w:color w:val="auto"/>
                      <w:szCs w:val="21"/>
                    </w:rPr>
                  </w:pPr>
                </w:p>
              </w:tc>
              <w:tc>
                <w:tcPr>
                  <w:tcW w:w="4214" w:type="dxa"/>
                  <w:vAlign w:val="center"/>
                </w:tcPr>
                <w:p w14:paraId="4E1E1A8C">
                  <w:pPr>
                    <w:jc w:val="center"/>
                    <w:rPr>
                      <w:rFonts w:hint="eastAsia" w:hAnsi="宋体"/>
                      <w:color w:val="auto"/>
                      <w:szCs w:val="21"/>
                    </w:rPr>
                  </w:pPr>
                  <w:r>
                    <w:rPr>
                      <w:rFonts w:hint="eastAsia" w:hAnsi="宋体"/>
                      <w:color w:val="auto"/>
                      <w:szCs w:val="21"/>
                    </w:rPr>
                    <w:t>尿常规试剂</w:t>
                  </w:r>
                </w:p>
              </w:tc>
              <w:tc>
                <w:tcPr>
                  <w:tcW w:w="1572" w:type="dxa"/>
                  <w:vAlign w:val="center"/>
                </w:tcPr>
                <w:p w14:paraId="73ED4F9D">
                  <w:pPr>
                    <w:jc w:val="center"/>
                    <w:rPr>
                      <w:color w:val="auto"/>
                      <w:szCs w:val="21"/>
                    </w:rPr>
                  </w:pPr>
                  <w:r>
                    <w:rPr>
                      <w:rFonts w:hint="eastAsia"/>
                      <w:color w:val="auto"/>
                      <w:szCs w:val="21"/>
                    </w:rPr>
                    <w:t>4盒</w:t>
                  </w:r>
                </w:p>
              </w:tc>
            </w:tr>
            <w:tr w14:paraId="09B7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99B6F7C">
                  <w:pPr>
                    <w:jc w:val="center"/>
                    <w:rPr>
                      <w:color w:val="auto"/>
                      <w:szCs w:val="21"/>
                    </w:rPr>
                  </w:pPr>
                </w:p>
              </w:tc>
              <w:tc>
                <w:tcPr>
                  <w:tcW w:w="4214" w:type="dxa"/>
                  <w:vAlign w:val="center"/>
                </w:tcPr>
                <w:p w14:paraId="2B109D2C">
                  <w:pPr>
                    <w:widowControl/>
                    <w:jc w:val="center"/>
                    <w:textAlignment w:val="center"/>
                    <w:rPr>
                      <w:rFonts w:hint="eastAsia" w:hAnsi="宋体"/>
                      <w:color w:val="auto"/>
                      <w:szCs w:val="21"/>
                    </w:rPr>
                  </w:pPr>
                  <w:r>
                    <w:rPr>
                      <w:rFonts w:hint="eastAsia" w:ascii="宋体" w:hAnsi="宋体" w:cs="宋体"/>
                      <w:color w:val="auto"/>
                      <w:kern w:val="0"/>
                      <w:sz w:val="22"/>
                      <w:szCs w:val="22"/>
                      <w:lang w:bidi="ar"/>
                    </w:rPr>
                    <w:t>ABO血型鉴定</w:t>
                  </w:r>
                  <w:r>
                    <w:rPr>
                      <w:rFonts w:hint="eastAsia" w:hAnsi="宋体"/>
                      <w:color w:val="auto"/>
                      <w:szCs w:val="21"/>
                    </w:rPr>
                    <w:t>试剂</w:t>
                  </w:r>
                </w:p>
              </w:tc>
              <w:tc>
                <w:tcPr>
                  <w:tcW w:w="1572" w:type="dxa"/>
                  <w:vAlign w:val="center"/>
                </w:tcPr>
                <w:p w14:paraId="376A7282">
                  <w:pPr>
                    <w:jc w:val="center"/>
                    <w:rPr>
                      <w:color w:val="auto"/>
                      <w:szCs w:val="21"/>
                    </w:rPr>
                  </w:pPr>
                  <w:r>
                    <w:rPr>
                      <w:rFonts w:hint="eastAsia"/>
                      <w:color w:val="auto"/>
                      <w:szCs w:val="21"/>
                    </w:rPr>
                    <w:t>1盒</w:t>
                  </w:r>
                </w:p>
              </w:tc>
            </w:tr>
            <w:tr w14:paraId="0735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28" w:type="dxa"/>
                  <w:vMerge w:val="continue"/>
                  <w:vAlign w:val="center"/>
                </w:tcPr>
                <w:p w14:paraId="6701D9AD">
                  <w:pPr>
                    <w:jc w:val="center"/>
                    <w:rPr>
                      <w:color w:val="auto"/>
                      <w:szCs w:val="21"/>
                    </w:rPr>
                  </w:pPr>
                </w:p>
              </w:tc>
              <w:tc>
                <w:tcPr>
                  <w:tcW w:w="4214" w:type="dxa"/>
                  <w:vAlign w:val="center"/>
                </w:tcPr>
                <w:p w14:paraId="4D08B337">
                  <w:pPr>
                    <w:jc w:val="center"/>
                    <w:rPr>
                      <w:rFonts w:hint="eastAsia" w:hAnsi="宋体"/>
                      <w:color w:val="auto"/>
                      <w:szCs w:val="21"/>
                    </w:rPr>
                  </w:pPr>
                  <w:r>
                    <w:rPr>
                      <w:rFonts w:hint="eastAsia" w:hAnsi="宋体"/>
                      <w:color w:val="auto"/>
                      <w:szCs w:val="21"/>
                    </w:rPr>
                    <w:t>Rh血型鉴定试剂</w:t>
                  </w:r>
                </w:p>
              </w:tc>
              <w:tc>
                <w:tcPr>
                  <w:tcW w:w="1572" w:type="dxa"/>
                  <w:vAlign w:val="center"/>
                </w:tcPr>
                <w:p w14:paraId="61D01800">
                  <w:pPr>
                    <w:jc w:val="center"/>
                    <w:rPr>
                      <w:color w:val="auto"/>
                      <w:szCs w:val="21"/>
                    </w:rPr>
                  </w:pPr>
                  <w:r>
                    <w:rPr>
                      <w:rFonts w:hint="eastAsia"/>
                      <w:color w:val="auto"/>
                      <w:szCs w:val="21"/>
                    </w:rPr>
                    <w:t>1盒</w:t>
                  </w:r>
                </w:p>
              </w:tc>
            </w:tr>
            <w:tr w14:paraId="4A0C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EA425B5">
                  <w:pPr>
                    <w:jc w:val="center"/>
                    <w:rPr>
                      <w:color w:val="auto"/>
                      <w:szCs w:val="21"/>
                    </w:rPr>
                  </w:pPr>
                </w:p>
              </w:tc>
              <w:tc>
                <w:tcPr>
                  <w:tcW w:w="4214" w:type="dxa"/>
                  <w:vAlign w:val="center"/>
                </w:tcPr>
                <w:p w14:paraId="6A47633F">
                  <w:pPr>
                    <w:jc w:val="center"/>
                    <w:rPr>
                      <w:rFonts w:hint="eastAsia" w:hAnsi="宋体"/>
                      <w:color w:val="auto"/>
                      <w:szCs w:val="21"/>
                    </w:rPr>
                  </w:pPr>
                  <w:r>
                    <w:rPr>
                      <w:rFonts w:hint="eastAsia" w:hAnsi="宋体"/>
                      <w:color w:val="auto"/>
                      <w:szCs w:val="21"/>
                    </w:rPr>
                    <w:t>糖化血红蛋白试剂</w:t>
                  </w:r>
                </w:p>
              </w:tc>
              <w:tc>
                <w:tcPr>
                  <w:tcW w:w="1572" w:type="dxa"/>
                  <w:vAlign w:val="center"/>
                </w:tcPr>
                <w:p w14:paraId="4FB76790">
                  <w:pPr>
                    <w:jc w:val="center"/>
                    <w:rPr>
                      <w:color w:val="auto"/>
                      <w:szCs w:val="21"/>
                    </w:rPr>
                  </w:pPr>
                  <w:r>
                    <w:rPr>
                      <w:rFonts w:hint="eastAsia"/>
                      <w:color w:val="auto"/>
                      <w:szCs w:val="21"/>
                    </w:rPr>
                    <w:t>2盒</w:t>
                  </w:r>
                </w:p>
              </w:tc>
            </w:tr>
            <w:tr w14:paraId="7671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28" w:type="dxa"/>
                  <w:vMerge w:val="continue"/>
                  <w:vAlign w:val="center"/>
                </w:tcPr>
                <w:p w14:paraId="6CEA5CB2">
                  <w:pPr>
                    <w:jc w:val="center"/>
                    <w:rPr>
                      <w:color w:val="auto"/>
                      <w:szCs w:val="21"/>
                    </w:rPr>
                  </w:pPr>
                </w:p>
              </w:tc>
              <w:tc>
                <w:tcPr>
                  <w:tcW w:w="4214" w:type="dxa"/>
                  <w:vAlign w:val="center"/>
                </w:tcPr>
                <w:p w14:paraId="75F30AA1">
                  <w:pPr>
                    <w:jc w:val="center"/>
                    <w:rPr>
                      <w:rFonts w:hint="eastAsia" w:hAnsi="宋体"/>
                      <w:color w:val="auto"/>
                      <w:szCs w:val="21"/>
                    </w:rPr>
                  </w:pPr>
                  <w:r>
                    <w:rPr>
                      <w:rFonts w:hint="eastAsia" w:hAnsi="宋体"/>
                      <w:color w:val="auto"/>
                      <w:szCs w:val="21"/>
                    </w:rPr>
                    <w:t>末梢血糖试剂</w:t>
                  </w:r>
                </w:p>
              </w:tc>
              <w:tc>
                <w:tcPr>
                  <w:tcW w:w="1572" w:type="dxa"/>
                  <w:vAlign w:val="center"/>
                </w:tcPr>
                <w:p w14:paraId="07EBA6F9">
                  <w:pPr>
                    <w:jc w:val="center"/>
                    <w:rPr>
                      <w:color w:val="auto"/>
                      <w:szCs w:val="21"/>
                    </w:rPr>
                  </w:pPr>
                  <w:r>
                    <w:rPr>
                      <w:rFonts w:hint="eastAsia"/>
                      <w:color w:val="auto"/>
                      <w:szCs w:val="21"/>
                    </w:rPr>
                    <w:t>12盒</w:t>
                  </w:r>
                </w:p>
              </w:tc>
            </w:tr>
            <w:tr w14:paraId="7DBE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1F9EB2B">
                  <w:pPr>
                    <w:jc w:val="center"/>
                    <w:rPr>
                      <w:color w:val="auto"/>
                      <w:szCs w:val="21"/>
                    </w:rPr>
                  </w:pPr>
                </w:p>
              </w:tc>
              <w:tc>
                <w:tcPr>
                  <w:tcW w:w="4214" w:type="dxa"/>
                  <w:vAlign w:val="center"/>
                </w:tcPr>
                <w:p w14:paraId="1BBFCFED">
                  <w:pPr>
                    <w:jc w:val="center"/>
                    <w:rPr>
                      <w:rFonts w:hint="eastAsia" w:hAnsi="宋体"/>
                      <w:color w:val="auto"/>
                      <w:szCs w:val="21"/>
                    </w:rPr>
                  </w:pPr>
                  <w:r>
                    <w:rPr>
                      <w:rFonts w:hint="eastAsia" w:hAnsi="宋体"/>
                      <w:color w:val="auto"/>
                      <w:szCs w:val="21"/>
                    </w:rPr>
                    <w:t>钾试剂</w:t>
                  </w:r>
                </w:p>
              </w:tc>
              <w:tc>
                <w:tcPr>
                  <w:tcW w:w="1572" w:type="dxa"/>
                  <w:vAlign w:val="center"/>
                </w:tcPr>
                <w:p w14:paraId="289881F4">
                  <w:pPr>
                    <w:jc w:val="center"/>
                    <w:rPr>
                      <w:color w:val="auto"/>
                      <w:szCs w:val="21"/>
                    </w:rPr>
                  </w:pPr>
                  <w:r>
                    <w:rPr>
                      <w:rFonts w:hint="eastAsia"/>
                      <w:color w:val="auto"/>
                      <w:szCs w:val="21"/>
                    </w:rPr>
                    <w:t>1瓶</w:t>
                  </w:r>
                </w:p>
              </w:tc>
            </w:tr>
            <w:tr w14:paraId="4E8C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4ACCF2F">
                  <w:pPr>
                    <w:jc w:val="center"/>
                    <w:rPr>
                      <w:color w:val="auto"/>
                      <w:szCs w:val="21"/>
                    </w:rPr>
                  </w:pPr>
                </w:p>
              </w:tc>
              <w:tc>
                <w:tcPr>
                  <w:tcW w:w="4214" w:type="dxa"/>
                  <w:vAlign w:val="center"/>
                </w:tcPr>
                <w:p w14:paraId="7494E7CE">
                  <w:pPr>
                    <w:widowControl/>
                    <w:jc w:val="center"/>
                    <w:textAlignment w:val="center"/>
                    <w:rPr>
                      <w:rFonts w:hint="eastAsia" w:hAnsi="宋体"/>
                      <w:color w:val="auto"/>
                      <w:szCs w:val="21"/>
                    </w:rPr>
                  </w:pPr>
                  <w:r>
                    <w:rPr>
                      <w:rFonts w:hint="eastAsia" w:ascii="宋体" w:hAnsi="宋体" w:cs="宋体"/>
                      <w:color w:val="auto"/>
                      <w:kern w:val="0"/>
                      <w:sz w:val="22"/>
                      <w:szCs w:val="22"/>
                      <w:lang w:bidi="ar"/>
                    </w:rPr>
                    <w:t>钠</w:t>
                  </w:r>
                  <w:r>
                    <w:rPr>
                      <w:rFonts w:hint="eastAsia" w:hAnsi="宋体"/>
                      <w:color w:val="auto"/>
                      <w:szCs w:val="21"/>
                    </w:rPr>
                    <w:t>试剂</w:t>
                  </w:r>
                </w:p>
              </w:tc>
              <w:tc>
                <w:tcPr>
                  <w:tcW w:w="1572" w:type="dxa"/>
                  <w:vAlign w:val="center"/>
                </w:tcPr>
                <w:p w14:paraId="0F8DD0B6">
                  <w:pPr>
                    <w:jc w:val="center"/>
                    <w:rPr>
                      <w:color w:val="auto"/>
                      <w:szCs w:val="21"/>
                    </w:rPr>
                  </w:pPr>
                  <w:r>
                    <w:rPr>
                      <w:rFonts w:hint="eastAsia"/>
                      <w:color w:val="auto"/>
                      <w:szCs w:val="21"/>
                    </w:rPr>
                    <w:t>1瓶</w:t>
                  </w:r>
                </w:p>
              </w:tc>
            </w:tr>
            <w:tr w14:paraId="6C58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0426100">
                  <w:pPr>
                    <w:jc w:val="center"/>
                    <w:rPr>
                      <w:color w:val="auto"/>
                      <w:szCs w:val="21"/>
                    </w:rPr>
                  </w:pPr>
                </w:p>
              </w:tc>
              <w:tc>
                <w:tcPr>
                  <w:tcW w:w="4214" w:type="dxa"/>
                  <w:vAlign w:val="center"/>
                </w:tcPr>
                <w:p w14:paraId="0D8FDFD8">
                  <w:pPr>
                    <w:widowControl/>
                    <w:jc w:val="center"/>
                    <w:textAlignment w:val="center"/>
                    <w:rPr>
                      <w:rFonts w:hint="eastAsia" w:hAnsi="宋体"/>
                      <w:color w:val="auto"/>
                      <w:szCs w:val="21"/>
                    </w:rPr>
                  </w:pPr>
                  <w:r>
                    <w:rPr>
                      <w:rFonts w:hint="eastAsia" w:ascii="宋体" w:hAnsi="宋体" w:cs="宋体"/>
                      <w:color w:val="auto"/>
                      <w:kern w:val="0"/>
                      <w:sz w:val="22"/>
                      <w:szCs w:val="22"/>
                      <w:lang w:bidi="ar"/>
                    </w:rPr>
                    <w:t>氯</w:t>
                  </w:r>
                  <w:r>
                    <w:rPr>
                      <w:rFonts w:hint="eastAsia" w:hAnsi="宋体"/>
                      <w:color w:val="auto"/>
                      <w:szCs w:val="21"/>
                    </w:rPr>
                    <w:t>试剂</w:t>
                  </w:r>
                </w:p>
              </w:tc>
              <w:tc>
                <w:tcPr>
                  <w:tcW w:w="1572" w:type="dxa"/>
                  <w:vAlign w:val="center"/>
                </w:tcPr>
                <w:p w14:paraId="638B26B4">
                  <w:pPr>
                    <w:jc w:val="center"/>
                    <w:rPr>
                      <w:color w:val="auto"/>
                      <w:szCs w:val="21"/>
                    </w:rPr>
                  </w:pPr>
                  <w:r>
                    <w:rPr>
                      <w:rFonts w:hint="eastAsia"/>
                      <w:color w:val="auto"/>
                      <w:szCs w:val="21"/>
                    </w:rPr>
                    <w:t>1瓶</w:t>
                  </w:r>
                </w:p>
              </w:tc>
            </w:tr>
            <w:tr w14:paraId="23BA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28" w:type="dxa"/>
                  <w:vMerge w:val="continue"/>
                  <w:vAlign w:val="center"/>
                </w:tcPr>
                <w:p w14:paraId="2063E031">
                  <w:pPr>
                    <w:jc w:val="center"/>
                    <w:rPr>
                      <w:color w:val="auto"/>
                      <w:szCs w:val="21"/>
                    </w:rPr>
                  </w:pPr>
                </w:p>
              </w:tc>
              <w:tc>
                <w:tcPr>
                  <w:tcW w:w="4214" w:type="dxa"/>
                  <w:vAlign w:val="center"/>
                </w:tcPr>
                <w:p w14:paraId="329C7CF6">
                  <w:pPr>
                    <w:widowControl/>
                    <w:jc w:val="center"/>
                    <w:textAlignment w:val="center"/>
                    <w:rPr>
                      <w:rFonts w:hint="eastAsia" w:hAnsi="宋体"/>
                      <w:color w:val="auto"/>
                      <w:szCs w:val="21"/>
                    </w:rPr>
                  </w:pPr>
                  <w:r>
                    <w:rPr>
                      <w:rFonts w:hint="eastAsia" w:ascii="宋体" w:hAnsi="宋体" w:cs="宋体"/>
                      <w:color w:val="auto"/>
                      <w:kern w:val="0"/>
                      <w:sz w:val="22"/>
                      <w:szCs w:val="22"/>
                      <w:lang w:bidi="ar"/>
                    </w:rPr>
                    <w:t>钙</w:t>
                  </w:r>
                  <w:r>
                    <w:rPr>
                      <w:rFonts w:hint="eastAsia" w:hAnsi="宋体"/>
                      <w:color w:val="auto"/>
                      <w:szCs w:val="21"/>
                    </w:rPr>
                    <w:t>试剂</w:t>
                  </w:r>
                </w:p>
              </w:tc>
              <w:tc>
                <w:tcPr>
                  <w:tcW w:w="1572" w:type="dxa"/>
                  <w:vAlign w:val="center"/>
                </w:tcPr>
                <w:p w14:paraId="3872B5F2">
                  <w:pPr>
                    <w:jc w:val="center"/>
                    <w:rPr>
                      <w:color w:val="auto"/>
                      <w:szCs w:val="21"/>
                    </w:rPr>
                  </w:pPr>
                  <w:r>
                    <w:rPr>
                      <w:rFonts w:hint="eastAsia"/>
                      <w:color w:val="auto"/>
                      <w:szCs w:val="21"/>
                    </w:rPr>
                    <w:t>1瓶</w:t>
                  </w:r>
                </w:p>
              </w:tc>
            </w:tr>
            <w:tr w14:paraId="7B47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0E9BBD7">
                  <w:pPr>
                    <w:jc w:val="center"/>
                    <w:rPr>
                      <w:color w:val="auto"/>
                      <w:szCs w:val="21"/>
                    </w:rPr>
                  </w:pPr>
                </w:p>
              </w:tc>
              <w:tc>
                <w:tcPr>
                  <w:tcW w:w="4214" w:type="dxa"/>
                  <w:vAlign w:val="center"/>
                </w:tcPr>
                <w:p w14:paraId="31D7FFBF">
                  <w:pPr>
                    <w:widowControl/>
                    <w:jc w:val="center"/>
                    <w:textAlignment w:val="center"/>
                    <w:rPr>
                      <w:rFonts w:hint="eastAsia" w:hAnsi="宋体"/>
                      <w:color w:val="auto"/>
                      <w:szCs w:val="21"/>
                    </w:rPr>
                  </w:pPr>
                  <w:r>
                    <w:rPr>
                      <w:rFonts w:hint="eastAsia" w:ascii="宋体" w:hAnsi="宋体" w:cs="宋体"/>
                      <w:color w:val="auto"/>
                      <w:kern w:val="0"/>
                      <w:sz w:val="22"/>
                      <w:szCs w:val="22"/>
                      <w:lang w:bidi="ar"/>
                    </w:rPr>
                    <w:t>血常规清洗液</w:t>
                  </w:r>
                </w:p>
              </w:tc>
              <w:tc>
                <w:tcPr>
                  <w:tcW w:w="1572" w:type="dxa"/>
                  <w:vAlign w:val="center"/>
                </w:tcPr>
                <w:p w14:paraId="467B17A8">
                  <w:pPr>
                    <w:jc w:val="center"/>
                    <w:rPr>
                      <w:color w:val="auto"/>
                      <w:szCs w:val="21"/>
                    </w:rPr>
                  </w:pPr>
                  <w:r>
                    <w:rPr>
                      <w:rFonts w:hint="eastAsia"/>
                      <w:color w:val="auto"/>
                      <w:szCs w:val="21"/>
                    </w:rPr>
                    <w:t>8瓶</w:t>
                  </w:r>
                </w:p>
              </w:tc>
            </w:tr>
            <w:tr w14:paraId="2F20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AD34D14">
                  <w:pPr>
                    <w:jc w:val="center"/>
                    <w:rPr>
                      <w:color w:val="auto"/>
                      <w:szCs w:val="21"/>
                    </w:rPr>
                  </w:pPr>
                </w:p>
              </w:tc>
              <w:tc>
                <w:tcPr>
                  <w:tcW w:w="4214" w:type="dxa"/>
                  <w:vAlign w:val="center"/>
                </w:tcPr>
                <w:p w14:paraId="1740FC5E">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生化清洗液</w:t>
                  </w:r>
                </w:p>
              </w:tc>
              <w:tc>
                <w:tcPr>
                  <w:tcW w:w="1572" w:type="dxa"/>
                  <w:vAlign w:val="center"/>
                </w:tcPr>
                <w:p w14:paraId="331E5E9E">
                  <w:pPr>
                    <w:jc w:val="center"/>
                    <w:rPr>
                      <w:color w:val="auto"/>
                      <w:szCs w:val="21"/>
                    </w:rPr>
                  </w:pPr>
                  <w:r>
                    <w:rPr>
                      <w:rFonts w:hint="eastAsia"/>
                      <w:color w:val="auto"/>
                      <w:szCs w:val="21"/>
                    </w:rPr>
                    <w:t>3瓶</w:t>
                  </w:r>
                </w:p>
              </w:tc>
            </w:tr>
            <w:tr w14:paraId="3A02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13E8A62">
                  <w:pPr>
                    <w:jc w:val="center"/>
                    <w:rPr>
                      <w:color w:val="auto"/>
                      <w:szCs w:val="21"/>
                    </w:rPr>
                  </w:pPr>
                </w:p>
              </w:tc>
              <w:tc>
                <w:tcPr>
                  <w:tcW w:w="4214" w:type="dxa"/>
                  <w:vAlign w:val="center"/>
                </w:tcPr>
                <w:p w14:paraId="274F800F">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EDTA-2K试管</w:t>
                  </w:r>
                </w:p>
              </w:tc>
              <w:tc>
                <w:tcPr>
                  <w:tcW w:w="1572" w:type="dxa"/>
                  <w:vAlign w:val="center"/>
                </w:tcPr>
                <w:p w14:paraId="2FF08A9B">
                  <w:pPr>
                    <w:jc w:val="center"/>
                    <w:rPr>
                      <w:color w:val="auto"/>
                      <w:szCs w:val="21"/>
                    </w:rPr>
                  </w:pPr>
                  <w:r>
                    <w:rPr>
                      <w:rFonts w:hint="eastAsia"/>
                      <w:color w:val="auto"/>
                      <w:szCs w:val="21"/>
                    </w:rPr>
                    <w:t>4盒</w:t>
                  </w:r>
                </w:p>
              </w:tc>
            </w:tr>
            <w:tr w14:paraId="7BAC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D357767">
                  <w:pPr>
                    <w:jc w:val="center"/>
                    <w:rPr>
                      <w:color w:val="auto"/>
                      <w:szCs w:val="21"/>
                    </w:rPr>
                  </w:pPr>
                </w:p>
              </w:tc>
              <w:tc>
                <w:tcPr>
                  <w:tcW w:w="4214" w:type="dxa"/>
                  <w:vAlign w:val="center"/>
                </w:tcPr>
                <w:p w14:paraId="0732A24F">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生化试管</w:t>
                  </w:r>
                </w:p>
              </w:tc>
              <w:tc>
                <w:tcPr>
                  <w:tcW w:w="1572" w:type="dxa"/>
                  <w:vAlign w:val="center"/>
                </w:tcPr>
                <w:p w14:paraId="3C8955CA">
                  <w:pPr>
                    <w:jc w:val="center"/>
                    <w:rPr>
                      <w:color w:val="auto"/>
                      <w:szCs w:val="21"/>
                    </w:rPr>
                  </w:pPr>
                  <w:r>
                    <w:rPr>
                      <w:rFonts w:hint="eastAsia"/>
                      <w:color w:val="auto"/>
                      <w:szCs w:val="21"/>
                    </w:rPr>
                    <w:t>6盒</w:t>
                  </w:r>
                </w:p>
              </w:tc>
            </w:tr>
            <w:tr w14:paraId="7348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66D0233">
                  <w:pPr>
                    <w:jc w:val="center"/>
                    <w:rPr>
                      <w:color w:val="auto"/>
                      <w:szCs w:val="21"/>
                    </w:rPr>
                  </w:pPr>
                </w:p>
              </w:tc>
              <w:tc>
                <w:tcPr>
                  <w:tcW w:w="4214" w:type="dxa"/>
                  <w:vAlign w:val="center"/>
                </w:tcPr>
                <w:p w14:paraId="0EFA31A0">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肝素钠管</w:t>
                  </w:r>
                </w:p>
              </w:tc>
              <w:tc>
                <w:tcPr>
                  <w:tcW w:w="1572" w:type="dxa"/>
                  <w:vAlign w:val="center"/>
                </w:tcPr>
                <w:p w14:paraId="2F4E8B76">
                  <w:pPr>
                    <w:jc w:val="center"/>
                    <w:rPr>
                      <w:color w:val="auto"/>
                      <w:szCs w:val="21"/>
                    </w:rPr>
                  </w:pPr>
                  <w:r>
                    <w:rPr>
                      <w:rFonts w:hint="eastAsia"/>
                      <w:color w:val="auto"/>
                      <w:szCs w:val="21"/>
                    </w:rPr>
                    <w:t>5盒</w:t>
                  </w:r>
                </w:p>
              </w:tc>
            </w:tr>
            <w:tr w14:paraId="3826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1BF9330">
                  <w:pPr>
                    <w:jc w:val="center"/>
                    <w:rPr>
                      <w:color w:val="auto"/>
                      <w:szCs w:val="21"/>
                    </w:rPr>
                  </w:pPr>
                </w:p>
              </w:tc>
              <w:tc>
                <w:tcPr>
                  <w:tcW w:w="4214" w:type="dxa"/>
                  <w:vAlign w:val="center"/>
                </w:tcPr>
                <w:p w14:paraId="3D7E6E61">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血沉管</w:t>
                  </w:r>
                </w:p>
              </w:tc>
              <w:tc>
                <w:tcPr>
                  <w:tcW w:w="1572" w:type="dxa"/>
                  <w:vAlign w:val="center"/>
                </w:tcPr>
                <w:p w14:paraId="365D6631">
                  <w:pPr>
                    <w:jc w:val="center"/>
                    <w:rPr>
                      <w:color w:val="auto"/>
                      <w:szCs w:val="21"/>
                    </w:rPr>
                  </w:pPr>
                  <w:r>
                    <w:rPr>
                      <w:rFonts w:hint="eastAsia"/>
                      <w:color w:val="auto"/>
                      <w:szCs w:val="21"/>
                    </w:rPr>
                    <w:t>2盒</w:t>
                  </w:r>
                </w:p>
              </w:tc>
            </w:tr>
            <w:tr w14:paraId="5CB1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BF1A472">
                  <w:pPr>
                    <w:jc w:val="center"/>
                    <w:rPr>
                      <w:color w:val="auto"/>
                      <w:szCs w:val="21"/>
                    </w:rPr>
                  </w:pPr>
                </w:p>
              </w:tc>
              <w:tc>
                <w:tcPr>
                  <w:tcW w:w="4214" w:type="dxa"/>
                  <w:vAlign w:val="center"/>
                </w:tcPr>
                <w:p w14:paraId="703E6C79">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枸橼酸纳管</w:t>
                  </w:r>
                </w:p>
              </w:tc>
              <w:tc>
                <w:tcPr>
                  <w:tcW w:w="1572" w:type="dxa"/>
                  <w:vAlign w:val="center"/>
                </w:tcPr>
                <w:p w14:paraId="25D44D9A">
                  <w:pPr>
                    <w:jc w:val="center"/>
                    <w:rPr>
                      <w:color w:val="auto"/>
                      <w:szCs w:val="21"/>
                    </w:rPr>
                  </w:pPr>
                  <w:r>
                    <w:rPr>
                      <w:rFonts w:hint="eastAsia"/>
                      <w:color w:val="auto"/>
                      <w:szCs w:val="21"/>
                    </w:rPr>
                    <w:t>2盒</w:t>
                  </w:r>
                </w:p>
              </w:tc>
            </w:tr>
            <w:tr w14:paraId="4DF5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restart"/>
                  <w:vAlign w:val="center"/>
                </w:tcPr>
                <w:p w14:paraId="2DEA15F9">
                  <w:pPr>
                    <w:jc w:val="center"/>
                    <w:rPr>
                      <w:color w:val="auto"/>
                      <w:szCs w:val="21"/>
                    </w:rPr>
                  </w:pPr>
                  <w:r>
                    <w:rPr>
                      <w:rFonts w:hint="eastAsia"/>
                      <w:color w:val="auto"/>
                      <w:szCs w:val="21"/>
                    </w:rPr>
                    <w:t>杨广卫生院</w:t>
                  </w:r>
                </w:p>
              </w:tc>
              <w:tc>
                <w:tcPr>
                  <w:tcW w:w="4214" w:type="dxa"/>
                  <w:vAlign w:val="center"/>
                </w:tcPr>
                <w:p w14:paraId="0859B160">
                  <w:pPr>
                    <w:jc w:val="center"/>
                    <w:rPr>
                      <w:rFonts w:hint="eastAsia" w:ascii="宋体" w:hAnsi="宋体" w:cs="宋体"/>
                      <w:color w:val="auto"/>
                      <w:kern w:val="0"/>
                      <w:sz w:val="22"/>
                      <w:szCs w:val="22"/>
                      <w:lang w:bidi="ar"/>
                    </w:rPr>
                  </w:pPr>
                  <w:r>
                    <w:rPr>
                      <w:rFonts w:hint="eastAsia" w:hAnsi="宋体"/>
                      <w:color w:val="auto"/>
                      <w:szCs w:val="21"/>
                    </w:rPr>
                    <w:t>血细胞分析试剂</w:t>
                  </w:r>
                </w:p>
              </w:tc>
              <w:tc>
                <w:tcPr>
                  <w:tcW w:w="1572" w:type="dxa"/>
                  <w:vAlign w:val="center"/>
                </w:tcPr>
                <w:p w14:paraId="73F66106">
                  <w:pPr>
                    <w:jc w:val="center"/>
                    <w:rPr>
                      <w:color w:val="auto"/>
                      <w:szCs w:val="21"/>
                    </w:rPr>
                  </w:pPr>
                  <w:r>
                    <w:rPr>
                      <w:rFonts w:hint="eastAsia"/>
                      <w:color w:val="auto"/>
                      <w:szCs w:val="21"/>
                    </w:rPr>
                    <w:t>2箱</w:t>
                  </w:r>
                </w:p>
              </w:tc>
            </w:tr>
            <w:tr w14:paraId="4982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1412E00">
                  <w:pPr>
                    <w:jc w:val="center"/>
                    <w:rPr>
                      <w:color w:val="auto"/>
                      <w:szCs w:val="21"/>
                    </w:rPr>
                  </w:pPr>
                </w:p>
              </w:tc>
              <w:tc>
                <w:tcPr>
                  <w:tcW w:w="4214" w:type="dxa"/>
                  <w:vAlign w:val="center"/>
                </w:tcPr>
                <w:p w14:paraId="4C8EA5F1">
                  <w:pPr>
                    <w:jc w:val="center"/>
                    <w:rPr>
                      <w:rFonts w:hint="eastAsia" w:ascii="宋体" w:hAnsi="宋体" w:cs="宋体"/>
                      <w:color w:val="auto"/>
                      <w:kern w:val="0"/>
                      <w:sz w:val="22"/>
                      <w:szCs w:val="22"/>
                      <w:lang w:bidi="ar"/>
                    </w:rPr>
                  </w:pPr>
                  <w:r>
                    <w:rPr>
                      <w:rFonts w:hint="eastAsia"/>
                      <w:color w:val="auto"/>
                      <w:szCs w:val="21"/>
                    </w:rPr>
                    <w:t>谷丙转氨酶</w:t>
                  </w:r>
                </w:p>
              </w:tc>
              <w:tc>
                <w:tcPr>
                  <w:tcW w:w="1572" w:type="dxa"/>
                  <w:vAlign w:val="center"/>
                </w:tcPr>
                <w:p w14:paraId="1780F6A1">
                  <w:pPr>
                    <w:jc w:val="center"/>
                    <w:rPr>
                      <w:color w:val="auto"/>
                      <w:szCs w:val="21"/>
                    </w:rPr>
                  </w:pPr>
                  <w:r>
                    <w:rPr>
                      <w:rFonts w:hint="eastAsia"/>
                      <w:color w:val="auto"/>
                      <w:szCs w:val="21"/>
                    </w:rPr>
                    <w:t>3盒</w:t>
                  </w:r>
                </w:p>
              </w:tc>
            </w:tr>
            <w:tr w14:paraId="5E3A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47B6E9E">
                  <w:pPr>
                    <w:jc w:val="center"/>
                    <w:rPr>
                      <w:color w:val="auto"/>
                      <w:szCs w:val="21"/>
                    </w:rPr>
                  </w:pPr>
                </w:p>
              </w:tc>
              <w:tc>
                <w:tcPr>
                  <w:tcW w:w="4214" w:type="dxa"/>
                  <w:vAlign w:val="center"/>
                </w:tcPr>
                <w:p w14:paraId="2E4F6C15">
                  <w:pPr>
                    <w:jc w:val="center"/>
                    <w:rPr>
                      <w:rFonts w:hint="eastAsia" w:ascii="宋体" w:hAnsi="宋体" w:cs="宋体"/>
                      <w:color w:val="auto"/>
                      <w:kern w:val="0"/>
                      <w:sz w:val="22"/>
                      <w:szCs w:val="22"/>
                      <w:lang w:bidi="ar"/>
                    </w:rPr>
                  </w:pPr>
                  <w:r>
                    <w:rPr>
                      <w:rFonts w:hAnsi="宋体"/>
                      <w:color w:val="auto"/>
                      <w:szCs w:val="21"/>
                    </w:rPr>
                    <w:t>尿酸检测试剂</w:t>
                  </w:r>
                </w:p>
              </w:tc>
              <w:tc>
                <w:tcPr>
                  <w:tcW w:w="1572" w:type="dxa"/>
                  <w:vAlign w:val="center"/>
                </w:tcPr>
                <w:p w14:paraId="37F21C73">
                  <w:pPr>
                    <w:jc w:val="center"/>
                    <w:rPr>
                      <w:color w:val="auto"/>
                      <w:szCs w:val="21"/>
                    </w:rPr>
                  </w:pPr>
                  <w:r>
                    <w:rPr>
                      <w:rFonts w:hint="eastAsia"/>
                      <w:color w:val="auto"/>
                      <w:szCs w:val="21"/>
                    </w:rPr>
                    <w:t>1</w:t>
                  </w:r>
                  <w:r>
                    <w:rPr>
                      <w:color w:val="auto"/>
                      <w:szCs w:val="21"/>
                    </w:rPr>
                    <w:t>盒</w:t>
                  </w:r>
                </w:p>
              </w:tc>
            </w:tr>
            <w:tr w14:paraId="5A7E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995975B">
                  <w:pPr>
                    <w:jc w:val="center"/>
                    <w:rPr>
                      <w:color w:val="auto"/>
                      <w:szCs w:val="21"/>
                    </w:rPr>
                  </w:pPr>
                </w:p>
              </w:tc>
              <w:tc>
                <w:tcPr>
                  <w:tcW w:w="4214" w:type="dxa"/>
                  <w:vAlign w:val="center"/>
                </w:tcPr>
                <w:p w14:paraId="7ADC70FF">
                  <w:pPr>
                    <w:jc w:val="center"/>
                    <w:rPr>
                      <w:rFonts w:hint="eastAsia" w:ascii="宋体" w:hAnsi="宋体" w:cs="宋体"/>
                      <w:color w:val="auto"/>
                      <w:kern w:val="0"/>
                      <w:sz w:val="22"/>
                      <w:szCs w:val="22"/>
                      <w:lang w:bidi="ar"/>
                    </w:rPr>
                  </w:pPr>
                  <w:r>
                    <w:rPr>
                      <w:rFonts w:hAnsi="宋体"/>
                      <w:color w:val="auto"/>
                      <w:szCs w:val="21"/>
                    </w:rPr>
                    <w:t>尿素氮检测试剂</w:t>
                  </w:r>
                </w:p>
              </w:tc>
              <w:tc>
                <w:tcPr>
                  <w:tcW w:w="1572" w:type="dxa"/>
                  <w:vAlign w:val="center"/>
                </w:tcPr>
                <w:p w14:paraId="75E7D90D">
                  <w:pPr>
                    <w:jc w:val="center"/>
                    <w:rPr>
                      <w:color w:val="auto"/>
                      <w:szCs w:val="21"/>
                    </w:rPr>
                  </w:pPr>
                  <w:r>
                    <w:rPr>
                      <w:rFonts w:hint="eastAsia"/>
                      <w:color w:val="auto"/>
                      <w:szCs w:val="21"/>
                    </w:rPr>
                    <w:t>2</w:t>
                  </w:r>
                  <w:r>
                    <w:rPr>
                      <w:color w:val="auto"/>
                      <w:szCs w:val="21"/>
                    </w:rPr>
                    <w:t>盒</w:t>
                  </w:r>
                </w:p>
              </w:tc>
            </w:tr>
            <w:tr w14:paraId="5021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9254ABF">
                  <w:pPr>
                    <w:jc w:val="center"/>
                    <w:rPr>
                      <w:color w:val="auto"/>
                      <w:szCs w:val="21"/>
                    </w:rPr>
                  </w:pPr>
                </w:p>
              </w:tc>
              <w:tc>
                <w:tcPr>
                  <w:tcW w:w="4214" w:type="dxa"/>
                  <w:vAlign w:val="center"/>
                </w:tcPr>
                <w:p w14:paraId="36B15A41">
                  <w:pPr>
                    <w:jc w:val="center"/>
                    <w:rPr>
                      <w:rFonts w:hint="eastAsia" w:ascii="宋体" w:hAnsi="宋体" w:cs="宋体"/>
                      <w:color w:val="auto"/>
                      <w:kern w:val="0"/>
                      <w:sz w:val="22"/>
                      <w:szCs w:val="22"/>
                      <w:lang w:bidi="ar"/>
                    </w:rPr>
                  </w:pPr>
                  <w:r>
                    <w:rPr>
                      <w:rFonts w:hAnsi="宋体"/>
                      <w:color w:val="auto"/>
                      <w:szCs w:val="21"/>
                    </w:rPr>
                    <w:t>葡萄糖检测试剂</w:t>
                  </w:r>
                </w:p>
              </w:tc>
              <w:tc>
                <w:tcPr>
                  <w:tcW w:w="1572" w:type="dxa"/>
                  <w:vAlign w:val="center"/>
                </w:tcPr>
                <w:p w14:paraId="4CE0336C">
                  <w:pPr>
                    <w:jc w:val="center"/>
                    <w:rPr>
                      <w:color w:val="auto"/>
                      <w:szCs w:val="21"/>
                    </w:rPr>
                  </w:pPr>
                  <w:r>
                    <w:rPr>
                      <w:rFonts w:hint="eastAsia"/>
                      <w:color w:val="auto"/>
                      <w:szCs w:val="21"/>
                    </w:rPr>
                    <w:t>2盒</w:t>
                  </w:r>
                </w:p>
              </w:tc>
            </w:tr>
            <w:tr w14:paraId="7A58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4D74119">
                  <w:pPr>
                    <w:jc w:val="center"/>
                    <w:rPr>
                      <w:color w:val="auto"/>
                      <w:szCs w:val="21"/>
                    </w:rPr>
                  </w:pPr>
                </w:p>
              </w:tc>
              <w:tc>
                <w:tcPr>
                  <w:tcW w:w="4214" w:type="dxa"/>
                  <w:vAlign w:val="center"/>
                </w:tcPr>
                <w:p w14:paraId="40E92F41">
                  <w:pPr>
                    <w:jc w:val="center"/>
                    <w:rPr>
                      <w:rFonts w:hint="eastAsia" w:ascii="宋体" w:hAnsi="宋体" w:cs="宋体"/>
                      <w:color w:val="auto"/>
                      <w:kern w:val="0"/>
                      <w:sz w:val="22"/>
                      <w:szCs w:val="22"/>
                      <w:lang w:bidi="ar"/>
                    </w:rPr>
                  </w:pPr>
                  <w:r>
                    <w:rPr>
                      <w:rFonts w:hAnsi="宋体"/>
                      <w:color w:val="auto"/>
                      <w:szCs w:val="21"/>
                    </w:rPr>
                    <w:t>总胆固醇检测试剂</w:t>
                  </w:r>
                </w:p>
              </w:tc>
              <w:tc>
                <w:tcPr>
                  <w:tcW w:w="1572" w:type="dxa"/>
                  <w:vAlign w:val="center"/>
                </w:tcPr>
                <w:p w14:paraId="4CC69BEA">
                  <w:pPr>
                    <w:jc w:val="center"/>
                    <w:rPr>
                      <w:color w:val="auto"/>
                      <w:szCs w:val="21"/>
                    </w:rPr>
                  </w:pPr>
                  <w:r>
                    <w:rPr>
                      <w:rFonts w:hint="eastAsia"/>
                      <w:color w:val="auto"/>
                      <w:szCs w:val="21"/>
                    </w:rPr>
                    <w:t>3盒</w:t>
                  </w:r>
                </w:p>
              </w:tc>
            </w:tr>
            <w:tr w14:paraId="3614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8D7C72A">
                  <w:pPr>
                    <w:jc w:val="center"/>
                    <w:rPr>
                      <w:color w:val="auto"/>
                      <w:szCs w:val="21"/>
                    </w:rPr>
                  </w:pPr>
                </w:p>
              </w:tc>
              <w:tc>
                <w:tcPr>
                  <w:tcW w:w="4214" w:type="dxa"/>
                  <w:vAlign w:val="center"/>
                </w:tcPr>
                <w:p w14:paraId="7900689A">
                  <w:pPr>
                    <w:jc w:val="center"/>
                    <w:rPr>
                      <w:rFonts w:hint="eastAsia" w:ascii="宋体" w:hAnsi="宋体" w:cs="宋体"/>
                      <w:color w:val="auto"/>
                      <w:kern w:val="0"/>
                      <w:sz w:val="22"/>
                      <w:szCs w:val="22"/>
                      <w:lang w:bidi="ar"/>
                    </w:rPr>
                  </w:pPr>
                  <w:r>
                    <w:rPr>
                      <w:color w:val="auto"/>
                      <w:szCs w:val="21"/>
                    </w:rPr>
                    <w:t>75</w:t>
                  </w:r>
                  <w:r>
                    <w:rPr>
                      <w:rFonts w:hAnsi="宋体"/>
                      <w:color w:val="auto"/>
                      <w:szCs w:val="21"/>
                    </w:rPr>
                    <w:t>％医用酒精</w:t>
                  </w:r>
                </w:p>
              </w:tc>
              <w:tc>
                <w:tcPr>
                  <w:tcW w:w="1572" w:type="dxa"/>
                  <w:vAlign w:val="center"/>
                </w:tcPr>
                <w:p w14:paraId="1FB9CDB0">
                  <w:pPr>
                    <w:jc w:val="center"/>
                    <w:rPr>
                      <w:color w:val="auto"/>
                      <w:szCs w:val="21"/>
                    </w:rPr>
                  </w:pPr>
                  <w:r>
                    <w:rPr>
                      <w:rFonts w:hint="eastAsia"/>
                      <w:color w:val="auto"/>
                      <w:szCs w:val="21"/>
                    </w:rPr>
                    <w:t>5</w:t>
                  </w:r>
                  <w:r>
                    <w:rPr>
                      <w:color w:val="auto"/>
                      <w:szCs w:val="21"/>
                    </w:rPr>
                    <w:t>瓶</w:t>
                  </w:r>
                </w:p>
              </w:tc>
            </w:tr>
            <w:tr w14:paraId="7A15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1945F8D">
                  <w:pPr>
                    <w:jc w:val="center"/>
                    <w:rPr>
                      <w:color w:val="auto"/>
                      <w:szCs w:val="21"/>
                    </w:rPr>
                  </w:pPr>
                </w:p>
              </w:tc>
              <w:tc>
                <w:tcPr>
                  <w:tcW w:w="4214" w:type="dxa"/>
                  <w:vAlign w:val="center"/>
                </w:tcPr>
                <w:p w14:paraId="442294FD">
                  <w:pPr>
                    <w:jc w:val="center"/>
                    <w:rPr>
                      <w:rFonts w:hint="eastAsia" w:ascii="宋体" w:hAnsi="宋体" w:cs="宋体"/>
                      <w:color w:val="auto"/>
                      <w:kern w:val="0"/>
                      <w:sz w:val="22"/>
                      <w:szCs w:val="22"/>
                      <w:lang w:bidi="ar"/>
                    </w:rPr>
                  </w:pPr>
                  <w:r>
                    <w:rPr>
                      <w:rFonts w:hint="eastAsia" w:hAnsi="宋体"/>
                      <w:color w:val="auto"/>
                      <w:szCs w:val="21"/>
                    </w:rPr>
                    <w:t>血肌酐</w:t>
                  </w:r>
                </w:p>
              </w:tc>
              <w:tc>
                <w:tcPr>
                  <w:tcW w:w="1572" w:type="dxa"/>
                  <w:vAlign w:val="center"/>
                </w:tcPr>
                <w:p w14:paraId="7DBA95E8">
                  <w:pPr>
                    <w:jc w:val="center"/>
                    <w:rPr>
                      <w:color w:val="auto"/>
                      <w:szCs w:val="21"/>
                    </w:rPr>
                  </w:pPr>
                  <w:r>
                    <w:rPr>
                      <w:rFonts w:hint="eastAsia"/>
                      <w:color w:val="auto"/>
                      <w:szCs w:val="21"/>
                    </w:rPr>
                    <w:t>3盒</w:t>
                  </w:r>
                </w:p>
              </w:tc>
            </w:tr>
            <w:tr w14:paraId="284E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5BE1009">
                  <w:pPr>
                    <w:jc w:val="center"/>
                    <w:rPr>
                      <w:color w:val="auto"/>
                      <w:szCs w:val="21"/>
                    </w:rPr>
                  </w:pPr>
                </w:p>
              </w:tc>
              <w:tc>
                <w:tcPr>
                  <w:tcW w:w="4214" w:type="dxa"/>
                  <w:vAlign w:val="center"/>
                </w:tcPr>
                <w:p w14:paraId="5779F89E">
                  <w:pPr>
                    <w:jc w:val="center"/>
                    <w:rPr>
                      <w:rFonts w:hint="eastAsia" w:ascii="宋体" w:hAnsi="宋体" w:cs="宋体"/>
                      <w:color w:val="auto"/>
                      <w:kern w:val="0"/>
                      <w:sz w:val="22"/>
                      <w:szCs w:val="22"/>
                      <w:lang w:bidi="ar"/>
                    </w:rPr>
                  </w:pPr>
                  <w:r>
                    <w:rPr>
                      <w:rFonts w:hint="eastAsia"/>
                      <w:color w:val="auto"/>
                      <w:szCs w:val="21"/>
                    </w:rPr>
                    <w:t>尿素氨</w:t>
                  </w:r>
                </w:p>
              </w:tc>
              <w:tc>
                <w:tcPr>
                  <w:tcW w:w="1572" w:type="dxa"/>
                  <w:vAlign w:val="center"/>
                </w:tcPr>
                <w:p w14:paraId="7D43ACF2">
                  <w:pPr>
                    <w:jc w:val="center"/>
                    <w:rPr>
                      <w:color w:val="auto"/>
                      <w:szCs w:val="21"/>
                    </w:rPr>
                  </w:pPr>
                  <w:r>
                    <w:rPr>
                      <w:rFonts w:hint="eastAsia"/>
                      <w:color w:val="auto"/>
                      <w:szCs w:val="21"/>
                    </w:rPr>
                    <w:t>3盒</w:t>
                  </w:r>
                </w:p>
              </w:tc>
            </w:tr>
            <w:tr w14:paraId="7AC3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0554ED5">
                  <w:pPr>
                    <w:jc w:val="center"/>
                    <w:rPr>
                      <w:color w:val="auto"/>
                      <w:szCs w:val="21"/>
                    </w:rPr>
                  </w:pPr>
                </w:p>
              </w:tc>
              <w:tc>
                <w:tcPr>
                  <w:tcW w:w="4214" w:type="dxa"/>
                  <w:vAlign w:val="center"/>
                </w:tcPr>
                <w:p w14:paraId="13BE34C6">
                  <w:pPr>
                    <w:jc w:val="center"/>
                    <w:rPr>
                      <w:rFonts w:hint="eastAsia" w:ascii="宋体" w:hAnsi="宋体" w:cs="宋体"/>
                      <w:color w:val="auto"/>
                      <w:kern w:val="0"/>
                      <w:sz w:val="22"/>
                      <w:szCs w:val="22"/>
                      <w:lang w:bidi="ar"/>
                    </w:rPr>
                  </w:pPr>
                  <w:r>
                    <w:rPr>
                      <w:rFonts w:hint="eastAsia" w:hAnsi="宋体"/>
                      <w:color w:val="auto"/>
                      <w:szCs w:val="21"/>
                    </w:rPr>
                    <w:t>直接胆红素试剂</w:t>
                  </w:r>
                </w:p>
              </w:tc>
              <w:tc>
                <w:tcPr>
                  <w:tcW w:w="1572" w:type="dxa"/>
                  <w:vAlign w:val="center"/>
                </w:tcPr>
                <w:p w14:paraId="02FB38EB">
                  <w:pPr>
                    <w:jc w:val="center"/>
                    <w:rPr>
                      <w:color w:val="auto"/>
                      <w:szCs w:val="21"/>
                    </w:rPr>
                  </w:pPr>
                  <w:r>
                    <w:rPr>
                      <w:rFonts w:hint="eastAsia"/>
                      <w:color w:val="auto"/>
                      <w:szCs w:val="21"/>
                    </w:rPr>
                    <w:t>1</w:t>
                  </w:r>
                  <w:r>
                    <w:rPr>
                      <w:color w:val="auto"/>
                      <w:szCs w:val="21"/>
                    </w:rPr>
                    <w:t>盒</w:t>
                  </w:r>
                </w:p>
              </w:tc>
            </w:tr>
            <w:tr w14:paraId="04AE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1F658D7">
                  <w:pPr>
                    <w:jc w:val="center"/>
                    <w:rPr>
                      <w:color w:val="auto"/>
                      <w:szCs w:val="21"/>
                    </w:rPr>
                  </w:pPr>
                </w:p>
              </w:tc>
              <w:tc>
                <w:tcPr>
                  <w:tcW w:w="4214" w:type="dxa"/>
                  <w:vAlign w:val="center"/>
                </w:tcPr>
                <w:p w14:paraId="52BB073F">
                  <w:pPr>
                    <w:jc w:val="center"/>
                    <w:rPr>
                      <w:rFonts w:hint="eastAsia" w:ascii="宋体" w:hAnsi="宋体" w:cs="宋体"/>
                      <w:color w:val="auto"/>
                      <w:kern w:val="0"/>
                      <w:sz w:val="22"/>
                      <w:szCs w:val="22"/>
                      <w:lang w:bidi="ar"/>
                    </w:rPr>
                  </w:pPr>
                  <w:r>
                    <w:rPr>
                      <w:rFonts w:hAnsi="宋体"/>
                      <w:color w:val="auto"/>
                      <w:szCs w:val="21"/>
                    </w:rPr>
                    <w:t>消毒液</w:t>
                  </w:r>
                </w:p>
              </w:tc>
              <w:tc>
                <w:tcPr>
                  <w:tcW w:w="1572" w:type="dxa"/>
                  <w:vAlign w:val="center"/>
                </w:tcPr>
                <w:p w14:paraId="6C11DF3D">
                  <w:pPr>
                    <w:jc w:val="center"/>
                    <w:rPr>
                      <w:color w:val="auto"/>
                      <w:szCs w:val="21"/>
                    </w:rPr>
                  </w:pPr>
                  <w:r>
                    <w:rPr>
                      <w:rFonts w:hint="eastAsia"/>
                      <w:color w:val="auto"/>
                      <w:szCs w:val="21"/>
                    </w:rPr>
                    <w:t>2</w:t>
                  </w:r>
                  <w:r>
                    <w:rPr>
                      <w:color w:val="auto"/>
                      <w:szCs w:val="21"/>
                    </w:rPr>
                    <w:t>瓶</w:t>
                  </w:r>
                </w:p>
              </w:tc>
            </w:tr>
            <w:tr w14:paraId="6F46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754361B">
                  <w:pPr>
                    <w:jc w:val="center"/>
                    <w:rPr>
                      <w:color w:val="auto"/>
                      <w:szCs w:val="21"/>
                    </w:rPr>
                  </w:pPr>
                </w:p>
              </w:tc>
              <w:tc>
                <w:tcPr>
                  <w:tcW w:w="4214" w:type="dxa"/>
                  <w:vAlign w:val="center"/>
                </w:tcPr>
                <w:p w14:paraId="64AC61DA">
                  <w:pPr>
                    <w:jc w:val="center"/>
                    <w:rPr>
                      <w:rFonts w:hint="eastAsia" w:ascii="宋体" w:hAnsi="宋体" w:cs="宋体"/>
                      <w:color w:val="auto"/>
                      <w:kern w:val="0"/>
                      <w:sz w:val="22"/>
                      <w:szCs w:val="22"/>
                      <w:lang w:bidi="ar"/>
                    </w:rPr>
                  </w:pPr>
                  <w:r>
                    <w:rPr>
                      <w:rFonts w:hint="eastAsia" w:hAnsi="宋体"/>
                      <w:color w:val="auto"/>
                      <w:szCs w:val="21"/>
                    </w:rPr>
                    <w:t>碘伏</w:t>
                  </w:r>
                </w:p>
              </w:tc>
              <w:tc>
                <w:tcPr>
                  <w:tcW w:w="1572" w:type="dxa"/>
                  <w:vAlign w:val="center"/>
                </w:tcPr>
                <w:p w14:paraId="4432E34D">
                  <w:pPr>
                    <w:jc w:val="center"/>
                    <w:rPr>
                      <w:color w:val="auto"/>
                      <w:szCs w:val="21"/>
                    </w:rPr>
                  </w:pPr>
                  <w:r>
                    <w:rPr>
                      <w:rFonts w:hint="eastAsia"/>
                      <w:color w:val="auto"/>
                      <w:szCs w:val="21"/>
                    </w:rPr>
                    <w:t>16瓶</w:t>
                  </w:r>
                </w:p>
              </w:tc>
            </w:tr>
            <w:tr w14:paraId="7198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EC63266">
                  <w:pPr>
                    <w:jc w:val="center"/>
                    <w:rPr>
                      <w:color w:val="auto"/>
                      <w:szCs w:val="21"/>
                    </w:rPr>
                  </w:pPr>
                </w:p>
              </w:tc>
              <w:tc>
                <w:tcPr>
                  <w:tcW w:w="4214" w:type="dxa"/>
                  <w:vAlign w:val="center"/>
                </w:tcPr>
                <w:p w14:paraId="648827E1">
                  <w:pPr>
                    <w:jc w:val="center"/>
                    <w:rPr>
                      <w:rFonts w:hint="eastAsia" w:ascii="宋体" w:hAnsi="宋体" w:cs="宋体"/>
                      <w:color w:val="auto"/>
                      <w:kern w:val="0"/>
                      <w:sz w:val="22"/>
                      <w:szCs w:val="22"/>
                      <w:lang w:bidi="ar"/>
                    </w:rPr>
                  </w:pPr>
                  <w:r>
                    <w:rPr>
                      <w:rFonts w:hint="eastAsia" w:hAnsi="宋体"/>
                      <w:color w:val="auto"/>
                      <w:szCs w:val="21"/>
                    </w:rPr>
                    <w:t>天门冬氨酸氨基转移酶试剂</w:t>
                  </w:r>
                </w:p>
              </w:tc>
              <w:tc>
                <w:tcPr>
                  <w:tcW w:w="1572" w:type="dxa"/>
                  <w:vAlign w:val="center"/>
                </w:tcPr>
                <w:p w14:paraId="566EBEC0">
                  <w:pPr>
                    <w:jc w:val="center"/>
                    <w:rPr>
                      <w:color w:val="auto"/>
                      <w:szCs w:val="21"/>
                    </w:rPr>
                  </w:pPr>
                  <w:r>
                    <w:rPr>
                      <w:rFonts w:hint="eastAsia"/>
                      <w:color w:val="auto"/>
                      <w:szCs w:val="21"/>
                    </w:rPr>
                    <w:t>2盒</w:t>
                  </w:r>
                </w:p>
              </w:tc>
            </w:tr>
            <w:tr w14:paraId="0517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865DFE9">
                  <w:pPr>
                    <w:jc w:val="center"/>
                    <w:rPr>
                      <w:color w:val="auto"/>
                      <w:szCs w:val="21"/>
                    </w:rPr>
                  </w:pPr>
                </w:p>
              </w:tc>
              <w:tc>
                <w:tcPr>
                  <w:tcW w:w="4214" w:type="dxa"/>
                  <w:vAlign w:val="center"/>
                </w:tcPr>
                <w:p w14:paraId="474BA085">
                  <w:pPr>
                    <w:jc w:val="center"/>
                    <w:rPr>
                      <w:rFonts w:hint="eastAsia" w:ascii="宋体" w:hAnsi="宋体" w:cs="宋体"/>
                      <w:color w:val="auto"/>
                      <w:kern w:val="0"/>
                      <w:sz w:val="22"/>
                      <w:szCs w:val="22"/>
                      <w:lang w:bidi="ar"/>
                    </w:rPr>
                  </w:pPr>
                  <w:r>
                    <w:rPr>
                      <w:rFonts w:hint="eastAsia" w:hAnsi="宋体"/>
                      <w:color w:val="auto"/>
                      <w:szCs w:val="21"/>
                    </w:rPr>
                    <w:t>总胆红素试剂</w:t>
                  </w:r>
                </w:p>
              </w:tc>
              <w:tc>
                <w:tcPr>
                  <w:tcW w:w="1572" w:type="dxa"/>
                  <w:vAlign w:val="center"/>
                </w:tcPr>
                <w:p w14:paraId="3B59F4F8">
                  <w:pPr>
                    <w:jc w:val="center"/>
                    <w:rPr>
                      <w:color w:val="auto"/>
                      <w:szCs w:val="21"/>
                    </w:rPr>
                  </w:pPr>
                  <w:r>
                    <w:rPr>
                      <w:rFonts w:hint="eastAsia"/>
                      <w:color w:val="auto"/>
                      <w:szCs w:val="21"/>
                    </w:rPr>
                    <w:t>3盒</w:t>
                  </w:r>
                </w:p>
              </w:tc>
            </w:tr>
            <w:tr w14:paraId="2596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6B21795">
                  <w:pPr>
                    <w:jc w:val="center"/>
                    <w:rPr>
                      <w:color w:val="auto"/>
                      <w:szCs w:val="21"/>
                    </w:rPr>
                  </w:pPr>
                </w:p>
              </w:tc>
              <w:tc>
                <w:tcPr>
                  <w:tcW w:w="4214" w:type="dxa"/>
                  <w:vAlign w:val="center"/>
                </w:tcPr>
                <w:p w14:paraId="293F970E">
                  <w:pPr>
                    <w:jc w:val="center"/>
                    <w:rPr>
                      <w:rFonts w:hint="eastAsia" w:ascii="宋体" w:hAnsi="宋体" w:cs="宋体"/>
                      <w:color w:val="auto"/>
                      <w:kern w:val="0"/>
                      <w:sz w:val="22"/>
                      <w:szCs w:val="22"/>
                      <w:lang w:bidi="ar"/>
                    </w:rPr>
                  </w:pPr>
                  <w:r>
                    <w:rPr>
                      <w:rFonts w:hint="eastAsia" w:hAnsi="宋体"/>
                      <w:color w:val="auto"/>
                      <w:szCs w:val="21"/>
                    </w:rPr>
                    <w:t>甘油三脂试剂</w:t>
                  </w:r>
                </w:p>
              </w:tc>
              <w:tc>
                <w:tcPr>
                  <w:tcW w:w="1572" w:type="dxa"/>
                  <w:vAlign w:val="center"/>
                </w:tcPr>
                <w:p w14:paraId="0792CB88">
                  <w:pPr>
                    <w:jc w:val="center"/>
                    <w:rPr>
                      <w:color w:val="auto"/>
                      <w:szCs w:val="21"/>
                    </w:rPr>
                  </w:pPr>
                  <w:r>
                    <w:rPr>
                      <w:rFonts w:hint="eastAsia"/>
                      <w:color w:val="auto"/>
                      <w:szCs w:val="21"/>
                    </w:rPr>
                    <w:t>3盒</w:t>
                  </w:r>
                </w:p>
              </w:tc>
            </w:tr>
            <w:tr w14:paraId="46CC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625F875">
                  <w:pPr>
                    <w:jc w:val="center"/>
                    <w:rPr>
                      <w:color w:val="auto"/>
                      <w:szCs w:val="21"/>
                    </w:rPr>
                  </w:pPr>
                </w:p>
              </w:tc>
              <w:tc>
                <w:tcPr>
                  <w:tcW w:w="4214" w:type="dxa"/>
                  <w:vAlign w:val="center"/>
                </w:tcPr>
                <w:p w14:paraId="19B962BE">
                  <w:pPr>
                    <w:jc w:val="center"/>
                    <w:rPr>
                      <w:rFonts w:hint="eastAsia" w:ascii="宋体" w:hAnsi="宋体" w:cs="宋体"/>
                      <w:color w:val="auto"/>
                      <w:kern w:val="0"/>
                      <w:sz w:val="22"/>
                      <w:szCs w:val="22"/>
                      <w:lang w:bidi="ar"/>
                    </w:rPr>
                  </w:pPr>
                  <w:r>
                    <w:rPr>
                      <w:rFonts w:hint="eastAsia" w:hAnsi="宋体"/>
                      <w:color w:val="auto"/>
                      <w:szCs w:val="21"/>
                    </w:rPr>
                    <w:t>高密度脂蛋白胆固醇试剂</w:t>
                  </w:r>
                </w:p>
              </w:tc>
              <w:tc>
                <w:tcPr>
                  <w:tcW w:w="1572" w:type="dxa"/>
                  <w:vAlign w:val="center"/>
                </w:tcPr>
                <w:p w14:paraId="780DDC60">
                  <w:pPr>
                    <w:jc w:val="center"/>
                    <w:rPr>
                      <w:color w:val="auto"/>
                      <w:szCs w:val="21"/>
                    </w:rPr>
                  </w:pPr>
                  <w:r>
                    <w:rPr>
                      <w:rFonts w:hint="eastAsia"/>
                      <w:color w:val="auto"/>
                      <w:szCs w:val="21"/>
                    </w:rPr>
                    <w:t>3盒</w:t>
                  </w:r>
                </w:p>
              </w:tc>
            </w:tr>
            <w:tr w14:paraId="261F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602AF99">
                  <w:pPr>
                    <w:jc w:val="center"/>
                    <w:rPr>
                      <w:color w:val="auto"/>
                      <w:szCs w:val="21"/>
                    </w:rPr>
                  </w:pPr>
                </w:p>
              </w:tc>
              <w:tc>
                <w:tcPr>
                  <w:tcW w:w="4214" w:type="dxa"/>
                  <w:vAlign w:val="center"/>
                </w:tcPr>
                <w:p w14:paraId="5017570C">
                  <w:pPr>
                    <w:jc w:val="center"/>
                    <w:rPr>
                      <w:rFonts w:hint="eastAsia" w:ascii="宋体" w:hAnsi="宋体" w:cs="宋体"/>
                      <w:color w:val="auto"/>
                      <w:kern w:val="0"/>
                      <w:sz w:val="22"/>
                      <w:szCs w:val="22"/>
                      <w:lang w:bidi="ar"/>
                    </w:rPr>
                  </w:pPr>
                  <w:r>
                    <w:rPr>
                      <w:rFonts w:hint="eastAsia" w:hAnsi="宋体"/>
                      <w:color w:val="auto"/>
                      <w:szCs w:val="21"/>
                    </w:rPr>
                    <w:t>低密度脂蛋白胆固醇试剂</w:t>
                  </w:r>
                </w:p>
              </w:tc>
              <w:tc>
                <w:tcPr>
                  <w:tcW w:w="1572" w:type="dxa"/>
                  <w:vAlign w:val="center"/>
                </w:tcPr>
                <w:p w14:paraId="2A7358BA">
                  <w:pPr>
                    <w:jc w:val="center"/>
                    <w:rPr>
                      <w:color w:val="auto"/>
                      <w:szCs w:val="21"/>
                    </w:rPr>
                  </w:pPr>
                  <w:r>
                    <w:rPr>
                      <w:rFonts w:hint="eastAsia"/>
                      <w:color w:val="auto"/>
                      <w:szCs w:val="21"/>
                    </w:rPr>
                    <w:t>3盒</w:t>
                  </w:r>
                </w:p>
              </w:tc>
            </w:tr>
            <w:tr w14:paraId="5F08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7E04696">
                  <w:pPr>
                    <w:jc w:val="center"/>
                    <w:rPr>
                      <w:color w:val="auto"/>
                      <w:szCs w:val="21"/>
                    </w:rPr>
                  </w:pPr>
                </w:p>
              </w:tc>
              <w:tc>
                <w:tcPr>
                  <w:tcW w:w="4214" w:type="dxa"/>
                  <w:vAlign w:val="center"/>
                </w:tcPr>
                <w:p w14:paraId="6200B943">
                  <w:pPr>
                    <w:jc w:val="center"/>
                    <w:rPr>
                      <w:rFonts w:hint="eastAsia" w:ascii="宋体" w:hAnsi="宋体" w:cs="宋体"/>
                      <w:color w:val="auto"/>
                      <w:kern w:val="0"/>
                      <w:sz w:val="22"/>
                      <w:szCs w:val="22"/>
                      <w:lang w:bidi="ar"/>
                    </w:rPr>
                  </w:pPr>
                  <w:r>
                    <w:rPr>
                      <w:rFonts w:hint="eastAsia" w:hAnsi="宋体"/>
                      <w:color w:val="auto"/>
                      <w:szCs w:val="21"/>
                    </w:rPr>
                    <w:t>心肌三项Ⅰ试剂</w:t>
                  </w:r>
                </w:p>
              </w:tc>
              <w:tc>
                <w:tcPr>
                  <w:tcW w:w="1572" w:type="dxa"/>
                  <w:vAlign w:val="center"/>
                </w:tcPr>
                <w:p w14:paraId="50D03833">
                  <w:pPr>
                    <w:jc w:val="center"/>
                    <w:rPr>
                      <w:color w:val="auto"/>
                      <w:szCs w:val="21"/>
                    </w:rPr>
                  </w:pPr>
                  <w:r>
                    <w:rPr>
                      <w:rFonts w:hint="eastAsia"/>
                      <w:color w:val="auto"/>
                      <w:szCs w:val="21"/>
                    </w:rPr>
                    <w:t>2盒</w:t>
                  </w:r>
                </w:p>
              </w:tc>
            </w:tr>
            <w:tr w14:paraId="612A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10086B9">
                  <w:pPr>
                    <w:jc w:val="center"/>
                    <w:rPr>
                      <w:color w:val="auto"/>
                      <w:szCs w:val="21"/>
                    </w:rPr>
                  </w:pPr>
                </w:p>
              </w:tc>
              <w:tc>
                <w:tcPr>
                  <w:tcW w:w="4214" w:type="dxa"/>
                  <w:vAlign w:val="center"/>
                </w:tcPr>
                <w:p w14:paraId="3C3D5D72">
                  <w:pPr>
                    <w:jc w:val="center"/>
                    <w:rPr>
                      <w:rFonts w:hint="eastAsia" w:ascii="宋体" w:hAnsi="宋体" w:cs="宋体"/>
                      <w:color w:val="auto"/>
                      <w:kern w:val="0"/>
                      <w:sz w:val="22"/>
                      <w:szCs w:val="22"/>
                      <w:lang w:bidi="ar"/>
                    </w:rPr>
                  </w:pPr>
                  <w:r>
                    <w:rPr>
                      <w:rFonts w:hint="eastAsia" w:hAnsi="宋体"/>
                      <w:color w:val="auto"/>
                      <w:szCs w:val="21"/>
                    </w:rPr>
                    <w:t>肌钙蛋白I试剂</w:t>
                  </w:r>
                </w:p>
              </w:tc>
              <w:tc>
                <w:tcPr>
                  <w:tcW w:w="1572" w:type="dxa"/>
                  <w:vAlign w:val="center"/>
                </w:tcPr>
                <w:p w14:paraId="1936AA2B">
                  <w:pPr>
                    <w:jc w:val="center"/>
                    <w:rPr>
                      <w:color w:val="auto"/>
                      <w:szCs w:val="21"/>
                    </w:rPr>
                  </w:pPr>
                  <w:r>
                    <w:rPr>
                      <w:rFonts w:hint="eastAsia"/>
                      <w:color w:val="auto"/>
                      <w:szCs w:val="21"/>
                    </w:rPr>
                    <w:t>2盒</w:t>
                  </w:r>
                </w:p>
              </w:tc>
            </w:tr>
            <w:tr w14:paraId="7669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99C7177">
                  <w:pPr>
                    <w:jc w:val="center"/>
                    <w:rPr>
                      <w:color w:val="auto"/>
                      <w:szCs w:val="21"/>
                    </w:rPr>
                  </w:pPr>
                </w:p>
              </w:tc>
              <w:tc>
                <w:tcPr>
                  <w:tcW w:w="4214" w:type="dxa"/>
                  <w:vAlign w:val="center"/>
                </w:tcPr>
                <w:p w14:paraId="11B9B6C1">
                  <w:pPr>
                    <w:jc w:val="center"/>
                    <w:rPr>
                      <w:rFonts w:hint="eastAsia" w:ascii="宋体" w:hAnsi="宋体" w:cs="宋体"/>
                      <w:color w:val="auto"/>
                      <w:kern w:val="0"/>
                      <w:sz w:val="22"/>
                      <w:szCs w:val="22"/>
                      <w:lang w:bidi="ar"/>
                    </w:rPr>
                  </w:pPr>
                  <w:r>
                    <w:rPr>
                      <w:rFonts w:hint="eastAsia" w:hAnsi="宋体"/>
                      <w:color w:val="auto"/>
                      <w:szCs w:val="21"/>
                    </w:rPr>
                    <w:t>人类免疫缺陷病毒抗体试剂</w:t>
                  </w:r>
                </w:p>
              </w:tc>
              <w:tc>
                <w:tcPr>
                  <w:tcW w:w="1572" w:type="dxa"/>
                  <w:vAlign w:val="center"/>
                </w:tcPr>
                <w:p w14:paraId="1CA4B965">
                  <w:pPr>
                    <w:jc w:val="center"/>
                    <w:rPr>
                      <w:color w:val="auto"/>
                      <w:szCs w:val="21"/>
                    </w:rPr>
                  </w:pPr>
                  <w:r>
                    <w:rPr>
                      <w:rFonts w:hint="eastAsia"/>
                      <w:color w:val="auto"/>
                      <w:szCs w:val="21"/>
                    </w:rPr>
                    <w:t>4盒</w:t>
                  </w:r>
                </w:p>
              </w:tc>
            </w:tr>
            <w:tr w14:paraId="28A4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A67B98E">
                  <w:pPr>
                    <w:jc w:val="center"/>
                    <w:rPr>
                      <w:color w:val="auto"/>
                      <w:szCs w:val="21"/>
                    </w:rPr>
                  </w:pPr>
                </w:p>
              </w:tc>
              <w:tc>
                <w:tcPr>
                  <w:tcW w:w="4214" w:type="dxa"/>
                  <w:vAlign w:val="center"/>
                </w:tcPr>
                <w:p w14:paraId="38465C45">
                  <w:pPr>
                    <w:jc w:val="center"/>
                    <w:rPr>
                      <w:rFonts w:hint="eastAsia" w:ascii="宋体" w:hAnsi="宋体" w:cs="宋体"/>
                      <w:color w:val="auto"/>
                      <w:kern w:val="0"/>
                      <w:sz w:val="22"/>
                      <w:szCs w:val="22"/>
                      <w:lang w:bidi="ar"/>
                    </w:rPr>
                  </w:pPr>
                  <w:r>
                    <w:rPr>
                      <w:rFonts w:hint="eastAsia" w:hAnsi="宋体"/>
                      <w:color w:val="auto"/>
                      <w:szCs w:val="21"/>
                    </w:rPr>
                    <w:t>乙肝两对半试剂</w:t>
                  </w:r>
                </w:p>
              </w:tc>
              <w:tc>
                <w:tcPr>
                  <w:tcW w:w="1572" w:type="dxa"/>
                  <w:vAlign w:val="center"/>
                </w:tcPr>
                <w:p w14:paraId="7E4E9B2E">
                  <w:pPr>
                    <w:jc w:val="center"/>
                    <w:rPr>
                      <w:color w:val="auto"/>
                      <w:szCs w:val="21"/>
                    </w:rPr>
                  </w:pPr>
                  <w:r>
                    <w:rPr>
                      <w:rFonts w:hint="eastAsia"/>
                      <w:color w:val="auto"/>
                      <w:szCs w:val="21"/>
                    </w:rPr>
                    <w:t>2盒</w:t>
                  </w:r>
                </w:p>
              </w:tc>
            </w:tr>
            <w:tr w14:paraId="1729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C29839F">
                  <w:pPr>
                    <w:jc w:val="center"/>
                    <w:rPr>
                      <w:color w:val="auto"/>
                      <w:szCs w:val="21"/>
                    </w:rPr>
                  </w:pPr>
                </w:p>
              </w:tc>
              <w:tc>
                <w:tcPr>
                  <w:tcW w:w="4214" w:type="dxa"/>
                  <w:vAlign w:val="center"/>
                </w:tcPr>
                <w:p w14:paraId="1FAB3757">
                  <w:pPr>
                    <w:jc w:val="center"/>
                    <w:rPr>
                      <w:rFonts w:hint="eastAsia" w:ascii="宋体" w:hAnsi="宋体" w:cs="宋体"/>
                      <w:color w:val="auto"/>
                      <w:kern w:val="0"/>
                      <w:sz w:val="22"/>
                      <w:szCs w:val="22"/>
                      <w:lang w:bidi="ar"/>
                    </w:rPr>
                  </w:pPr>
                  <w:r>
                    <w:rPr>
                      <w:rFonts w:hint="eastAsia" w:hAnsi="宋体"/>
                      <w:color w:val="auto"/>
                      <w:szCs w:val="21"/>
                    </w:rPr>
                    <w:t>梅毒螺旋体抗体试剂</w:t>
                  </w:r>
                </w:p>
              </w:tc>
              <w:tc>
                <w:tcPr>
                  <w:tcW w:w="1572" w:type="dxa"/>
                  <w:vAlign w:val="center"/>
                </w:tcPr>
                <w:p w14:paraId="0676D083">
                  <w:pPr>
                    <w:jc w:val="center"/>
                    <w:rPr>
                      <w:color w:val="auto"/>
                      <w:szCs w:val="21"/>
                    </w:rPr>
                  </w:pPr>
                  <w:r>
                    <w:rPr>
                      <w:rFonts w:hint="eastAsia"/>
                      <w:color w:val="auto"/>
                      <w:szCs w:val="21"/>
                    </w:rPr>
                    <w:t>2盒</w:t>
                  </w:r>
                </w:p>
              </w:tc>
            </w:tr>
            <w:tr w14:paraId="2DF2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D486EB8">
                  <w:pPr>
                    <w:jc w:val="center"/>
                    <w:rPr>
                      <w:color w:val="auto"/>
                      <w:szCs w:val="21"/>
                    </w:rPr>
                  </w:pPr>
                </w:p>
              </w:tc>
              <w:tc>
                <w:tcPr>
                  <w:tcW w:w="4214" w:type="dxa"/>
                  <w:vAlign w:val="center"/>
                </w:tcPr>
                <w:p w14:paraId="1ECC5E1D">
                  <w:pPr>
                    <w:jc w:val="center"/>
                    <w:rPr>
                      <w:rFonts w:hint="eastAsia" w:ascii="宋体" w:hAnsi="宋体" w:cs="宋体"/>
                      <w:color w:val="auto"/>
                      <w:kern w:val="0"/>
                      <w:sz w:val="22"/>
                      <w:szCs w:val="22"/>
                      <w:lang w:bidi="ar"/>
                    </w:rPr>
                  </w:pPr>
                  <w:r>
                    <w:rPr>
                      <w:rFonts w:hint="eastAsia" w:hAnsi="宋体"/>
                      <w:color w:val="auto"/>
                      <w:szCs w:val="21"/>
                    </w:rPr>
                    <w:t>全程C-反应蛋白（hsCRP+常规CRP）试剂</w:t>
                  </w:r>
                </w:p>
              </w:tc>
              <w:tc>
                <w:tcPr>
                  <w:tcW w:w="1572" w:type="dxa"/>
                  <w:vAlign w:val="center"/>
                </w:tcPr>
                <w:p w14:paraId="21434D23">
                  <w:pPr>
                    <w:jc w:val="center"/>
                    <w:rPr>
                      <w:color w:val="auto"/>
                      <w:szCs w:val="21"/>
                    </w:rPr>
                  </w:pPr>
                  <w:r>
                    <w:rPr>
                      <w:rFonts w:hint="eastAsia"/>
                      <w:color w:val="auto"/>
                      <w:szCs w:val="21"/>
                    </w:rPr>
                    <w:t>16盒</w:t>
                  </w:r>
                </w:p>
              </w:tc>
            </w:tr>
            <w:tr w14:paraId="22F0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E51C4A6">
                  <w:pPr>
                    <w:jc w:val="center"/>
                    <w:rPr>
                      <w:color w:val="auto"/>
                      <w:szCs w:val="21"/>
                    </w:rPr>
                  </w:pPr>
                </w:p>
              </w:tc>
              <w:tc>
                <w:tcPr>
                  <w:tcW w:w="4214" w:type="dxa"/>
                  <w:vAlign w:val="center"/>
                </w:tcPr>
                <w:p w14:paraId="01F1F710">
                  <w:pPr>
                    <w:jc w:val="center"/>
                    <w:rPr>
                      <w:rFonts w:hint="eastAsia" w:ascii="宋体" w:hAnsi="宋体" w:cs="宋体"/>
                      <w:color w:val="auto"/>
                      <w:kern w:val="0"/>
                      <w:sz w:val="22"/>
                      <w:szCs w:val="22"/>
                      <w:lang w:bidi="ar"/>
                    </w:rPr>
                  </w:pPr>
                  <w:r>
                    <w:rPr>
                      <w:rFonts w:hint="eastAsia" w:hAnsi="宋体"/>
                      <w:color w:val="auto"/>
                      <w:szCs w:val="21"/>
                    </w:rPr>
                    <w:t>降钙素原试剂</w:t>
                  </w:r>
                </w:p>
              </w:tc>
              <w:tc>
                <w:tcPr>
                  <w:tcW w:w="1572" w:type="dxa"/>
                  <w:vAlign w:val="center"/>
                </w:tcPr>
                <w:p w14:paraId="3A9FE3B9">
                  <w:pPr>
                    <w:jc w:val="center"/>
                    <w:rPr>
                      <w:color w:val="auto"/>
                      <w:szCs w:val="21"/>
                    </w:rPr>
                  </w:pPr>
                  <w:r>
                    <w:rPr>
                      <w:rFonts w:hint="eastAsia"/>
                      <w:color w:val="auto"/>
                      <w:szCs w:val="21"/>
                    </w:rPr>
                    <w:t>1盒</w:t>
                  </w:r>
                </w:p>
              </w:tc>
            </w:tr>
            <w:tr w14:paraId="4E56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6EEC2974">
                  <w:pPr>
                    <w:jc w:val="center"/>
                    <w:rPr>
                      <w:color w:val="auto"/>
                      <w:szCs w:val="21"/>
                    </w:rPr>
                  </w:pPr>
                </w:p>
              </w:tc>
              <w:tc>
                <w:tcPr>
                  <w:tcW w:w="4214" w:type="dxa"/>
                  <w:vAlign w:val="center"/>
                </w:tcPr>
                <w:p w14:paraId="74FF331C">
                  <w:pPr>
                    <w:jc w:val="center"/>
                    <w:rPr>
                      <w:rFonts w:hint="eastAsia" w:ascii="宋体" w:hAnsi="宋体" w:cs="宋体"/>
                      <w:color w:val="auto"/>
                      <w:kern w:val="0"/>
                      <w:sz w:val="22"/>
                      <w:szCs w:val="22"/>
                      <w:lang w:bidi="ar"/>
                    </w:rPr>
                  </w:pPr>
                  <w:r>
                    <w:rPr>
                      <w:rFonts w:hint="eastAsia" w:hAnsi="宋体"/>
                      <w:color w:val="auto"/>
                      <w:szCs w:val="21"/>
                    </w:rPr>
                    <w:t>人绒毛膜促性腺激素试剂</w:t>
                  </w:r>
                </w:p>
              </w:tc>
              <w:tc>
                <w:tcPr>
                  <w:tcW w:w="1572" w:type="dxa"/>
                  <w:vAlign w:val="center"/>
                </w:tcPr>
                <w:p w14:paraId="7D58AFA1">
                  <w:pPr>
                    <w:jc w:val="center"/>
                    <w:rPr>
                      <w:color w:val="auto"/>
                      <w:szCs w:val="21"/>
                    </w:rPr>
                  </w:pPr>
                  <w:r>
                    <w:rPr>
                      <w:rFonts w:hint="eastAsia"/>
                      <w:color w:val="auto"/>
                      <w:szCs w:val="21"/>
                    </w:rPr>
                    <w:t>1盒</w:t>
                  </w:r>
                </w:p>
              </w:tc>
            </w:tr>
            <w:tr w14:paraId="35E1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03B1368">
                  <w:pPr>
                    <w:jc w:val="center"/>
                    <w:rPr>
                      <w:color w:val="auto"/>
                      <w:szCs w:val="21"/>
                    </w:rPr>
                  </w:pPr>
                </w:p>
              </w:tc>
              <w:tc>
                <w:tcPr>
                  <w:tcW w:w="4214" w:type="dxa"/>
                  <w:vAlign w:val="center"/>
                </w:tcPr>
                <w:p w14:paraId="256469E1">
                  <w:pPr>
                    <w:jc w:val="center"/>
                    <w:rPr>
                      <w:rFonts w:hint="eastAsia" w:ascii="宋体" w:hAnsi="宋体" w:cs="宋体"/>
                      <w:color w:val="auto"/>
                      <w:kern w:val="0"/>
                      <w:sz w:val="22"/>
                      <w:szCs w:val="22"/>
                      <w:lang w:bidi="ar"/>
                    </w:rPr>
                  </w:pPr>
                  <w:r>
                    <w:rPr>
                      <w:rFonts w:hint="eastAsia" w:hAnsi="宋体"/>
                      <w:color w:val="auto"/>
                      <w:szCs w:val="21"/>
                    </w:rPr>
                    <w:t>便隐血FOB试验试剂</w:t>
                  </w:r>
                </w:p>
              </w:tc>
              <w:tc>
                <w:tcPr>
                  <w:tcW w:w="1572" w:type="dxa"/>
                  <w:vAlign w:val="center"/>
                </w:tcPr>
                <w:p w14:paraId="183EA233">
                  <w:pPr>
                    <w:jc w:val="center"/>
                    <w:rPr>
                      <w:color w:val="auto"/>
                      <w:szCs w:val="21"/>
                    </w:rPr>
                  </w:pPr>
                  <w:r>
                    <w:rPr>
                      <w:rFonts w:hint="eastAsia"/>
                      <w:color w:val="auto"/>
                      <w:szCs w:val="21"/>
                    </w:rPr>
                    <w:t>2盒</w:t>
                  </w:r>
                </w:p>
              </w:tc>
            </w:tr>
            <w:tr w14:paraId="1D70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928" w:type="dxa"/>
                  <w:vMerge w:val="continue"/>
                  <w:vAlign w:val="center"/>
                </w:tcPr>
                <w:p w14:paraId="1D78A8D2">
                  <w:pPr>
                    <w:jc w:val="center"/>
                    <w:rPr>
                      <w:color w:val="auto"/>
                      <w:szCs w:val="21"/>
                    </w:rPr>
                  </w:pPr>
                </w:p>
              </w:tc>
              <w:tc>
                <w:tcPr>
                  <w:tcW w:w="4214" w:type="dxa"/>
                  <w:vAlign w:val="center"/>
                </w:tcPr>
                <w:p w14:paraId="38F13557">
                  <w:pPr>
                    <w:jc w:val="center"/>
                    <w:rPr>
                      <w:rFonts w:hint="eastAsia" w:ascii="宋体" w:hAnsi="宋体" w:cs="宋体"/>
                      <w:color w:val="auto"/>
                      <w:kern w:val="0"/>
                      <w:sz w:val="22"/>
                      <w:szCs w:val="22"/>
                      <w:lang w:bidi="ar"/>
                    </w:rPr>
                  </w:pPr>
                  <w:r>
                    <w:rPr>
                      <w:rFonts w:hint="eastAsia" w:hAnsi="宋体"/>
                      <w:color w:val="auto"/>
                      <w:szCs w:val="21"/>
                    </w:rPr>
                    <w:t>尿常规试剂</w:t>
                  </w:r>
                </w:p>
              </w:tc>
              <w:tc>
                <w:tcPr>
                  <w:tcW w:w="1572" w:type="dxa"/>
                  <w:vAlign w:val="center"/>
                </w:tcPr>
                <w:p w14:paraId="18981529">
                  <w:pPr>
                    <w:jc w:val="center"/>
                    <w:rPr>
                      <w:color w:val="auto"/>
                      <w:szCs w:val="21"/>
                    </w:rPr>
                  </w:pPr>
                  <w:r>
                    <w:rPr>
                      <w:rFonts w:hint="eastAsia"/>
                      <w:color w:val="auto"/>
                      <w:szCs w:val="21"/>
                    </w:rPr>
                    <w:t>4盒</w:t>
                  </w:r>
                </w:p>
              </w:tc>
            </w:tr>
            <w:tr w14:paraId="62F8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322F2B1">
                  <w:pPr>
                    <w:jc w:val="center"/>
                    <w:rPr>
                      <w:color w:val="auto"/>
                      <w:szCs w:val="21"/>
                    </w:rPr>
                  </w:pPr>
                </w:p>
              </w:tc>
              <w:tc>
                <w:tcPr>
                  <w:tcW w:w="4214" w:type="dxa"/>
                  <w:vAlign w:val="center"/>
                </w:tcPr>
                <w:p w14:paraId="6EC51876">
                  <w:pPr>
                    <w:jc w:val="center"/>
                    <w:rPr>
                      <w:rFonts w:hint="eastAsia" w:ascii="宋体" w:hAnsi="宋体" w:cs="宋体"/>
                      <w:color w:val="auto"/>
                      <w:kern w:val="0"/>
                      <w:sz w:val="22"/>
                      <w:szCs w:val="22"/>
                      <w:lang w:bidi="ar"/>
                    </w:rPr>
                  </w:pPr>
                  <w:r>
                    <w:rPr>
                      <w:rFonts w:hint="eastAsia" w:hAnsi="宋体"/>
                      <w:color w:val="auto"/>
                      <w:szCs w:val="21"/>
                    </w:rPr>
                    <w:t>糖化血红蛋白试剂</w:t>
                  </w:r>
                </w:p>
              </w:tc>
              <w:tc>
                <w:tcPr>
                  <w:tcW w:w="1572" w:type="dxa"/>
                  <w:vAlign w:val="center"/>
                </w:tcPr>
                <w:p w14:paraId="1A484E7F">
                  <w:pPr>
                    <w:jc w:val="center"/>
                    <w:rPr>
                      <w:color w:val="auto"/>
                      <w:szCs w:val="21"/>
                    </w:rPr>
                  </w:pPr>
                  <w:r>
                    <w:rPr>
                      <w:rFonts w:hint="eastAsia"/>
                      <w:color w:val="auto"/>
                      <w:szCs w:val="21"/>
                    </w:rPr>
                    <w:t>2盒</w:t>
                  </w:r>
                </w:p>
              </w:tc>
            </w:tr>
            <w:tr w14:paraId="2E2D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666E902A">
                  <w:pPr>
                    <w:jc w:val="center"/>
                    <w:rPr>
                      <w:color w:val="auto"/>
                      <w:szCs w:val="21"/>
                    </w:rPr>
                  </w:pPr>
                </w:p>
              </w:tc>
              <w:tc>
                <w:tcPr>
                  <w:tcW w:w="4214" w:type="dxa"/>
                  <w:vAlign w:val="center"/>
                </w:tcPr>
                <w:p w14:paraId="3A9D88E1">
                  <w:pPr>
                    <w:jc w:val="center"/>
                    <w:rPr>
                      <w:rFonts w:hint="eastAsia" w:ascii="宋体" w:hAnsi="宋体" w:cs="宋体"/>
                      <w:color w:val="auto"/>
                      <w:kern w:val="0"/>
                      <w:sz w:val="22"/>
                      <w:szCs w:val="22"/>
                      <w:lang w:bidi="ar"/>
                    </w:rPr>
                  </w:pPr>
                  <w:r>
                    <w:rPr>
                      <w:rFonts w:hint="eastAsia" w:hAnsi="宋体"/>
                      <w:color w:val="auto"/>
                      <w:szCs w:val="21"/>
                    </w:rPr>
                    <w:t>末梢血糖试剂</w:t>
                  </w:r>
                </w:p>
              </w:tc>
              <w:tc>
                <w:tcPr>
                  <w:tcW w:w="1572" w:type="dxa"/>
                  <w:vAlign w:val="center"/>
                </w:tcPr>
                <w:p w14:paraId="4898EF9D">
                  <w:pPr>
                    <w:jc w:val="center"/>
                    <w:rPr>
                      <w:color w:val="auto"/>
                      <w:szCs w:val="21"/>
                    </w:rPr>
                  </w:pPr>
                  <w:r>
                    <w:rPr>
                      <w:rFonts w:hint="eastAsia"/>
                      <w:color w:val="auto"/>
                      <w:szCs w:val="21"/>
                    </w:rPr>
                    <w:t>9盒</w:t>
                  </w:r>
                </w:p>
              </w:tc>
            </w:tr>
            <w:tr w14:paraId="03BA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509C29F">
                  <w:pPr>
                    <w:jc w:val="center"/>
                    <w:rPr>
                      <w:color w:val="auto"/>
                      <w:szCs w:val="21"/>
                    </w:rPr>
                  </w:pPr>
                </w:p>
              </w:tc>
              <w:tc>
                <w:tcPr>
                  <w:tcW w:w="4214" w:type="dxa"/>
                  <w:vAlign w:val="center"/>
                </w:tcPr>
                <w:p w14:paraId="327C1086">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血常规清洗液</w:t>
                  </w:r>
                </w:p>
              </w:tc>
              <w:tc>
                <w:tcPr>
                  <w:tcW w:w="1572" w:type="dxa"/>
                  <w:vAlign w:val="center"/>
                </w:tcPr>
                <w:p w14:paraId="5C92B873">
                  <w:pPr>
                    <w:jc w:val="center"/>
                    <w:rPr>
                      <w:color w:val="auto"/>
                      <w:szCs w:val="21"/>
                    </w:rPr>
                  </w:pPr>
                  <w:r>
                    <w:rPr>
                      <w:rFonts w:hint="eastAsia"/>
                      <w:color w:val="auto"/>
                      <w:szCs w:val="21"/>
                    </w:rPr>
                    <w:t>7瓶</w:t>
                  </w:r>
                </w:p>
              </w:tc>
            </w:tr>
            <w:tr w14:paraId="302A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5A7D328">
                  <w:pPr>
                    <w:jc w:val="center"/>
                    <w:rPr>
                      <w:color w:val="auto"/>
                      <w:szCs w:val="21"/>
                    </w:rPr>
                  </w:pPr>
                </w:p>
              </w:tc>
              <w:tc>
                <w:tcPr>
                  <w:tcW w:w="4214" w:type="dxa"/>
                  <w:vAlign w:val="center"/>
                </w:tcPr>
                <w:p w14:paraId="025C7BC7">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生化清洗液</w:t>
                  </w:r>
                </w:p>
              </w:tc>
              <w:tc>
                <w:tcPr>
                  <w:tcW w:w="1572" w:type="dxa"/>
                  <w:vAlign w:val="center"/>
                </w:tcPr>
                <w:p w14:paraId="31053764">
                  <w:pPr>
                    <w:jc w:val="center"/>
                    <w:rPr>
                      <w:color w:val="auto"/>
                      <w:szCs w:val="21"/>
                    </w:rPr>
                  </w:pPr>
                  <w:r>
                    <w:rPr>
                      <w:rFonts w:hint="eastAsia"/>
                      <w:color w:val="auto"/>
                      <w:szCs w:val="21"/>
                    </w:rPr>
                    <w:t>3瓶</w:t>
                  </w:r>
                </w:p>
              </w:tc>
            </w:tr>
            <w:tr w14:paraId="4F59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67BFDB9">
                  <w:pPr>
                    <w:jc w:val="center"/>
                    <w:rPr>
                      <w:color w:val="auto"/>
                      <w:szCs w:val="21"/>
                    </w:rPr>
                  </w:pPr>
                </w:p>
              </w:tc>
              <w:tc>
                <w:tcPr>
                  <w:tcW w:w="4214" w:type="dxa"/>
                  <w:vAlign w:val="center"/>
                </w:tcPr>
                <w:p w14:paraId="0DC19AD8">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EDTA-2K试管</w:t>
                  </w:r>
                </w:p>
              </w:tc>
              <w:tc>
                <w:tcPr>
                  <w:tcW w:w="1572" w:type="dxa"/>
                  <w:vAlign w:val="center"/>
                </w:tcPr>
                <w:p w14:paraId="575E1507">
                  <w:pPr>
                    <w:jc w:val="center"/>
                    <w:rPr>
                      <w:color w:val="auto"/>
                      <w:szCs w:val="21"/>
                    </w:rPr>
                  </w:pPr>
                  <w:r>
                    <w:rPr>
                      <w:rFonts w:hint="eastAsia"/>
                      <w:color w:val="auto"/>
                      <w:szCs w:val="21"/>
                    </w:rPr>
                    <w:t>4盒</w:t>
                  </w:r>
                </w:p>
              </w:tc>
            </w:tr>
            <w:tr w14:paraId="65DA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9D39EF4">
                  <w:pPr>
                    <w:jc w:val="center"/>
                    <w:rPr>
                      <w:color w:val="auto"/>
                      <w:szCs w:val="21"/>
                    </w:rPr>
                  </w:pPr>
                </w:p>
              </w:tc>
              <w:tc>
                <w:tcPr>
                  <w:tcW w:w="4214" w:type="dxa"/>
                  <w:vAlign w:val="center"/>
                </w:tcPr>
                <w:p w14:paraId="0685CD90">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生化试管</w:t>
                  </w:r>
                </w:p>
              </w:tc>
              <w:tc>
                <w:tcPr>
                  <w:tcW w:w="1572" w:type="dxa"/>
                  <w:vAlign w:val="center"/>
                </w:tcPr>
                <w:p w14:paraId="562BB566">
                  <w:pPr>
                    <w:jc w:val="center"/>
                    <w:rPr>
                      <w:color w:val="auto"/>
                      <w:szCs w:val="21"/>
                    </w:rPr>
                  </w:pPr>
                  <w:r>
                    <w:rPr>
                      <w:rFonts w:hint="eastAsia"/>
                      <w:color w:val="auto"/>
                      <w:szCs w:val="21"/>
                    </w:rPr>
                    <w:t>3盒</w:t>
                  </w:r>
                </w:p>
              </w:tc>
            </w:tr>
            <w:tr w14:paraId="1C06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A6B2E19">
                  <w:pPr>
                    <w:jc w:val="center"/>
                    <w:rPr>
                      <w:color w:val="auto"/>
                      <w:szCs w:val="21"/>
                    </w:rPr>
                  </w:pPr>
                </w:p>
              </w:tc>
              <w:tc>
                <w:tcPr>
                  <w:tcW w:w="4214" w:type="dxa"/>
                  <w:vAlign w:val="center"/>
                </w:tcPr>
                <w:p w14:paraId="1CD430BA">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肝素钠管</w:t>
                  </w:r>
                </w:p>
              </w:tc>
              <w:tc>
                <w:tcPr>
                  <w:tcW w:w="1572" w:type="dxa"/>
                  <w:vAlign w:val="center"/>
                </w:tcPr>
                <w:p w14:paraId="135E1987">
                  <w:pPr>
                    <w:jc w:val="center"/>
                    <w:rPr>
                      <w:color w:val="auto"/>
                      <w:szCs w:val="21"/>
                    </w:rPr>
                  </w:pPr>
                  <w:r>
                    <w:rPr>
                      <w:rFonts w:hint="eastAsia"/>
                      <w:color w:val="auto"/>
                      <w:szCs w:val="21"/>
                    </w:rPr>
                    <w:t>5盒</w:t>
                  </w:r>
                </w:p>
              </w:tc>
            </w:tr>
            <w:tr w14:paraId="4B9F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F5CE47F">
                  <w:pPr>
                    <w:jc w:val="center"/>
                    <w:rPr>
                      <w:color w:val="auto"/>
                      <w:szCs w:val="21"/>
                    </w:rPr>
                  </w:pPr>
                </w:p>
              </w:tc>
              <w:tc>
                <w:tcPr>
                  <w:tcW w:w="4214" w:type="dxa"/>
                  <w:vAlign w:val="center"/>
                </w:tcPr>
                <w:p w14:paraId="19B6A7AB">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血沉管</w:t>
                  </w:r>
                </w:p>
              </w:tc>
              <w:tc>
                <w:tcPr>
                  <w:tcW w:w="1572" w:type="dxa"/>
                  <w:vAlign w:val="center"/>
                </w:tcPr>
                <w:p w14:paraId="0F4B0232">
                  <w:pPr>
                    <w:jc w:val="center"/>
                    <w:rPr>
                      <w:color w:val="auto"/>
                      <w:szCs w:val="21"/>
                    </w:rPr>
                  </w:pPr>
                  <w:r>
                    <w:rPr>
                      <w:rFonts w:hint="eastAsia"/>
                      <w:color w:val="auto"/>
                      <w:szCs w:val="21"/>
                    </w:rPr>
                    <w:t>2盒</w:t>
                  </w:r>
                </w:p>
              </w:tc>
            </w:tr>
            <w:tr w14:paraId="10EC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40842C1">
                  <w:pPr>
                    <w:jc w:val="center"/>
                    <w:rPr>
                      <w:color w:val="auto"/>
                      <w:szCs w:val="21"/>
                    </w:rPr>
                  </w:pPr>
                </w:p>
              </w:tc>
              <w:tc>
                <w:tcPr>
                  <w:tcW w:w="4214" w:type="dxa"/>
                  <w:vAlign w:val="center"/>
                </w:tcPr>
                <w:p w14:paraId="5BF5C652">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枸橼酸纳管</w:t>
                  </w:r>
                </w:p>
              </w:tc>
              <w:tc>
                <w:tcPr>
                  <w:tcW w:w="1572" w:type="dxa"/>
                  <w:vAlign w:val="center"/>
                </w:tcPr>
                <w:p w14:paraId="7EC61A51">
                  <w:pPr>
                    <w:jc w:val="center"/>
                    <w:rPr>
                      <w:color w:val="auto"/>
                      <w:szCs w:val="21"/>
                    </w:rPr>
                  </w:pPr>
                  <w:r>
                    <w:rPr>
                      <w:rFonts w:hint="eastAsia"/>
                      <w:color w:val="auto"/>
                      <w:szCs w:val="21"/>
                    </w:rPr>
                    <w:t>1盒</w:t>
                  </w:r>
                </w:p>
              </w:tc>
            </w:tr>
            <w:tr w14:paraId="6109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E633CC0">
                  <w:pPr>
                    <w:jc w:val="center"/>
                    <w:rPr>
                      <w:color w:val="auto"/>
                      <w:szCs w:val="21"/>
                    </w:rPr>
                  </w:pPr>
                </w:p>
              </w:tc>
              <w:tc>
                <w:tcPr>
                  <w:tcW w:w="4214" w:type="dxa"/>
                  <w:vAlign w:val="center"/>
                </w:tcPr>
                <w:p w14:paraId="201E7302">
                  <w:pPr>
                    <w:jc w:val="center"/>
                    <w:rPr>
                      <w:rFonts w:hint="eastAsia" w:ascii="宋体" w:hAnsi="宋体" w:cs="宋体"/>
                      <w:color w:val="auto"/>
                      <w:kern w:val="0"/>
                      <w:sz w:val="22"/>
                      <w:szCs w:val="22"/>
                      <w:lang w:bidi="ar"/>
                    </w:rPr>
                  </w:pPr>
                  <w:r>
                    <w:rPr>
                      <w:rFonts w:hint="eastAsia" w:hAnsi="宋体"/>
                      <w:color w:val="auto"/>
                      <w:szCs w:val="21"/>
                    </w:rPr>
                    <w:t>降钙素原试剂</w:t>
                  </w:r>
                </w:p>
              </w:tc>
              <w:tc>
                <w:tcPr>
                  <w:tcW w:w="1572" w:type="dxa"/>
                  <w:vAlign w:val="center"/>
                </w:tcPr>
                <w:p w14:paraId="4B2EE4B9">
                  <w:pPr>
                    <w:jc w:val="center"/>
                    <w:rPr>
                      <w:color w:val="auto"/>
                      <w:szCs w:val="21"/>
                    </w:rPr>
                  </w:pPr>
                  <w:r>
                    <w:rPr>
                      <w:rFonts w:hint="eastAsia"/>
                      <w:color w:val="auto"/>
                      <w:szCs w:val="21"/>
                    </w:rPr>
                    <w:t>1盒</w:t>
                  </w:r>
                </w:p>
              </w:tc>
            </w:tr>
          </w:tbl>
          <w:p w14:paraId="42CB51A0">
            <w:pPr>
              <w:spacing w:line="360" w:lineRule="auto"/>
              <w:rPr>
                <w:b/>
                <w:color w:val="auto"/>
                <w:sz w:val="24"/>
              </w:rPr>
            </w:pPr>
            <w:r>
              <w:rPr>
                <w:rFonts w:hint="eastAsia"/>
                <w:b/>
                <w:color w:val="auto"/>
                <w:sz w:val="24"/>
              </w:rPr>
              <w:t>5、现有项目建设规模</w:t>
            </w:r>
          </w:p>
          <w:p w14:paraId="0D072F82">
            <w:pPr>
              <w:spacing w:line="360" w:lineRule="auto"/>
              <w:ind w:firstLine="480" w:firstLineChars="200"/>
              <w:rPr>
                <w:color w:val="auto"/>
                <w:sz w:val="24"/>
              </w:rPr>
            </w:pPr>
            <w:r>
              <w:rPr>
                <w:rFonts w:hint="eastAsia"/>
                <w:color w:val="auto"/>
                <w:sz w:val="24"/>
              </w:rPr>
              <w:t>本项目涉及4个卫生院，现有项目纳古卫生院设置</w:t>
            </w:r>
            <w:r>
              <w:rPr>
                <w:color w:val="auto"/>
                <w:sz w:val="24"/>
              </w:rPr>
              <w:t>床位为</w:t>
            </w:r>
            <w:r>
              <w:rPr>
                <w:rFonts w:hint="eastAsia"/>
                <w:color w:val="auto"/>
                <w:sz w:val="24"/>
              </w:rPr>
              <w:t>24床，</w:t>
            </w:r>
            <w:r>
              <w:rPr>
                <w:color w:val="auto"/>
                <w:sz w:val="24"/>
              </w:rPr>
              <w:t>可接诊病人</w:t>
            </w:r>
            <w:r>
              <w:rPr>
                <w:rFonts w:hint="eastAsia"/>
                <w:color w:val="auto"/>
                <w:sz w:val="24"/>
              </w:rPr>
              <w:t>为52</w:t>
            </w:r>
            <w:r>
              <w:rPr>
                <w:color w:val="auto"/>
                <w:sz w:val="24"/>
              </w:rPr>
              <w:t>人</w:t>
            </w:r>
            <w:r>
              <w:rPr>
                <w:rFonts w:hint="eastAsia"/>
                <w:color w:val="auto"/>
                <w:sz w:val="24"/>
              </w:rPr>
              <w:t>/d</w:t>
            </w:r>
            <w:r>
              <w:rPr>
                <w:color w:val="auto"/>
                <w:sz w:val="24"/>
              </w:rPr>
              <w:t>。</w:t>
            </w:r>
            <w:r>
              <w:rPr>
                <w:rFonts w:hint="eastAsia"/>
                <w:color w:val="auto"/>
                <w:sz w:val="24"/>
              </w:rPr>
              <w:t>四街卫生院设置</w:t>
            </w:r>
            <w:r>
              <w:rPr>
                <w:color w:val="auto"/>
                <w:sz w:val="24"/>
              </w:rPr>
              <w:t>床位为</w:t>
            </w:r>
            <w:r>
              <w:rPr>
                <w:rFonts w:hint="eastAsia"/>
                <w:color w:val="auto"/>
                <w:sz w:val="24"/>
              </w:rPr>
              <w:t>15床，</w:t>
            </w:r>
            <w:r>
              <w:rPr>
                <w:color w:val="auto"/>
                <w:sz w:val="24"/>
              </w:rPr>
              <w:t>可接诊病人</w:t>
            </w:r>
            <w:r>
              <w:rPr>
                <w:rFonts w:hint="eastAsia"/>
                <w:color w:val="auto"/>
                <w:sz w:val="24"/>
              </w:rPr>
              <w:t>为150</w:t>
            </w:r>
            <w:r>
              <w:rPr>
                <w:color w:val="auto"/>
                <w:sz w:val="24"/>
              </w:rPr>
              <w:t>人</w:t>
            </w:r>
            <w:r>
              <w:rPr>
                <w:rFonts w:hint="eastAsia"/>
                <w:color w:val="auto"/>
                <w:sz w:val="24"/>
              </w:rPr>
              <w:t>/d。九龙卫生院设置</w:t>
            </w:r>
            <w:r>
              <w:rPr>
                <w:color w:val="auto"/>
                <w:sz w:val="24"/>
              </w:rPr>
              <w:t>床位为</w:t>
            </w:r>
            <w:r>
              <w:rPr>
                <w:rFonts w:hint="eastAsia"/>
                <w:color w:val="auto"/>
                <w:sz w:val="24"/>
              </w:rPr>
              <w:t>20床，</w:t>
            </w:r>
            <w:r>
              <w:rPr>
                <w:color w:val="auto"/>
                <w:sz w:val="24"/>
              </w:rPr>
              <w:t>可接诊病人</w:t>
            </w:r>
            <w:r>
              <w:rPr>
                <w:rFonts w:hint="eastAsia"/>
                <w:color w:val="auto"/>
                <w:sz w:val="24"/>
              </w:rPr>
              <w:t>为200</w:t>
            </w:r>
            <w:r>
              <w:rPr>
                <w:color w:val="auto"/>
                <w:sz w:val="24"/>
              </w:rPr>
              <w:t>人</w:t>
            </w:r>
            <w:r>
              <w:rPr>
                <w:rFonts w:hint="eastAsia"/>
                <w:color w:val="auto"/>
                <w:sz w:val="24"/>
              </w:rPr>
              <w:t>/d。杨广卫生院设置</w:t>
            </w:r>
            <w:r>
              <w:rPr>
                <w:color w:val="auto"/>
                <w:sz w:val="24"/>
              </w:rPr>
              <w:t>床位为</w:t>
            </w:r>
            <w:r>
              <w:rPr>
                <w:rFonts w:hint="eastAsia"/>
                <w:color w:val="auto"/>
                <w:sz w:val="24"/>
              </w:rPr>
              <w:t>32床，</w:t>
            </w:r>
            <w:r>
              <w:rPr>
                <w:color w:val="auto"/>
                <w:sz w:val="24"/>
              </w:rPr>
              <w:t>可接诊病人</w:t>
            </w:r>
            <w:r>
              <w:rPr>
                <w:rFonts w:hint="eastAsia"/>
                <w:color w:val="auto"/>
                <w:sz w:val="24"/>
              </w:rPr>
              <w:t>为160</w:t>
            </w:r>
            <w:r>
              <w:rPr>
                <w:color w:val="auto"/>
                <w:sz w:val="24"/>
              </w:rPr>
              <w:t>人</w:t>
            </w:r>
            <w:r>
              <w:rPr>
                <w:rFonts w:hint="eastAsia"/>
                <w:color w:val="auto"/>
                <w:sz w:val="24"/>
              </w:rPr>
              <w:t>/d。</w:t>
            </w:r>
          </w:p>
          <w:p w14:paraId="67B65388">
            <w:pPr>
              <w:spacing w:line="360" w:lineRule="auto"/>
              <w:rPr>
                <w:b/>
                <w:color w:val="auto"/>
                <w:sz w:val="24"/>
              </w:rPr>
            </w:pPr>
            <w:r>
              <w:rPr>
                <w:rFonts w:hint="eastAsia"/>
                <w:b/>
                <w:color w:val="auto"/>
                <w:sz w:val="24"/>
              </w:rPr>
              <w:t>6、现有项目</w:t>
            </w:r>
            <w:r>
              <w:rPr>
                <w:b/>
                <w:color w:val="auto"/>
                <w:sz w:val="24"/>
              </w:rPr>
              <w:t>劳动定员及工作制度</w:t>
            </w:r>
          </w:p>
          <w:p w14:paraId="58AF8948">
            <w:pPr>
              <w:spacing w:line="360" w:lineRule="auto"/>
              <w:ind w:firstLine="480" w:firstLineChars="200"/>
              <w:rPr>
                <w:color w:val="auto"/>
                <w:sz w:val="24"/>
              </w:rPr>
            </w:pPr>
            <w:r>
              <w:rPr>
                <w:rFonts w:hint="eastAsia"/>
                <w:color w:val="auto"/>
                <w:sz w:val="24"/>
              </w:rPr>
              <w:t>现有项目九龙卫生院</w:t>
            </w:r>
            <w:r>
              <w:rPr>
                <w:color w:val="auto"/>
                <w:sz w:val="24"/>
              </w:rPr>
              <w:t>有职工</w:t>
            </w:r>
            <w:r>
              <w:rPr>
                <w:rFonts w:hint="eastAsia"/>
                <w:color w:val="auto"/>
                <w:sz w:val="24"/>
              </w:rPr>
              <w:t>34</w:t>
            </w:r>
            <w:r>
              <w:rPr>
                <w:color w:val="auto"/>
                <w:sz w:val="24"/>
              </w:rPr>
              <w:t>人</w:t>
            </w:r>
            <w:r>
              <w:rPr>
                <w:rFonts w:hint="eastAsia"/>
                <w:color w:val="auto"/>
                <w:sz w:val="24"/>
              </w:rPr>
              <w:t>；纳古卫生院</w:t>
            </w:r>
            <w:r>
              <w:rPr>
                <w:color w:val="auto"/>
                <w:sz w:val="24"/>
              </w:rPr>
              <w:t>全院有职工</w:t>
            </w:r>
            <w:r>
              <w:rPr>
                <w:rFonts w:hint="eastAsia"/>
                <w:color w:val="auto"/>
                <w:sz w:val="24"/>
              </w:rPr>
              <w:t>29</w:t>
            </w:r>
            <w:r>
              <w:rPr>
                <w:color w:val="auto"/>
                <w:sz w:val="24"/>
              </w:rPr>
              <w:t>人</w:t>
            </w:r>
            <w:r>
              <w:rPr>
                <w:rFonts w:hint="eastAsia"/>
                <w:color w:val="auto"/>
                <w:sz w:val="24"/>
              </w:rPr>
              <w:t>；四街卫生院</w:t>
            </w:r>
            <w:r>
              <w:rPr>
                <w:color w:val="auto"/>
                <w:sz w:val="24"/>
              </w:rPr>
              <w:t>有职工</w:t>
            </w:r>
            <w:r>
              <w:rPr>
                <w:rFonts w:hint="eastAsia"/>
                <w:color w:val="auto"/>
                <w:sz w:val="24"/>
              </w:rPr>
              <w:t>54</w:t>
            </w:r>
            <w:r>
              <w:rPr>
                <w:color w:val="auto"/>
                <w:sz w:val="24"/>
              </w:rPr>
              <w:t>人</w:t>
            </w:r>
            <w:r>
              <w:rPr>
                <w:rFonts w:hint="eastAsia"/>
                <w:color w:val="auto"/>
                <w:sz w:val="24"/>
              </w:rPr>
              <w:t>；杨广卫生院</w:t>
            </w:r>
            <w:r>
              <w:rPr>
                <w:color w:val="auto"/>
                <w:sz w:val="24"/>
              </w:rPr>
              <w:t>全院有职工</w:t>
            </w:r>
            <w:r>
              <w:rPr>
                <w:rFonts w:hint="eastAsia"/>
                <w:color w:val="auto"/>
                <w:sz w:val="24"/>
              </w:rPr>
              <w:t>62</w:t>
            </w:r>
            <w:r>
              <w:rPr>
                <w:color w:val="auto"/>
                <w:sz w:val="24"/>
              </w:rPr>
              <w:t>人。</w:t>
            </w:r>
          </w:p>
          <w:p w14:paraId="6132792E">
            <w:pPr>
              <w:spacing w:line="360" w:lineRule="auto"/>
              <w:ind w:firstLine="480" w:firstLineChars="200"/>
              <w:rPr>
                <w:color w:val="auto"/>
                <w:sz w:val="24"/>
              </w:rPr>
            </w:pPr>
            <w:r>
              <w:rPr>
                <w:rFonts w:hint="eastAsia"/>
                <w:color w:val="auto"/>
                <w:sz w:val="24"/>
              </w:rPr>
              <w:t>现有项目仅纳古卫生院未设置有食堂，其余卫生院均设置有食堂，为部分</w:t>
            </w:r>
            <w:r>
              <w:rPr>
                <w:color w:val="auto"/>
                <w:sz w:val="24"/>
              </w:rPr>
              <w:t>医护人员</w:t>
            </w:r>
            <w:r>
              <w:rPr>
                <w:rFonts w:hint="eastAsia"/>
                <w:color w:val="auto"/>
                <w:sz w:val="24"/>
              </w:rPr>
              <w:t>每天提供一餐，就餐人数为四街卫生院15人/d，九龙卫生院10人/d，杨广卫生院13人/d。</w:t>
            </w:r>
          </w:p>
          <w:p w14:paraId="685FB45F">
            <w:pPr>
              <w:pStyle w:val="8"/>
              <w:adjustRightInd w:val="0"/>
              <w:snapToGrid w:val="0"/>
              <w:spacing w:line="360" w:lineRule="auto"/>
              <w:ind w:firstLine="0" w:firstLineChars="0"/>
              <w:rPr>
                <w:b/>
                <w:color w:val="auto"/>
              </w:rPr>
            </w:pPr>
            <w:r>
              <w:rPr>
                <w:rFonts w:hint="eastAsia"/>
                <w:b/>
                <w:color w:val="auto"/>
              </w:rPr>
              <w:t>7、现有项目运营期污染物产生及排放情况</w:t>
            </w:r>
          </w:p>
          <w:p w14:paraId="3A979879">
            <w:pPr>
              <w:adjustRightInd w:val="0"/>
              <w:snapToGrid w:val="0"/>
              <w:spacing w:line="360" w:lineRule="auto"/>
              <w:ind w:firstLine="480" w:firstLineChars="200"/>
              <w:jc w:val="left"/>
              <w:rPr>
                <w:color w:val="auto"/>
                <w:sz w:val="24"/>
              </w:rPr>
            </w:pPr>
            <w:r>
              <w:rPr>
                <w:rFonts w:hint="eastAsia"/>
                <w:color w:val="auto"/>
                <w:sz w:val="24"/>
              </w:rPr>
              <w:t>现有项目</w:t>
            </w:r>
            <w:r>
              <w:rPr>
                <w:color w:val="auto"/>
                <w:sz w:val="24"/>
              </w:rPr>
              <w:t>运营期主要污染源有废气、废水、噪声和固体废物。</w:t>
            </w:r>
          </w:p>
          <w:p w14:paraId="64C12C60">
            <w:pPr>
              <w:adjustRightInd w:val="0"/>
              <w:snapToGrid w:val="0"/>
              <w:spacing w:line="360" w:lineRule="auto"/>
              <w:ind w:firstLine="482" w:firstLineChars="200"/>
              <w:outlineLvl w:val="0"/>
              <w:rPr>
                <w:b/>
                <w:bCs/>
                <w:color w:val="auto"/>
                <w:sz w:val="24"/>
              </w:rPr>
            </w:pPr>
            <w:bookmarkStart w:id="42" w:name="_Toc17128511"/>
            <w:bookmarkStart w:id="43" w:name="_Toc20490336"/>
            <w:r>
              <w:rPr>
                <w:b/>
                <w:bCs/>
                <w:color w:val="auto"/>
                <w:sz w:val="24"/>
              </w:rPr>
              <w:t>（1）</w:t>
            </w:r>
            <w:r>
              <w:rPr>
                <w:rFonts w:hint="eastAsia"/>
                <w:b/>
                <w:color w:val="auto"/>
                <w:sz w:val="24"/>
              </w:rPr>
              <w:t>现有项目</w:t>
            </w:r>
            <w:r>
              <w:rPr>
                <w:b/>
                <w:bCs/>
                <w:color w:val="auto"/>
                <w:sz w:val="24"/>
              </w:rPr>
              <w:t>运营期大气污染物</w:t>
            </w:r>
            <w:bookmarkEnd w:id="42"/>
            <w:bookmarkEnd w:id="43"/>
          </w:p>
          <w:p w14:paraId="61D05795">
            <w:pPr>
              <w:adjustRightInd w:val="0"/>
              <w:snapToGrid w:val="0"/>
              <w:spacing w:line="360" w:lineRule="auto"/>
              <w:ind w:firstLine="480"/>
              <w:rPr>
                <w:color w:val="auto"/>
                <w:sz w:val="24"/>
              </w:rPr>
            </w:pPr>
            <w:r>
              <w:rPr>
                <w:rFonts w:hint="eastAsia"/>
                <w:color w:val="auto"/>
                <w:sz w:val="24"/>
              </w:rPr>
              <w:t>现有项目</w:t>
            </w:r>
            <w:r>
              <w:rPr>
                <w:color w:val="auto"/>
                <w:sz w:val="24"/>
              </w:rPr>
              <w:t>运营期间产生废气</w:t>
            </w:r>
            <w:bookmarkStart w:id="44" w:name="_Hlk192067744"/>
            <w:r>
              <w:rPr>
                <w:color w:val="auto"/>
                <w:sz w:val="24"/>
              </w:rPr>
              <w:t>主要为</w:t>
            </w:r>
            <w:r>
              <w:rPr>
                <w:rFonts w:hint="eastAsia"/>
                <w:color w:val="auto"/>
                <w:sz w:val="24"/>
              </w:rPr>
              <w:t>恶臭</w:t>
            </w:r>
            <w:r>
              <w:rPr>
                <w:color w:val="auto"/>
                <w:sz w:val="24"/>
              </w:rPr>
              <w:t>、</w:t>
            </w:r>
            <w:r>
              <w:rPr>
                <w:rFonts w:hint="eastAsia"/>
                <w:color w:val="auto"/>
                <w:sz w:val="24"/>
              </w:rPr>
              <w:t>食堂油烟、</w:t>
            </w:r>
            <w:r>
              <w:rPr>
                <w:color w:val="auto"/>
                <w:sz w:val="24"/>
              </w:rPr>
              <w:t>汽车尾气</w:t>
            </w:r>
            <w:r>
              <w:rPr>
                <w:rFonts w:hint="eastAsia"/>
                <w:color w:val="auto"/>
                <w:sz w:val="24"/>
              </w:rPr>
              <w:t>及备用柴油发电机废气等。</w:t>
            </w:r>
          </w:p>
          <w:bookmarkEnd w:id="44"/>
          <w:p w14:paraId="10BCE0E0">
            <w:pPr>
              <w:adjustRightInd w:val="0"/>
              <w:snapToGrid w:val="0"/>
              <w:spacing w:line="360" w:lineRule="auto"/>
              <w:ind w:firstLine="482"/>
              <w:rPr>
                <w:b/>
                <w:color w:val="auto"/>
                <w:kern w:val="0"/>
                <w:sz w:val="24"/>
              </w:rPr>
            </w:pPr>
            <w:r>
              <w:rPr>
                <w:rFonts w:hint="eastAsia"/>
                <w:b/>
                <w:color w:val="auto"/>
                <w:kern w:val="0"/>
                <w:sz w:val="24"/>
              </w:rPr>
              <w:t>1</w:t>
            </w:r>
            <w:r>
              <w:rPr>
                <w:b/>
                <w:color w:val="auto"/>
                <w:kern w:val="0"/>
                <w:sz w:val="24"/>
              </w:rPr>
              <w:t>）</w:t>
            </w:r>
            <w:r>
              <w:rPr>
                <w:rFonts w:hint="eastAsia"/>
                <w:b/>
                <w:color w:val="auto"/>
                <w:kern w:val="0"/>
                <w:sz w:val="24"/>
              </w:rPr>
              <w:t>恶臭</w:t>
            </w:r>
          </w:p>
          <w:p w14:paraId="390B9A83">
            <w:pPr>
              <w:adjustRightInd w:val="0"/>
              <w:snapToGrid w:val="0"/>
              <w:spacing w:line="360" w:lineRule="auto"/>
              <w:ind w:firstLine="480"/>
              <w:rPr>
                <w:color w:val="auto"/>
                <w:sz w:val="24"/>
              </w:rPr>
            </w:pPr>
            <w:r>
              <w:rPr>
                <w:rFonts w:hint="eastAsia"/>
                <w:color w:val="auto"/>
                <w:sz w:val="24"/>
              </w:rPr>
              <w:t>现有项目</w:t>
            </w:r>
            <w:r>
              <w:rPr>
                <w:color w:val="auto"/>
                <w:sz w:val="24"/>
              </w:rPr>
              <w:t>运营期</w:t>
            </w:r>
            <w:r>
              <w:rPr>
                <w:rFonts w:hint="eastAsia"/>
                <w:color w:val="auto"/>
                <w:sz w:val="24"/>
              </w:rPr>
              <w:t>恶臭</w:t>
            </w:r>
            <w:r>
              <w:rPr>
                <w:color w:val="auto"/>
                <w:sz w:val="24"/>
              </w:rPr>
              <w:t>主要</w:t>
            </w:r>
            <w:r>
              <w:rPr>
                <w:rFonts w:hint="eastAsia"/>
                <w:color w:val="auto"/>
                <w:sz w:val="24"/>
              </w:rPr>
              <w:t>产生于</w:t>
            </w:r>
            <w:r>
              <w:rPr>
                <w:color w:val="auto"/>
                <w:sz w:val="24"/>
              </w:rPr>
              <w:t>化粪池、</w:t>
            </w:r>
            <w:r>
              <w:rPr>
                <w:rFonts w:hint="eastAsia"/>
                <w:color w:val="auto"/>
                <w:sz w:val="24"/>
              </w:rPr>
              <w:t>垃圾桶、卫生间及</w:t>
            </w:r>
            <w:r>
              <w:rPr>
                <w:color w:val="auto"/>
                <w:sz w:val="24"/>
              </w:rPr>
              <w:t>污水处理站</w:t>
            </w:r>
            <w:r>
              <w:rPr>
                <w:rFonts w:hint="eastAsia"/>
                <w:color w:val="auto"/>
                <w:sz w:val="24"/>
              </w:rPr>
              <w:t>运行过程中</w:t>
            </w:r>
            <w:r>
              <w:rPr>
                <w:color w:val="auto"/>
                <w:sz w:val="24"/>
              </w:rPr>
              <w:t>。</w:t>
            </w:r>
          </w:p>
          <w:p w14:paraId="0D3362B8">
            <w:pPr>
              <w:pStyle w:val="131"/>
              <w:adjustRightInd w:val="0"/>
              <w:snapToGrid w:val="0"/>
              <w:ind w:firstLine="480"/>
              <w:rPr>
                <w:color w:val="auto"/>
              </w:rPr>
            </w:pPr>
            <w:r>
              <w:rPr>
                <w:rFonts w:hint="eastAsia"/>
                <w:color w:val="auto"/>
                <w:szCs w:val="24"/>
              </w:rPr>
              <w:t>现有项目化粪池</w:t>
            </w:r>
            <w:r>
              <w:rPr>
                <w:color w:val="auto"/>
                <w:szCs w:val="24"/>
              </w:rPr>
              <w:t>设置为地埋式</w:t>
            </w:r>
            <w:r>
              <w:rPr>
                <w:color w:val="auto"/>
              </w:rPr>
              <w:t>，密闭性较好，挥发到空气中的</w:t>
            </w:r>
            <w:r>
              <w:rPr>
                <w:rFonts w:hint="eastAsia"/>
                <w:color w:val="auto"/>
              </w:rPr>
              <w:t>恶臭</w:t>
            </w:r>
            <w:r>
              <w:rPr>
                <w:color w:val="auto"/>
              </w:rPr>
              <w:t>较少</w:t>
            </w:r>
            <w:r>
              <w:rPr>
                <w:rFonts w:hint="eastAsia"/>
                <w:color w:val="auto"/>
              </w:rPr>
              <w:t>；项目区垃圾桶内的垃圾能做到日产日清，通过及时清运可减轻对环境的不利影响。</w:t>
            </w:r>
          </w:p>
          <w:p w14:paraId="075ED921">
            <w:pPr>
              <w:widowControl/>
              <w:spacing w:line="360" w:lineRule="auto"/>
              <w:ind w:firstLine="480" w:firstLineChars="200"/>
              <w:jc w:val="left"/>
              <w:rPr>
                <w:color w:val="auto"/>
                <w:sz w:val="24"/>
              </w:rPr>
            </w:pPr>
            <w:r>
              <w:rPr>
                <w:rFonts w:hint="eastAsia"/>
                <w:color w:val="auto"/>
                <w:sz w:val="24"/>
              </w:rPr>
              <w:t>恶臭主要产生于</w:t>
            </w:r>
            <w:r>
              <w:rPr>
                <w:color w:val="auto"/>
                <w:sz w:val="24"/>
              </w:rPr>
              <w:t>污水处理站</w:t>
            </w:r>
            <w:r>
              <w:rPr>
                <w:rFonts w:hint="eastAsia"/>
                <w:color w:val="auto"/>
                <w:sz w:val="24"/>
              </w:rPr>
              <w:t>，其</w:t>
            </w:r>
            <w:r>
              <w:rPr>
                <w:color w:val="auto"/>
                <w:sz w:val="24"/>
              </w:rPr>
              <w:t>运行过程中，由于伴随微生物、原生动物、菌胶团等生物的新陈代谢而产生恶臭污染物，成分</w:t>
            </w:r>
            <w:r>
              <w:rPr>
                <w:rFonts w:hint="eastAsia"/>
                <w:color w:val="auto"/>
                <w:sz w:val="24"/>
              </w:rPr>
              <w:t>含</w:t>
            </w:r>
            <w:r>
              <w:rPr>
                <w:color w:val="auto"/>
                <w:sz w:val="24"/>
              </w:rPr>
              <w:t>H</w:t>
            </w:r>
            <w:r>
              <w:rPr>
                <w:color w:val="auto"/>
                <w:sz w:val="24"/>
                <w:vertAlign w:val="subscript"/>
              </w:rPr>
              <w:t>2</w:t>
            </w:r>
            <w:r>
              <w:rPr>
                <w:color w:val="auto"/>
                <w:sz w:val="24"/>
              </w:rPr>
              <w:t>S、NH</w:t>
            </w:r>
            <w:r>
              <w:rPr>
                <w:color w:val="auto"/>
                <w:sz w:val="24"/>
                <w:vertAlign w:val="subscript"/>
              </w:rPr>
              <w:t>3</w:t>
            </w:r>
            <w:r>
              <w:rPr>
                <w:color w:val="auto"/>
                <w:sz w:val="24"/>
              </w:rPr>
              <w:t>、甲硫醇、甲基硫、甲基化二硫、三甲胺、苯乙烯乙醛等物质，恶臭主要来源于格栅、</w:t>
            </w:r>
            <w:r>
              <w:rPr>
                <w:rFonts w:hint="eastAsia"/>
                <w:color w:val="auto"/>
                <w:sz w:val="24"/>
              </w:rPr>
              <w:t>生化处理单元</w:t>
            </w:r>
            <w:r>
              <w:rPr>
                <w:color w:val="auto"/>
                <w:sz w:val="24"/>
              </w:rPr>
              <w:t>等。恶臭气体的主要成分为H</w:t>
            </w:r>
            <w:r>
              <w:rPr>
                <w:color w:val="auto"/>
                <w:sz w:val="24"/>
                <w:vertAlign w:val="subscript"/>
              </w:rPr>
              <w:t>2</w:t>
            </w:r>
            <w:r>
              <w:rPr>
                <w:color w:val="auto"/>
                <w:sz w:val="24"/>
              </w:rPr>
              <w:t>S和NH</w:t>
            </w:r>
            <w:r>
              <w:rPr>
                <w:color w:val="auto"/>
                <w:sz w:val="24"/>
                <w:vertAlign w:val="subscript"/>
              </w:rPr>
              <w:t>3</w:t>
            </w:r>
            <w:r>
              <w:rPr>
                <w:rFonts w:hint="eastAsia"/>
                <w:color w:val="auto"/>
                <w:sz w:val="24"/>
              </w:rPr>
              <w:t>。本项目涉及4个卫生院，现有项目仅杨广卫生院污水处理站和纳古卫生院污水处理站能正常使用。根据现场踏勘污水处理站位于地下一层，地埋式，加盖密闭，在盖板上留有换气口，投放除臭剂（采取以上措施后，恶臭气体去除效率取60%，</w:t>
            </w:r>
            <w:r>
              <w:rPr>
                <w:color w:val="auto"/>
                <w:sz w:val="24"/>
              </w:rPr>
              <w:t>定期投放除臭剂</w:t>
            </w:r>
            <w:r>
              <w:rPr>
                <w:rFonts w:hint="eastAsia"/>
                <w:color w:val="auto"/>
                <w:sz w:val="24"/>
              </w:rPr>
              <w:t>，在</w:t>
            </w:r>
            <w:r>
              <w:rPr>
                <w:color w:val="auto"/>
                <w:sz w:val="24"/>
              </w:rPr>
              <w:t>盖板上留有换气口，异味产生量较小，呈无组织排放</w:t>
            </w:r>
            <w:r>
              <w:rPr>
                <w:rFonts w:hint="eastAsia"/>
                <w:color w:val="auto"/>
                <w:sz w:val="24"/>
              </w:rPr>
              <w:t>。</w:t>
            </w:r>
          </w:p>
          <w:p w14:paraId="5CBC87E0">
            <w:pPr>
              <w:pStyle w:val="131"/>
              <w:adjustRightInd w:val="0"/>
              <w:snapToGrid w:val="0"/>
              <w:ind w:firstLine="480"/>
              <w:rPr>
                <w:color w:val="auto"/>
              </w:rPr>
            </w:pPr>
            <w:r>
              <w:rPr>
                <w:color w:val="auto"/>
              </w:rPr>
              <w:t>根据美国EPA对城市污水处理站恶臭污染物产生情况的研究，每去除1.0g的BOD</w:t>
            </w:r>
            <w:r>
              <w:rPr>
                <w:color w:val="auto"/>
                <w:vertAlign w:val="subscript"/>
              </w:rPr>
              <w:t>5</w:t>
            </w:r>
            <w:r>
              <w:rPr>
                <w:color w:val="auto"/>
              </w:rPr>
              <w:t>可产生0.0031g的NH</w:t>
            </w:r>
            <w:r>
              <w:rPr>
                <w:color w:val="auto"/>
                <w:vertAlign w:val="subscript"/>
              </w:rPr>
              <w:t>3</w:t>
            </w:r>
            <w:r>
              <w:rPr>
                <w:color w:val="auto"/>
              </w:rPr>
              <w:t>、0.00012gH</w:t>
            </w:r>
            <w:r>
              <w:rPr>
                <w:color w:val="auto"/>
                <w:vertAlign w:val="subscript"/>
              </w:rPr>
              <w:t>2</w:t>
            </w:r>
            <w:r>
              <w:rPr>
                <w:color w:val="auto"/>
              </w:rPr>
              <w:t>S</w:t>
            </w:r>
            <w:r>
              <w:rPr>
                <w:rFonts w:hint="eastAsia"/>
                <w:color w:val="auto"/>
                <w:szCs w:val="24"/>
              </w:rPr>
              <w:t>，现有项目杨广卫生院污水处理站</w:t>
            </w:r>
            <w:r>
              <w:rPr>
                <w:color w:val="auto"/>
              </w:rPr>
              <w:t>BOD</w:t>
            </w:r>
            <w:r>
              <w:rPr>
                <w:color w:val="auto"/>
                <w:vertAlign w:val="subscript"/>
              </w:rPr>
              <w:t>5</w:t>
            </w:r>
            <w:r>
              <w:rPr>
                <w:color w:val="auto"/>
              </w:rPr>
              <w:t>的进水浓度为1</w:t>
            </w:r>
            <w:r>
              <w:rPr>
                <w:rFonts w:hint="eastAsia"/>
                <w:color w:val="auto"/>
              </w:rPr>
              <w:t>43</w:t>
            </w:r>
            <w:r>
              <w:rPr>
                <w:color w:val="auto"/>
              </w:rPr>
              <w:t>mg/L，出水浓度</w:t>
            </w:r>
            <w:r>
              <w:rPr>
                <w:rFonts w:hint="eastAsia"/>
                <w:color w:val="auto"/>
              </w:rPr>
              <w:t>为7.2</w:t>
            </w:r>
            <w:r>
              <w:rPr>
                <w:color w:val="auto"/>
              </w:rPr>
              <w:t>mg/L，故</w:t>
            </w:r>
            <w:r>
              <w:rPr>
                <w:rFonts w:hint="eastAsia"/>
                <w:color w:val="auto"/>
              </w:rPr>
              <w:t>污水处理站</w:t>
            </w:r>
            <w:r>
              <w:rPr>
                <w:color w:val="auto"/>
              </w:rPr>
              <w:t>BOD</w:t>
            </w:r>
            <w:r>
              <w:rPr>
                <w:color w:val="auto"/>
                <w:vertAlign w:val="subscript"/>
              </w:rPr>
              <w:t>5</w:t>
            </w:r>
            <w:r>
              <w:rPr>
                <w:color w:val="auto"/>
              </w:rPr>
              <w:t>的去除率为</w:t>
            </w:r>
            <w:r>
              <w:rPr>
                <w:rFonts w:hint="eastAsia"/>
                <w:color w:val="auto"/>
              </w:rPr>
              <w:t>95</w:t>
            </w:r>
            <w:r>
              <w:rPr>
                <w:color w:val="auto"/>
              </w:rPr>
              <w:t>%</w:t>
            </w:r>
            <w:r>
              <w:rPr>
                <w:rFonts w:hint="eastAsia"/>
                <w:color w:val="auto"/>
              </w:rPr>
              <w:t>；</w:t>
            </w:r>
            <w:r>
              <w:rPr>
                <w:rFonts w:hint="eastAsia"/>
                <w:color w:val="auto"/>
                <w:szCs w:val="24"/>
              </w:rPr>
              <w:t>现有项目纳古卫生院污水处理站</w:t>
            </w:r>
            <w:r>
              <w:rPr>
                <w:color w:val="auto"/>
              </w:rPr>
              <w:t>BOD</w:t>
            </w:r>
            <w:r>
              <w:rPr>
                <w:color w:val="auto"/>
                <w:vertAlign w:val="subscript"/>
              </w:rPr>
              <w:t>5</w:t>
            </w:r>
            <w:r>
              <w:rPr>
                <w:color w:val="auto"/>
              </w:rPr>
              <w:t>的进水浓度为1</w:t>
            </w:r>
            <w:r>
              <w:rPr>
                <w:rFonts w:hint="eastAsia"/>
                <w:color w:val="auto"/>
              </w:rPr>
              <w:t>43</w:t>
            </w:r>
            <w:r>
              <w:rPr>
                <w:color w:val="auto"/>
              </w:rPr>
              <w:t>mg/L，出水浓度</w:t>
            </w:r>
            <w:r>
              <w:rPr>
                <w:rFonts w:hint="eastAsia"/>
                <w:color w:val="auto"/>
              </w:rPr>
              <w:t>为4.2</w:t>
            </w:r>
            <w:r>
              <w:rPr>
                <w:color w:val="auto"/>
              </w:rPr>
              <w:t>mg/L，故</w:t>
            </w:r>
            <w:r>
              <w:rPr>
                <w:rFonts w:hint="eastAsia"/>
                <w:color w:val="auto"/>
              </w:rPr>
              <w:t>污水处理站</w:t>
            </w:r>
            <w:r>
              <w:rPr>
                <w:color w:val="auto"/>
              </w:rPr>
              <w:t>BOD</w:t>
            </w:r>
            <w:r>
              <w:rPr>
                <w:color w:val="auto"/>
                <w:vertAlign w:val="subscript"/>
              </w:rPr>
              <w:t>5</w:t>
            </w:r>
            <w:r>
              <w:rPr>
                <w:color w:val="auto"/>
              </w:rPr>
              <w:t>的去除率为</w:t>
            </w:r>
            <w:r>
              <w:rPr>
                <w:rFonts w:hint="eastAsia"/>
                <w:color w:val="auto"/>
              </w:rPr>
              <w:t>97</w:t>
            </w:r>
            <w:r>
              <w:rPr>
                <w:color w:val="auto"/>
              </w:rPr>
              <w:t>%，经计算，</w:t>
            </w:r>
            <w:r>
              <w:rPr>
                <w:rFonts w:hint="eastAsia"/>
                <w:color w:val="auto"/>
              </w:rPr>
              <w:t>现有项目杨广卫生院和纳古卫生院</w:t>
            </w:r>
            <w:r>
              <w:rPr>
                <w:color w:val="auto"/>
              </w:rPr>
              <w:t>污水处理站恶臭</w:t>
            </w:r>
            <w:r>
              <w:rPr>
                <w:rFonts w:hint="eastAsia"/>
                <w:color w:val="auto"/>
              </w:rPr>
              <w:t>污染物无组织</w:t>
            </w:r>
            <w:r>
              <w:rPr>
                <w:color w:val="auto"/>
              </w:rPr>
              <w:t>产</w:t>
            </w:r>
            <w:r>
              <w:rPr>
                <w:rFonts w:hint="eastAsia"/>
                <w:color w:val="auto"/>
              </w:rPr>
              <w:t>排</w:t>
            </w:r>
            <w:r>
              <w:rPr>
                <w:color w:val="auto"/>
              </w:rPr>
              <w:t>情况如下表：</w:t>
            </w:r>
          </w:p>
          <w:p w14:paraId="47B581C1">
            <w:pPr>
              <w:spacing w:line="360" w:lineRule="auto"/>
              <w:jc w:val="center"/>
              <w:rPr>
                <w:b/>
                <w:bCs/>
                <w:color w:val="auto"/>
                <w:sz w:val="24"/>
                <w:szCs w:val="32"/>
              </w:rPr>
            </w:pPr>
            <w:r>
              <w:rPr>
                <w:b/>
                <w:color w:val="auto"/>
                <w:sz w:val="24"/>
              </w:rPr>
              <w:t>表</w:t>
            </w:r>
            <w:r>
              <w:rPr>
                <w:rFonts w:hint="eastAsia"/>
                <w:b/>
                <w:color w:val="auto"/>
                <w:sz w:val="24"/>
              </w:rPr>
              <w:t>2</w:t>
            </w:r>
            <w:r>
              <w:rPr>
                <w:b/>
                <w:color w:val="auto"/>
                <w:sz w:val="24"/>
              </w:rPr>
              <w:t>-</w:t>
            </w:r>
            <w:r>
              <w:rPr>
                <w:rFonts w:hint="eastAsia"/>
                <w:b/>
                <w:color w:val="auto"/>
                <w:sz w:val="24"/>
              </w:rPr>
              <w:t>25</w:t>
            </w:r>
            <w:r>
              <w:rPr>
                <w:rFonts w:hint="eastAsia"/>
                <w:b/>
                <w:bCs/>
                <w:color w:val="auto"/>
                <w:sz w:val="24"/>
                <w:szCs w:val="32"/>
              </w:rPr>
              <w:t>现有卫生院</w:t>
            </w:r>
            <w:r>
              <w:rPr>
                <w:b/>
                <w:bCs/>
                <w:color w:val="auto"/>
                <w:sz w:val="24"/>
                <w:szCs w:val="32"/>
              </w:rPr>
              <w:t>污水处理站恶臭污染物</w:t>
            </w:r>
            <w:r>
              <w:rPr>
                <w:rFonts w:hint="eastAsia"/>
                <w:b/>
                <w:bCs/>
                <w:color w:val="auto"/>
                <w:sz w:val="24"/>
                <w:szCs w:val="32"/>
              </w:rPr>
              <w:t>无组织</w:t>
            </w:r>
            <w:r>
              <w:rPr>
                <w:b/>
                <w:bCs/>
                <w:color w:val="auto"/>
                <w:sz w:val="24"/>
                <w:szCs w:val="32"/>
              </w:rPr>
              <w:t>产</w:t>
            </w:r>
            <w:r>
              <w:rPr>
                <w:rFonts w:hint="eastAsia"/>
                <w:b/>
                <w:bCs/>
                <w:color w:val="auto"/>
                <w:sz w:val="24"/>
                <w:szCs w:val="32"/>
              </w:rPr>
              <w:t>排情况一览表</w:t>
            </w:r>
          </w:p>
          <w:tbl>
            <w:tblPr>
              <w:tblStyle w:val="33"/>
              <w:tblW w:w="8176" w:type="dxa"/>
              <w:jc w:val="center"/>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876"/>
              <w:gridCol w:w="876"/>
              <w:gridCol w:w="992"/>
              <w:gridCol w:w="862"/>
              <w:gridCol w:w="1987"/>
              <w:gridCol w:w="1579"/>
            </w:tblGrid>
            <w:tr w14:paraId="77FBDDAC">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blHeader/>
                <w:jc w:val="center"/>
              </w:trPr>
              <w:tc>
                <w:tcPr>
                  <w:tcW w:w="1004" w:type="dxa"/>
                  <w:vAlign w:val="center"/>
                </w:tcPr>
                <w:p w14:paraId="193F99BD">
                  <w:pPr>
                    <w:jc w:val="center"/>
                    <w:rPr>
                      <w:b/>
                      <w:bCs/>
                      <w:color w:val="auto"/>
                      <w:szCs w:val="21"/>
                    </w:rPr>
                  </w:pPr>
                  <w:r>
                    <w:rPr>
                      <w:rFonts w:hint="eastAsia"/>
                      <w:b/>
                      <w:bCs/>
                      <w:color w:val="auto"/>
                      <w:szCs w:val="21"/>
                    </w:rPr>
                    <w:t>分区</w:t>
                  </w:r>
                </w:p>
              </w:tc>
              <w:tc>
                <w:tcPr>
                  <w:tcW w:w="876" w:type="dxa"/>
                  <w:vAlign w:val="center"/>
                </w:tcPr>
                <w:p w14:paraId="37F9AC38">
                  <w:pPr>
                    <w:jc w:val="center"/>
                    <w:rPr>
                      <w:b/>
                      <w:bCs/>
                      <w:color w:val="auto"/>
                      <w:szCs w:val="21"/>
                    </w:rPr>
                  </w:pPr>
                  <w:r>
                    <w:rPr>
                      <w:b/>
                      <w:bCs/>
                      <w:color w:val="auto"/>
                      <w:szCs w:val="21"/>
                    </w:rPr>
                    <w:t>处理规模（m</w:t>
                  </w:r>
                  <w:r>
                    <w:rPr>
                      <w:b/>
                      <w:bCs/>
                      <w:color w:val="auto"/>
                      <w:szCs w:val="21"/>
                      <w:vertAlign w:val="superscript"/>
                    </w:rPr>
                    <w:t>3</w:t>
                  </w:r>
                  <w:r>
                    <w:rPr>
                      <w:b/>
                      <w:bCs/>
                      <w:color w:val="auto"/>
                      <w:szCs w:val="21"/>
                    </w:rPr>
                    <w:t>/d）</w:t>
                  </w:r>
                </w:p>
              </w:tc>
              <w:tc>
                <w:tcPr>
                  <w:tcW w:w="876" w:type="dxa"/>
                  <w:vAlign w:val="center"/>
                </w:tcPr>
                <w:p w14:paraId="0050C1E8">
                  <w:pPr>
                    <w:jc w:val="center"/>
                    <w:rPr>
                      <w:b/>
                      <w:bCs/>
                      <w:color w:val="auto"/>
                      <w:szCs w:val="21"/>
                    </w:rPr>
                  </w:pPr>
                  <w:r>
                    <w:rPr>
                      <w:b/>
                      <w:bCs/>
                      <w:color w:val="auto"/>
                      <w:szCs w:val="21"/>
                    </w:rPr>
                    <w:t>BOD</w:t>
                  </w:r>
                  <w:r>
                    <w:rPr>
                      <w:b/>
                      <w:bCs/>
                      <w:color w:val="auto"/>
                      <w:szCs w:val="21"/>
                      <w:vertAlign w:val="subscript"/>
                    </w:rPr>
                    <w:t>5</w:t>
                  </w:r>
                  <w:r>
                    <w:rPr>
                      <w:b/>
                      <w:bCs/>
                      <w:color w:val="auto"/>
                      <w:szCs w:val="21"/>
                    </w:rPr>
                    <w:t>去除量（g/d）</w:t>
                  </w:r>
                </w:p>
              </w:tc>
              <w:tc>
                <w:tcPr>
                  <w:tcW w:w="992" w:type="dxa"/>
                  <w:vAlign w:val="center"/>
                </w:tcPr>
                <w:p w14:paraId="352B816D">
                  <w:pPr>
                    <w:jc w:val="center"/>
                    <w:rPr>
                      <w:b/>
                      <w:bCs/>
                      <w:color w:val="auto"/>
                      <w:szCs w:val="21"/>
                    </w:rPr>
                  </w:pPr>
                  <w:r>
                    <w:rPr>
                      <w:b/>
                      <w:bCs/>
                      <w:color w:val="auto"/>
                      <w:szCs w:val="21"/>
                    </w:rPr>
                    <w:t>污染</w:t>
                  </w:r>
                </w:p>
                <w:p w14:paraId="61110984">
                  <w:pPr>
                    <w:jc w:val="center"/>
                    <w:rPr>
                      <w:b/>
                      <w:bCs/>
                      <w:color w:val="auto"/>
                      <w:szCs w:val="21"/>
                    </w:rPr>
                  </w:pPr>
                  <w:r>
                    <w:rPr>
                      <w:b/>
                      <w:bCs/>
                      <w:color w:val="auto"/>
                      <w:szCs w:val="21"/>
                    </w:rPr>
                    <w:t>因子</w:t>
                  </w:r>
                </w:p>
              </w:tc>
              <w:tc>
                <w:tcPr>
                  <w:tcW w:w="862" w:type="dxa"/>
                  <w:vAlign w:val="center"/>
                </w:tcPr>
                <w:p w14:paraId="65A6E9CA">
                  <w:pPr>
                    <w:jc w:val="center"/>
                    <w:rPr>
                      <w:b/>
                      <w:bCs/>
                      <w:color w:val="auto"/>
                      <w:szCs w:val="21"/>
                    </w:rPr>
                  </w:pPr>
                  <w:r>
                    <w:rPr>
                      <w:b/>
                      <w:bCs/>
                      <w:color w:val="auto"/>
                      <w:szCs w:val="21"/>
                    </w:rPr>
                    <w:t>产生量（t/a）</w:t>
                  </w:r>
                </w:p>
              </w:tc>
              <w:tc>
                <w:tcPr>
                  <w:tcW w:w="1987" w:type="dxa"/>
                  <w:vAlign w:val="center"/>
                </w:tcPr>
                <w:p w14:paraId="4F63C63F">
                  <w:pPr>
                    <w:jc w:val="center"/>
                    <w:rPr>
                      <w:b/>
                      <w:bCs/>
                      <w:color w:val="auto"/>
                      <w:szCs w:val="21"/>
                    </w:rPr>
                  </w:pPr>
                  <w:r>
                    <w:rPr>
                      <w:rFonts w:hint="eastAsia"/>
                      <w:b/>
                      <w:bCs/>
                      <w:color w:val="auto"/>
                      <w:szCs w:val="21"/>
                    </w:rPr>
                    <w:t>治理措施</w:t>
                  </w:r>
                </w:p>
              </w:tc>
              <w:tc>
                <w:tcPr>
                  <w:tcW w:w="1579" w:type="dxa"/>
                  <w:vAlign w:val="center"/>
                </w:tcPr>
                <w:p w14:paraId="41B92CE3">
                  <w:pPr>
                    <w:jc w:val="center"/>
                    <w:rPr>
                      <w:b/>
                      <w:bCs/>
                      <w:color w:val="auto"/>
                      <w:szCs w:val="21"/>
                    </w:rPr>
                  </w:pPr>
                  <w:r>
                    <w:rPr>
                      <w:rFonts w:hint="eastAsia"/>
                      <w:b/>
                      <w:bCs/>
                      <w:color w:val="auto"/>
                      <w:szCs w:val="21"/>
                    </w:rPr>
                    <w:t>排放量</w:t>
                  </w:r>
                  <w:r>
                    <w:rPr>
                      <w:b/>
                      <w:bCs/>
                      <w:color w:val="auto"/>
                      <w:szCs w:val="21"/>
                    </w:rPr>
                    <w:t>（t/a）</w:t>
                  </w:r>
                </w:p>
              </w:tc>
            </w:tr>
            <w:tr w14:paraId="7E280488">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blHeader/>
                <w:jc w:val="center"/>
              </w:trPr>
              <w:tc>
                <w:tcPr>
                  <w:tcW w:w="1004" w:type="dxa"/>
                  <w:vMerge w:val="restart"/>
                  <w:vAlign w:val="center"/>
                </w:tcPr>
                <w:p w14:paraId="14740E31">
                  <w:pPr>
                    <w:jc w:val="center"/>
                    <w:rPr>
                      <w:color w:val="auto"/>
                      <w:szCs w:val="21"/>
                    </w:rPr>
                  </w:pPr>
                  <w:r>
                    <w:rPr>
                      <w:rFonts w:hint="eastAsia"/>
                      <w:color w:val="auto"/>
                      <w:szCs w:val="21"/>
                    </w:rPr>
                    <w:t>杨广卫生院</w:t>
                  </w:r>
                </w:p>
              </w:tc>
              <w:tc>
                <w:tcPr>
                  <w:tcW w:w="876" w:type="dxa"/>
                  <w:vMerge w:val="restart"/>
                  <w:vAlign w:val="center"/>
                </w:tcPr>
                <w:p w14:paraId="43512745">
                  <w:pPr>
                    <w:jc w:val="center"/>
                    <w:rPr>
                      <w:color w:val="auto"/>
                      <w:szCs w:val="21"/>
                      <w:lang w:bidi="ar"/>
                    </w:rPr>
                  </w:pPr>
                  <w:r>
                    <w:rPr>
                      <w:rFonts w:hint="eastAsia"/>
                      <w:color w:val="auto"/>
                      <w:szCs w:val="21"/>
                    </w:rPr>
                    <w:t>6.8</w:t>
                  </w:r>
                </w:p>
              </w:tc>
              <w:tc>
                <w:tcPr>
                  <w:tcW w:w="876" w:type="dxa"/>
                  <w:vMerge w:val="restart"/>
                  <w:vAlign w:val="center"/>
                </w:tcPr>
                <w:p w14:paraId="1B5C681F">
                  <w:pPr>
                    <w:jc w:val="center"/>
                    <w:rPr>
                      <w:color w:val="auto"/>
                      <w:szCs w:val="21"/>
                      <w:lang w:bidi="ar"/>
                    </w:rPr>
                  </w:pPr>
                  <w:r>
                    <w:rPr>
                      <w:rFonts w:hint="eastAsia"/>
                      <w:color w:val="auto"/>
                      <w:szCs w:val="21"/>
                      <w:lang w:bidi="ar"/>
                    </w:rPr>
                    <w:t>923</w:t>
                  </w:r>
                </w:p>
              </w:tc>
              <w:tc>
                <w:tcPr>
                  <w:tcW w:w="992" w:type="dxa"/>
                  <w:vAlign w:val="center"/>
                </w:tcPr>
                <w:p w14:paraId="43132FE0">
                  <w:pPr>
                    <w:jc w:val="center"/>
                    <w:rPr>
                      <w:color w:val="auto"/>
                      <w:szCs w:val="21"/>
                    </w:rPr>
                  </w:pPr>
                  <w:r>
                    <w:rPr>
                      <w:color w:val="auto"/>
                      <w:szCs w:val="21"/>
                    </w:rPr>
                    <w:t>NH</w:t>
                  </w:r>
                  <w:r>
                    <w:rPr>
                      <w:color w:val="auto"/>
                      <w:szCs w:val="21"/>
                      <w:vertAlign w:val="subscript"/>
                    </w:rPr>
                    <w:t>3</w:t>
                  </w:r>
                </w:p>
              </w:tc>
              <w:tc>
                <w:tcPr>
                  <w:tcW w:w="862" w:type="dxa"/>
                  <w:vAlign w:val="center"/>
                </w:tcPr>
                <w:p w14:paraId="52206A35">
                  <w:pPr>
                    <w:jc w:val="center"/>
                    <w:rPr>
                      <w:color w:val="auto"/>
                      <w:szCs w:val="21"/>
                    </w:rPr>
                  </w:pPr>
                  <w:r>
                    <w:rPr>
                      <w:rFonts w:hint="eastAsia"/>
                      <w:color w:val="auto"/>
                      <w:szCs w:val="21"/>
                    </w:rPr>
                    <w:t>0.00104</w:t>
                  </w:r>
                </w:p>
              </w:tc>
              <w:tc>
                <w:tcPr>
                  <w:tcW w:w="1987" w:type="dxa"/>
                  <w:vMerge w:val="restart"/>
                  <w:vAlign w:val="center"/>
                </w:tcPr>
                <w:p w14:paraId="4097582F">
                  <w:pPr>
                    <w:jc w:val="center"/>
                    <w:rPr>
                      <w:color w:val="auto"/>
                      <w:szCs w:val="21"/>
                    </w:rPr>
                  </w:pPr>
                  <w:r>
                    <w:rPr>
                      <w:rFonts w:hint="eastAsia"/>
                      <w:color w:val="auto"/>
                      <w:kern w:val="0"/>
                      <w:szCs w:val="21"/>
                      <w:lang w:bidi="ar"/>
                    </w:rPr>
                    <w:t>位于地下一层，</w:t>
                  </w:r>
                  <w:r>
                    <w:rPr>
                      <w:color w:val="auto"/>
                      <w:kern w:val="0"/>
                      <w:szCs w:val="21"/>
                      <w:lang w:bidi="ar"/>
                    </w:rPr>
                    <w:t>加盖密</w:t>
                  </w:r>
                  <w:r>
                    <w:rPr>
                      <w:rFonts w:hint="eastAsia"/>
                      <w:color w:val="auto"/>
                      <w:kern w:val="0"/>
                      <w:szCs w:val="21"/>
                      <w:lang w:bidi="ar"/>
                    </w:rPr>
                    <w:t>闭，在盖板上留有换气口，投放除臭剂（采取以上措施后，恶臭气体去除效率取60%）</w:t>
                  </w:r>
                </w:p>
              </w:tc>
              <w:tc>
                <w:tcPr>
                  <w:tcW w:w="1579" w:type="dxa"/>
                  <w:vAlign w:val="center"/>
                </w:tcPr>
                <w:p w14:paraId="091ED041">
                  <w:pPr>
                    <w:jc w:val="center"/>
                    <w:rPr>
                      <w:color w:val="auto"/>
                      <w:szCs w:val="21"/>
                    </w:rPr>
                  </w:pPr>
                  <w:r>
                    <w:rPr>
                      <w:rFonts w:hint="eastAsia"/>
                      <w:color w:val="auto"/>
                      <w:szCs w:val="21"/>
                    </w:rPr>
                    <w:t>0.00042</w:t>
                  </w:r>
                </w:p>
              </w:tc>
            </w:tr>
            <w:tr w14:paraId="1E10D554">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blHeader/>
                <w:jc w:val="center"/>
              </w:trPr>
              <w:tc>
                <w:tcPr>
                  <w:tcW w:w="1004" w:type="dxa"/>
                  <w:vMerge w:val="continue"/>
                  <w:vAlign w:val="center"/>
                </w:tcPr>
                <w:p w14:paraId="6042DB14">
                  <w:pPr>
                    <w:jc w:val="center"/>
                    <w:rPr>
                      <w:color w:val="auto"/>
                      <w:szCs w:val="21"/>
                    </w:rPr>
                  </w:pPr>
                </w:p>
              </w:tc>
              <w:tc>
                <w:tcPr>
                  <w:tcW w:w="876" w:type="dxa"/>
                  <w:vMerge w:val="continue"/>
                  <w:vAlign w:val="center"/>
                </w:tcPr>
                <w:p w14:paraId="7FDB69E6">
                  <w:pPr>
                    <w:jc w:val="center"/>
                    <w:rPr>
                      <w:color w:val="auto"/>
                      <w:szCs w:val="21"/>
                      <w:lang w:bidi="ar"/>
                    </w:rPr>
                  </w:pPr>
                </w:p>
              </w:tc>
              <w:tc>
                <w:tcPr>
                  <w:tcW w:w="876" w:type="dxa"/>
                  <w:vMerge w:val="continue"/>
                  <w:vAlign w:val="center"/>
                </w:tcPr>
                <w:p w14:paraId="1F7AA261">
                  <w:pPr>
                    <w:jc w:val="center"/>
                    <w:rPr>
                      <w:color w:val="auto"/>
                      <w:szCs w:val="21"/>
                      <w:lang w:bidi="ar"/>
                    </w:rPr>
                  </w:pPr>
                </w:p>
              </w:tc>
              <w:tc>
                <w:tcPr>
                  <w:tcW w:w="992" w:type="dxa"/>
                  <w:vAlign w:val="center"/>
                </w:tcPr>
                <w:p w14:paraId="3EB42699">
                  <w:pPr>
                    <w:jc w:val="center"/>
                    <w:rPr>
                      <w:color w:val="auto"/>
                      <w:szCs w:val="21"/>
                    </w:rPr>
                  </w:pPr>
                  <w:r>
                    <w:rPr>
                      <w:color w:val="auto"/>
                      <w:szCs w:val="21"/>
                    </w:rPr>
                    <w:t>H</w:t>
                  </w:r>
                  <w:r>
                    <w:rPr>
                      <w:color w:val="auto"/>
                      <w:szCs w:val="21"/>
                      <w:vertAlign w:val="subscript"/>
                    </w:rPr>
                    <w:t>2</w:t>
                  </w:r>
                  <w:r>
                    <w:rPr>
                      <w:color w:val="auto"/>
                      <w:szCs w:val="21"/>
                    </w:rPr>
                    <w:t>S</w:t>
                  </w:r>
                </w:p>
              </w:tc>
              <w:tc>
                <w:tcPr>
                  <w:tcW w:w="862" w:type="dxa"/>
                  <w:vAlign w:val="center"/>
                </w:tcPr>
                <w:p w14:paraId="2039A0BD">
                  <w:pPr>
                    <w:jc w:val="center"/>
                    <w:rPr>
                      <w:color w:val="auto"/>
                      <w:szCs w:val="21"/>
                    </w:rPr>
                  </w:pPr>
                  <w:r>
                    <w:rPr>
                      <w:rFonts w:hint="eastAsia"/>
                      <w:color w:val="auto"/>
                      <w:szCs w:val="21"/>
                    </w:rPr>
                    <w:t>0.00004</w:t>
                  </w:r>
                </w:p>
              </w:tc>
              <w:tc>
                <w:tcPr>
                  <w:tcW w:w="1987" w:type="dxa"/>
                  <w:vMerge w:val="continue"/>
                  <w:vAlign w:val="center"/>
                </w:tcPr>
                <w:p w14:paraId="5DD82E60">
                  <w:pPr>
                    <w:jc w:val="center"/>
                    <w:rPr>
                      <w:color w:val="auto"/>
                      <w:szCs w:val="21"/>
                    </w:rPr>
                  </w:pPr>
                </w:p>
              </w:tc>
              <w:tc>
                <w:tcPr>
                  <w:tcW w:w="1579" w:type="dxa"/>
                  <w:vAlign w:val="center"/>
                </w:tcPr>
                <w:p w14:paraId="49781029">
                  <w:pPr>
                    <w:jc w:val="center"/>
                    <w:rPr>
                      <w:color w:val="auto"/>
                      <w:szCs w:val="21"/>
                    </w:rPr>
                  </w:pPr>
                  <w:r>
                    <w:rPr>
                      <w:rFonts w:hint="eastAsia"/>
                      <w:color w:val="auto"/>
                      <w:szCs w:val="21"/>
                    </w:rPr>
                    <w:t>0.000016</w:t>
                  </w:r>
                </w:p>
              </w:tc>
            </w:tr>
            <w:tr w14:paraId="085666DF">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1004" w:type="dxa"/>
                  <w:vMerge w:val="restart"/>
                  <w:vAlign w:val="center"/>
                </w:tcPr>
                <w:p w14:paraId="06D4C898">
                  <w:pPr>
                    <w:jc w:val="center"/>
                    <w:rPr>
                      <w:color w:val="auto"/>
                      <w:szCs w:val="21"/>
                    </w:rPr>
                  </w:pPr>
                  <w:r>
                    <w:rPr>
                      <w:rFonts w:hint="eastAsia"/>
                      <w:color w:val="auto"/>
                      <w:szCs w:val="21"/>
                    </w:rPr>
                    <w:t>纳古卫生院</w:t>
                  </w:r>
                </w:p>
              </w:tc>
              <w:tc>
                <w:tcPr>
                  <w:tcW w:w="876" w:type="dxa"/>
                  <w:vMerge w:val="restart"/>
                  <w:vAlign w:val="center"/>
                </w:tcPr>
                <w:p w14:paraId="2C2010DD">
                  <w:pPr>
                    <w:jc w:val="center"/>
                    <w:rPr>
                      <w:color w:val="auto"/>
                      <w:szCs w:val="21"/>
                      <w:lang w:bidi="ar"/>
                    </w:rPr>
                  </w:pPr>
                  <w:r>
                    <w:rPr>
                      <w:rFonts w:hint="eastAsia"/>
                      <w:color w:val="auto"/>
                      <w:szCs w:val="21"/>
                    </w:rPr>
                    <w:t>7.6</w:t>
                  </w:r>
                </w:p>
              </w:tc>
              <w:tc>
                <w:tcPr>
                  <w:tcW w:w="876" w:type="dxa"/>
                  <w:vMerge w:val="restart"/>
                  <w:vAlign w:val="center"/>
                </w:tcPr>
                <w:p w14:paraId="6533B71D">
                  <w:pPr>
                    <w:jc w:val="center"/>
                    <w:rPr>
                      <w:color w:val="auto"/>
                      <w:szCs w:val="21"/>
                      <w:lang w:bidi="ar"/>
                    </w:rPr>
                  </w:pPr>
                  <w:r>
                    <w:rPr>
                      <w:rFonts w:hint="eastAsia"/>
                      <w:color w:val="auto"/>
                      <w:szCs w:val="21"/>
                      <w:lang w:bidi="ar"/>
                    </w:rPr>
                    <w:t>1055</w:t>
                  </w:r>
                </w:p>
              </w:tc>
              <w:tc>
                <w:tcPr>
                  <w:tcW w:w="992" w:type="dxa"/>
                  <w:vAlign w:val="center"/>
                </w:tcPr>
                <w:p w14:paraId="0C04C2A8">
                  <w:pPr>
                    <w:jc w:val="center"/>
                    <w:rPr>
                      <w:color w:val="auto"/>
                      <w:szCs w:val="21"/>
                    </w:rPr>
                  </w:pPr>
                  <w:r>
                    <w:rPr>
                      <w:color w:val="auto"/>
                      <w:szCs w:val="21"/>
                    </w:rPr>
                    <w:t>NH</w:t>
                  </w:r>
                  <w:r>
                    <w:rPr>
                      <w:color w:val="auto"/>
                      <w:szCs w:val="21"/>
                      <w:vertAlign w:val="subscript"/>
                    </w:rPr>
                    <w:t>3</w:t>
                  </w:r>
                </w:p>
              </w:tc>
              <w:tc>
                <w:tcPr>
                  <w:tcW w:w="862" w:type="dxa"/>
                  <w:vAlign w:val="center"/>
                </w:tcPr>
                <w:p w14:paraId="2DAC68D2">
                  <w:pPr>
                    <w:jc w:val="center"/>
                    <w:rPr>
                      <w:color w:val="auto"/>
                      <w:szCs w:val="21"/>
                    </w:rPr>
                  </w:pPr>
                  <w:r>
                    <w:rPr>
                      <w:rFonts w:hint="eastAsia"/>
                      <w:color w:val="auto"/>
                      <w:szCs w:val="21"/>
                    </w:rPr>
                    <w:t>0.0012</w:t>
                  </w:r>
                </w:p>
              </w:tc>
              <w:tc>
                <w:tcPr>
                  <w:tcW w:w="1987" w:type="dxa"/>
                  <w:vMerge w:val="restart"/>
                  <w:vAlign w:val="center"/>
                </w:tcPr>
                <w:p w14:paraId="4A3E0632">
                  <w:pPr>
                    <w:jc w:val="center"/>
                    <w:rPr>
                      <w:color w:val="auto"/>
                      <w:szCs w:val="21"/>
                    </w:rPr>
                  </w:pPr>
                  <w:r>
                    <w:rPr>
                      <w:rFonts w:hint="eastAsia"/>
                      <w:color w:val="auto"/>
                      <w:kern w:val="0"/>
                      <w:szCs w:val="21"/>
                      <w:lang w:bidi="ar"/>
                    </w:rPr>
                    <w:t>位于地下一层，</w:t>
                  </w:r>
                  <w:r>
                    <w:rPr>
                      <w:color w:val="auto"/>
                      <w:kern w:val="0"/>
                      <w:szCs w:val="21"/>
                      <w:lang w:bidi="ar"/>
                    </w:rPr>
                    <w:t>地埋式，加盖密</w:t>
                  </w:r>
                  <w:r>
                    <w:rPr>
                      <w:rFonts w:hint="eastAsia"/>
                      <w:color w:val="auto"/>
                      <w:kern w:val="0"/>
                      <w:szCs w:val="21"/>
                      <w:lang w:bidi="ar"/>
                    </w:rPr>
                    <w:t>闭，在盖板上留有换气口，投放除臭剂（采取以上措施后，恶臭气体去除效率取60%）</w:t>
                  </w:r>
                </w:p>
              </w:tc>
              <w:tc>
                <w:tcPr>
                  <w:tcW w:w="1579" w:type="dxa"/>
                  <w:vAlign w:val="center"/>
                </w:tcPr>
                <w:p w14:paraId="48809810">
                  <w:pPr>
                    <w:jc w:val="center"/>
                    <w:rPr>
                      <w:color w:val="auto"/>
                      <w:szCs w:val="21"/>
                    </w:rPr>
                  </w:pPr>
                  <w:r>
                    <w:rPr>
                      <w:rFonts w:hint="eastAsia"/>
                      <w:color w:val="auto"/>
                      <w:szCs w:val="21"/>
                    </w:rPr>
                    <w:t>0.00048</w:t>
                  </w:r>
                </w:p>
              </w:tc>
            </w:tr>
            <w:tr w14:paraId="6A8D1CA4">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1004" w:type="dxa"/>
                  <w:vMerge w:val="continue"/>
                  <w:vAlign w:val="center"/>
                </w:tcPr>
                <w:p w14:paraId="75B5304E">
                  <w:pPr>
                    <w:jc w:val="center"/>
                    <w:rPr>
                      <w:color w:val="auto"/>
                      <w:szCs w:val="21"/>
                    </w:rPr>
                  </w:pPr>
                </w:p>
              </w:tc>
              <w:tc>
                <w:tcPr>
                  <w:tcW w:w="876" w:type="dxa"/>
                  <w:vMerge w:val="continue"/>
                  <w:vAlign w:val="center"/>
                </w:tcPr>
                <w:p w14:paraId="430B227D">
                  <w:pPr>
                    <w:jc w:val="center"/>
                    <w:rPr>
                      <w:color w:val="auto"/>
                      <w:szCs w:val="21"/>
                    </w:rPr>
                  </w:pPr>
                </w:p>
              </w:tc>
              <w:tc>
                <w:tcPr>
                  <w:tcW w:w="876" w:type="dxa"/>
                  <w:vMerge w:val="continue"/>
                  <w:vAlign w:val="center"/>
                </w:tcPr>
                <w:p w14:paraId="1D36DC85">
                  <w:pPr>
                    <w:jc w:val="center"/>
                    <w:rPr>
                      <w:color w:val="auto"/>
                      <w:szCs w:val="21"/>
                      <w:lang w:bidi="ar"/>
                    </w:rPr>
                  </w:pPr>
                </w:p>
              </w:tc>
              <w:tc>
                <w:tcPr>
                  <w:tcW w:w="992" w:type="dxa"/>
                  <w:vAlign w:val="center"/>
                </w:tcPr>
                <w:p w14:paraId="5CB69C40">
                  <w:pPr>
                    <w:jc w:val="center"/>
                    <w:rPr>
                      <w:color w:val="auto"/>
                      <w:szCs w:val="21"/>
                    </w:rPr>
                  </w:pPr>
                  <w:r>
                    <w:rPr>
                      <w:color w:val="auto"/>
                      <w:szCs w:val="21"/>
                    </w:rPr>
                    <w:t>H</w:t>
                  </w:r>
                  <w:r>
                    <w:rPr>
                      <w:color w:val="auto"/>
                      <w:szCs w:val="21"/>
                      <w:vertAlign w:val="subscript"/>
                    </w:rPr>
                    <w:t>2</w:t>
                  </w:r>
                  <w:r>
                    <w:rPr>
                      <w:color w:val="auto"/>
                      <w:szCs w:val="21"/>
                    </w:rPr>
                    <w:t>S</w:t>
                  </w:r>
                </w:p>
              </w:tc>
              <w:tc>
                <w:tcPr>
                  <w:tcW w:w="862" w:type="dxa"/>
                  <w:vAlign w:val="center"/>
                </w:tcPr>
                <w:p w14:paraId="64953D75">
                  <w:pPr>
                    <w:jc w:val="center"/>
                    <w:rPr>
                      <w:color w:val="auto"/>
                      <w:szCs w:val="21"/>
                    </w:rPr>
                  </w:pPr>
                  <w:r>
                    <w:rPr>
                      <w:rFonts w:hint="eastAsia"/>
                      <w:color w:val="auto"/>
                      <w:szCs w:val="21"/>
                    </w:rPr>
                    <w:t>0.000046</w:t>
                  </w:r>
                </w:p>
              </w:tc>
              <w:tc>
                <w:tcPr>
                  <w:tcW w:w="1987" w:type="dxa"/>
                  <w:vMerge w:val="continue"/>
                  <w:vAlign w:val="center"/>
                </w:tcPr>
                <w:p w14:paraId="4C639528">
                  <w:pPr>
                    <w:jc w:val="center"/>
                    <w:rPr>
                      <w:color w:val="auto"/>
                      <w:kern w:val="0"/>
                      <w:szCs w:val="21"/>
                      <w:lang w:bidi="ar"/>
                    </w:rPr>
                  </w:pPr>
                </w:p>
              </w:tc>
              <w:tc>
                <w:tcPr>
                  <w:tcW w:w="1579" w:type="dxa"/>
                  <w:vAlign w:val="center"/>
                </w:tcPr>
                <w:p w14:paraId="235E0FB3">
                  <w:pPr>
                    <w:jc w:val="center"/>
                    <w:rPr>
                      <w:color w:val="auto"/>
                      <w:szCs w:val="21"/>
                    </w:rPr>
                  </w:pPr>
                  <w:r>
                    <w:rPr>
                      <w:rFonts w:hint="eastAsia"/>
                      <w:color w:val="auto"/>
                      <w:szCs w:val="21"/>
                    </w:rPr>
                    <w:t>0.000018</w:t>
                  </w:r>
                </w:p>
              </w:tc>
            </w:tr>
          </w:tbl>
          <w:p w14:paraId="4290BEE2">
            <w:pPr>
              <w:widowControl/>
              <w:spacing w:line="360" w:lineRule="auto"/>
              <w:ind w:firstLine="480" w:firstLineChars="200"/>
              <w:jc w:val="left"/>
              <w:rPr>
                <w:color w:val="auto"/>
                <w:kern w:val="0"/>
                <w:sz w:val="24"/>
                <w:lang w:bidi="ar"/>
              </w:rPr>
            </w:pPr>
            <w:r>
              <w:rPr>
                <w:rFonts w:hint="eastAsia"/>
                <w:color w:val="auto"/>
                <w:kern w:val="0"/>
                <w:sz w:val="24"/>
                <w:lang w:bidi="ar"/>
              </w:rPr>
              <w:t>现有项目杨广卫生院和纳古卫生院</w:t>
            </w:r>
            <w:r>
              <w:rPr>
                <w:color w:val="auto"/>
                <w:kern w:val="0"/>
                <w:sz w:val="24"/>
                <w:lang w:bidi="ar"/>
              </w:rPr>
              <w:t>污水处理</w:t>
            </w:r>
            <w:r>
              <w:rPr>
                <w:rFonts w:hint="eastAsia"/>
                <w:color w:val="auto"/>
                <w:kern w:val="0"/>
                <w:sz w:val="24"/>
                <w:lang w:bidi="ar"/>
              </w:rPr>
              <w:t>站</w:t>
            </w:r>
            <w:r>
              <w:rPr>
                <w:color w:val="auto"/>
                <w:kern w:val="0"/>
                <w:sz w:val="24"/>
                <w:lang w:bidi="ar"/>
              </w:rPr>
              <w:t>定期（应至少每周一次）投放消毒剂和除臭剂。定期投放除臭剂对污水处理站恶臭气体的去除效率取60%，则</w:t>
            </w:r>
            <w:r>
              <w:rPr>
                <w:rFonts w:hint="eastAsia"/>
                <w:color w:val="auto"/>
                <w:kern w:val="0"/>
                <w:sz w:val="24"/>
                <w:lang w:bidi="ar"/>
              </w:rPr>
              <w:t>现有项目杨广卫生院污水处理站NH</w:t>
            </w:r>
            <w:r>
              <w:rPr>
                <w:rFonts w:hint="eastAsia"/>
                <w:color w:val="auto"/>
                <w:kern w:val="0"/>
                <w:sz w:val="24"/>
                <w:vertAlign w:val="subscript"/>
                <w:lang w:bidi="ar"/>
              </w:rPr>
              <w:t>3</w:t>
            </w:r>
            <w:r>
              <w:rPr>
                <w:rFonts w:hint="eastAsia"/>
                <w:color w:val="auto"/>
                <w:kern w:val="0"/>
                <w:sz w:val="24"/>
                <w:lang w:bidi="ar"/>
              </w:rPr>
              <w:t xml:space="preserve"> 排放量为0.00042t/a，H</w:t>
            </w:r>
            <w:r>
              <w:rPr>
                <w:rFonts w:hint="eastAsia"/>
                <w:color w:val="auto"/>
                <w:kern w:val="0"/>
                <w:sz w:val="24"/>
                <w:vertAlign w:val="subscript"/>
                <w:lang w:bidi="ar"/>
              </w:rPr>
              <w:t>2</w:t>
            </w:r>
            <w:r>
              <w:rPr>
                <w:rFonts w:hint="eastAsia"/>
                <w:color w:val="auto"/>
                <w:kern w:val="0"/>
                <w:sz w:val="24"/>
                <w:lang w:bidi="ar"/>
              </w:rPr>
              <w:t>S排放量为0.000016t/a；</w:t>
            </w:r>
            <w:r>
              <w:rPr>
                <w:color w:val="auto"/>
                <w:kern w:val="0"/>
                <w:sz w:val="24"/>
                <w:lang w:bidi="ar"/>
              </w:rPr>
              <w:t>则</w:t>
            </w:r>
            <w:r>
              <w:rPr>
                <w:rFonts w:hint="eastAsia"/>
                <w:color w:val="auto"/>
                <w:kern w:val="0"/>
                <w:sz w:val="24"/>
                <w:lang w:bidi="ar"/>
              </w:rPr>
              <w:t>现有项目纳古卫生院污水处理站NH</w:t>
            </w:r>
            <w:r>
              <w:rPr>
                <w:rFonts w:hint="eastAsia"/>
                <w:color w:val="auto"/>
                <w:kern w:val="0"/>
                <w:sz w:val="24"/>
                <w:vertAlign w:val="subscript"/>
                <w:lang w:bidi="ar"/>
              </w:rPr>
              <w:t>3</w:t>
            </w:r>
            <w:r>
              <w:rPr>
                <w:rFonts w:hint="eastAsia"/>
                <w:color w:val="auto"/>
                <w:kern w:val="0"/>
                <w:sz w:val="24"/>
                <w:lang w:bidi="ar"/>
              </w:rPr>
              <w:t xml:space="preserve"> 排放量为0.00048t/a，H</w:t>
            </w:r>
            <w:r>
              <w:rPr>
                <w:rFonts w:hint="eastAsia"/>
                <w:color w:val="auto"/>
                <w:kern w:val="0"/>
                <w:sz w:val="24"/>
                <w:vertAlign w:val="subscript"/>
                <w:lang w:bidi="ar"/>
              </w:rPr>
              <w:t>2</w:t>
            </w:r>
            <w:r>
              <w:rPr>
                <w:rFonts w:hint="eastAsia"/>
                <w:color w:val="auto"/>
                <w:kern w:val="0"/>
                <w:sz w:val="24"/>
                <w:lang w:bidi="ar"/>
              </w:rPr>
              <w:t>S排放量为0.000018t/a。</w:t>
            </w:r>
          </w:p>
          <w:p w14:paraId="45F7AEE1">
            <w:pPr>
              <w:pStyle w:val="131"/>
              <w:adjustRightInd w:val="0"/>
              <w:snapToGrid w:val="0"/>
              <w:ind w:firstLine="482"/>
              <w:jc w:val="left"/>
              <w:rPr>
                <w:b/>
                <w:color w:val="auto"/>
              </w:rPr>
            </w:pPr>
            <w:r>
              <w:rPr>
                <w:rFonts w:hint="eastAsia"/>
                <w:b/>
                <w:color w:val="auto"/>
              </w:rPr>
              <w:t>2）食堂油烟</w:t>
            </w:r>
          </w:p>
          <w:p w14:paraId="49FCD238">
            <w:pPr>
              <w:spacing w:line="360" w:lineRule="auto"/>
              <w:ind w:firstLine="480" w:firstLineChars="200"/>
              <w:rPr>
                <w:color w:val="auto"/>
                <w:kern w:val="0"/>
                <w:sz w:val="24"/>
              </w:rPr>
            </w:pPr>
            <w:r>
              <w:rPr>
                <w:rFonts w:hint="eastAsia"/>
                <w:color w:val="auto"/>
                <w:sz w:val="24"/>
              </w:rPr>
              <w:t>本</w:t>
            </w:r>
            <w:r>
              <w:rPr>
                <w:color w:val="auto"/>
                <w:sz w:val="24"/>
              </w:rPr>
              <w:t>项目涉及4个乡镇卫生院</w:t>
            </w:r>
            <w:r>
              <w:rPr>
                <w:rFonts w:hint="eastAsia"/>
                <w:color w:val="auto"/>
                <w:sz w:val="24"/>
              </w:rPr>
              <w:t>，现有项目仅纳古卫生院未设置有食堂，其余卫生院均设置有食堂，为部分</w:t>
            </w:r>
            <w:r>
              <w:rPr>
                <w:color w:val="auto"/>
                <w:sz w:val="24"/>
              </w:rPr>
              <w:t>医护人员</w:t>
            </w:r>
            <w:r>
              <w:rPr>
                <w:rFonts w:hint="eastAsia"/>
                <w:color w:val="auto"/>
                <w:sz w:val="24"/>
              </w:rPr>
              <w:t>每天提供中餐，就餐人数为四街卫生院15人/d，九龙卫生院10人/d，杨广卫生院13人/d。食堂能源为</w:t>
            </w:r>
            <w:r>
              <w:rPr>
                <w:color w:val="auto"/>
                <w:sz w:val="24"/>
              </w:rPr>
              <w:t>电能，</w:t>
            </w:r>
            <w:r>
              <w:rPr>
                <w:rFonts w:hint="eastAsia"/>
                <w:color w:val="auto"/>
                <w:sz w:val="24"/>
              </w:rPr>
              <w:t>属</w:t>
            </w:r>
            <w:r>
              <w:rPr>
                <w:color w:val="auto"/>
                <w:sz w:val="24"/>
              </w:rPr>
              <w:t>清洁能源</w:t>
            </w:r>
            <w:r>
              <w:rPr>
                <w:rFonts w:hint="eastAsia"/>
                <w:color w:val="auto"/>
                <w:sz w:val="24"/>
              </w:rPr>
              <w:t>。食堂为内部食堂，仅为部分医护人员提供就餐服务，</w:t>
            </w:r>
            <w:r>
              <w:rPr>
                <w:color w:val="auto"/>
                <w:sz w:val="24"/>
              </w:rPr>
              <w:t>食堂在炊事过程中会产生少量的油烟</w:t>
            </w:r>
            <w:r>
              <w:rPr>
                <w:rFonts w:hint="eastAsia"/>
                <w:color w:val="auto"/>
                <w:sz w:val="24"/>
              </w:rPr>
              <w:t>，</w:t>
            </w:r>
            <w:r>
              <w:rPr>
                <w:color w:val="auto"/>
                <w:sz w:val="24"/>
              </w:rPr>
              <w:t>按平衡膳食推荐，以每人每天食用</w:t>
            </w:r>
            <w:r>
              <w:rPr>
                <w:rFonts w:hint="eastAsia"/>
                <w:color w:val="auto"/>
                <w:sz w:val="24"/>
              </w:rPr>
              <w:t>1</w:t>
            </w:r>
            <w:r>
              <w:rPr>
                <w:color w:val="auto"/>
                <w:sz w:val="24"/>
              </w:rPr>
              <w:t>0g食用油进行估算，则耗油量约为</w:t>
            </w:r>
            <w:r>
              <w:rPr>
                <w:rFonts w:hint="eastAsia"/>
                <w:color w:val="auto"/>
                <w:sz w:val="24"/>
              </w:rPr>
              <w:t>四街卫生院0.15</w:t>
            </w:r>
            <w:r>
              <w:rPr>
                <w:color w:val="auto"/>
                <w:sz w:val="24"/>
              </w:rPr>
              <w:t>kg/d，即</w:t>
            </w:r>
            <w:r>
              <w:rPr>
                <w:rFonts w:hint="eastAsia"/>
                <w:color w:val="auto"/>
                <w:sz w:val="24"/>
              </w:rPr>
              <w:t>54.75</w:t>
            </w:r>
            <w:r>
              <w:rPr>
                <w:color w:val="auto"/>
                <w:sz w:val="24"/>
              </w:rPr>
              <w:t>kg</w:t>
            </w:r>
            <w:r>
              <w:rPr>
                <w:rFonts w:hint="eastAsia"/>
                <w:color w:val="auto"/>
                <w:sz w:val="24"/>
              </w:rPr>
              <w:t>/</w:t>
            </w:r>
            <w:r>
              <w:rPr>
                <w:color w:val="auto"/>
                <w:sz w:val="24"/>
              </w:rPr>
              <w:t>a</w:t>
            </w:r>
            <w:r>
              <w:rPr>
                <w:rFonts w:hint="eastAsia"/>
                <w:color w:val="auto"/>
                <w:sz w:val="24"/>
              </w:rPr>
              <w:t>，九龙卫生院0.1</w:t>
            </w:r>
            <w:r>
              <w:rPr>
                <w:color w:val="auto"/>
                <w:sz w:val="24"/>
              </w:rPr>
              <w:t>kg/d，即</w:t>
            </w:r>
            <w:r>
              <w:rPr>
                <w:rFonts w:hint="eastAsia"/>
                <w:color w:val="auto"/>
                <w:sz w:val="24"/>
              </w:rPr>
              <w:t>36.5</w:t>
            </w:r>
            <w:r>
              <w:rPr>
                <w:color w:val="auto"/>
                <w:sz w:val="24"/>
              </w:rPr>
              <w:t>kg</w:t>
            </w:r>
            <w:r>
              <w:rPr>
                <w:rFonts w:hint="eastAsia"/>
                <w:color w:val="auto"/>
                <w:sz w:val="24"/>
              </w:rPr>
              <w:t>/</w:t>
            </w:r>
            <w:r>
              <w:rPr>
                <w:color w:val="auto"/>
                <w:sz w:val="24"/>
              </w:rPr>
              <w:t>a</w:t>
            </w:r>
            <w:r>
              <w:rPr>
                <w:rFonts w:hint="eastAsia"/>
                <w:color w:val="auto"/>
                <w:sz w:val="24"/>
              </w:rPr>
              <w:t>，杨广卫生院0.13</w:t>
            </w:r>
            <w:r>
              <w:rPr>
                <w:color w:val="auto"/>
                <w:sz w:val="24"/>
              </w:rPr>
              <w:t>kg/d，即</w:t>
            </w:r>
            <w:r>
              <w:rPr>
                <w:rFonts w:hint="eastAsia"/>
                <w:color w:val="auto"/>
                <w:sz w:val="24"/>
              </w:rPr>
              <w:t>47.45</w:t>
            </w:r>
            <w:r>
              <w:rPr>
                <w:color w:val="auto"/>
                <w:sz w:val="24"/>
              </w:rPr>
              <w:t>kg</w:t>
            </w:r>
            <w:r>
              <w:rPr>
                <w:rFonts w:hint="eastAsia"/>
                <w:color w:val="auto"/>
                <w:sz w:val="24"/>
              </w:rPr>
              <w:t>/</w:t>
            </w:r>
            <w:r>
              <w:rPr>
                <w:color w:val="auto"/>
                <w:sz w:val="24"/>
              </w:rPr>
              <w:t>a。根据类比调查，不同的烹饪情况，油烟废气中烟气浓度及挥发量均有所不同，油的平均挥发量为总耗油量的2.83%，经过估算，项目产生油烟量约为</w:t>
            </w:r>
            <w:r>
              <w:rPr>
                <w:rFonts w:hint="eastAsia"/>
                <w:color w:val="auto"/>
                <w:sz w:val="24"/>
              </w:rPr>
              <w:t>四街卫生院0.004</w:t>
            </w:r>
            <w:r>
              <w:rPr>
                <w:color w:val="auto"/>
                <w:sz w:val="24"/>
              </w:rPr>
              <w:t>kg/d，即</w:t>
            </w:r>
            <w:r>
              <w:rPr>
                <w:rFonts w:hint="eastAsia"/>
                <w:color w:val="auto"/>
                <w:sz w:val="24"/>
              </w:rPr>
              <w:t>1.46</w:t>
            </w:r>
            <w:r>
              <w:rPr>
                <w:color w:val="auto"/>
                <w:sz w:val="24"/>
              </w:rPr>
              <w:t>kg</w:t>
            </w:r>
            <w:r>
              <w:rPr>
                <w:rFonts w:hint="eastAsia"/>
                <w:color w:val="auto"/>
                <w:sz w:val="24"/>
              </w:rPr>
              <w:t>/</w:t>
            </w:r>
            <w:r>
              <w:rPr>
                <w:color w:val="auto"/>
                <w:sz w:val="24"/>
              </w:rPr>
              <w:t>a</w:t>
            </w:r>
            <w:r>
              <w:rPr>
                <w:rFonts w:hint="eastAsia"/>
                <w:color w:val="auto"/>
                <w:sz w:val="24"/>
              </w:rPr>
              <w:t>，九龙卫生院0.003</w:t>
            </w:r>
            <w:r>
              <w:rPr>
                <w:color w:val="auto"/>
                <w:sz w:val="24"/>
              </w:rPr>
              <w:t>kg/d，即</w:t>
            </w:r>
            <w:r>
              <w:rPr>
                <w:rFonts w:hint="eastAsia"/>
                <w:color w:val="auto"/>
                <w:sz w:val="24"/>
              </w:rPr>
              <w:t>1.095</w:t>
            </w:r>
            <w:r>
              <w:rPr>
                <w:color w:val="auto"/>
                <w:sz w:val="24"/>
              </w:rPr>
              <w:t>kg</w:t>
            </w:r>
            <w:r>
              <w:rPr>
                <w:rFonts w:hint="eastAsia"/>
                <w:color w:val="auto"/>
                <w:sz w:val="24"/>
              </w:rPr>
              <w:t>/</w:t>
            </w:r>
            <w:r>
              <w:rPr>
                <w:color w:val="auto"/>
                <w:sz w:val="24"/>
              </w:rPr>
              <w:t>a</w:t>
            </w:r>
            <w:r>
              <w:rPr>
                <w:rFonts w:hint="eastAsia"/>
                <w:color w:val="auto"/>
                <w:sz w:val="24"/>
              </w:rPr>
              <w:t>，杨广卫生院0.0037</w:t>
            </w:r>
            <w:r>
              <w:rPr>
                <w:color w:val="auto"/>
                <w:sz w:val="24"/>
              </w:rPr>
              <w:t>kg/d，即</w:t>
            </w:r>
            <w:r>
              <w:rPr>
                <w:rFonts w:hint="eastAsia"/>
                <w:color w:val="auto"/>
                <w:sz w:val="24"/>
              </w:rPr>
              <w:t>1.351</w:t>
            </w:r>
            <w:r>
              <w:rPr>
                <w:color w:val="auto"/>
                <w:sz w:val="24"/>
              </w:rPr>
              <w:t>kg</w:t>
            </w:r>
            <w:r>
              <w:rPr>
                <w:rFonts w:hint="eastAsia"/>
                <w:color w:val="auto"/>
                <w:sz w:val="24"/>
              </w:rPr>
              <w:t>/</w:t>
            </w:r>
            <w:r>
              <w:rPr>
                <w:color w:val="auto"/>
                <w:sz w:val="24"/>
              </w:rPr>
              <w:t>a。</w:t>
            </w:r>
            <w:r>
              <w:rPr>
                <w:color w:val="auto"/>
                <w:kern w:val="0"/>
                <w:sz w:val="24"/>
              </w:rPr>
              <w:t>由于</w:t>
            </w:r>
            <w:r>
              <w:rPr>
                <w:rFonts w:hint="eastAsia"/>
                <w:color w:val="auto"/>
                <w:kern w:val="0"/>
                <w:sz w:val="24"/>
              </w:rPr>
              <w:t>卫生院</w:t>
            </w:r>
            <w:r>
              <w:rPr>
                <w:color w:val="auto"/>
                <w:kern w:val="0"/>
                <w:sz w:val="24"/>
              </w:rPr>
              <w:t>食堂提供中餐，因此日高峰期取</w:t>
            </w:r>
            <w:r>
              <w:rPr>
                <w:rFonts w:hint="eastAsia"/>
                <w:color w:val="auto"/>
                <w:kern w:val="0"/>
                <w:sz w:val="24"/>
              </w:rPr>
              <w:t>2</w:t>
            </w:r>
            <w:r>
              <w:rPr>
                <w:color w:val="auto"/>
                <w:kern w:val="0"/>
                <w:sz w:val="24"/>
              </w:rPr>
              <w:t>h，则高峰期油烟中含油量为</w:t>
            </w:r>
            <w:r>
              <w:rPr>
                <w:rFonts w:hint="eastAsia"/>
                <w:color w:val="auto"/>
                <w:kern w:val="0"/>
                <w:sz w:val="24"/>
              </w:rPr>
              <w:t>四街卫生院2</w:t>
            </w:r>
            <w:r>
              <w:rPr>
                <w:color w:val="auto"/>
                <w:kern w:val="0"/>
                <w:sz w:val="24"/>
              </w:rPr>
              <w:t>g/h</w:t>
            </w:r>
            <w:r>
              <w:rPr>
                <w:rFonts w:hint="eastAsia"/>
                <w:color w:val="auto"/>
                <w:kern w:val="0"/>
                <w:sz w:val="24"/>
              </w:rPr>
              <w:t>，九龙卫生院1.5</w:t>
            </w:r>
            <w:r>
              <w:rPr>
                <w:color w:val="auto"/>
                <w:kern w:val="0"/>
                <w:sz w:val="24"/>
              </w:rPr>
              <w:t>g/h</w:t>
            </w:r>
            <w:r>
              <w:rPr>
                <w:rFonts w:hint="eastAsia"/>
                <w:color w:val="auto"/>
                <w:kern w:val="0"/>
                <w:sz w:val="24"/>
              </w:rPr>
              <w:t>，杨广卫生院1.85</w:t>
            </w:r>
            <w:r>
              <w:rPr>
                <w:color w:val="auto"/>
                <w:kern w:val="0"/>
                <w:sz w:val="24"/>
              </w:rPr>
              <w:t>g/h。</w:t>
            </w:r>
          </w:p>
          <w:p w14:paraId="03197814">
            <w:pPr>
              <w:adjustRightInd w:val="0"/>
              <w:snapToGrid w:val="0"/>
              <w:spacing w:line="360" w:lineRule="auto"/>
              <w:ind w:firstLine="480" w:firstLineChars="200"/>
              <w:rPr>
                <w:color w:val="auto"/>
                <w:kern w:val="0"/>
                <w:sz w:val="24"/>
              </w:rPr>
            </w:pPr>
            <w:r>
              <w:rPr>
                <w:color w:val="auto"/>
                <w:sz w:val="24"/>
              </w:rPr>
              <w:t>根据《饮食业油烟排放标准（试行）》(GB18483-2001</w:t>
            </w:r>
            <w:r>
              <w:rPr>
                <w:rFonts w:hint="eastAsia"/>
                <w:color w:val="auto"/>
                <w:sz w:val="24"/>
              </w:rPr>
              <w:t>）</w:t>
            </w:r>
            <w:r>
              <w:rPr>
                <w:color w:val="auto"/>
                <w:sz w:val="24"/>
              </w:rPr>
              <w:t>表1规模划分，</w:t>
            </w:r>
            <w:r>
              <w:rPr>
                <w:rFonts w:hint="eastAsia"/>
                <w:color w:val="auto"/>
                <w:sz w:val="24"/>
              </w:rPr>
              <w:t>现有项目</w:t>
            </w:r>
            <w:r>
              <w:rPr>
                <w:rFonts w:hint="eastAsia"/>
                <w:color w:val="auto"/>
                <w:kern w:val="0"/>
                <w:sz w:val="24"/>
              </w:rPr>
              <w:t>每一个卫生院的</w:t>
            </w:r>
            <w:r>
              <w:rPr>
                <w:color w:val="auto"/>
                <w:kern w:val="0"/>
                <w:sz w:val="24"/>
              </w:rPr>
              <w:t>食堂为</w:t>
            </w:r>
            <w:r>
              <w:rPr>
                <w:rFonts w:hint="eastAsia"/>
                <w:color w:val="auto"/>
                <w:kern w:val="0"/>
                <w:sz w:val="24"/>
              </w:rPr>
              <w:t>小型</w:t>
            </w:r>
            <w:r>
              <w:rPr>
                <w:color w:val="auto"/>
                <w:kern w:val="0"/>
                <w:sz w:val="24"/>
              </w:rPr>
              <w:t>饮食单位，基本灶头数为</w:t>
            </w:r>
            <w:r>
              <w:rPr>
                <w:rFonts w:hint="eastAsia"/>
                <w:color w:val="auto"/>
                <w:kern w:val="0"/>
                <w:sz w:val="24"/>
              </w:rPr>
              <w:t>1</w:t>
            </w:r>
            <w:r>
              <w:rPr>
                <w:color w:val="auto"/>
                <w:kern w:val="0"/>
                <w:sz w:val="24"/>
              </w:rPr>
              <w:t>个，</w:t>
            </w:r>
            <w:r>
              <w:rPr>
                <w:color w:val="auto"/>
                <w:sz w:val="24"/>
              </w:rPr>
              <w:t>每个灶头上方</w:t>
            </w:r>
            <w:r>
              <w:rPr>
                <w:rFonts w:hint="eastAsia"/>
                <w:color w:val="auto"/>
                <w:sz w:val="24"/>
              </w:rPr>
              <w:t>均已</w:t>
            </w:r>
            <w:r>
              <w:rPr>
                <w:color w:val="auto"/>
                <w:sz w:val="24"/>
              </w:rPr>
              <w:t>设置</w:t>
            </w:r>
            <w:r>
              <w:rPr>
                <w:rFonts w:hint="eastAsia"/>
                <w:color w:val="auto"/>
                <w:sz w:val="24"/>
              </w:rPr>
              <w:t>了</w:t>
            </w:r>
            <w:r>
              <w:rPr>
                <w:color w:val="auto"/>
                <w:sz w:val="24"/>
              </w:rPr>
              <w:t>排气罩，</w:t>
            </w:r>
            <w:r>
              <w:rPr>
                <w:rFonts w:hint="eastAsia"/>
                <w:color w:val="auto"/>
                <w:sz w:val="24"/>
              </w:rPr>
              <w:t>并设置了</w:t>
            </w:r>
            <w:r>
              <w:rPr>
                <w:color w:val="auto"/>
                <w:sz w:val="24"/>
              </w:rPr>
              <w:t>排油烟井</w:t>
            </w:r>
            <w:r>
              <w:rPr>
                <w:rFonts w:hint="eastAsia"/>
                <w:color w:val="auto"/>
                <w:sz w:val="24"/>
              </w:rPr>
              <w:t>，</w:t>
            </w:r>
            <w:r>
              <w:rPr>
                <w:color w:val="auto"/>
                <w:sz w:val="24"/>
              </w:rPr>
              <w:t>油烟经排气罩收集后统一引入排油烟井</w:t>
            </w:r>
            <w:r>
              <w:rPr>
                <w:rFonts w:hint="eastAsia"/>
                <w:color w:val="auto"/>
                <w:sz w:val="24"/>
              </w:rPr>
              <w:t>，</w:t>
            </w:r>
            <w:r>
              <w:rPr>
                <w:color w:val="auto"/>
                <w:sz w:val="24"/>
              </w:rPr>
              <w:t>最终引至</w:t>
            </w:r>
            <w:r>
              <w:rPr>
                <w:rFonts w:hint="eastAsia"/>
                <w:color w:val="auto"/>
                <w:sz w:val="24"/>
              </w:rPr>
              <w:t>食堂</w:t>
            </w:r>
            <w:r>
              <w:rPr>
                <w:color w:val="auto"/>
                <w:sz w:val="24"/>
              </w:rPr>
              <w:t>楼顶</w:t>
            </w:r>
            <w:r>
              <w:rPr>
                <w:rFonts w:hint="eastAsia"/>
                <w:color w:val="auto"/>
                <w:sz w:val="24"/>
              </w:rPr>
              <w:t>已设置的一套</w:t>
            </w:r>
            <w:r>
              <w:rPr>
                <w:color w:val="auto"/>
                <w:sz w:val="24"/>
              </w:rPr>
              <w:t>风机风量为</w:t>
            </w:r>
            <w:r>
              <w:rPr>
                <w:rFonts w:hint="eastAsia"/>
                <w:color w:val="auto"/>
                <w:sz w:val="24"/>
              </w:rPr>
              <w:t>1</w:t>
            </w:r>
            <w:r>
              <w:rPr>
                <w:color w:val="auto"/>
                <w:sz w:val="24"/>
              </w:rPr>
              <w:t>000m</w:t>
            </w:r>
            <w:r>
              <w:rPr>
                <w:color w:val="auto"/>
                <w:sz w:val="24"/>
                <w:vertAlign w:val="superscript"/>
              </w:rPr>
              <w:t>3</w:t>
            </w:r>
            <w:r>
              <w:rPr>
                <w:color w:val="auto"/>
                <w:sz w:val="24"/>
              </w:rPr>
              <w:t>/h，净化效率</w:t>
            </w:r>
            <w:r>
              <w:rPr>
                <w:rFonts w:hint="eastAsia"/>
                <w:color w:val="auto"/>
                <w:sz w:val="24"/>
              </w:rPr>
              <w:t>65</w:t>
            </w:r>
            <w:r>
              <w:rPr>
                <w:color w:val="auto"/>
                <w:sz w:val="24"/>
              </w:rPr>
              <w:t>%</w:t>
            </w:r>
            <w:r>
              <w:rPr>
                <w:rFonts w:hint="eastAsia"/>
                <w:color w:val="auto"/>
                <w:sz w:val="24"/>
              </w:rPr>
              <w:t>的</w:t>
            </w:r>
            <w:r>
              <w:rPr>
                <w:color w:val="auto"/>
                <w:sz w:val="24"/>
              </w:rPr>
              <w:t>油烟净化</w:t>
            </w:r>
            <w:r>
              <w:rPr>
                <w:rFonts w:hint="eastAsia"/>
                <w:color w:val="auto"/>
                <w:sz w:val="24"/>
              </w:rPr>
              <w:t>器处理后引至高出食堂楼顶1.5m排放，</w:t>
            </w:r>
            <w:r>
              <w:rPr>
                <w:color w:val="auto"/>
                <w:sz w:val="24"/>
              </w:rPr>
              <w:t>油烟</w:t>
            </w:r>
            <w:r>
              <w:rPr>
                <w:rFonts w:hint="eastAsia"/>
                <w:color w:val="auto"/>
                <w:sz w:val="24"/>
              </w:rPr>
              <w:t>排放</w:t>
            </w:r>
            <w:r>
              <w:rPr>
                <w:color w:val="auto"/>
                <w:kern w:val="0"/>
                <w:sz w:val="24"/>
              </w:rPr>
              <w:t>浓度为</w:t>
            </w:r>
            <w:r>
              <w:rPr>
                <w:rFonts w:hint="eastAsia"/>
                <w:color w:val="auto"/>
                <w:kern w:val="0"/>
                <w:sz w:val="24"/>
              </w:rPr>
              <w:t>四街卫生院0.7</w:t>
            </w:r>
            <w:r>
              <w:rPr>
                <w:color w:val="auto"/>
                <w:kern w:val="0"/>
                <w:sz w:val="24"/>
              </w:rPr>
              <w:t>mg/m</w:t>
            </w:r>
            <w:r>
              <w:rPr>
                <w:color w:val="auto"/>
                <w:kern w:val="0"/>
                <w:sz w:val="24"/>
                <w:vertAlign w:val="superscript"/>
              </w:rPr>
              <w:t>3</w:t>
            </w:r>
            <w:r>
              <w:rPr>
                <w:rFonts w:hint="eastAsia"/>
                <w:color w:val="auto"/>
                <w:sz w:val="24"/>
              </w:rPr>
              <w:t>（排放量为0.51kg/a），九龙卫生院排放浓度</w:t>
            </w:r>
            <w:r>
              <w:rPr>
                <w:rFonts w:hint="eastAsia"/>
                <w:color w:val="auto"/>
                <w:kern w:val="0"/>
                <w:sz w:val="24"/>
              </w:rPr>
              <w:t>0.52</w:t>
            </w:r>
            <w:r>
              <w:rPr>
                <w:color w:val="auto"/>
                <w:kern w:val="0"/>
                <w:sz w:val="24"/>
              </w:rPr>
              <w:t>mg/m</w:t>
            </w:r>
            <w:r>
              <w:rPr>
                <w:color w:val="auto"/>
                <w:kern w:val="0"/>
                <w:sz w:val="24"/>
                <w:vertAlign w:val="superscript"/>
              </w:rPr>
              <w:t>3</w:t>
            </w:r>
            <w:r>
              <w:rPr>
                <w:rFonts w:hint="eastAsia"/>
                <w:color w:val="auto"/>
                <w:sz w:val="24"/>
              </w:rPr>
              <w:t>（排放量为0.38kg/a），杨广卫生院排放浓度</w:t>
            </w:r>
            <w:r>
              <w:rPr>
                <w:rFonts w:hint="eastAsia"/>
                <w:color w:val="auto"/>
                <w:kern w:val="0"/>
                <w:sz w:val="24"/>
              </w:rPr>
              <w:t>0.64</w:t>
            </w:r>
            <w:r>
              <w:rPr>
                <w:color w:val="auto"/>
                <w:kern w:val="0"/>
                <w:sz w:val="24"/>
              </w:rPr>
              <w:t>mg/m</w:t>
            </w:r>
            <w:r>
              <w:rPr>
                <w:color w:val="auto"/>
                <w:kern w:val="0"/>
                <w:sz w:val="24"/>
                <w:vertAlign w:val="superscript"/>
              </w:rPr>
              <w:t>3</w:t>
            </w:r>
            <w:r>
              <w:rPr>
                <w:rFonts w:hint="eastAsia"/>
                <w:color w:val="auto"/>
                <w:sz w:val="24"/>
              </w:rPr>
              <w:t>（排放量为0.47kg/a），3个卫生院食堂均</w:t>
            </w:r>
            <w:r>
              <w:rPr>
                <w:color w:val="auto"/>
                <w:kern w:val="0"/>
                <w:sz w:val="24"/>
              </w:rPr>
              <w:t>能达到《饮食业油烟排放标准（试行）》（GB18483-2001）中最高排放允许浓度2.0mg/m</w:t>
            </w:r>
            <w:r>
              <w:rPr>
                <w:color w:val="auto"/>
                <w:kern w:val="0"/>
                <w:sz w:val="24"/>
                <w:vertAlign w:val="superscript"/>
              </w:rPr>
              <w:t>3</w:t>
            </w:r>
            <w:r>
              <w:rPr>
                <w:color w:val="auto"/>
                <w:kern w:val="0"/>
                <w:sz w:val="24"/>
              </w:rPr>
              <w:t>的要求。</w:t>
            </w:r>
          </w:p>
          <w:p w14:paraId="0320408E">
            <w:pPr>
              <w:jc w:val="center"/>
              <w:rPr>
                <w:rFonts w:hint="eastAsia" w:hAnsi="宋体"/>
                <w:b/>
                <w:color w:val="auto"/>
                <w:sz w:val="24"/>
              </w:rPr>
            </w:pPr>
            <w:r>
              <w:rPr>
                <w:rFonts w:hint="eastAsia"/>
                <w:b/>
                <w:color w:val="auto"/>
                <w:sz w:val="24"/>
              </w:rPr>
              <w:t>表2</w:t>
            </w:r>
            <w:r>
              <w:rPr>
                <w:b/>
                <w:color w:val="auto"/>
                <w:sz w:val="24"/>
              </w:rPr>
              <w:t>-</w:t>
            </w:r>
            <w:r>
              <w:rPr>
                <w:rFonts w:hint="eastAsia"/>
                <w:b/>
                <w:color w:val="auto"/>
                <w:sz w:val="24"/>
              </w:rPr>
              <w:t>26</w:t>
            </w:r>
            <w:r>
              <w:rPr>
                <w:b/>
                <w:color w:val="auto"/>
                <w:sz w:val="24"/>
              </w:rPr>
              <w:t xml:space="preserve">  </w:t>
            </w:r>
            <w:r>
              <w:rPr>
                <w:rFonts w:hint="eastAsia" w:hAnsi="宋体"/>
                <w:b/>
                <w:color w:val="auto"/>
                <w:sz w:val="24"/>
              </w:rPr>
              <w:t>现有项目食堂</w:t>
            </w:r>
            <w:r>
              <w:rPr>
                <w:rFonts w:hAnsi="宋体"/>
                <w:b/>
                <w:color w:val="auto"/>
                <w:sz w:val="24"/>
              </w:rPr>
              <w:t>污染物产排情况汇总表</w:t>
            </w:r>
          </w:p>
          <w:tbl>
            <w:tblPr>
              <w:tblStyle w:val="33"/>
              <w:tblW w:w="79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5"/>
              <w:gridCol w:w="1382"/>
              <w:gridCol w:w="1289"/>
              <w:gridCol w:w="1320"/>
              <w:gridCol w:w="1320"/>
              <w:gridCol w:w="1320"/>
            </w:tblGrid>
            <w:tr w14:paraId="12475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1325" w:type="dxa"/>
                  <w:vAlign w:val="center"/>
                </w:tcPr>
                <w:p w14:paraId="07593E4A">
                  <w:pPr>
                    <w:snapToGrid w:val="0"/>
                    <w:jc w:val="center"/>
                    <w:rPr>
                      <w:b/>
                      <w:snapToGrid w:val="0"/>
                      <w:color w:val="auto"/>
                      <w:kern w:val="0"/>
                      <w:szCs w:val="21"/>
                    </w:rPr>
                  </w:pPr>
                  <w:r>
                    <w:rPr>
                      <w:rFonts w:hAnsi="宋体"/>
                      <w:b/>
                      <w:snapToGrid w:val="0"/>
                      <w:color w:val="auto"/>
                      <w:kern w:val="0"/>
                      <w:szCs w:val="21"/>
                    </w:rPr>
                    <w:t>类别</w:t>
                  </w:r>
                </w:p>
              </w:tc>
              <w:tc>
                <w:tcPr>
                  <w:tcW w:w="1382" w:type="dxa"/>
                  <w:vAlign w:val="center"/>
                </w:tcPr>
                <w:p w14:paraId="05B757ED">
                  <w:pPr>
                    <w:snapToGrid w:val="0"/>
                    <w:jc w:val="center"/>
                    <w:rPr>
                      <w:b/>
                      <w:snapToGrid w:val="0"/>
                      <w:color w:val="auto"/>
                      <w:kern w:val="0"/>
                      <w:szCs w:val="21"/>
                    </w:rPr>
                  </w:pPr>
                  <w:r>
                    <w:rPr>
                      <w:rFonts w:hAnsi="宋体"/>
                      <w:b/>
                      <w:snapToGrid w:val="0"/>
                      <w:color w:val="auto"/>
                      <w:kern w:val="0"/>
                      <w:szCs w:val="21"/>
                    </w:rPr>
                    <w:t>污染物</w:t>
                  </w:r>
                </w:p>
              </w:tc>
              <w:tc>
                <w:tcPr>
                  <w:tcW w:w="1289" w:type="dxa"/>
                  <w:vAlign w:val="center"/>
                </w:tcPr>
                <w:p w14:paraId="65B4D00B">
                  <w:pPr>
                    <w:snapToGrid w:val="0"/>
                    <w:jc w:val="center"/>
                    <w:rPr>
                      <w:b/>
                      <w:snapToGrid w:val="0"/>
                      <w:color w:val="auto"/>
                      <w:kern w:val="0"/>
                      <w:szCs w:val="21"/>
                    </w:rPr>
                  </w:pPr>
                  <w:r>
                    <w:rPr>
                      <w:rFonts w:hAnsi="宋体"/>
                      <w:b/>
                      <w:snapToGrid w:val="0"/>
                      <w:color w:val="auto"/>
                      <w:kern w:val="0"/>
                      <w:szCs w:val="21"/>
                    </w:rPr>
                    <w:t>产生量</w:t>
                  </w:r>
                </w:p>
              </w:tc>
              <w:tc>
                <w:tcPr>
                  <w:tcW w:w="1320" w:type="dxa"/>
                  <w:vAlign w:val="center"/>
                </w:tcPr>
                <w:p w14:paraId="649E1F70">
                  <w:pPr>
                    <w:snapToGrid w:val="0"/>
                    <w:jc w:val="center"/>
                    <w:rPr>
                      <w:rFonts w:hint="eastAsia" w:hAnsi="宋体"/>
                      <w:b/>
                      <w:snapToGrid w:val="0"/>
                      <w:color w:val="auto"/>
                      <w:kern w:val="0"/>
                      <w:szCs w:val="21"/>
                    </w:rPr>
                  </w:pPr>
                  <w:r>
                    <w:rPr>
                      <w:rFonts w:hAnsi="宋体"/>
                      <w:b/>
                      <w:snapToGrid w:val="0"/>
                      <w:color w:val="auto"/>
                      <w:kern w:val="0"/>
                      <w:szCs w:val="21"/>
                    </w:rPr>
                    <w:t>排放量</w:t>
                  </w:r>
                </w:p>
              </w:tc>
              <w:tc>
                <w:tcPr>
                  <w:tcW w:w="1320" w:type="dxa"/>
                  <w:vAlign w:val="center"/>
                </w:tcPr>
                <w:p w14:paraId="2128F377">
                  <w:pPr>
                    <w:snapToGrid w:val="0"/>
                    <w:jc w:val="center"/>
                    <w:rPr>
                      <w:b/>
                      <w:snapToGrid w:val="0"/>
                      <w:color w:val="auto"/>
                      <w:kern w:val="0"/>
                      <w:szCs w:val="21"/>
                    </w:rPr>
                  </w:pPr>
                  <w:r>
                    <w:rPr>
                      <w:rFonts w:hint="eastAsia"/>
                      <w:b/>
                      <w:snapToGrid w:val="0"/>
                      <w:color w:val="auto"/>
                      <w:kern w:val="0"/>
                      <w:szCs w:val="21"/>
                    </w:rPr>
                    <w:t>排放速率</w:t>
                  </w:r>
                </w:p>
              </w:tc>
              <w:tc>
                <w:tcPr>
                  <w:tcW w:w="1320" w:type="dxa"/>
                  <w:vAlign w:val="center"/>
                </w:tcPr>
                <w:p w14:paraId="3B10E5A9">
                  <w:pPr>
                    <w:snapToGrid w:val="0"/>
                    <w:jc w:val="center"/>
                    <w:rPr>
                      <w:b/>
                      <w:snapToGrid w:val="0"/>
                      <w:color w:val="auto"/>
                      <w:kern w:val="0"/>
                      <w:szCs w:val="21"/>
                    </w:rPr>
                  </w:pPr>
                  <w:r>
                    <w:rPr>
                      <w:rFonts w:hint="eastAsia"/>
                      <w:b/>
                      <w:snapToGrid w:val="0"/>
                      <w:color w:val="auto"/>
                      <w:kern w:val="0"/>
                      <w:szCs w:val="21"/>
                    </w:rPr>
                    <w:t>排放浓度</w:t>
                  </w:r>
                  <w:r>
                    <w:rPr>
                      <w:b/>
                      <w:snapToGrid w:val="0"/>
                      <w:color w:val="auto"/>
                      <w:kern w:val="0"/>
                      <w:szCs w:val="21"/>
                    </w:rPr>
                    <w:cr/>
                  </w:r>
                  <w:r>
                    <w:rPr>
                      <w:b/>
                      <w:snapToGrid w:val="0"/>
                      <w:color w:val="auto"/>
                      <w:kern w:val="0"/>
                      <w:szCs w:val="21"/>
                    </w:rPr>
                    <w:t xml:space="preserve"> </w:t>
                  </w:r>
                </w:p>
              </w:tc>
            </w:tr>
            <w:tr w14:paraId="34648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1" w:hRule="atLeast"/>
                <w:jc w:val="center"/>
              </w:trPr>
              <w:tc>
                <w:tcPr>
                  <w:tcW w:w="1325" w:type="dxa"/>
                  <w:vAlign w:val="center"/>
                </w:tcPr>
                <w:p w14:paraId="570274F3">
                  <w:pPr>
                    <w:snapToGrid w:val="0"/>
                    <w:jc w:val="center"/>
                    <w:rPr>
                      <w:snapToGrid w:val="0"/>
                      <w:color w:val="auto"/>
                      <w:kern w:val="0"/>
                      <w:szCs w:val="21"/>
                    </w:rPr>
                  </w:pPr>
                  <w:r>
                    <w:rPr>
                      <w:rFonts w:hint="eastAsia"/>
                      <w:snapToGrid w:val="0"/>
                      <w:color w:val="auto"/>
                      <w:kern w:val="0"/>
                      <w:szCs w:val="21"/>
                    </w:rPr>
                    <w:t>四街卫生院</w:t>
                  </w:r>
                </w:p>
              </w:tc>
              <w:tc>
                <w:tcPr>
                  <w:tcW w:w="1382" w:type="dxa"/>
                  <w:vAlign w:val="center"/>
                </w:tcPr>
                <w:p w14:paraId="144D7D8D">
                  <w:pPr>
                    <w:snapToGrid w:val="0"/>
                    <w:jc w:val="center"/>
                    <w:rPr>
                      <w:snapToGrid w:val="0"/>
                      <w:color w:val="auto"/>
                      <w:kern w:val="0"/>
                      <w:szCs w:val="21"/>
                    </w:rPr>
                  </w:pPr>
                  <w:r>
                    <w:rPr>
                      <w:rFonts w:hAnsi="宋体"/>
                      <w:color w:val="auto"/>
                      <w:szCs w:val="21"/>
                    </w:rPr>
                    <w:t>食堂油烟</w:t>
                  </w:r>
                </w:p>
              </w:tc>
              <w:tc>
                <w:tcPr>
                  <w:tcW w:w="1289" w:type="dxa"/>
                  <w:vAlign w:val="center"/>
                </w:tcPr>
                <w:p w14:paraId="7BD63394">
                  <w:pPr>
                    <w:snapToGrid w:val="0"/>
                    <w:jc w:val="center"/>
                    <w:rPr>
                      <w:snapToGrid w:val="0"/>
                      <w:color w:val="auto"/>
                      <w:kern w:val="0"/>
                      <w:szCs w:val="21"/>
                    </w:rPr>
                  </w:pPr>
                  <w:r>
                    <w:rPr>
                      <w:rFonts w:hint="eastAsia"/>
                      <w:color w:val="auto"/>
                      <w:sz w:val="24"/>
                    </w:rPr>
                    <w:t>1.46</w:t>
                  </w:r>
                  <w:r>
                    <w:rPr>
                      <w:color w:val="auto"/>
                      <w:sz w:val="24"/>
                    </w:rPr>
                    <w:t>kg</w:t>
                  </w:r>
                  <w:r>
                    <w:rPr>
                      <w:rFonts w:hint="eastAsia"/>
                      <w:color w:val="auto"/>
                      <w:sz w:val="24"/>
                    </w:rPr>
                    <w:t>/</w:t>
                  </w:r>
                  <w:r>
                    <w:rPr>
                      <w:color w:val="auto"/>
                      <w:sz w:val="24"/>
                    </w:rPr>
                    <w:t>a</w:t>
                  </w:r>
                </w:p>
              </w:tc>
              <w:tc>
                <w:tcPr>
                  <w:tcW w:w="1320" w:type="dxa"/>
                  <w:vAlign w:val="center"/>
                </w:tcPr>
                <w:p w14:paraId="6385BF28">
                  <w:pPr>
                    <w:snapToGrid w:val="0"/>
                    <w:jc w:val="center"/>
                    <w:rPr>
                      <w:snapToGrid w:val="0"/>
                      <w:color w:val="auto"/>
                      <w:kern w:val="0"/>
                      <w:szCs w:val="21"/>
                    </w:rPr>
                  </w:pPr>
                  <w:r>
                    <w:rPr>
                      <w:rFonts w:hint="eastAsia"/>
                      <w:color w:val="auto"/>
                      <w:sz w:val="24"/>
                    </w:rPr>
                    <w:t>0.51kg/a</w:t>
                  </w:r>
                </w:p>
              </w:tc>
              <w:tc>
                <w:tcPr>
                  <w:tcW w:w="1320" w:type="dxa"/>
                  <w:vAlign w:val="center"/>
                </w:tcPr>
                <w:p w14:paraId="1D034E41">
                  <w:pPr>
                    <w:snapToGrid w:val="0"/>
                    <w:jc w:val="center"/>
                    <w:rPr>
                      <w:snapToGrid w:val="0"/>
                      <w:color w:val="auto"/>
                      <w:kern w:val="0"/>
                      <w:szCs w:val="21"/>
                    </w:rPr>
                  </w:pPr>
                  <w:r>
                    <w:rPr>
                      <w:rFonts w:hint="eastAsia"/>
                      <w:snapToGrid w:val="0"/>
                      <w:color w:val="auto"/>
                      <w:kern w:val="0"/>
                      <w:szCs w:val="21"/>
                    </w:rPr>
                    <w:t>0.7</w:t>
                  </w:r>
                  <w:r>
                    <w:rPr>
                      <w:color w:val="auto"/>
                      <w:kern w:val="0"/>
                      <w:sz w:val="24"/>
                    </w:rPr>
                    <w:t>g/h</w:t>
                  </w:r>
                </w:p>
              </w:tc>
              <w:tc>
                <w:tcPr>
                  <w:tcW w:w="1320" w:type="dxa"/>
                  <w:vAlign w:val="center"/>
                </w:tcPr>
                <w:p w14:paraId="22DDDC98">
                  <w:pPr>
                    <w:snapToGrid w:val="0"/>
                    <w:jc w:val="center"/>
                    <w:rPr>
                      <w:snapToGrid w:val="0"/>
                      <w:color w:val="auto"/>
                      <w:kern w:val="0"/>
                      <w:szCs w:val="21"/>
                    </w:rPr>
                  </w:pPr>
                  <w:r>
                    <w:rPr>
                      <w:rFonts w:hint="eastAsia"/>
                      <w:color w:val="auto"/>
                      <w:kern w:val="0"/>
                      <w:sz w:val="24"/>
                    </w:rPr>
                    <w:t>0.7</w:t>
                  </w:r>
                  <w:r>
                    <w:rPr>
                      <w:color w:val="auto"/>
                      <w:kern w:val="0"/>
                      <w:sz w:val="24"/>
                    </w:rPr>
                    <w:t>mg/m</w:t>
                  </w:r>
                  <w:r>
                    <w:rPr>
                      <w:color w:val="auto"/>
                      <w:kern w:val="0"/>
                      <w:sz w:val="24"/>
                      <w:vertAlign w:val="superscript"/>
                    </w:rPr>
                    <w:t>3</w:t>
                  </w:r>
                </w:p>
              </w:tc>
            </w:tr>
            <w:tr w14:paraId="4BA50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1" w:hRule="atLeast"/>
                <w:jc w:val="center"/>
              </w:trPr>
              <w:tc>
                <w:tcPr>
                  <w:tcW w:w="1325" w:type="dxa"/>
                  <w:vAlign w:val="center"/>
                </w:tcPr>
                <w:p w14:paraId="100B8F8E">
                  <w:pPr>
                    <w:snapToGrid w:val="0"/>
                    <w:jc w:val="center"/>
                    <w:rPr>
                      <w:snapToGrid w:val="0"/>
                      <w:color w:val="auto"/>
                      <w:kern w:val="0"/>
                      <w:szCs w:val="21"/>
                    </w:rPr>
                  </w:pPr>
                  <w:r>
                    <w:rPr>
                      <w:rFonts w:hint="eastAsia" w:hAnsi="宋体"/>
                      <w:snapToGrid w:val="0"/>
                      <w:color w:val="auto"/>
                      <w:kern w:val="0"/>
                      <w:szCs w:val="21"/>
                    </w:rPr>
                    <w:t>九龙卫生院</w:t>
                  </w:r>
                </w:p>
              </w:tc>
              <w:tc>
                <w:tcPr>
                  <w:tcW w:w="1382" w:type="dxa"/>
                  <w:vAlign w:val="center"/>
                </w:tcPr>
                <w:p w14:paraId="268F013F">
                  <w:pPr>
                    <w:snapToGrid w:val="0"/>
                    <w:jc w:val="center"/>
                    <w:rPr>
                      <w:snapToGrid w:val="0"/>
                      <w:color w:val="auto"/>
                      <w:kern w:val="0"/>
                      <w:szCs w:val="21"/>
                    </w:rPr>
                  </w:pPr>
                  <w:r>
                    <w:rPr>
                      <w:rFonts w:hAnsi="宋体"/>
                      <w:color w:val="auto"/>
                      <w:szCs w:val="21"/>
                    </w:rPr>
                    <w:t>食堂油烟</w:t>
                  </w:r>
                </w:p>
              </w:tc>
              <w:tc>
                <w:tcPr>
                  <w:tcW w:w="1289" w:type="dxa"/>
                  <w:vAlign w:val="center"/>
                </w:tcPr>
                <w:p w14:paraId="572F8C60">
                  <w:pPr>
                    <w:snapToGrid w:val="0"/>
                    <w:jc w:val="center"/>
                    <w:rPr>
                      <w:snapToGrid w:val="0"/>
                      <w:color w:val="auto"/>
                      <w:kern w:val="0"/>
                      <w:szCs w:val="21"/>
                      <w:highlight w:val="yellow"/>
                    </w:rPr>
                  </w:pPr>
                  <w:r>
                    <w:rPr>
                      <w:rFonts w:hint="eastAsia"/>
                      <w:color w:val="auto"/>
                      <w:sz w:val="24"/>
                    </w:rPr>
                    <w:t>1.095</w:t>
                  </w:r>
                  <w:r>
                    <w:rPr>
                      <w:color w:val="auto"/>
                      <w:sz w:val="24"/>
                    </w:rPr>
                    <w:t>kg</w:t>
                  </w:r>
                  <w:r>
                    <w:rPr>
                      <w:rFonts w:hint="eastAsia"/>
                      <w:color w:val="auto"/>
                      <w:sz w:val="24"/>
                    </w:rPr>
                    <w:t>/</w:t>
                  </w:r>
                  <w:r>
                    <w:rPr>
                      <w:color w:val="auto"/>
                      <w:sz w:val="24"/>
                    </w:rPr>
                    <w:t>a</w:t>
                  </w:r>
                </w:p>
              </w:tc>
              <w:tc>
                <w:tcPr>
                  <w:tcW w:w="1320" w:type="dxa"/>
                  <w:vAlign w:val="center"/>
                </w:tcPr>
                <w:p w14:paraId="56292B72">
                  <w:pPr>
                    <w:snapToGrid w:val="0"/>
                    <w:jc w:val="center"/>
                    <w:rPr>
                      <w:color w:val="auto"/>
                      <w:szCs w:val="21"/>
                    </w:rPr>
                  </w:pPr>
                  <w:r>
                    <w:rPr>
                      <w:rFonts w:hint="eastAsia"/>
                      <w:color w:val="auto"/>
                      <w:sz w:val="24"/>
                    </w:rPr>
                    <w:t>0.38kg/a</w:t>
                  </w:r>
                </w:p>
              </w:tc>
              <w:tc>
                <w:tcPr>
                  <w:tcW w:w="1320" w:type="dxa"/>
                  <w:vAlign w:val="center"/>
                </w:tcPr>
                <w:p w14:paraId="047495D3">
                  <w:pPr>
                    <w:snapToGrid w:val="0"/>
                    <w:jc w:val="center"/>
                    <w:rPr>
                      <w:snapToGrid w:val="0"/>
                      <w:color w:val="auto"/>
                      <w:kern w:val="0"/>
                      <w:szCs w:val="21"/>
                      <w:highlight w:val="yellow"/>
                    </w:rPr>
                  </w:pPr>
                  <w:r>
                    <w:rPr>
                      <w:rFonts w:hint="eastAsia"/>
                      <w:snapToGrid w:val="0"/>
                      <w:color w:val="auto"/>
                      <w:kern w:val="0"/>
                      <w:szCs w:val="21"/>
                    </w:rPr>
                    <w:t>0.52</w:t>
                  </w:r>
                  <w:r>
                    <w:rPr>
                      <w:color w:val="auto"/>
                      <w:kern w:val="0"/>
                      <w:sz w:val="24"/>
                    </w:rPr>
                    <w:t>g/h</w:t>
                  </w:r>
                </w:p>
              </w:tc>
              <w:tc>
                <w:tcPr>
                  <w:tcW w:w="1320" w:type="dxa"/>
                  <w:vAlign w:val="center"/>
                </w:tcPr>
                <w:p w14:paraId="07A4783A">
                  <w:pPr>
                    <w:snapToGrid w:val="0"/>
                    <w:jc w:val="center"/>
                    <w:rPr>
                      <w:snapToGrid w:val="0"/>
                      <w:color w:val="auto"/>
                      <w:kern w:val="0"/>
                      <w:szCs w:val="21"/>
                      <w:highlight w:val="yellow"/>
                    </w:rPr>
                  </w:pPr>
                  <w:r>
                    <w:rPr>
                      <w:rFonts w:hint="eastAsia"/>
                      <w:color w:val="auto"/>
                      <w:kern w:val="0"/>
                      <w:sz w:val="24"/>
                    </w:rPr>
                    <w:t>0.52</w:t>
                  </w:r>
                  <w:r>
                    <w:rPr>
                      <w:color w:val="auto"/>
                      <w:kern w:val="0"/>
                      <w:sz w:val="24"/>
                    </w:rPr>
                    <w:t>mg/m</w:t>
                  </w:r>
                  <w:r>
                    <w:rPr>
                      <w:color w:val="auto"/>
                      <w:kern w:val="0"/>
                      <w:sz w:val="24"/>
                      <w:vertAlign w:val="superscript"/>
                    </w:rPr>
                    <w:t>3</w:t>
                  </w:r>
                </w:p>
              </w:tc>
            </w:tr>
            <w:tr w14:paraId="7BC10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9" w:hRule="atLeast"/>
                <w:jc w:val="center"/>
              </w:trPr>
              <w:tc>
                <w:tcPr>
                  <w:tcW w:w="1325" w:type="dxa"/>
                  <w:vAlign w:val="center"/>
                </w:tcPr>
                <w:p w14:paraId="14456F5A">
                  <w:pPr>
                    <w:snapToGrid w:val="0"/>
                    <w:jc w:val="center"/>
                    <w:rPr>
                      <w:rFonts w:hint="eastAsia" w:hAnsi="宋体"/>
                      <w:snapToGrid w:val="0"/>
                      <w:color w:val="auto"/>
                      <w:kern w:val="0"/>
                      <w:szCs w:val="21"/>
                    </w:rPr>
                  </w:pPr>
                  <w:r>
                    <w:rPr>
                      <w:rFonts w:hint="eastAsia" w:hAnsi="宋体"/>
                      <w:snapToGrid w:val="0"/>
                      <w:color w:val="auto"/>
                      <w:kern w:val="0"/>
                      <w:szCs w:val="21"/>
                    </w:rPr>
                    <w:t>杨广卫生院</w:t>
                  </w:r>
                </w:p>
              </w:tc>
              <w:tc>
                <w:tcPr>
                  <w:tcW w:w="1382" w:type="dxa"/>
                  <w:vAlign w:val="center"/>
                </w:tcPr>
                <w:p w14:paraId="46CD9108">
                  <w:pPr>
                    <w:snapToGrid w:val="0"/>
                    <w:jc w:val="center"/>
                    <w:rPr>
                      <w:rFonts w:hint="eastAsia" w:hAnsi="宋体"/>
                      <w:snapToGrid w:val="0"/>
                      <w:color w:val="auto"/>
                      <w:kern w:val="0"/>
                      <w:szCs w:val="21"/>
                    </w:rPr>
                  </w:pPr>
                  <w:r>
                    <w:rPr>
                      <w:rFonts w:hAnsi="宋体"/>
                      <w:color w:val="auto"/>
                      <w:szCs w:val="21"/>
                    </w:rPr>
                    <w:t>食堂油烟</w:t>
                  </w:r>
                </w:p>
              </w:tc>
              <w:tc>
                <w:tcPr>
                  <w:tcW w:w="1289" w:type="dxa"/>
                  <w:vAlign w:val="center"/>
                </w:tcPr>
                <w:p w14:paraId="5741C8BB">
                  <w:pPr>
                    <w:snapToGrid w:val="0"/>
                    <w:jc w:val="center"/>
                    <w:rPr>
                      <w:color w:val="auto"/>
                      <w:szCs w:val="21"/>
                    </w:rPr>
                  </w:pPr>
                  <w:r>
                    <w:rPr>
                      <w:rFonts w:hint="eastAsia"/>
                      <w:color w:val="auto"/>
                      <w:sz w:val="24"/>
                    </w:rPr>
                    <w:t>1.351</w:t>
                  </w:r>
                  <w:r>
                    <w:rPr>
                      <w:color w:val="auto"/>
                      <w:sz w:val="24"/>
                    </w:rPr>
                    <w:t>kg</w:t>
                  </w:r>
                  <w:r>
                    <w:rPr>
                      <w:rFonts w:hint="eastAsia"/>
                      <w:color w:val="auto"/>
                      <w:sz w:val="24"/>
                    </w:rPr>
                    <w:t>/</w:t>
                  </w:r>
                  <w:r>
                    <w:rPr>
                      <w:color w:val="auto"/>
                      <w:sz w:val="24"/>
                    </w:rPr>
                    <w:t>a</w:t>
                  </w:r>
                </w:p>
              </w:tc>
              <w:tc>
                <w:tcPr>
                  <w:tcW w:w="1320" w:type="dxa"/>
                  <w:vAlign w:val="center"/>
                </w:tcPr>
                <w:p w14:paraId="11BE8C32">
                  <w:pPr>
                    <w:snapToGrid w:val="0"/>
                    <w:jc w:val="center"/>
                    <w:rPr>
                      <w:color w:val="auto"/>
                      <w:szCs w:val="21"/>
                    </w:rPr>
                  </w:pPr>
                  <w:r>
                    <w:rPr>
                      <w:rFonts w:hint="eastAsia"/>
                      <w:color w:val="auto"/>
                      <w:sz w:val="24"/>
                    </w:rPr>
                    <w:t>0.47kg/a</w:t>
                  </w:r>
                </w:p>
              </w:tc>
              <w:tc>
                <w:tcPr>
                  <w:tcW w:w="1320" w:type="dxa"/>
                  <w:vAlign w:val="center"/>
                </w:tcPr>
                <w:p w14:paraId="561520F8">
                  <w:pPr>
                    <w:snapToGrid w:val="0"/>
                    <w:jc w:val="center"/>
                    <w:rPr>
                      <w:color w:val="auto"/>
                      <w:szCs w:val="21"/>
                    </w:rPr>
                  </w:pPr>
                  <w:r>
                    <w:rPr>
                      <w:rFonts w:hint="eastAsia"/>
                      <w:color w:val="auto"/>
                      <w:szCs w:val="21"/>
                    </w:rPr>
                    <w:t>0.64</w:t>
                  </w:r>
                  <w:r>
                    <w:rPr>
                      <w:color w:val="auto"/>
                      <w:kern w:val="0"/>
                      <w:sz w:val="24"/>
                    </w:rPr>
                    <w:t>g/h</w:t>
                  </w:r>
                </w:p>
              </w:tc>
              <w:tc>
                <w:tcPr>
                  <w:tcW w:w="1320" w:type="dxa"/>
                  <w:vAlign w:val="center"/>
                </w:tcPr>
                <w:p w14:paraId="039EBCE3">
                  <w:pPr>
                    <w:snapToGrid w:val="0"/>
                    <w:jc w:val="center"/>
                    <w:rPr>
                      <w:color w:val="auto"/>
                      <w:szCs w:val="21"/>
                    </w:rPr>
                  </w:pPr>
                  <w:r>
                    <w:rPr>
                      <w:rFonts w:hint="eastAsia"/>
                      <w:color w:val="auto"/>
                      <w:kern w:val="0"/>
                      <w:sz w:val="24"/>
                    </w:rPr>
                    <w:t>0.64</w:t>
                  </w:r>
                  <w:r>
                    <w:rPr>
                      <w:color w:val="auto"/>
                      <w:kern w:val="0"/>
                      <w:sz w:val="24"/>
                    </w:rPr>
                    <w:t>mg/m</w:t>
                  </w:r>
                  <w:r>
                    <w:rPr>
                      <w:color w:val="auto"/>
                      <w:kern w:val="0"/>
                      <w:sz w:val="24"/>
                      <w:vertAlign w:val="superscript"/>
                    </w:rPr>
                    <w:t>3</w:t>
                  </w:r>
                </w:p>
              </w:tc>
            </w:tr>
            <w:tr w14:paraId="656B3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1325" w:type="dxa"/>
                  <w:vAlign w:val="center"/>
                </w:tcPr>
                <w:p w14:paraId="3853741E">
                  <w:pPr>
                    <w:snapToGrid w:val="0"/>
                    <w:jc w:val="center"/>
                    <w:rPr>
                      <w:rFonts w:hint="eastAsia" w:hAnsi="宋体"/>
                      <w:snapToGrid w:val="0"/>
                      <w:color w:val="auto"/>
                      <w:kern w:val="0"/>
                      <w:szCs w:val="21"/>
                    </w:rPr>
                  </w:pPr>
                  <w:r>
                    <w:rPr>
                      <w:rFonts w:hint="eastAsia" w:hAnsi="宋体"/>
                      <w:snapToGrid w:val="0"/>
                      <w:color w:val="auto"/>
                      <w:kern w:val="0"/>
                      <w:szCs w:val="21"/>
                    </w:rPr>
                    <w:t>纳古卫生院</w:t>
                  </w:r>
                </w:p>
              </w:tc>
              <w:tc>
                <w:tcPr>
                  <w:tcW w:w="6631" w:type="dxa"/>
                  <w:gridSpan w:val="5"/>
                  <w:vAlign w:val="center"/>
                </w:tcPr>
                <w:p w14:paraId="749A7AF0">
                  <w:pPr>
                    <w:snapToGrid w:val="0"/>
                    <w:jc w:val="center"/>
                    <w:rPr>
                      <w:color w:val="auto"/>
                      <w:kern w:val="0"/>
                      <w:szCs w:val="21"/>
                    </w:rPr>
                  </w:pPr>
                  <w:r>
                    <w:rPr>
                      <w:rFonts w:hint="eastAsia"/>
                      <w:color w:val="auto"/>
                      <w:kern w:val="0"/>
                      <w:szCs w:val="21"/>
                    </w:rPr>
                    <w:t>不设置食堂</w:t>
                  </w:r>
                </w:p>
              </w:tc>
            </w:tr>
          </w:tbl>
          <w:p w14:paraId="5CA1190A">
            <w:pPr>
              <w:adjustRightInd w:val="0"/>
              <w:snapToGrid w:val="0"/>
              <w:spacing w:line="360" w:lineRule="auto"/>
              <w:ind w:firstLine="602" w:firstLineChars="250"/>
              <w:rPr>
                <w:b/>
                <w:color w:val="auto"/>
                <w:sz w:val="24"/>
              </w:rPr>
            </w:pPr>
            <w:r>
              <w:rPr>
                <w:rFonts w:hint="eastAsia"/>
                <w:b/>
                <w:color w:val="auto"/>
                <w:sz w:val="24"/>
              </w:rPr>
              <w:t>3</w:t>
            </w:r>
            <w:r>
              <w:rPr>
                <w:b/>
                <w:color w:val="auto"/>
                <w:sz w:val="24"/>
              </w:rPr>
              <w:t>）汽车尾气</w:t>
            </w:r>
          </w:p>
          <w:p w14:paraId="2B4A8E2B">
            <w:pPr>
              <w:autoSpaceDE w:val="0"/>
              <w:autoSpaceDN w:val="0"/>
              <w:adjustRightInd w:val="0"/>
              <w:snapToGrid w:val="0"/>
              <w:spacing w:line="360" w:lineRule="auto"/>
              <w:ind w:firstLine="480" w:firstLineChars="200"/>
              <w:rPr>
                <w:color w:val="auto"/>
                <w:sz w:val="24"/>
              </w:rPr>
            </w:pPr>
            <w:r>
              <w:rPr>
                <w:rFonts w:hint="eastAsia"/>
                <w:color w:val="auto"/>
                <w:sz w:val="24"/>
              </w:rPr>
              <w:t>现有项目汽车进出停车场将产生汽车尾气，汽车尾气主要在汽车怠速状态或启动时产生，主要污染物为CO、NO</w:t>
            </w:r>
            <w:r>
              <w:rPr>
                <w:rFonts w:hint="eastAsia"/>
                <w:color w:val="auto"/>
                <w:sz w:val="24"/>
                <w:vertAlign w:val="subscript"/>
              </w:rPr>
              <w:t>X</w:t>
            </w:r>
            <w:r>
              <w:rPr>
                <w:rFonts w:hint="eastAsia"/>
                <w:color w:val="auto"/>
                <w:sz w:val="24"/>
              </w:rPr>
              <w:t>及THC。汽车尾气主要产生于道路和停车场内，为低架点源无组织排放性质，具有间断性、产生时间较短、产生量较小、产生点相对分散、易被稀释扩散等特点。现有项目四街停车位设置30个，九龙卫生院停车位设置16个，杨广卫生院停车位25个，纳古卫生院23个 ，全部为地上停车位，汽车尾气由于排入开放性的空间，易于自然扩散和迁移，呈分散、无规律的形式排放，浓度积累小，对区域大气环境影响很小，外排废气不会对外环境造成明显影响。</w:t>
            </w:r>
          </w:p>
          <w:p w14:paraId="663CD2EC">
            <w:pPr>
              <w:adjustRightInd w:val="0"/>
              <w:snapToGrid w:val="0"/>
              <w:spacing w:line="360" w:lineRule="auto"/>
              <w:ind w:firstLine="482"/>
              <w:rPr>
                <w:b/>
                <w:color w:val="auto"/>
                <w:kern w:val="0"/>
                <w:sz w:val="24"/>
              </w:rPr>
            </w:pPr>
            <w:r>
              <w:rPr>
                <w:rFonts w:hint="eastAsia"/>
                <w:b/>
                <w:color w:val="auto"/>
                <w:kern w:val="0"/>
                <w:sz w:val="24"/>
              </w:rPr>
              <w:t>4</w:t>
            </w:r>
            <w:r>
              <w:rPr>
                <w:b/>
                <w:color w:val="auto"/>
                <w:kern w:val="0"/>
                <w:sz w:val="24"/>
              </w:rPr>
              <w:t>）</w:t>
            </w:r>
            <w:r>
              <w:rPr>
                <w:rFonts w:hint="eastAsia"/>
                <w:b/>
                <w:color w:val="auto"/>
                <w:kern w:val="0"/>
                <w:sz w:val="24"/>
              </w:rPr>
              <w:t>备用</w:t>
            </w:r>
            <w:r>
              <w:rPr>
                <w:b/>
                <w:color w:val="auto"/>
                <w:kern w:val="0"/>
                <w:sz w:val="24"/>
              </w:rPr>
              <w:t>柴油发电机废气</w:t>
            </w:r>
          </w:p>
          <w:p w14:paraId="467496A1">
            <w:pPr>
              <w:adjustRightInd w:val="0"/>
              <w:snapToGrid w:val="0"/>
              <w:spacing w:line="360" w:lineRule="auto"/>
              <w:ind w:firstLine="480" w:firstLineChars="200"/>
              <w:rPr>
                <w:color w:val="auto"/>
                <w:sz w:val="24"/>
              </w:rPr>
            </w:pPr>
            <w:r>
              <w:rPr>
                <w:rFonts w:hint="eastAsia"/>
                <w:color w:val="auto"/>
                <w:sz w:val="24"/>
              </w:rPr>
              <w:t>现有项目四街卫生院</w:t>
            </w:r>
            <w:r>
              <w:rPr>
                <w:color w:val="auto"/>
                <w:sz w:val="24"/>
              </w:rPr>
              <w:t>设一台</w:t>
            </w:r>
            <w:r>
              <w:rPr>
                <w:rFonts w:hint="eastAsia"/>
                <w:color w:val="auto"/>
                <w:sz w:val="24"/>
              </w:rPr>
              <w:t>100kw的</w:t>
            </w:r>
            <w:r>
              <w:rPr>
                <w:color w:val="auto"/>
                <w:sz w:val="24"/>
              </w:rPr>
              <w:t>备用柴油发电机</w:t>
            </w:r>
            <w:r>
              <w:rPr>
                <w:rFonts w:hint="eastAsia"/>
                <w:color w:val="auto"/>
                <w:sz w:val="24"/>
              </w:rPr>
              <w:t>，纳古卫生院设一台50kw的</w:t>
            </w:r>
            <w:r>
              <w:rPr>
                <w:color w:val="auto"/>
                <w:sz w:val="24"/>
              </w:rPr>
              <w:t>备用柴油发电机</w:t>
            </w:r>
            <w:r>
              <w:rPr>
                <w:rFonts w:hint="eastAsia"/>
                <w:color w:val="auto"/>
                <w:sz w:val="24"/>
              </w:rPr>
              <w:t>，九龙卫生院设置一台150kw的柴油发电机，杨广卫生院</w:t>
            </w:r>
            <w:r>
              <w:rPr>
                <w:color w:val="auto"/>
                <w:sz w:val="24"/>
              </w:rPr>
              <w:t>设一台</w:t>
            </w:r>
            <w:r>
              <w:rPr>
                <w:rFonts w:hint="eastAsia"/>
                <w:color w:val="auto"/>
                <w:sz w:val="24"/>
              </w:rPr>
              <w:t>100kw的</w:t>
            </w:r>
            <w:r>
              <w:rPr>
                <w:color w:val="auto"/>
                <w:sz w:val="24"/>
              </w:rPr>
              <w:t>备用柴油发电机，备用发电机仅在项目区停电时使用，在备用发电机运行过程中会产生一定的燃油废气，备用发电机产生的污染物主要为总烃氢化合物（THC）、CO、NOx等，产生量不定。停电情况较少，使用频率较低，故备用发电机产生的废气较少，备用发电机房设有</w:t>
            </w:r>
            <w:r>
              <w:rPr>
                <w:rFonts w:hint="eastAsia"/>
                <w:color w:val="auto"/>
                <w:sz w:val="24"/>
              </w:rPr>
              <w:t>专用</w:t>
            </w:r>
            <w:r>
              <w:rPr>
                <w:color w:val="auto"/>
                <w:sz w:val="24"/>
              </w:rPr>
              <w:t>排风口，</w:t>
            </w:r>
            <w:r>
              <w:rPr>
                <w:rFonts w:hint="eastAsia"/>
                <w:color w:val="auto"/>
                <w:sz w:val="24"/>
              </w:rPr>
              <w:t>避开了居民、住宅及住院楼，</w:t>
            </w:r>
            <w:r>
              <w:rPr>
                <w:color w:val="auto"/>
                <w:sz w:val="24"/>
              </w:rPr>
              <w:t>备用发电机产生的废气经排风口外排</w:t>
            </w:r>
            <w:r>
              <w:rPr>
                <w:rFonts w:hint="eastAsia"/>
                <w:color w:val="auto"/>
                <w:sz w:val="24"/>
              </w:rPr>
              <w:t>对周围环境影响较小</w:t>
            </w:r>
            <w:r>
              <w:rPr>
                <w:color w:val="auto"/>
                <w:sz w:val="24"/>
              </w:rPr>
              <w:t>。</w:t>
            </w:r>
          </w:p>
          <w:p w14:paraId="01C371BD">
            <w:pPr>
              <w:pStyle w:val="8"/>
              <w:adjustRightInd w:val="0"/>
              <w:snapToGrid w:val="0"/>
              <w:spacing w:line="360" w:lineRule="auto"/>
              <w:ind w:firstLine="419" w:firstLineChars="174"/>
              <w:rPr>
                <w:b/>
                <w:bCs/>
                <w:color w:val="auto"/>
              </w:rPr>
            </w:pPr>
            <w:r>
              <w:rPr>
                <w:b/>
                <w:bCs/>
                <w:color w:val="auto"/>
              </w:rPr>
              <w:t>（</w:t>
            </w:r>
            <w:r>
              <w:rPr>
                <w:rFonts w:hint="eastAsia"/>
                <w:b/>
                <w:bCs/>
                <w:color w:val="auto"/>
              </w:rPr>
              <w:t>2</w:t>
            </w:r>
            <w:r>
              <w:rPr>
                <w:b/>
                <w:bCs/>
                <w:color w:val="auto"/>
              </w:rPr>
              <w:t>）</w:t>
            </w:r>
            <w:r>
              <w:rPr>
                <w:rFonts w:hint="eastAsia"/>
                <w:b/>
                <w:color w:val="auto"/>
              </w:rPr>
              <w:t>现有项目</w:t>
            </w:r>
            <w:r>
              <w:rPr>
                <w:b/>
                <w:bCs/>
                <w:color w:val="auto"/>
              </w:rPr>
              <w:t>运营期</w:t>
            </w:r>
            <w:r>
              <w:rPr>
                <w:rFonts w:hint="eastAsia"/>
                <w:b/>
                <w:bCs/>
                <w:color w:val="auto"/>
              </w:rPr>
              <w:t>废水</w:t>
            </w:r>
          </w:p>
          <w:p w14:paraId="41EF0B91">
            <w:pPr>
              <w:spacing w:line="360" w:lineRule="auto"/>
              <w:ind w:firstLine="480" w:firstLineChars="200"/>
              <w:rPr>
                <w:color w:val="auto"/>
                <w:sz w:val="24"/>
              </w:rPr>
            </w:pPr>
            <w:r>
              <w:rPr>
                <w:rFonts w:hint="eastAsia"/>
                <w:color w:val="auto"/>
                <w:sz w:val="24"/>
              </w:rPr>
              <w:t>现有项目</w:t>
            </w:r>
            <w:r>
              <w:rPr>
                <w:color w:val="auto"/>
                <w:sz w:val="24"/>
              </w:rPr>
              <w:t>产生废水主要为：门诊废水、</w:t>
            </w:r>
            <w:r>
              <w:rPr>
                <w:rFonts w:hint="eastAsia"/>
                <w:color w:val="auto"/>
                <w:sz w:val="24"/>
              </w:rPr>
              <w:t>住院部</w:t>
            </w:r>
            <w:r>
              <w:rPr>
                <w:color w:val="auto"/>
                <w:sz w:val="24"/>
              </w:rPr>
              <w:t>废水、检验废水、食堂</w:t>
            </w:r>
            <w:r>
              <w:rPr>
                <w:rFonts w:hint="eastAsia"/>
                <w:color w:val="auto"/>
                <w:sz w:val="24"/>
              </w:rPr>
              <w:t>废</w:t>
            </w:r>
            <w:r>
              <w:rPr>
                <w:color w:val="auto"/>
                <w:sz w:val="24"/>
              </w:rPr>
              <w:t>水</w:t>
            </w:r>
            <w:r>
              <w:rPr>
                <w:rFonts w:hint="eastAsia"/>
                <w:color w:val="auto"/>
                <w:sz w:val="24"/>
              </w:rPr>
              <w:t>及职工宿舍生活污水等</w:t>
            </w:r>
            <w:r>
              <w:rPr>
                <w:color w:val="auto"/>
                <w:sz w:val="24"/>
              </w:rPr>
              <w:t>。根据水表相关数据，</w:t>
            </w:r>
            <w:r>
              <w:rPr>
                <w:rFonts w:hint="eastAsia"/>
                <w:color w:val="auto"/>
                <w:sz w:val="24"/>
              </w:rPr>
              <w:t>现有项目纳古卫生院</w:t>
            </w:r>
            <w:r>
              <w:rPr>
                <w:color w:val="auto"/>
                <w:sz w:val="24"/>
              </w:rPr>
              <w:t>用水量约</w:t>
            </w:r>
            <w:r>
              <w:rPr>
                <w:rFonts w:hint="eastAsia"/>
                <w:color w:val="auto"/>
                <w:sz w:val="24"/>
              </w:rPr>
              <w:t>8.94</w:t>
            </w:r>
            <w:r>
              <w:rPr>
                <w:color w:val="auto"/>
                <w:sz w:val="24"/>
              </w:rPr>
              <w:t>m</w:t>
            </w:r>
            <w:r>
              <w:rPr>
                <w:color w:val="auto"/>
                <w:sz w:val="24"/>
                <w:vertAlign w:val="superscript"/>
              </w:rPr>
              <w:t>3</w:t>
            </w:r>
            <w:r>
              <w:rPr>
                <w:color w:val="auto"/>
                <w:sz w:val="24"/>
              </w:rPr>
              <w:t>/d，</w:t>
            </w:r>
            <w:r>
              <w:rPr>
                <w:rFonts w:hint="eastAsia"/>
                <w:color w:val="auto"/>
                <w:sz w:val="24"/>
              </w:rPr>
              <w:t>3263.1</w:t>
            </w:r>
            <w:r>
              <w:rPr>
                <w:color w:val="auto"/>
                <w:sz w:val="24"/>
              </w:rPr>
              <w:t>t/a，废水总产生量约</w:t>
            </w:r>
            <w:r>
              <w:rPr>
                <w:rFonts w:hint="eastAsia"/>
                <w:color w:val="auto"/>
                <w:sz w:val="24"/>
              </w:rPr>
              <w:t>7.6</w:t>
            </w:r>
            <w:r>
              <w:rPr>
                <w:color w:val="auto"/>
                <w:sz w:val="24"/>
              </w:rPr>
              <w:t>m</w:t>
            </w:r>
            <w:r>
              <w:rPr>
                <w:color w:val="auto"/>
                <w:sz w:val="24"/>
                <w:vertAlign w:val="superscript"/>
              </w:rPr>
              <w:t>3/</w:t>
            </w:r>
            <w:r>
              <w:rPr>
                <w:color w:val="auto"/>
                <w:sz w:val="24"/>
              </w:rPr>
              <w:t>d，</w:t>
            </w:r>
            <w:r>
              <w:rPr>
                <w:rFonts w:hint="eastAsia"/>
                <w:color w:val="auto"/>
                <w:sz w:val="24"/>
              </w:rPr>
              <w:t>2774</w:t>
            </w:r>
            <w:r>
              <w:rPr>
                <w:color w:val="auto"/>
                <w:sz w:val="24"/>
              </w:rPr>
              <w:t>t/a</w:t>
            </w:r>
            <w:r>
              <w:rPr>
                <w:rFonts w:hint="eastAsia"/>
                <w:color w:val="auto"/>
                <w:sz w:val="24"/>
              </w:rPr>
              <w:t>，四街卫生院</w:t>
            </w:r>
            <w:r>
              <w:rPr>
                <w:color w:val="auto"/>
                <w:sz w:val="24"/>
              </w:rPr>
              <w:t>用水量约</w:t>
            </w:r>
            <w:r>
              <w:rPr>
                <w:rFonts w:hint="eastAsia"/>
                <w:color w:val="auto"/>
                <w:sz w:val="24"/>
              </w:rPr>
              <w:t>8.91</w:t>
            </w:r>
            <w:r>
              <w:rPr>
                <w:color w:val="auto"/>
                <w:sz w:val="24"/>
              </w:rPr>
              <w:t>m</w:t>
            </w:r>
            <w:r>
              <w:rPr>
                <w:color w:val="auto"/>
                <w:sz w:val="24"/>
                <w:vertAlign w:val="superscript"/>
              </w:rPr>
              <w:t>3</w:t>
            </w:r>
            <w:r>
              <w:rPr>
                <w:color w:val="auto"/>
                <w:sz w:val="24"/>
              </w:rPr>
              <w:t>/d，</w:t>
            </w:r>
            <w:r>
              <w:rPr>
                <w:rFonts w:hint="eastAsia"/>
                <w:color w:val="auto"/>
                <w:sz w:val="24"/>
              </w:rPr>
              <w:t>3252.15t</w:t>
            </w:r>
            <w:r>
              <w:rPr>
                <w:color w:val="auto"/>
                <w:sz w:val="24"/>
              </w:rPr>
              <w:t>/a，废水总产生量约</w:t>
            </w:r>
            <w:r>
              <w:rPr>
                <w:rFonts w:hint="eastAsia"/>
                <w:color w:val="auto"/>
                <w:sz w:val="24"/>
              </w:rPr>
              <w:t>7.574</w:t>
            </w:r>
            <w:r>
              <w:rPr>
                <w:color w:val="auto"/>
                <w:sz w:val="24"/>
              </w:rPr>
              <w:t>m</w:t>
            </w:r>
            <w:r>
              <w:rPr>
                <w:color w:val="auto"/>
                <w:sz w:val="24"/>
                <w:vertAlign w:val="superscript"/>
              </w:rPr>
              <w:t>3/</w:t>
            </w:r>
            <w:r>
              <w:rPr>
                <w:color w:val="auto"/>
                <w:sz w:val="24"/>
              </w:rPr>
              <w:t>d，</w:t>
            </w:r>
            <w:r>
              <w:rPr>
                <w:rFonts w:hint="eastAsia"/>
                <w:color w:val="auto"/>
                <w:sz w:val="24"/>
              </w:rPr>
              <w:t>2764.51</w:t>
            </w:r>
            <w:r>
              <w:rPr>
                <w:color w:val="auto"/>
                <w:sz w:val="24"/>
              </w:rPr>
              <w:t>t/a。</w:t>
            </w:r>
            <w:r>
              <w:rPr>
                <w:rFonts w:hint="eastAsia"/>
                <w:color w:val="auto"/>
                <w:sz w:val="24"/>
              </w:rPr>
              <w:t>九龙卫生院</w:t>
            </w:r>
            <w:r>
              <w:rPr>
                <w:color w:val="auto"/>
                <w:sz w:val="24"/>
              </w:rPr>
              <w:t>用水量约</w:t>
            </w:r>
            <w:r>
              <w:rPr>
                <w:rFonts w:hint="eastAsia"/>
                <w:color w:val="auto"/>
                <w:sz w:val="24"/>
              </w:rPr>
              <w:t>13.56</w:t>
            </w:r>
            <w:r>
              <w:rPr>
                <w:color w:val="auto"/>
                <w:sz w:val="24"/>
              </w:rPr>
              <w:t>m</w:t>
            </w:r>
            <w:r>
              <w:rPr>
                <w:color w:val="auto"/>
                <w:sz w:val="24"/>
                <w:vertAlign w:val="superscript"/>
              </w:rPr>
              <w:t>3</w:t>
            </w:r>
            <w:r>
              <w:rPr>
                <w:color w:val="auto"/>
                <w:sz w:val="24"/>
              </w:rPr>
              <w:t>/d，</w:t>
            </w:r>
            <w:r>
              <w:rPr>
                <w:rFonts w:hint="eastAsia"/>
                <w:color w:val="auto"/>
                <w:sz w:val="24"/>
              </w:rPr>
              <w:t>4848.4</w:t>
            </w:r>
            <w:r>
              <w:rPr>
                <w:color w:val="auto"/>
                <w:sz w:val="24"/>
              </w:rPr>
              <w:t>t/a，废水总产生量约</w:t>
            </w:r>
            <w:r>
              <w:rPr>
                <w:rFonts w:hint="eastAsia"/>
                <w:color w:val="auto"/>
                <w:sz w:val="24"/>
              </w:rPr>
              <w:t>11.526</w:t>
            </w:r>
            <w:r>
              <w:rPr>
                <w:color w:val="auto"/>
                <w:sz w:val="24"/>
              </w:rPr>
              <w:t>m</w:t>
            </w:r>
            <w:r>
              <w:rPr>
                <w:color w:val="auto"/>
                <w:sz w:val="24"/>
                <w:vertAlign w:val="superscript"/>
              </w:rPr>
              <w:t>3/</w:t>
            </w:r>
            <w:r>
              <w:rPr>
                <w:color w:val="auto"/>
                <w:sz w:val="24"/>
              </w:rPr>
              <w:t>d，</w:t>
            </w:r>
            <w:r>
              <w:rPr>
                <w:rFonts w:hint="eastAsia"/>
                <w:color w:val="auto"/>
                <w:sz w:val="24"/>
              </w:rPr>
              <w:t>4206.99</w:t>
            </w:r>
            <w:r>
              <w:rPr>
                <w:color w:val="auto"/>
                <w:sz w:val="24"/>
              </w:rPr>
              <w:t>t/a。</w:t>
            </w:r>
            <w:r>
              <w:rPr>
                <w:rFonts w:hint="eastAsia"/>
                <w:color w:val="auto"/>
                <w:sz w:val="24"/>
              </w:rPr>
              <w:t>杨广卫生院</w:t>
            </w:r>
            <w:r>
              <w:rPr>
                <w:color w:val="auto"/>
                <w:sz w:val="24"/>
              </w:rPr>
              <w:t>用水量约</w:t>
            </w:r>
            <w:r>
              <w:rPr>
                <w:rFonts w:hint="eastAsia"/>
                <w:color w:val="auto"/>
                <w:sz w:val="24"/>
              </w:rPr>
              <w:t>11.39</w:t>
            </w:r>
            <w:r>
              <w:rPr>
                <w:color w:val="auto"/>
                <w:sz w:val="24"/>
              </w:rPr>
              <w:t>m</w:t>
            </w:r>
            <w:r>
              <w:rPr>
                <w:color w:val="auto"/>
                <w:sz w:val="24"/>
                <w:vertAlign w:val="superscript"/>
              </w:rPr>
              <w:t>3</w:t>
            </w:r>
            <w:r>
              <w:rPr>
                <w:color w:val="auto"/>
                <w:sz w:val="24"/>
              </w:rPr>
              <w:t>/d，</w:t>
            </w:r>
            <w:r>
              <w:rPr>
                <w:rFonts w:hint="eastAsia"/>
                <w:color w:val="auto"/>
                <w:sz w:val="24"/>
              </w:rPr>
              <w:t>4157.35</w:t>
            </w:r>
            <w:r>
              <w:rPr>
                <w:color w:val="auto"/>
                <w:sz w:val="24"/>
              </w:rPr>
              <w:t>t/a，废水总产生量约</w:t>
            </w:r>
            <w:r>
              <w:rPr>
                <w:rFonts w:hint="eastAsia"/>
                <w:color w:val="auto"/>
                <w:sz w:val="24"/>
              </w:rPr>
              <w:t>9.682</w:t>
            </w:r>
            <w:r>
              <w:rPr>
                <w:color w:val="auto"/>
                <w:sz w:val="24"/>
              </w:rPr>
              <w:t>m</w:t>
            </w:r>
            <w:r>
              <w:rPr>
                <w:color w:val="auto"/>
                <w:sz w:val="24"/>
                <w:vertAlign w:val="superscript"/>
              </w:rPr>
              <w:t>3/</w:t>
            </w:r>
            <w:r>
              <w:rPr>
                <w:color w:val="auto"/>
                <w:sz w:val="24"/>
              </w:rPr>
              <w:t>d，</w:t>
            </w:r>
            <w:r>
              <w:rPr>
                <w:rFonts w:hint="eastAsia"/>
                <w:color w:val="auto"/>
                <w:sz w:val="24"/>
              </w:rPr>
              <w:t>3533.93</w:t>
            </w:r>
            <w:r>
              <w:rPr>
                <w:color w:val="auto"/>
                <w:sz w:val="24"/>
              </w:rPr>
              <w:t>t/a。</w:t>
            </w:r>
          </w:p>
          <w:p w14:paraId="0A9BA474">
            <w:pPr>
              <w:spacing w:line="360" w:lineRule="auto"/>
              <w:ind w:firstLine="480"/>
              <w:rPr>
                <w:color w:val="auto"/>
                <w:sz w:val="24"/>
              </w:rPr>
            </w:pPr>
            <w:r>
              <w:rPr>
                <w:rFonts w:hint="eastAsia"/>
                <w:color w:val="auto"/>
                <w:sz w:val="24"/>
              </w:rPr>
              <w:t>a、杨广卫生院现有废水排放量核算</w:t>
            </w:r>
          </w:p>
          <w:p w14:paraId="1000BA67">
            <w:pPr>
              <w:spacing w:line="360" w:lineRule="auto"/>
              <w:ind w:firstLine="480"/>
              <w:rPr>
                <w:color w:val="auto"/>
                <w:sz w:val="24"/>
              </w:rPr>
            </w:pPr>
            <w:r>
              <w:rPr>
                <w:rFonts w:hint="eastAsia"/>
                <w:color w:val="auto"/>
                <w:sz w:val="24"/>
              </w:rPr>
              <w:t>杨广卫生院地处通海县第一污水处理厂纳污范围内，且市政污水管网已贯通。根据2021年1月29日，云南清源环境科技有限公司对《通海县杨广卫生院污水处理站验收出水水质》检测结果，杨广卫生院现有项目废水污染物排放情况</w:t>
            </w:r>
            <w:r>
              <w:rPr>
                <w:color w:val="auto"/>
                <w:sz w:val="24"/>
              </w:rPr>
              <w:t>如下表所示。</w:t>
            </w:r>
          </w:p>
          <w:p w14:paraId="611EC40B">
            <w:pPr>
              <w:tabs>
                <w:tab w:val="left" w:pos="1700"/>
              </w:tabs>
              <w:spacing w:line="360" w:lineRule="auto"/>
              <w:ind w:firstLine="422" w:firstLineChars="200"/>
              <w:jc w:val="center"/>
              <w:rPr>
                <w:b/>
                <w:color w:val="auto"/>
                <w:kern w:val="24"/>
                <w:szCs w:val="21"/>
              </w:rPr>
            </w:pPr>
          </w:p>
          <w:p w14:paraId="696D6F35">
            <w:pPr>
              <w:tabs>
                <w:tab w:val="left" w:pos="1700"/>
              </w:tabs>
              <w:spacing w:line="360" w:lineRule="auto"/>
              <w:ind w:firstLine="422" w:firstLineChars="200"/>
              <w:jc w:val="center"/>
              <w:rPr>
                <w:b/>
                <w:color w:val="auto"/>
                <w:kern w:val="24"/>
                <w:szCs w:val="21"/>
              </w:rPr>
            </w:pPr>
          </w:p>
          <w:p w14:paraId="0E0EAD2B">
            <w:pPr>
              <w:tabs>
                <w:tab w:val="left" w:pos="1700"/>
              </w:tabs>
              <w:spacing w:line="360" w:lineRule="auto"/>
              <w:ind w:firstLine="422" w:firstLineChars="200"/>
              <w:jc w:val="center"/>
              <w:rPr>
                <w:b/>
                <w:color w:val="auto"/>
                <w:kern w:val="24"/>
                <w:szCs w:val="21"/>
              </w:rPr>
            </w:pPr>
          </w:p>
          <w:p w14:paraId="06FBC71B">
            <w:pPr>
              <w:tabs>
                <w:tab w:val="left" w:pos="1700"/>
              </w:tabs>
              <w:spacing w:line="360" w:lineRule="auto"/>
              <w:ind w:firstLine="422" w:firstLineChars="200"/>
              <w:jc w:val="center"/>
              <w:rPr>
                <w:b/>
                <w:color w:val="auto"/>
                <w:kern w:val="24"/>
                <w:szCs w:val="21"/>
              </w:rPr>
            </w:pPr>
            <w:r>
              <w:rPr>
                <w:b/>
                <w:color w:val="auto"/>
                <w:kern w:val="24"/>
                <w:szCs w:val="21"/>
              </w:rPr>
              <w:t>表</w:t>
            </w:r>
            <w:r>
              <w:rPr>
                <w:rFonts w:hint="eastAsia"/>
                <w:b/>
                <w:color w:val="auto"/>
                <w:kern w:val="24"/>
                <w:szCs w:val="21"/>
              </w:rPr>
              <w:t>2</w:t>
            </w:r>
            <w:r>
              <w:rPr>
                <w:b/>
                <w:color w:val="auto"/>
                <w:kern w:val="24"/>
                <w:szCs w:val="21"/>
              </w:rPr>
              <w:t>-</w:t>
            </w:r>
            <w:r>
              <w:rPr>
                <w:rFonts w:hint="eastAsia"/>
                <w:b/>
                <w:color w:val="auto"/>
                <w:kern w:val="24"/>
                <w:szCs w:val="21"/>
              </w:rPr>
              <w:t>27现有项目（杨广卫生院）</w:t>
            </w:r>
            <w:r>
              <w:rPr>
                <w:b/>
                <w:color w:val="auto"/>
                <w:kern w:val="24"/>
                <w:szCs w:val="21"/>
              </w:rPr>
              <w:t>废水排放量及污染负荷</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75"/>
              <w:gridCol w:w="664"/>
              <w:gridCol w:w="814"/>
              <w:gridCol w:w="769"/>
              <w:gridCol w:w="759"/>
              <w:gridCol w:w="938"/>
              <w:gridCol w:w="1228"/>
              <w:gridCol w:w="624"/>
            </w:tblGrid>
            <w:tr w14:paraId="1499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363" w:type="dxa"/>
                  <w:gridSpan w:val="2"/>
                  <w:vMerge w:val="restart"/>
                  <w:vAlign w:val="center"/>
                </w:tcPr>
                <w:p w14:paraId="04120771">
                  <w:pPr>
                    <w:jc w:val="center"/>
                    <w:rPr>
                      <w:b/>
                      <w:color w:val="auto"/>
                      <w:szCs w:val="21"/>
                    </w:rPr>
                  </w:pPr>
                  <w:r>
                    <w:rPr>
                      <w:b/>
                      <w:color w:val="auto"/>
                      <w:szCs w:val="21"/>
                    </w:rPr>
                    <w:t>指标</w:t>
                  </w:r>
                </w:p>
              </w:tc>
              <w:tc>
                <w:tcPr>
                  <w:tcW w:w="5796" w:type="dxa"/>
                  <w:gridSpan w:val="7"/>
                </w:tcPr>
                <w:p w14:paraId="42B4291B">
                  <w:pPr>
                    <w:jc w:val="center"/>
                    <w:rPr>
                      <w:b/>
                      <w:color w:val="auto"/>
                      <w:szCs w:val="21"/>
                    </w:rPr>
                  </w:pPr>
                  <w:r>
                    <w:rPr>
                      <w:b/>
                      <w:color w:val="auto"/>
                      <w:szCs w:val="21"/>
                    </w:rPr>
                    <w:t>主要污染物名称</w:t>
                  </w:r>
                </w:p>
              </w:tc>
            </w:tr>
            <w:tr w14:paraId="0394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363" w:type="dxa"/>
                  <w:gridSpan w:val="2"/>
                  <w:vMerge w:val="continue"/>
                  <w:vAlign w:val="center"/>
                </w:tcPr>
                <w:p w14:paraId="6B678F52">
                  <w:pPr>
                    <w:jc w:val="center"/>
                    <w:rPr>
                      <w:color w:val="auto"/>
                      <w:szCs w:val="21"/>
                    </w:rPr>
                  </w:pPr>
                </w:p>
              </w:tc>
              <w:tc>
                <w:tcPr>
                  <w:tcW w:w="664" w:type="dxa"/>
                  <w:vAlign w:val="center"/>
                </w:tcPr>
                <w:p w14:paraId="7EF21B45">
                  <w:pPr>
                    <w:jc w:val="center"/>
                    <w:rPr>
                      <w:b/>
                      <w:color w:val="auto"/>
                      <w:szCs w:val="21"/>
                    </w:rPr>
                  </w:pPr>
                  <w:r>
                    <w:rPr>
                      <w:rFonts w:hint="eastAsia"/>
                      <w:b/>
                      <w:color w:val="auto"/>
                      <w:szCs w:val="21"/>
                    </w:rPr>
                    <w:t>PH</w:t>
                  </w:r>
                </w:p>
              </w:tc>
              <w:tc>
                <w:tcPr>
                  <w:tcW w:w="814" w:type="dxa"/>
                  <w:vAlign w:val="center"/>
                </w:tcPr>
                <w:p w14:paraId="290D2838">
                  <w:pPr>
                    <w:jc w:val="center"/>
                    <w:rPr>
                      <w:b/>
                      <w:color w:val="auto"/>
                      <w:szCs w:val="21"/>
                    </w:rPr>
                  </w:pPr>
                  <w:r>
                    <w:rPr>
                      <w:b/>
                      <w:color w:val="auto"/>
                      <w:szCs w:val="21"/>
                    </w:rPr>
                    <w:t>COD</w:t>
                  </w:r>
                </w:p>
              </w:tc>
              <w:tc>
                <w:tcPr>
                  <w:tcW w:w="769" w:type="dxa"/>
                  <w:vAlign w:val="center"/>
                </w:tcPr>
                <w:p w14:paraId="78CCB373">
                  <w:pPr>
                    <w:jc w:val="center"/>
                    <w:rPr>
                      <w:b/>
                      <w:color w:val="auto"/>
                      <w:szCs w:val="21"/>
                    </w:rPr>
                  </w:pPr>
                  <w:r>
                    <w:rPr>
                      <w:b/>
                      <w:color w:val="auto"/>
                      <w:szCs w:val="21"/>
                    </w:rPr>
                    <w:t>BOD</w:t>
                  </w:r>
                  <w:r>
                    <w:rPr>
                      <w:b/>
                      <w:color w:val="auto"/>
                      <w:szCs w:val="21"/>
                      <w:vertAlign w:val="subscript"/>
                    </w:rPr>
                    <w:t>5</w:t>
                  </w:r>
                </w:p>
              </w:tc>
              <w:tc>
                <w:tcPr>
                  <w:tcW w:w="759" w:type="dxa"/>
                  <w:vAlign w:val="center"/>
                </w:tcPr>
                <w:p w14:paraId="600D2B13">
                  <w:pPr>
                    <w:jc w:val="center"/>
                    <w:rPr>
                      <w:b/>
                      <w:color w:val="auto"/>
                      <w:szCs w:val="21"/>
                    </w:rPr>
                  </w:pPr>
                  <w:r>
                    <w:rPr>
                      <w:b/>
                      <w:color w:val="auto"/>
                      <w:szCs w:val="21"/>
                    </w:rPr>
                    <w:t>SS</w:t>
                  </w:r>
                </w:p>
              </w:tc>
              <w:tc>
                <w:tcPr>
                  <w:tcW w:w="938" w:type="dxa"/>
                  <w:vAlign w:val="center"/>
                </w:tcPr>
                <w:p w14:paraId="743A721C">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228" w:type="dxa"/>
                  <w:vAlign w:val="center"/>
                </w:tcPr>
                <w:p w14:paraId="01387FD5">
                  <w:pPr>
                    <w:jc w:val="center"/>
                    <w:rPr>
                      <w:b/>
                      <w:color w:val="auto"/>
                    </w:rPr>
                  </w:pPr>
                  <w:r>
                    <w:rPr>
                      <w:b/>
                      <w:color w:val="auto"/>
                    </w:rPr>
                    <w:t>粪大肠菌群数(个/L)</w:t>
                  </w:r>
                </w:p>
              </w:tc>
              <w:tc>
                <w:tcPr>
                  <w:tcW w:w="624" w:type="dxa"/>
                  <w:vAlign w:val="center"/>
                </w:tcPr>
                <w:p w14:paraId="6F8CB1F8">
                  <w:pPr>
                    <w:jc w:val="center"/>
                    <w:rPr>
                      <w:b/>
                      <w:color w:val="auto"/>
                    </w:rPr>
                  </w:pPr>
                  <w:r>
                    <w:rPr>
                      <w:b/>
                      <w:color w:val="auto"/>
                    </w:rPr>
                    <w:t>总余氯</w:t>
                  </w:r>
                </w:p>
              </w:tc>
            </w:tr>
            <w:tr w14:paraId="666C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88" w:type="dxa"/>
                  <w:vMerge w:val="restart"/>
                  <w:vAlign w:val="center"/>
                </w:tcPr>
                <w:p w14:paraId="6D8CCB8A">
                  <w:pPr>
                    <w:jc w:val="center"/>
                    <w:rPr>
                      <w:color w:val="auto"/>
                      <w:szCs w:val="21"/>
                    </w:rPr>
                  </w:pPr>
                  <w:r>
                    <w:rPr>
                      <w:rFonts w:hint="eastAsia"/>
                      <w:color w:val="auto"/>
                      <w:szCs w:val="21"/>
                    </w:rPr>
                    <w:t>杨广卫生院废水</w:t>
                  </w:r>
                  <w:r>
                    <w:rPr>
                      <w:color w:val="auto"/>
                      <w:szCs w:val="21"/>
                    </w:rPr>
                    <w:t>产生量</w:t>
                  </w:r>
                </w:p>
                <w:p w14:paraId="4D695DF9">
                  <w:pPr>
                    <w:jc w:val="center"/>
                    <w:rPr>
                      <w:color w:val="auto"/>
                      <w:szCs w:val="21"/>
                    </w:rPr>
                  </w:pPr>
                  <w:r>
                    <w:rPr>
                      <w:rFonts w:hint="eastAsia"/>
                      <w:color w:val="auto"/>
                      <w:szCs w:val="21"/>
                    </w:rPr>
                    <w:t>3533.93</w:t>
                  </w:r>
                  <w:r>
                    <w:rPr>
                      <w:color w:val="auto"/>
                      <w:szCs w:val="21"/>
                    </w:rPr>
                    <w:t>t/a</w:t>
                  </w:r>
                </w:p>
              </w:tc>
              <w:tc>
                <w:tcPr>
                  <w:tcW w:w="975" w:type="dxa"/>
                  <w:vAlign w:val="center"/>
                </w:tcPr>
                <w:p w14:paraId="5E470893">
                  <w:pPr>
                    <w:jc w:val="center"/>
                    <w:rPr>
                      <w:color w:val="auto"/>
                      <w:szCs w:val="21"/>
                    </w:rPr>
                  </w:pPr>
                  <w:r>
                    <w:rPr>
                      <w:color w:val="auto"/>
                      <w:szCs w:val="21"/>
                    </w:rPr>
                    <w:t>产生浓度mg/L</w:t>
                  </w:r>
                </w:p>
              </w:tc>
              <w:tc>
                <w:tcPr>
                  <w:tcW w:w="664" w:type="dxa"/>
                  <w:vAlign w:val="center"/>
                </w:tcPr>
                <w:p w14:paraId="6620D78D">
                  <w:pPr>
                    <w:jc w:val="center"/>
                    <w:rPr>
                      <w:color w:val="auto"/>
                      <w:szCs w:val="21"/>
                    </w:rPr>
                  </w:pPr>
                  <w:r>
                    <w:rPr>
                      <w:color w:val="auto"/>
                      <w:szCs w:val="21"/>
                    </w:rPr>
                    <w:t>7~8</w:t>
                  </w:r>
                </w:p>
              </w:tc>
              <w:tc>
                <w:tcPr>
                  <w:tcW w:w="814" w:type="dxa"/>
                  <w:vAlign w:val="center"/>
                </w:tcPr>
                <w:p w14:paraId="14FA287F">
                  <w:pPr>
                    <w:jc w:val="center"/>
                    <w:rPr>
                      <w:color w:val="auto"/>
                      <w:szCs w:val="21"/>
                    </w:rPr>
                  </w:pPr>
                  <w:r>
                    <w:rPr>
                      <w:rFonts w:hint="eastAsia"/>
                      <w:color w:val="auto"/>
                      <w:szCs w:val="21"/>
                    </w:rPr>
                    <w:t>330</w:t>
                  </w:r>
                </w:p>
              </w:tc>
              <w:tc>
                <w:tcPr>
                  <w:tcW w:w="769" w:type="dxa"/>
                  <w:vAlign w:val="center"/>
                </w:tcPr>
                <w:p w14:paraId="5BF055AB">
                  <w:pPr>
                    <w:jc w:val="center"/>
                    <w:rPr>
                      <w:color w:val="auto"/>
                      <w:szCs w:val="21"/>
                    </w:rPr>
                  </w:pPr>
                  <w:r>
                    <w:rPr>
                      <w:color w:val="auto"/>
                      <w:szCs w:val="21"/>
                    </w:rPr>
                    <w:t>150</w:t>
                  </w:r>
                </w:p>
              </w:tc>
              <w:tc>
                <w:tcPr>
                  <w:tcW w:w="759" w:type="dxa"/>
                  <w:vAlign w:val="center"/>
                </w:tcPr>
                <w:p w14:paraId="2E13708A">
                  <w:pPr>
                    <w:jc w:val="center"/>
                    <w:rPr>
                      <w:color w:val="auto"/>
                      <w:szCs w:val="21"/>
                    </w:rPr>
                  </w:pPr>
                  <w:r>
                    <w:rPr>
                      <w:color w:val="auto"/>
                      <w:szCs w:val="21"/>
                    </w:rPr>
                    <w:t>120</w:t>
                  </w:r>
                </w:p>
              </w:tc>
              <w:tc>
                <w:tcPr>
                  <w:tcW w:w="938" w:type="dxa"/>
                  <w:vAlign w:val="center"/>
                </w:tcPr>
                <w:p w14:paraId="3AD13BCB">
                  <w:pPr>
                    <w:jc w:val="center"/>
                    <w:rPr>
                      <w:color w:val="auto"/>
                      <w:szCs w:val="21"/>
                    </w:rPr>
                  </w:pPr>
                  <w:r>
                    <w:rPr>
                      <w:rFonts w:hint="eastAsia"/>
                      <w:color w:val="auto"/>
                      <w:szCs w:val="21"/>
                    </w:rPr>
                    <w:t>64</w:t>
                  </w:r>
                </w:p>
              </w:tc>
              <w:tc>
                <w:tcPr>
                  <w:tcW w:w="1228" w:type="dxa"/>
                  <w:vAlign w:val="center"/>
                </w:tcPr>
                <w:p w14:paraId="07EFB689">
                  <w:pPr>
                    <w:jc w:val="center"/>
                    <w:rPr>
                      <w:color w:val="auto"/>
                      <w:szCs w:val="21"/>
                    </w:rPr>
                  </w:pPr>
                  <w:r>
                    <w:rPr>
                      <w:color w:val="auto"/>
                      <w:szCs w:val="21"/>
                    </w:rPr>
                    <w:t>3.0×10</w:t>
                  </w:r>
                  <w:r>
                    <w:rPr>
                      <w:color w:val="auto"/>
                      <w:szCs w:val="21"/>
                      <w:vertAlign w:val="superscript"/>
                    </w:rPr>
                    <w:t>8</w:t>
                  </w:r>
                </w:p>
              </w:tc>
              <w:tc>
                <w:tcPr>
                  <w:tcW w:w="624" w:type="dxa"/>
                  <w:vAlign w:val="center"/>
                </w:tcPr>
                <w:p w14:paraId="123A6CCE">
                  <w:pPr>
                    <w:jc w:val="center"/>
                    <w:rPr>
                      <w:color w:val="auto"/>
                      <w:szCs w:val="21"/>
                    </w:rPr>
                  </w:pPr>
                  <w:r>
                    <w:rPr>
                      <w:color w:val="auto"/>
                      <w:szCs w:val="21"/>
                    </w:rPr>
                    <w:t>—</w:t>
                  </w:r>
                </w:p>
              </w:tc>
            </w:tr>
            <w:tr w14:paraId="71B8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785317CC">
                  <w:pPr>
                    <w:jc w:val="center"/>
                    <w:rPr>
                      <w:color w:val="auto"/>
                      <w:szCs w:val="21"/>
                    </w:rPr>
                  </w:pPr>
                </w:p>
              </w:tc>
              <w:tc>
                <w:tcPr>
                  <w:tcW w:w="975" w:type="dxa"/>
                  <w:vAlign w:val="center"/>
                </w:tcPr>
                <w:p w14:paraId="26C4F6C1">
                  <w:pPr>
                    <w:jc w:val="center"/>
                    <w:rPr>
                      <w:color w:val="auto"/>
                      <w:szCs w:val="21"/>
                    </w:rPr>
                  </w:pPr>
                  <w:r>
                    <w:rPr>
                      <w:color w:val="auto"/>
                      <w:szCs w:val="21"/>
                    </w:rPr>
                    <w:t>产生量t/a</w:t>
                  </w:r>
                </w:p>
              </w:tc>
              <w:tc>
                <w:tcPr>
                  <w:tcW w:w="664" w:type="dxa"/>
                  <w:vAlign w:val="center"/>
                </w:tcPr>
                <w:p w14:paraId="6D3B1783">
                  <w:pPr>
                    <w:jc w:val="center"/>
                    <w:rPr>
                      <w:color w:val="auto"/>
                      <w:szCs w:val="21"/>
                    </w:rPr>
                  </w:pPr>
                  <w:r>
                    <w:rPr>
                      <w:color w:val="auto"/>
                      <w:szCs w:val="21"/>
                    </w:rPr>
                    <w:t>—</w:t>
                  </w:r>
                </w:p>
              </w:tc>
              <w:tc>
                <w:tcPr>
                  <w:tcW w:w="814" w:type="dxa"/>
                  <w:vAlign w:val="center"/>
                </w:tcPr>
                <w:p w14:paraId="0F01EEC9">
                  <w:pPr>
                    <w:jc w:val="center"/>
                    <w:rPr>
                      <w:color w:val="auto"/>
                      <w:szCs w:val="21"/>
                    </w:rPr>
                  </w:pPr>
                  <w:r>
                    <w:rPr>
                      <w:rFonts w:hint="eastAsia"/>
                      <w:color w:val="auto"/>
                      <w:szCs w:val="21"/>
                    </w:rPr>
                    <w:t>1.166</w:t>
                  </w:r>
                </w:p>
              </w:tc>
              <w:tc>
                <w:tcPr>
                  <w:tcW w:w="769" w:type="dxa"/>
                  <w:vAlign w:val="center"/>
                </w:tcPr>
                <w:p w14:paraId="5832419A">
                  <w:pPr>
                    <w:jc w:val="center"/>
                    <w:rPr>
                      <w:color w:val="auto"/>
                      <w:szCs w:val="21"/>
                    </w:rPr>
                  </w:pPr>
                  <w:r>
                    <w:rPr>
                      <w:rFonts w:hint="eastAsia"/>
                      <w:color w:val="auto"/>
                      <w:szCs w:val="21"/>
                    </w:rPr>
                    <w:t>0.530</w:t>
                  </w:r>
                </w:p>
              </w:tc>
              <w:tc>
                <w:tcPr>
                  <w:tcW w:w="759" w:type="dxa"/>
                  <w:vAlign w:val="center"/>
                </w:tcPr>
                <w:p w14:paraId="1B0B8DB6">
                  <w:pPr>
                    <w:jc w:val="center"/>
                    <w:rPr>
                      <w:color w:val="auto"/>
                      <w:szCs w:val="21"/>
                    </w:rPr>
                  </w:pPr>
                  <w:r>
                    <w:rPr>
                      <w:rFonts w:hint="eastAsia"/>
                      <w:color w:val="auto"/>
                      <w:szCs w:val="21"/>
                    </w:rPr>
                    <w:t>0.424</w:t>
                  </w:r>
                </w:p>
              </w:tc>
              <w:tc>
                <w:tcPr>
                  <w:tcW w:w="938" w:type="dxa"/>
                  <w:vAlign w:val="center"/>
                </w:tcPr>
                <w:p w14:paraId="25482DA6">
                  <w:pPr>
                    <w:jc w:val="center"/>
                    <w:rPr>
                      <w:color w:val="auto"/>
                      <w:szCs w:val="21"/>
                    </w:rPr>
                  </w:pPr>
                  <w:r>
                    <w:rPr>
                      <w:rFonts w:hint="eastAsia"/>
                      <w:color w:val="auto"/>
                      <w:szCs w:val="21"/>
                    </w:rPr>
                    <w:t>0.226</w:t>
                  </w:r>
                </w:p>
              </w:tc>
              <w:tc>
                <w:tcPr>
                  <w:tcW w:w="1228" w:type="dxa"/>
                  <w:vAlign w:val="center"/>
                </w:tcPr>
                <w:p w14:paraId="5D0C0B6D">
                  <w:pPr>
                    <w:jc w:val="center"/>
                    <w:rPr>
                      <w:color w:val="auto"/>
                      <w:szCs w:val="21"/>
                    </w:rPr>
                  </w:pPr>
                  <w:r>
                    <w:rPr>
                      <w:color w:val="auto"/>
                      <w:szCs w:val="21"/>
                    </w:rPr>
                    <w:t>—</w:t>
                  </w:r>
                </w:p>
              </w:tc>
              <w:tc>
                <w:tcPr>
                  <w:tcW w:w="624" w:type="dxa"/>
                  <w:vAlign w:val="center"/>
                </w:tcPr>
                <w:p w14:paraId="321F316F">
                  <w:pPr>
                    <w:jc w:val="center"/>
                    <w:rPr>
                      <w:color w:val="auto"/>
                      <w:szCs w:val="21"/>
                    </w:rPr>
                  </w:pPr>
                  <w:r>
                    <w:rPr>
                      <w:color w:val="auto"/>
                      <w:szCs w:val="21"/>
                    </w:rPr>
                    <w:t>—</w:t>
                  </w:r>
                </w:p>
              </w:tc>
            </w:tr>
            <w:tr w14:paraId="2063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88" w:type="dxa"/>
                  <w:vMerge w:val="restart"/>
                  <w:vAlign w:val="center"/>
                </w:tcPr>
                <w:p w14:paraId="46293E70">
                  <w:pPr>
                    <w:jc w:val="center"/>
                    <w:rPr>
                      <w:color w:val="auto"/>
                      <w:szCs w:val="21"/>
                    </w:rPr>
                  </w:pPr>
                  <w:r>
                    <w:rPr>
                      <w:color w:val="auto"/>
                      <w:szCs w:val="21"/>
                    </w:rPr>
                    <w:t>化粪池出水</w:t>
                  </w:r>
                  <w:r>
                    <w:rPr>
                      <w:rFonts w:hint="eastAsia"/>
                      <w:color w:val="auto"/>
                      <w:szCs w:val="21"/>
                    </w:rPr>
                    <w:t>3533.93</w:t>
                  </w:r>
                  <w:r>
                    <w:rPr>
                      <w:color w:val="auto"/>
                      <w:szCs w:val="21"/>
                    </w:rPr>
                    <w:t>t/a</w:t>
                  </w:r>
                </w:p>
              </w:tc>
              <w:tc>
                <w:tcPr>
                  <w:tcW w:w="975" w:type="dxa"/>
                  <w:vAlign w:val="center"/>
                </w:tcPr>
                <w:p w14:paraId="374D2BF9">
                  <w:pPr>
                    <w:jc w:val="center"/>
                    <w:rPr>
                      <w:color w:val="auto"/>
                      <w:szCs w:val="21"/>
                    </w:rPr>
                  </w:pPr>
                  <w:r>
                    <w:rPr>
                      <w:color w:val="auto"/>
                      <w:szCs w:val="21"/>
                    </w:rPr>
                    <w:t>出水浓度mg/L</w:t>
                  </w:r>
                </w:p>
              </w:tc>
              <w:tc>
                <w:tcPr>
                  <w:tcW w:w="664" w:type="dxa"/>
                  <w:vAlign w:val="center"/>
                </w:tcPr>
                <w:p w14:paraId="269CCEC5">
                  <w:pPr>
                    <w:jc w:val="center"/>
                    <w:rPr>
                      <w:color w:val="auto"/>
                      <w:szCs w:val="21"/>
                    </w:rPr>
                  </w:pPr>
                  <w:r>
                    <w:rPr>
                      <w:rFonts w:hint="eastAsia"/>
                      <w:color w:val="auto"/>
                      <w:szCs w:val="21"/>
                    </w:rPr>
                    <w:t>7</w:t>
                  </w:r>
                </w:p>
              </w:tc>
              <w:tc>
                <w:tcPr>
                  <w:tcW w:w="814" w:type="dxa"/>
                  <w:vAlign w:val="center"/>
                </w:tcPr>
                <w:p w14:paraId="68B510D7">
                  <w:pPr>
                    <w:jc w:val="center"/>
                    <w:rPr>
                      <w:color w:val="auto"/>
                      <w:szCs w:val="21"/>
                    </w:rPr>
                  </w:pPr>
                  <w:r>
                    <w:rPr>
                      <w:rFonts w:hint="eastAsia"/>
                      <w:color w:val="auto"/>
                      <w:szCs w:val="21"/>
                    </w:rPr>
                    <w:t>326</w:t>
                  </w:r>
                </w:p>
              </w:tc>
              <w:tc>
                <w:tcPr>
                  <w:tcW w:w="769" w:type="dxa"/>
                  <w:vAlign w:val="center"/>
                </w:tcPr>
                <w:p w14:paraId="0553E791">
                  <w:pPr>
                    <w:jc w:val="center"/>
                    <w:rPr>
                      <w:color w:val="auto"/>
                      <w:szCs w:val="21"/>
                    </w:rPr>
                  </w:pPr>
                  <w:r>
                    <w:rPr>
                      <w:rFonts w:hint="eastAsia"/>
                      <w:color w:val="auto"/>
                      <w:szCs w:val="21"/>
                    </w:rPr>
                    <w:t>143</w:t>
                  </w:r>
                </w:p>
              </w:tc>
              <w:tc>
                <w:tcPr>
                  <w:tcW w:w="759" w:type="dxa"/>
                  <w:vAlign w:val="center"/>
                </w:tcPr>
                <w:p w14:paraId="7EE768E2">
                  <w:pPr>
                    <w:jc w:val="center"/>
                    <w:rPr>
                      <w:color w:val="auto"/>
                      <w:szCs w:val="21"/>
                    </w:rPr>
                  </w:pPr>
                  <w:r>
                    <w:rPr>
                      <w:rFonts w:hint="eastAsia"/>
                      <w:color w:val="auto"/>
                      <w:szCs w:val="21"/>
                    </w:rPr>
                    <w:t>73</w:t>
                  </w:r>
                </w:p>
              </w:tc>
              <w:tc>
                <w:tcPr>
                  <w:tcW w:w="938" w:type="dxa"/>
                  <w:vAlign w:val="center"/>
                </w:tcPr>
                <w:p w14:paraId="0EAFA3AF">
                  <w:pPr>
                    <w:jc w:val="center"/>
                    <w:rPr>
                      <w:color w:val="auto"/>
                      <w:szCs w:val="21"/>
                    </w:rPr>
                  </w:pPr>
                  <w:r>
                    <w:rPr>
                      <w:rFonts w:hint="eastAsia"/>
                      <w:color w:val="auto"/>
                      <w:szCs w:val="21"/>
                    </w:rPr>
                    <w:t>60.85</w:t>
                  </w:r>
                </w:p>
              </w:tc>
              <w:tc>
                <w:tcPr>
                  <w:tcW w:w="1228" w:type="dxa"/>
                  <w:vAlign w:val="center"/>
                </w:tcPr>
                <w:p w14:paraId="0327348A">
                  <w:pPr>
                    <w:jc w:val="center"/>
                    <w:rPr>
                      <w:color w:val="auto"/>
                      <w:szCs w:val="21"/>
                    </w:rPr>
                  </w:pPr>
                  <w:r>
                    <w:rPr>
                      <w:color w:val="auto"/>
                      <w:szCs w:val="21"/>
                    </w:rPr>
                    <w:t>3.0×10</w:t>
                  </w:r>
                  <w:r>
                    <w:rPr>
                      <w:color w:val="auto"/>
                      <w:szCs w:val="21"/>
                      <w:vertAlign w:val="superscript"/>
                    </w:rPr>
                    <w:t>8</w:t>
                  </w:r>
                </w:p>
              </w:tc>
              <w:tc>
                <w:tcPr>
                  <w:tcW w:w="624" w:type="dxa"/>
                  <w:vAlign w:val="center"/>
                </w:tcPr>
                <w:p w14:paraId="12173BF2">
                  <w:pPr>
                    <w:jc w:val="center"/>
                    <w:rPr>
                      <w:color w:val="auto"/>
                      <w:szCs w:val="21"/>
                    </w:rPr>
                  </w:pPr>
                  <w:r>
                    <w:rPr>
                      <w:color w:val="auto"/>
                      <w:szCs w:val="21"/>
                    </w:rPr>
                    <w:t>—</w:t>
                  </w:r>
                </w:p>
              </w:tc>
            </w:tr>
            <w:tr w14:paraId="2610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22671B78">
                  <w:pPr>
                    <w:jc w:val="center"/>
                    <w:rPr>
                      <w:color w:val="auto"/>
                      <w:szCs w:val="21"/>
                    </w:rPr>
                  </w:pPr>
                </w:p>
              </w:tc>
              <w:tc>
                <w:tcPr>
                  <w:tcW w:w="975" w:type="dxa"/>
                  <w:vAlign w:val="center"/>
                </w:tcPr>
                <w:p w14:paraId="689585C9">
                  <w:pPr>
                    <w:jc w:val="center"/>
                    <w:rPr>
                      <w:color w:val="auto"/>
                      <w:szCs w:val="21"/>
                    </w:rPr>
                  </w:pPr>
                  <w:r>
                    <w:rPr>
                      <w:color w:val="auto"/>
                      <w:szCs w:val="21"/>
                    </w:rPr>
                    <w:t>产生量t/a</w:t>
                  </w:r>
                </w:p>
              </w:tc>
              <w:tc>
                <w:tcPr>
                  <w:tcW w:w="664" w:type="dxa"/>
                  <w:vAlign w:val="center"/>
                </w:tcPr>
                <w:p w14:paraId="4B3A5CE4">
                  <w:pPr>
                    <w:jc w:val="center"/>
                    <w:rPr>
                      <w:color w:val="auto"/>
                      <w:szCs w:val="21"/>
                    </w:rPr>
                  </w:pPr>
                  <w:r>
                    <w:rPr>
                      <w:color w:val="auto"/>
                      <w:szCs w:val="21"/>
                    </w:rPr>
                    <w:t>—</w:t>
                  </w:r>
                </w:p>
              </w:tc>
              <w:tc>
                <w:tcPr>
                  <w:tcW w:w="814" w:type="dxa"/>
                  <w:vAlign w:val="center"/>
                </w:tcPr>
                <w:p w14:paraId="190A6DBF">
                  <w:pPr>
                    <w:jc w:val="center"/>
                    <w:rPr>
                      <w:color w:val="auto"/>
                      <w:szCs w:val="21"/>
                    </w:rPr>
                  </w:pPr>
                  <w:r>
                    <w:rPr>
                      <w:rFonts w:hint="eastAsia"/>
                      <w:color w:val="auto"/>
                      <w:szCs w:val="21"/>
                    </w:rPr>
                    <w:t>1.152</w:t>
                  </w:r>
                </w:p>
              </w:tc>
              <w:tc>
                <w:tcPr>
                  <w:tcW w:w="769" w:type="dxa"/>
                  <w:vAlign w:val="center"/>
                </w:tcPr>
                <w:p w14:paraId="402106D6">
                  <w:pPr>
                    <w:jc w:val="center"/>
                    <w:rPr>
                      <w:color w:val="auto"/>
                      <w:szCs w:val="21"/>
                    </w:rPr>
                  </w:pPr>
                  <w:r>
                    <w:rPr>
                      <w:rFonts w:hint="eastAsia"/>
                      <w:color w:val="auto"/>
                      <w:szCs w:val="21"/>
                    </w:rPr>
                    <w:t>0.505</w:t>
                  </w:r>
                </w:p>
              </w:tc>
              <w:tc>
                <w:tcPr>
                  <w:tcW w:w="759" w:type="dxa"/>
                  <w:vAlign w:val="center"/>
                </w:tcPr>
                <w:p w14:paraId="4E102066">
                  <w:pPr>
                    <w:jc w:val="center"/>
                    <w:rPr>
                      <w:color w:val="auto"/>
                      <w:szCs w:val="21"/>
                    </w:rPr>
                  </w:pPr>
                  <w:r>
                    <w:rPr>
                      <w:rFonts w:hint="eastAsia"/>
                      <w:color w:val="auto"/>
                      <w:szCs w:val="21"/>
                    </w:rPr>
                    <w:t>0.258</w:t>
                  </w:r>
                </w:p>
              </w:tc>
              <w:tc>
                <w:tcPr>
                  <w:tcW w:w="938" w:type="dxa"/>
                  <w:vAlign w:val="center"/>
                </w:tcPr>
                <w:p w14:paraId="5BB7CF08">
                  <w:pPr>
                    <w:jc w:val="center"/>
                    <w:rPr>
                      <w:color w:val="auto"/>
                      <w:szCs w:val="21"/>
                    </w:rPr>
                  </w:pPr>
                  <w:r>
                    <w:rPr>
                      <w:rFonts w:hint="eastAsia"/>
                      <w:color w:val="auto"/>
                      <w:szCs w:val="21"/>
                    </w:rPr>
                    <w:t>0.215</w:t>
                  </w:r>
                </w:p>
              </w:tc>
              <w:tc>
                <w:tcPr>
                  <w:tcW w:w="1228" w:type="dxa"/>
                  <w:vAlign w:val="center"/>
                </w:tcPr>
                <w:p w14:paraId="358E47EA">
                  <w:pPr>
                    <w:jc w:val="center"/>
                    <w:rPr>
                      <w:color w:val="auto"/>
                      <w:szCs w:val="21"/>
                    </w:rPr>
                  </w:pPr>
                  <w:r>
                    <w:rPr>
                      <w:color w:val="auto"/>
                      <w:szCs w:val="21"/>
                    </w:rPr>
                    <w:t>—</w:t>
                  </w:r>
                </w:p>
              </w:tc>
              <w:tc>
                <w:tcPr>
                  <w:tcW w:w="624" w:type="dxa"/>
                  <w:vAlign w:val="center"/>
                </w:tcPr>
                <w:p w14:paraId="2E69A5F7">
                  <w:pPr>
                    <w:jc w:val="center"/>
                    <w:rPr>
                      <w:color w:val="auto"/>
                      <w:szCs w:val="21"/>
                    </w:rPr>
                  </w:pPr>
                  <w:r>
                    <w:rPr>
                      <w:color w:val="auto"/>
                      <w:szCs w:val="21"/>
                    </w:rPr>
                    <w:t>—</w:t>
                  </w:r>
                </w:p>
              </w:tc>
            </w:tr>
            <w:tr w14:paraId="7149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69ACD86E">
                  <w:pPr>
                    <w:jc w:val="center"/>
                    <w:rPr>
                      <w:color w:val="auto"/>
                      <w:szCs w:val="21"/>
                    </w:rPr>
                  </w:pPr>
                </w:p>
              </w:tc>
              <w:tc>
                <w:tcPr>
                  <w:tcW w:w="975" w:type="dxa"/>
                  <w:vAlign w:val="center"/>
                </w:tcPr>
                <w:p w14:paraId="26F7E5DB">
                  <w:pPr>
                    <w:jc w:val="center"/>
                    <w:rPr>
                      <w:color w:val="auto"/>
                      <w:szCs w:val="21"/>
                    </w:rPr>
                  </w:pPr>
                  <w:r>
                    <w:rPr>
                      <w:rFonts w:hint="eastAsia"/>
                      <w:color w:val="auto"/>
                      <w:szCs w:val="21"/>
                    </w:rPr>
                    <w:t>排放量</w:t>
                  </w:r>
                  <w:r>
                    <w:rPr>
                      <w:color w:val="auto"/>
                      <w:szCs w:val="21"/>
                    </w:rPr>
                    <w:t>t/a</w:t>
                  </w:r>
                </w:p>
              </w:tc>
              <w:tc>
                <w:tcPr>
                  <w:tcW w:w="664" w:type="dxa"/>
                  <w:vAlign w:val="center"/>
                </w:tcPr>
                <w:p w14:paraId="0F39B9A2">
                  <w:pPr>
                    <w:jc w:val="center"/>
                    <w:rPr>
                      <w:color w:val="auto"/>
                      <w:szCs w:val="21"/>
                    </w:rPr>
                  </w:pPr>
                  <w:r>
                    <w:rPr>
                      <w:color w:val="auto"/>
                      <w:szCs w:val="21"/>
                    </w:rPr>
                    <w:t>—</w:t>
                  </w:r>
                </w:p>
              </w:tc>
              <w:tc>
                <w:tcPr>
                  <w:tcW w:w="814" w:type="dxa"/>
                  <w:vAlign w:val="center"/>
                </w:tcPr>
                <w:p w14:paraId="349342BC">
                  <w:pPr>
                    <w:jc w:val="center"/>
                    <w:rPr>
                      <w:color w:val="auto"/>
                      <w:szCs w:val="21"/>
                    </w:rPr>
                  </w:pPr>
                  <w:r>
                    <w:rPr>
                      <w:rFonts w:hint="eastAsia"/>
                      <w:color w:val="auto"/>
                      <w:szCs w:val="21"/>
                    </w:rPr>
                    <w:t>0.342</w:t>
                  </w:r>
                </w:p>
              </w:tc>
              <w:tc>
                <w:tcPr>
                  <w:tcW w:w="769" w:type="dxa"/>
                  <w:vAlign w:val="center"/>
                </w:tcPr>
                <w:p w14:paraId="1073F9B2">
                  <w:pPr>
                    <w:jc w:val="center"/>
                    <w:rPr>
                      <w:color w:val="auto"/>
                      <w:szCs w:val="21"/>
                    </w:rPr>
                  </w:pPr>
                  <w:r>
                    <w:rPr>
                      <w:rFonts w:hint="eastAsia"/>
                      <w:color w:val="auto"/>
                      <w:szCs w:val="21"/>
                    </w:rPr>
                    <w:t>0.150</w:t>
                  </w:r>
                </w:p>
              </w:tc>
              <w:tc>
                <w:tcPr>
                  <w:tcW w:w="759" w:type="dxa"/>
                  <w:vAlign w:val="center"/>
                </w:tcPr>
                <w:p w14:paraId="4C3EDB82">
                  <w:pPr>
                    <w:jc w:val="center"/>
                    <w:rPr>
                      <w:color w:val="auto"/>
                      <w:szCs w:val="21"/>
                    </w:rPr>
                  </w:pPr>
                  <w:r>
                    <w:rPr>
                      <w:rFonts w:hint="eastAsia"/>
                      <w:color w:val="auto"/>
                      <w:szCs w:val="21"/>
                    </w:rPr>
                    <w:t>0.077</w:t>
                  </w:r>
                </w:p>
              </w:tc>
              <w:tc>
                <w:tcPr>
                  <w:tcW w:w="938" w:type="dxa"/>
                  <w:vAlign w:val="center"/>
                </w:tcPr>
                <w:p w14:paraId="2277ECC2">
                  <w:pPr>
                    <w:jc w:val="center"/>
                    <w:rPr>
                      <w:color w:val="auto"/>
                      <w:szCs w:val="21"/>
                    </w:rPr>
                  </w:pPr>
                  <w:r>
                    <w:rPr>
                      <w:rFonts w:hint="eastAsia"/>
                      <w:color w:val="auto"/>
                      <w:szCs w:val="21"/>
                    </w:rPr>
                    <w:t>0.064</w:t>
                  </w:r>
                </w:p>
              </w:tc>
              <w:tc>
                <w:tcPr>
                  <w:tcW w:w="1228" w:type="dxa"/>
                  <w:vAlign w:val="center"/>
                </w:tcPr>
                <w:p w14:paraId="6DC2A2D8">
                  <w:pPr>
                    <w:jc w:val="center"/>
                    <w:rPr>
                      <w:color w:val="auto"/>
                      <w:szCs w:val="21"/>
                    </w:rPr>
                  </w:pPr>
                </w:p>
              </w:tc>
              <w:tc>
                <w:tcPr>
                  <w:tcW w:w="624" w:type="dxa"/>
                  <w:vAlign w:val="center"/>
                </w:tcPr>
                <w:p w14:paraId="5EEE2689">
                  <w:pPr>
                    <w:jc w:val="center"/>
                    <w:rPr>
                      <w:color w:val="auto"/>
                      <w:szCs w:val="21"/>
                    </w:rPr>
                  </w:pPr>
                </w:p>
              </w:tc>
            </w:tr>
            <w:tr w14:paraId="533D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388" w:type="dxa"/>
                  <w:vMerge w:val="restart"/>
                  <w:vAlign w:val="center"/>
                </w:tcPr>
                <w:p w14:paraId="247CCE41">
                  <w:pPr>
                    <w:jc w:val="center"/>
                    <w:rPr>
                      <w:color w:val="auto"/>
                      <w:szCs w:val="21"/>
                    </w:rPr>
                  </w:pPr>
                  <w:r>
                    <w:rPr>
                      <w:color w:val="auto"/>
                      <w:szCs w:val="21"/>
                    </w:rPr>
                    <w:t>污水处理站出水</w:t>
                  </w:r>
                  <w:r>
                    <w:rPr>
                      <w:rFonts w:hint="eastAsia"/>
                      <w:color w:val="auto"/>
                      <w:szCs w:val="21"/>
                    </w:rPr>
                    <w:t>2482</w:t>
                  </w:r>
                  <w:r>
                    <w:rPr>
                      <w:color w:val="auto"/>
                      <w:szCs w:val="21"/>
                    </w:rPr>
                    <w:t>t/a</w:t>
                  </w:r>
                </w:p>
              </w:tc>
              <w:tc>
                <w:tcPr>
                  <w:tcW w:w="975" w:type="dxa"/>
                  <w:vAlign w:val="center"/>
                </w:tcPr>
                <w:p w14:paraId="63014FC7">
                  <w:pPr>
                    <w:jc w:val="center"/>
                    <w:rPr>
                      <w:color w:val="auto"/>
                      <w:szCs w:val="21"/>
                    </w:rPr>
                  </w:pPr>
                  <w:r>
                    <w:rPr>
                      <w:color w:val="auto"/>
                      <w:szCs w:val="21"/>
                    </w:rPr>
                    <w:t>排放浓度mg/L</w:t>
                  </w:r>
                </w:p>
              </w:tc>
              <w:tc>
                <w:tcPr>
                  <w:tcW w:w="664" w:type="dxa"/>
                  <w:vAlign w:val="center"/>
                </w:tcPr>
                <w:p w14:paraId="445E8007">
                  <w:pPr>
                    <w:jc w:val="center"/>
                    <w:rPr>
                      <w:color w:val="auto"/>
                      <w:szCs w:val="21"/>
                    </w:rPr>
                  </w:pPr>
                  <w:r>
                    <w:rPr>
                      <w:rFonts w:hint="eastAsia"/>
                      <w:color w:val="auto"/>
                      <w:szCs w:val="21"/>
                    </w:rPr>
                    <w:t>7.85~7.87</w:t>
                  </w:r>
                </w:p>
              </w:tc>
              <w:tc>
                <w:tcPr>
                  <w:tcW w:w="814" w:type="dxa"/>
                  <w:vAlign w:val="center"/>
                </w:tcPr>
                <w:p w14:paraId="7862543F">
                  <w:pPr>
                    <w:jc w:val="center"/>
                    <w:rPr>
                      <w:color w:val="auto"/>
                      <w:szCs w:val="21"/>
                    </w:rPr>
                  </w:pPr>
                  <w:r>
                    <w:rPr>
                      <w:rFonts w:hint="eastAsia"/>
                      <w:color w:val="auto"/>
                      <w:szCs w:val="21"/>
                    </w:rPr>
                    <w:t>44</w:t>
                  </w:r>
                </w:p>
              </w:tc>
              <w:tc>
                <w:tcPr>
                  <w:tcW w:w="769" w:type="dxa"/>
                  <w:vAlign w:val="center"/>
                </w:tcPr>
                <w:p w14:paraId="6F46EE91">
                  <w:pPr>
                    <w:jc w:val="center"/>
                    <w:rPr>
                      <w:color w:val="auto"/>
                      <w:szCs w:val="21"/>
                    </w:rPr>
                  </w:pPr>
                  <w:r>
                    <w:rPr>
                      <w:rFonts w:hint="eastAsia"/>
                      <w:color w:val="auto"/>
                      <w:szCs w:val="21"/>
                    </w:rPr>
                    <w:t>7.2</w:t>
                  </w:r>
                </w:p>
              </w:tc>
              <w:tc>
                <w:tcPr>
                  <w:tcW w:w="759" w:type="dxa"/>
                  <w:vAlign w:val="center"/>
                </w:tcPr>
                <w:p w14:paraId="0F3B3048">
                  <w:pPr>
                    <w:jc w:val="center"/>
                    <w:rPr>
                      <w:color w:val="auto"/>
                      <w:szCs w:val="21"/>
                    </w:rPr>
                  </w:pPr>
                  <w:r>
                    <w:rPr>
                      <w:rFonts w:hint="eastAsia"/>
                      <w:color w:val="auto"/>
                      <w:szCs w:val="21"/>
                    </w:rPr>
                    <w:t>17</w:t>
                  </w:r>
                </w:p>
              </w:tc>
              <w:tc>
                <w:tcPr>
                  <w:tcW w:w="938" w:type="dxa"/>
                  <w:vAlign w:val="center"/>
                </w:tcPr>
                <w:p w14:paraId="6CB7FA84">
                  <w:pPr>
                    <w:jc w:val="center"/>
                    <w:rPr>
                      <w:color w:val="auto"/>
                      <w:szCs w:val="21"/>
                    </w:rPr>
                  </w:pPr>
                  <w:r>
                    <w:rPr>
                      <w:rFonts w:hint="eastAsia"/>
                      <w:color w:val="auto"/>
                      <w:szCs w:val="21"/>
                    </w:rPr>
                    <w:t>13.4</w:t>
                  </w:r>
                </w:p>
              </w:tc>
              <w:tc>
                <w:tcPr>
                  <w:tcW w:w="1228" w:type="dxa"/>
                  <w:vAlign w:val="center"/>
                </w:tcPr>
                <w:p w14:paraId="69129B47">
                  <w:pPr>
                    <w:jc w:val="center"/>
                    <w:rPr>
                      <w:color w:val="auto"/>
                      <w:szCs w:val="21"/>
                    </w:rPr>
                  </w:pPr>
                  <w:r>
                    <w:rPr>
                      <w:rFonts w:hint="eastAsia"/>
                      <w:color w:val="auto"/>
                      <w:szCs w:val="21"/>
                    </w:rPr>
                    <w:t>70</w:t>
                  </w:r>
                </w:p>
              </w:tc>
              <w:tc>
                <w:tcPr>
                  <w:tcW w:w="624" w:type="dxa"/>
                  <w:vAlign w:val="center"/>
                </w:tcPr>
                <w:p w14:paraId="09DBE06B">
                  <w:pPr>
                    <w:jc w:val="center"/>
                    <w:rPr>
                      <w:color w:val="auto"/>
                      <w:szCs w:val="21"/>
                    </w:rPr>
                  </w:pPr>
                  <w:r>
                    <w:rPr>
                      <w:rFonts w:hint="eastAsia"/>
                      <w:color w:val="auto"/>
                      <w:szCs w:val="21"/>
                    </w:rPr>
                    <w:t>0.4</w:t>
                  </w:r>
                </w:p>
              </w:tc>
            </w:tr>
            <w:tr w14:paraId="18CC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68F70534">
                  <w:pPr>
                    <w:jc w:val="center"/>
                    <w:rPr>
                      <w:color w:val="auto"/>
                      <w:szCs w:val="21"/>
                    </w:rPr>
                  </w:pPr>
                </w:p>
              </w:tc>
              <w:tc>
                <w:tcPr>
                  <w:tcW w:w="975" w:type="dxa"/>
                  <w:vAlign w:val="center"/>
                </w:tcPr>
                <w:p w14:paraId="678F804B">
                  <w:pPr>
                    <w:jc w:val="center"/>
                    <w:rPr>
                      <w:color w:val="auto"/>
                      <w:szCs w:val="21"/>
                    </w:rPr>
                  </w:pPr>
                  <w:r>
                    <w:rPr>
                      <w:color w:val="auto"/>
                      <w:szCs w:val="21"/>
                    </w:rPr>
                    <w:t>排放量t/a</w:t>
                  </w:r>
                </w:p>
              </w:tc>
              <w:tc>
                <w:tcPr>
                  <w:tcW w:w="664" w:type="dxa"/>
                  <w:vAlign w:val="center"/>
                </w:tcPr>
                <w:p w14:paraId="0739A660">
                  <w:pPr>
                    <w:jc w:val="center"/>
                    <w:rPr>
                      <w:color w:val="auto"/>
                      <w:szCs w:val="21"/>
                    </w:rPr>
                  </w:pPr>
                  <w:r>
                    <w:rPr>
                      <w:color w:val="auto"/>
                      <w:szCs w:val="21"/>
                    </w:rPr>
                    <w:t>—</w:t>
                  </w:r>
                </w:p>
              </w:tc>
              <w:tc>
                <w:tcPr>
                  <w:tcW w:w="814" w:type="dxa"/>
                  <w:vAlign w:val="center"/>
                </w:tcPr>
                <w:p w14:paraId="49B05E48">
                  <w:pPr>
                    <w:jc w:val="center"/>
                    <w:rPr>
                      <w:color w:val="auto"/>
                      <w:szCs w:val="21"/>
                    </w:rPr>
                  </w:pPr>
                  <w:r>
                    <w:rPr>
                      <w:rFonts w:hint="eastAsia"/>
                      <w:color w:val="auto"/>
                      <w:szCs w:val="21"/>
                    </w:rPr>
                    <w:t>0.109</w:t>
                  </w:r>
                </w:p>
              </w:tc>
              <w:tc>
                <w:tcPr>
                  <w:tcW w:w="769" w:type="dxa"/>
                  <w:vAlign w:val="center"/>
                </w:tcPr>
                <w:p w14:paraId="0E1DCCD9">
                  <w:pPr>
                    <w:jc w:val="center"/>
                    <w:rPr>
                      <w:color w:val="auto"/>
                    </w:rPr>
                  </w:pPr>
                  <w:r>
                    <w:rPr>
                      <w:rFonts w:hint="eastAsia"/>
                      <w:color w:val="auto"/>
                    </w:rPr>
                    <w:t>0.018</w:t>
                  </w:r>
                </w:p>
              </w:tc>
              <w:tc>
                <w:tcPr>
                  <w:tcW w:w="759" w:type="dxa"/>
                  <w:vAlign w:val="center"/>
                </w:tcPr>
                <w:p w14:paraId="28484865">
                  <w:pPr>
                    <w:jc w:val="center"/>
                    <w:rPr>
                      <w:color w:val="auto"/>
                      <w:szCs w:val="21"/>
                    </w:rPr>
                  </w:pPr>
                  <w:r>
                    <w:rPr>
                      <w:rFonts w:hint="eastAsia"/>
                      <w:color w:val="auto"/>
                      <w:szCs w:val="21"/>
                    </w:rPr>
                    <w:t>0.042</w:t>
                  </w:r>
                </w:p>
              </w:tc>
              <w:tc>
                <w:tcPr>
                  <w:tcW w:w="938" w:type="dxa"/>
                  <w:vAlign w:val="center"/>
                </w:tcPr>
                <w:p w14:paraId="780E20EE">
                  <w:pPr>
                    <w:jc w:val="center"/>
                    <w:rPr>
                      <w:color w:val="auto"/>
                      <w:szCs w:val="21"/>
                    </w:rPr>
                  </w:pPr>
                  <w:r>
                    <w:rPr>
                      <w:rFonts w:hint="eastAsia"/>
                      <w:color w:val="auto"/>
                      <w:szCs w:val="21"/>
                    </w:rPr>
                    <w:t>0.033</w:t>
                  </w:r>
                </w:p>
              </w:tc>
              <w:tc>
                <w:tcPr>
                  <w:tcW w:w="1228" w:type="dxa"/>
                  <w:vAlign w:val="center"/>
                </w:tcPr>
                <w:p w14:paraId="51124D49">
                  <w:pPr>
                    <w:jc w:val="center"/>
                    <w:rPr>
                      <w:color w:val="auto"/>
                      <w:szCs w:val="21"/>
                    </w:rPr>
                  </w:pPr>
                  <w:r>
                    <w:rPr>
                      <w:color w:val="auto"/>
                      <w:szCs w:val="21"/>
                    </w:rPr>
                    <w:t>—</w:t>
                  </w:r>
                </w:p>
              </w:tc>
              <w:tc>
                <w:tcPr>
                  <w:tcW w:w="624" w:type="dxa"/>
                  <w:vAlign w:val="center"/>
                </w:tcPr>
                <w:p w14:paraId="462BC90E">
                  <w:pPr>
                    <w:jc w:val="center"/>
                    <w:rPr>
                      <w:color w:val="auto"/>
                      <w:szCs w:val="21"/>
                    </w:rPr>
                  </w:pPr>
                  <w:r>
                    <w:rPr>
                      <w:color w:val="auto"/>
                      <w:szCs w:val="21"/>
                    </w:rPr>
                    <w:t>—</w:t>
                  </w:r>
                </w:p>
              </w:tc>
            </w:tr>
            <w:tr w14:paraId="36D7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Align w:val="center"/>
                </w:tcPr>
                <w:p w14:paraId="07F74BCD">
                  <w:pPr>
                    <w:jc w:val="center"/>
                    <w:rPr>
                      <w:color w:val="auto"/>
                      <w:szCs w:val="21"/>
                    </w:rPr>
                  </w:pPr>
                  <w:r>
                    <w:rPr>
                      <w:rFonts w:hint="eastAsia"/>
                      <w:color w:val="auto"/>
                      <w:szCs w:val="21"/>
                    </w:rPr>
                    <w:t>污染物排放量合计</w:t>
                  </w:r>
                </w:p>
              </w:tc>
              <w:tc>
                <w:tcPr>
                  <w:tcW w:w="975" w:type="dxa"/>
                  <w:vAlign w:val="center"/>
                </w:tcPr>
                <w:p w14:paraId="3523BBCF">
                  <w:pPr>
                    <w:jc w:val="center"/>
                    <w:rPr>
                      <w:color w:val="auto"/>
                      <w:szCs w:val="21"/>
                    </w:rPr>
                  </w:pPr>
                  <w:r>
                    <w:rPr>
                      <w:color w:val="auto"/>
                      <w:szCs w:val="21"/>
                    </w:rPr>
                    <w:t>排放量t/a</w:t>
                  </w:r>
                </w:p>
              </w:tc>
              <w:tc>
                <w:tcPr>
                  <w:tcW w:w="664" w:type="dxa"/>
                  <w:vAlign w:val="center"/>
                </w:tcPr>
                <w:p w14:paraId="36E8C0DA">
                  <w:pPr>
                    <w:jc w:val="center"/>
                    <w:rPr>
                      <w:color w:val="auto"/>
                      <w:szCs w:val="21"/>
                    </w:rPr>
                  </w:pPr>
                  <w:r>
                    <w:rPr>
                      <w:color w:val="auto"/>
                      <w:szCs w:val="21"/>
                    </w:rPr>
                    <w:t>—</w:t>
                  </w:r>
                </w:p>
              </w:tc>
              <w:tc>
                <w:tcPr>
                  <w:tcW w:w="814" w:type="dxa"/>
                  <w:vAlign w:val="center"/>
                </w:tcPr>
                <w:p w14:paraId="1A3B3E12">
                  <w:pPr>
                    <w:jc w:val="center"/>
                    <w:rPr>
                      <w:color w:val="auto"/>
                      <w:szCs w:val="21"/>
                    </w:rPr>
                  </w:pPr>
                  <w:r>
                    <w:rPr>
                      <w:rFonts w:hint="eastAsia"/>
                      <w:color w:val="auto"/>
                      <w:szCs w:val="21"/>
                    </w:rPr>
                    <w:t>0.451</w:t>
                  </w:r>
                </w:p>
              </w:tc>
              <w:tc>
                <w:tcPr>
                  <w:tcW w:w="769" w:type="dxa"/>
                  <w:vAlign w:val="center"/>
                </w:tcPr>
                <w:p w14:paraId="6DC8E7F7">
                  <w:pPr>
                    <w:jc w:val="center"/>
                    <w:rPr>
                      <w:color w:val="auto"/>
                    </w:rPr>
                  </w:pPr>
                  <w:r>
                    <w:rPr>
                      <w:rFonts w:hint="eastAsia"/>
                      <w:color w:val="auto"/>
                    </w:rPr>
                    <w:t>0.168</w:t>
                  </w:r>
                </w:p>
              </w:tc>
              <w:tc>
                <w:tcPr>
                  <w:tcW w:w="759" w:type="dxa"/>
                  <w:vAlign w:val="center"/>
                </w:tcPr>
                <w:p w14:paraId="4F77EE1C">
                  <w:pPr>
                    <w:jc w:val="center"/>
                    <w:rPr>
                      <w:color w:val="auto"/>
                      <w:szCs w:val="21"/>
                    </w:rPr>
                  </w:pPr>
                  <w:r>
                    <w:rPr>
                      <w:rFonts w:hint="eastAsia"/>
                      <w:color w:val="auto"/>
                      <w:szCs w:val="21"/>
                    </w:rPr>
                    <w:t>0.119</w:t>
                  </w:r>
                </w:p>
              </w:tc>
              <w:tc>
                <w:tcPr>
                  <w:tcW w:w="938" w:type="dxa"/>
                  <w:vAlign w:val="center"/>
                </w:tcPr>
                <w:p w14:paraId="46F679EB">
                  <w:pPr>
                    <w:jc w:val="center"/>
                    <w:rPr>
                      <w:color w:val="auto"/>
                      <w:szCs w:val="21"/>
                    </w:rPr>
                  </w:pPr>
                  <w:r>
                    <w:rPr>
                      <w:rFonts w:hint="eastAsia"/>
                      <w:color w:val="auto"/>
                      <w:szCs w:val="21"/>
                    </w:rPr>
                    <w:t>0.0097</w:t>
                  </w:r>
                </w:p>
              </w:tc>
              <w:tc>
                <w:tcPr>
                  <w:tcW w:w="1228" w:type="dxa"/>
                  <w:vAlign w:val="center"/>
                </w:tcPr>
                <w:p w14:paraId="78B00CBA">
                  <w:pPr>
                    <w:jc w:val="center"/>
                    <w:rPr>
                      <w:color w:val="auto"/>
                      <w:szCs w:val="21"/>
                    </w:rPr>
                  </w:pPr>
                  <w:r>
                    <w:rPr>
                      <w:color w:val="auto"/>
                      <w:szCs w:val="21"/>
                    </w:rPr>
                    <w:t>—</w:t>
                  </w:r>
                </w:p>
              </w:tc>
              <w:tc>
                <w:tcPr>
                  <w:tcW w:w="624" w:type="dxa"/>
                  <w:vAlign w:val="center"/>
                </w:tcPr>
                <w:p w14:paraId="14E52C0A">
                  <w:pPr>
                    <w:jc w:val="center"/>
                    <w:rPr>
                      <w:color w:val="auto"/>
                      <w:szCs w:val="21"/>
                    </w:rPr>
                  </w:pPr>
                  <w:r>
                    <w:rPr>
                      <w:color w:val="auto"/>
                      <w:szCs w:val="21"/>
                    </w:rPr>
                    <w:t>—</w:t>
                  </w:r>
                </w:p>
              </w:tc>
            </w:tr>
            <w:tr w14:paraId="04C7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7BEBAC2A">
                  <w:pPr>
                    <w:jc w:val="center"/>
                    <w:rPr>
                      <w:color w:val="auto"/>
                      <w:szCs w:val="21"/>
                    </w:rPr>
                  </w:pPr>
                  <w:r>
                    <w:rPr>
                      <w:rFonts w:hint="eastAsia" w:ascii="宋体" w:hAnsi="宋体" w:cs="宋体"/>
                      <w:color w:val="auto"/>
                      <w:szCs w:val="21"/>
                    </w:rPr>
                    <w:t>《医疗机构水污染物排放标准》（GB18466-2005）表2预处理标准及《污水排入城镇下水道水质标准》（GB/T31962-2015）表1B等级标准较严值</w:t>
                  </w:r>
                </w:p>
              </w:tc>
              <w:tc>
                <w:tcPr>
                  <w:tcW w:w="664" w:type="dxa"/>
                  <w:vAlign w:val="center"/>
                </w:tcPr>
                <w:p w14:paraId="1B38B5C8">
                  <w:pPr>
                    <w:jc w:val="center"/>
                    <w:rPr>
                      <w:color w:val="auto"/>
                      <w:szCs w:val="21"/>
                    </w:rPr>
                  </w:pPr>
                  <w:r>
                    <w:rPr>
                      <w:rFonts w:hint="eastAsia"/>
                      <w:color w:val="auto"/>
                      <w:szCs w:val="21"/>
                    </w:rPr>
                    <w:t>6-9</w:t>
                  </w:r>
                </w:p>
              </w:tc>
              <w:tc>
                <w:tcPr>
                  <w:tcW w:w="814" w:type="dxa"/>
                  <w:vAlign w:val="center"/>
                </w:tcPr>
                <w:p w14:paraId="69A26A22">
                  <w:pPr>
                    <w:jc w:val="center"/>
                    <w:rPr>
                      <w:color w:val="auto"/>
                      <w:szCs w:val="21"/>
                    </w:rPr>
                  </w:pPr>
                  <w:r>
                    <w:rPr>
                      <w:rFonts w:hint="eastAsia"/>
                      <w:color w:val="auto"/>
                      <w:szCs w:val="21"/>
                    </w:rPr>
                    <w:t>250</w:t>
                  </w:r>
                </w:p>
              </w:tc>
              <w:tc>
                <w:tcPr>
                  <w:tcW w:w="769" w:type="dxa"/>
                  <w:vAlign w:val="center"/>
                </w:tcPr>
                <w:p w14:paraId="16CE8833">
                  <w:pPr>
                    <w:jc w:val="center"/>
                    <w:rPr>
                      <w:color w:val="auto"/>
                      <w:szCs w:val="21"/>
                    </w:rPr>
                  </w:pPr>
                  <w:r>
                    <w:rPr>
                      <w:rFonts w:hint="eastAsia"/>
                      <w:color w:val="auto"/>
                      <w:szCs w:val="21"/>
                    </w:rPr>
                    <w:t>100</w:t>
                  </w:r>
                </w:p>
              </w:tc>
              <w:tc>
                <w:tcPr>
                  <w:tcW w:w="759" w:type="dxa"/>
                  <w:vAlign w:val="center"/>
                </w:tcPr>
                <w:p w14:paraId="0C4BCAF2">
                  <w:pPr>
                    <w:jc w:val="center"/>
                    <w:rPr>
                      <w:color w:val="auto"/>
                      <w:szCs w:val="21"/>
                    </w:rPr>
                  </w:pPr>
                  <w:r>
                    <w:rPr>
                      <w:rFonts w:hint="eastAsia"/>
                      <w:color w:val="auto"/>
                      <w:szCs w:val="21"/>
                    </w:rPr>
                    <w:t>60</w:t>
                  </w:r>
                </w:p>
              </w:tc>
              <w:tc>
                <w:tcPr>
                  <w:tcW w:w="938" w:type="dxa"/>
                  <w:vAlign w:val="center"/>
                </w:tcPr>
                <w:p w14:paraId="52B56527">
                  <w:pPr>
                    <w:jc w:val="center"/>
                    <w:rPr>
                      <w:color w:val="auto"/>
                      <w:szCs w:val="21"/>
                    </w:rPr>
                  </w:pPr>
                  <w:r>
                    <w:rPr>
                      <w:rFonts w:hint="eastAsia"/>
                      <w:color w:val="auto"/>
                      <w:szCs w:val="21"/>
                    </w:rPr>
                    <w:t>45</w:t>
                  </w:r>
                </w:p>
              </w:tc>
              <w:tc>
                <w:tcPr>
                  <w:tcW w:w="1228" w:type="dxa"/>
                  <w:vAlign w:val="center"/>
                </w:tcPr>
                <w:p w14:paraId="13F66EB3">
                  <w:pPr>
                    <w:jc w:val="center"/>
                    <w:rPr>
                      <w:color w:val="auto"/>
                      <w:szCs w:val="21"/>
                    </w:rPr>
                  </w:pPr>
                  <w:r>
                    <w:rPr>
                      <w:color w:val="auto"/>
                      <w:szCs w:val="21"/>
                    </w:rPr>
                    <w:t>—</w:t>
                  </w:r>
                </w:p>
              </w:tc>
              <w:tc>
                <w:tcPr>
                  <w:tcW w:w="624" w:type="dxa"/>
                  <w:vAlign w:val="center"/>
                </w:tcPr>
                <w:p w14:paraId="70018139">
                  <w:pPr>
                    <w:jc w:val="center"/>
                    <w:rPr>
                      <w:color w:val="auto"/>
                      <w:szCs w:val="21"/>
                    </w:rPr>
                  </w:pPr>
                  <w:r>
                    <w:rPr>
                      <w:color w:val="auto"/>
                      <w:szCs w:val="21"/>
                    </w:rPr>
                    <w:t>—</w:t>
                  </w:r>
                </w:p>
              </w:tc>
            </w:tr>
            <w:tr w14:paraId="1805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6C7D9A58">
                  <w:pPr>
                    <w:jc w:val="center"/>
                    <w:rPr>
                      <w:rFonts w:hint="eastAsia" w:ascii="宋体" w:hAnsi="宋体" w:cs="宋体"/>
                      <w:color w:val="auto"/>
                      <w:szCs w:val="21"/>
                    </w:rPr>
                  </w:pPr>
                  <w:r>
                    <w:rPr>
                      <w:rFonts w:hint="eastAsia" w:ascii="宋体" w:hAnsi="宋体" w:cs="宋体"/>
                      <w:color w:val="auto"/>
                      <w:szCs w:val="21"/>
                    </w:rPr>
                    <w:t>是否达标</w:t>
                  </w:r>
                </w:p>
              </w:tc>
              <w:tc>
                <w:tcPr>
                  <w:tcW w:w="664" w:type="dxa"/>
                  <w:vAlign w:val="center"/>
                </w:tcPr>
                <w:p w14:paraId="29970EC4">
                  <w:pPr>
                    <w:jc w:val="center"/>
                    <w:rPr>
                      <w:color w:val="auto"/>
                      <w:szCs w:val="21"/>
                    </w:rPr>
                  </w:pPr>
                  <w:r>
                    <w:rPr>
                      <w:rFonts w:hint="eastAsia"/>
                      <w:color w:val="auto"/>
                      <w:szCs w:val="21"/>
                    </w:rPr>
                    <w:t>达标</w:t>
                  </w:r>
                </w:p>
              </w:tc>
              <w:tc>
                <w:tcPr>
                  <w:tcW w:w="814" w:type="dxa"/>
                  <w:vAlign w:val="center"/>
                </w:tcPr>
                <w:p w14:paraId="231E4527">
                  <w:pPr>
                    <w:jc w:val="center"/>
                    <w:rPr>
                      <w:color w:val="auto"/>
                      <w:szCs w:val="21"/>
                    </w:rPr>
                  </w:pPr>
                  <w:r>
                    <w:rPr>
                      <w:rFonts w:hint="eastAsia"/>
                      <w:color w:val="auto"/>
                      <w:szCs w:val="21"/>
                    </w:rPr>
                    <w:t>达标</w:t>
                  </w:r>
                </w:p>
              </w:tc>
              <w:tc>
                <w:tcPr>
                  <w:tcW w:w="769" w:type="dxa"/>
                  <w:vAlign w:val="center"/>
                </w:tcPr>
                <w:p w14:paraId="5B4FBBBD">
                  <w:pPr>
                    <w:jc w:val="center"/>
                    <w:rPr>
                      <w:color w:val="auto"/>
                      <w:szCs w:val="21"/>
                    </w:rPr>
                  </w:pPr>
                  <w:r>
                    <w:rPr>
                      <w:rFonts w:hint="eastAsia"/>
                      <w:color w:val="auto"/>
                      <w:szCs w:val="21"/>
                    </w:rPr>
                    <w:t>达标</w:t>
                  </w:r>
                </w:p>
              </w:tc>
              <w:tc>
                <w:tcPr>
                  <w:tcW w:w="759" w:type="dxa"/>
                  <w:vAlign w:val="center"/>
                </w:tcPr>
                <w:p w14:paraId="1CE221F2">
                  <w:pPr>
                    <w:jc w:val="center"/>
                    <w:rPr>
                      <w:color w:val="auto"/>
                      <w:szCs w:val="21"/>
                    </w:rPr>
                  </w:pPr>
                  <w:r>
                    <w:rPr>
                      <w:rFonts w:hint="eastAsia"/>
                      <w:color w:val="auto"/>
                      <w:szCs w:val="21"/>
                    </w:rPr>
                    <w:t>达标</w:t>
                  </w:r>
                </w:p>
              </w:tc>
              <w:tc>
                <w:tcPr>
                  <w:tcW w:w="938" w:type="dxa"/>
                  <w:vAlign w:val="center"/>
                </w:tcPr>
                <w:p w14:paraId="2A3D040D">
                  <w:pPr>
                    <w:jc w:val="center"/>
                    <w:rPr>
                      <w:color w:val="auto"/>
                      <w:szCs w:val="21"/>
                    </w:rPr>
                  </w:pPr>
                  <w:r>
                    <w:rPr>
                      <w:rFonts w:hint="eastAsia"/>
                      <w:color w:val="auto"/>
                      <w:szCs w:val="21"/>
                    </w:rPr>
                    <w:t>达标</w:t>
                  </w:r>
                </w:p>
              </w:tc>
              <w:tc>
                <w:tcPr>
                  <w:tcW w:w="1228" w:type="dxa"/>
                  <w:vAlign w:val="center"/>
                </w:tcPr>
                <w:p w14:paraId="01D136FA">
                  <w:pPr>
                    <w:jc w:val="center"/>
                    <w:rPr>
                      <w:color w:val="auto"/>
                      <w:szCs w:val="21"/>
                    </w:rPr>
                  </w:pPr>
                  <w:r>
                    <w:rPr>
                      <w:rFonts w:hint="eastAsia"/>
                      <w:color w:val="auto"/>
                      <w:szCs w:val="21"/>
                    </w:rPr>
                    <w:t>达标</w:t>
                  </w:r>
                </w:p>
              </w:tc>
              <w:tc>
                <w:tcPr>
                  <w:tcW w:w="624" w:type="dxa"/>
                  <w:vAlign w:val="center"/>
                </w:tcPr>
                <w:p w14:paraId="5236B68A">
                  <w:pPr>
                    <w:jc w:val="center"/>
                    <w:rPr>
                      <w:color w:val="auto"/>
                      <w:szCs w:val="21"/>
                    </w:rPr>
                  </w:pPr>
                  <w:r>
                    <w:rPr>
                      <w:color w:val="auto"/>
                      <w:szCs w:val="21"/>
                    </w:rPr>
                    <w:t>—</w:t>
                  </w:r>
                </w:p>
              </w:tc>
            </w:tr>
          </w:tbl>
          <w:p w14:paraId="2A3BFB77">
            <w:pPr>
              <w:widowControl/>
              <w:spacing w:line="360" w:lineRule="auto"/>
              <w:ind w:firstLine="480" w:firstLineChars="200"/>
              <w:jc w:val="left"/>
              <w:rPr>
                <w:color w:val="auto"/>
                <w:sz w:val="24"/>
              </w:rPr>
            </w:pPr>
            <w:r>
              <w:rPr>
                <w:rFonts w:hint="eastAsia"/>
                <w:color w:val="auto"/>
                <w:sz w:val="24"/>
              </w:rPr>
              <w:t>现有项目杨广卫生院</w:t>
            </w:r>
            <w:r>
              <w:rPr>
                <w:color w:val="auto"/>
                <w:sz w:val="24"/>
              </w:rPr>
              <w:t>实行雨污分流制，雨水经院内雨水沟排入</w:t>
            </w:r>
            <w:r>
              <w:rPr>
                <w:rFonts w:hint="eastAsia"/>
                <w:color w:val="auto"/>
                <w:sz w:val="24"/>
              </w:rPr>
              <w:t>院外雨水沟。现有项目</w:t>
            </w:r>
            <w:r>
              <w:rPr>
                <w:color w:val="auto"/>
                <w:sz w:val="24"/>
              </w:rPr>
              <w:t>医疗废水（其中化验室产生的特殊性废水经单独收集并进行处理后）与</w:t>
            </w:r>
            <w:r>
              <w:rPr>
                <w:rFonts w:hint="eastAsia"/>
                <w:color w:val="auto"/>
                <w:sz w:val="24"/>
              </w:rPr>
              <w:t>生活污水（其中食堂废水经隔油池预处理）</w:t>
            </w:r>
            <w:r>
              <w:rPr>
                <w:color w:val="auto"/>
                <w:sz w:val="24"/>
              </w:rPr>
              <w:t>经化粪池处理后进入</w:t>
            </w:r>
            <w:r>
              <w:rPr>
                <w:rFonts w:hint="eastAsia"/>
                <w:color w:val="auto"/>
                <w:sz w:val="24"/>
              </w:rPr>
              <w:t>卫生院</w:t>
            </w:r>
            <w:r>
              <w:rPr>
                <w:color w:val="auto"/>
                <w:sz w:val="24"/>
              </w:rPr>
              <w:t>内的污水处理站</w:t>
            </w:r>
            <w:r>
              <w:rPr>
                <w:rFonts w:hint="eastAsia"/>
                <w:color w:val="auto"/>
                <w:sz w:val="24"/>
              </w:rPr>
              <w:t>，</w:t>
            </w:r>
            <w:r>
              <w:rPr>
                <w:color w:val="auto"/>
                <w:sz w:val="24"/>
              </w:rPr>
              <w:t>所有废水</w:t>
            </w:r>
            <w:r>
              <w:rPr>
                <w:rFonts w:hint="eastAsia"/>
                <w:color w:val="auto"/>
                <w:sz w:val="24"/>
              </w:rPr>
              <w:t>采用水解酸化+生物接触氧化+消毒</w:t>
            </w:r>
            <w:r>
              <w:rPr>
                <w:color w:val="auto"/>
                <w:sz w:val="24"/>
              </w:rPr>
              <w:t>处理</w:t>
            </w:r>
            <w:r>
              <w:rPr>
                <w:rFonts w:hint="eastAsia"/>
                <w:color w:val="auto"/>
                <w:sz w:val="24"/>
              </w:rPr>
              <w:t>工艺处理。根据监测结果可知，杨广生院污水处理站出水水质能满足《医疗机构水污染物排放标准》（GB18466-2005）表2预处理标准及《污水排入城镇下水道水质标准》（GB/T31962-2015）表1B等级标准较严值。污水经污水处理站达标处理</w:t>
            </w:r>
            <w:r>
              <w:rPr>
                <w:color w:val="auto"/>
                <w:sz w:val="24"/>
              </w:rPr>
              <w:t>后</w:t>
            </w:r>
            <w:r>
              <w:rPr>
                <w:rFonts w:hint="eastAsia"/>
                <w:color w:val="auto"/>
                <w:sz w:val="24"/>
              </w:rPr>
              <w:t>外排进入市政污水管网，最终进入通海县第一污水处理厂处理。</w:t>
            </w:r>
          </w:p>
          <w:p w14:paraId="5A2ABD53">
            <w:pPr>
              <w:spacing w:line="360" w:lineRule="auto"/>
              <w:ind w:firstLine="480"/>
              <w:rPr>
                <w:color w:val="auto"/>
                <w:sz w:val="24"/>
              </w:rPr>
            </w:pPr>
            <w:r>
              <w:rPr>
                <w:rFonts w:hint="eastAsia"/>
                <w:color w:val="auto"/>
                <w:sz w:val="24"/>
              </w:rPr>
              <w:t xml:space="preserve">  b、纳古卫生院现有废水排放量核算</w:t>
            </w:r>
          </w:p>
          <w:p w14:paraId="34AE02BA">
            <w:pPr>
              <w:widowControl/>
              <w:spacing w:line="360" w:lineRule="auto"/>
              <w:ind w:firstLine="480" w:firstLineChars="200"/>
              <w:jc w:val="left"/>
              <w:rPr>
                <w:color w:val="auto"/>
                <w:sz w:val="24"/>
              </w:rPr>
            </w:pPr>
            <w:r>
              <w:rPr>
                <w:rFonts w:hint="eastAsia"/>
                <w:color w:val="auto"/>
                <w:sz w:val="24"/>
              </w:rPr>
              <w:t>纳古卫生院地处纳古镇污水处理厂纳污范围内，且市政污水管网已贯通。根据</w:t>
            </w:r>
            <w:bookmarkStart w:id="45" w:name="_Hlk192169297"/>
            <w:r>
              <w:rPr>
                <w:rFonts w:hint="eastAsia"/>
                <w:color w:val="auto"/>
                <w:sz w:val="24"/>
              </w:rPr>
              <w:t>2024年11月，云南科环环境工程咨询有限公司对通海县纳古卫生院污水总排放口排放水检测结果，</w:t>
            </w:r>
            <w:bookmarkEnd w:id="45"/>
            <w:r>
              <w:rPr>
                <w:rFonts w:hint="eastAsia"/>
                <w:color w:val="auto"/>
                <w:sz w:val="24"/>
              </w:rPr>
              <w:t>纳古卫生院现有项目废水污染物排放情况</w:t>
            </w:r>
            <w:r>
              <w:rPr>
                <w:color w:val="auto"/>
                <w:sz w:val="24"/>
              </w:rPr>
              <w:t>如下表所示。</w:t>
            </w:r>
          </w:p>
          <w:p w14:paraId="12AB70CA">
            <w:pPr>
              <w:widowControl/>
              <w:spacing w:line="360" w:lineRule="auto"/>
              <w:jc w:val="center"/>
              <w:rPr>
                <w:color w:val="auto"/>
                <w:sz w:val="32"/>
                <w:szCs w:val="32"/>
              </w:rPr>
            </w:pPr>
            <w:r>
              <w:rPr>
                <w:b/>
                <w:color w:val="auto"/>
                <w:sz w:val="24"/>
              </w:rPr>
              <w:t>表</w:t>
            </w:r>
            <w:r>
              <w:rPr>
                <w:rFonts w:hint="eastAsia"/>
                <w:b/>
                <w:color w:val="auto"/>
                <w:sz w:val="24"/>
              </w:rPr>
              <w:t>2</w:t>
            </w:r>
            <w:r>
              <w:rPr>
                <w:b/>
                <w:color w:val="auto"/>
                <w:sz w:val="24"/>
              </w:rPr>
              <w:t>-</w:t>
            </w:r>
            <w:r>
              <w:rPr>
                <w:rFonts w:hint="eastAsia"/>
                <w:b/>
                <w:color w:val="auto"/>
                <w:sz w:val="24"/>
              </w:rPr>
              <w:t>28现有项目（纳古卫生院）</w:t>
            </w:r>
            <w:r>
              <w:rPr>
                <w:b/>
                <w:color w:val="auto"/>
                <w:sz w:val="24"/>
              </w:rPr>
              <w:t>污水及污染物产排情况一览表</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75"/>
              <w:gridCol w:w="664"/>
              <w:gridCol w:w="814"/>
              <w:gridCol w:w="769"/>
              <w:gridCol w:w="759"/>
              <w:gridCol w:w="938"/>
              <w:gridCol w:w="1228"/>
              <w:gridCol w:w="624"/>
            </w:tblGrid>
            <w:tr w14:paraId="3DCC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363" w:type="dxa"/>
                  <w:gridSpan w:val="2"/>
                  <w:vMerge w:val="restart"/>
                  <w:vAlign w:val="center"/>
                </w:tcPr>
                <w:p w14:paraId="5612B957">
                  <w:pPr>
                    <w:jc w:val="center"/>
                    <w:rPr>
                      <w:b/>
                      <w:color w:val="auto"/>
                      <w:szCs w:val="21"/>
                    </w:rPr>
                  </w:pPr>
                  <w:r>
                    <w:rPr>
                      <w:b/>
                      <w:color w:val="auto"/>
                      <w:szCs w:val="21"/>
                    </w:rPr>
                    <w:t>指标</w:t>
                  </w:r>
                </w:p>
              </w:tc>
              <w:tc>
                <w:tcPr>
                  <w:tcW w:w="5796" w:type="dxa"/>
                  <w:gridSpan w:val="7"/>
                </w:tcPr>
                <w:p w14:paraId="275D3525">
                  <w:pPr>
                    <w:jc w:val="center"/>
                    <w:rPr>
                      <w:b/>
                      <w:color w:val="auto"/>
                      <w:szCs w:val="21"/>
                    </w:rPr>
                  </w:pPr>
                  <w:r>
                    <w:rPr>
                      <w:b/>
                      <w:color w:val="auto"/>
                      <w:szCs w:val="21"/>
                    </w:rPr>
                    <w:t>主要污染物名称</w:t>
                  </w:r>
                </w:p>
              </w:tc>
            </w:tr>
            <w:tr w14:paraId="029D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363" w:type="dxa"/>
                  <w:gridSpan w:val="2"/>
                  <w:vMerge w:val="continue"/>
                  <w:vAlign w:val="center"/>
                </w:tcPr>
                <w:p w14:paraId="6B5F5481">
                  <w:pPr>
                    <w:jc w:val="center"/>
                    <w:rPr>
                      <w:color w:val="auto"/>
                      <w:szCs w:val="21"/>
                    </w:rPr>
                  </w:pPr>
                </w:p>
              </w:tc>
              <w:tc>
                <w:tcPr>
                  <w:tcW w:w="664" w:type="dxa"/>
                  <w:vAlign w:val="center"/>
                </w:tcPr>
                <w:p w14:paraId="4339C37D">
                  <w:pPr>
                    <w:jc w:val="center"/>
                    <w:rPr>
                      <w:b/>
                      <w:color w:val="auto"/>
                      <w:szCs w:val="21"/>
                    </w:rPr>
                  </w:pPr>
                  <w:r>
                    <w:rPr>
                      <w:rFonts w:hint="eastAsia"/>
                      <w:b/>
                      <w:color w:val="auto"/>
                      <w:szCs w:val="21"/>
                    </w:rPr>
                    <w:t>PH</w:t>
                  </w:r>
                </w:p>
              </w:tc>
              <w:tc>
                <w:tcPr>
                  <w:tcW w:w="814" w:type="dxa"/>
                  <w:vAlign w:val="center"/>
                </w:tcPr>
                <w:p w14:paraId="1A0D582C">
                  <w:pPr>
                    <w:jc w:val="center"/>
                    <w:rPr>
                      <w:b/>
                      <w:color w:val="auto"/>
                      <w:szCs w:val="21"/>
                    </w:rPr>
                  </w:pPr>
                  <w:r>
                    <w:rPr>
                      <w:b/>
                      <w:color w:val="auto"/>
                      <w:szCs w:val="21"/>
                    </w:rPr>
                    <w:t>COD</w:t>
                  </w:r>
                </w:p>
              </w:tc>
              <w:tc>
                <w:tcPr>
                  <w:tcW w:w="769" w:type="dxa"/>
                  <w:vAlign w:val="center"/>
                </w:tcPr>
                <w:p w14:paraId="0CFC4796">
                  <w:pPr>
                    <w:jc w:val="center"/>
                    <w:rPr>
                      <w:b/>
                      <w:color w:val="auto"/>
                      <w:szCs w:val="21"/>
                    </w:rPr>
                  </w:pPr>
                  <w:r>
                    <w:rPr>
                      <w:b/>
                      <w:color w:val="auto"/>
                      <w:szCs w:val="21"/>
                    </w:rPr>
                    <w:t>BOD</w:t>
                  </w:r>
                  <w:r>
                    <w:rPr>
                      <w:b/>
                      <w:color w:val="auto"/>
                      <w:szCs w:val="21"/>
                      <w:vertAlign w:val="subscript"/>
                    </w:rPr>
                    <w:t>5</w:t>
                  </w:r>
                </w:p>
              </w:tc>
              <w:tc>
                <w:tcPr>
                  <w:tcW w:w="759" w:type="dxa"/>
                  <w:vAlign w:val="center"/>
                </w:tcPr>
                <w:p w14:paraId="4552F06D">
                  <w:pPr>
                    <w:jc w:val="center"/>
                    <w:rPr>
                      <w:b/>
                      <w:color w:val="auto"/>
                      <w:szCs w:val="21"/>
                    </w:rPr>
                  </w:pPr>
                  <w:r>
                    <w:rPr>
                      <w:b/>
                      <w:color w:val="auto"/>
                      <w:szCs w:val="21"/>
                    </w:rPr>
                    <w:t>SS</w:t>
                  </w:r>
                </w:p>
              </w:tc>
              <w:tc>
                <w:tcPr>
                  <w:tcW w:w="938" w:type="dxa"/>
                  <w:vAlign w:val="center"/>
                </w:tcPr>
                <w:p w14:paraId="19DE6283">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228" w:type="dxa"/>
                  <w:vAlign w:val="center"/>
                </w:tcPr>
                <w:p w14:paraId="0375F810">
                  <w:pPr>
                    <w:jc w:val="center"/>
                    <w:rPr>
                      <w:b/>
                      <w:color w:val="auto"/>
                    </w:rPr>
                  </w:pPr>
                  <w:r>
                    <w:rPr>
                      <w:b/>
                      <w:color w:val="auto"/>
                    </w:rPr>
                    <w:t>粪大肠菌群数</w:t>
                  </w:r>
                  <w:r>
                    <w:rPr>
                      <w:rFonts w:hint="eastAsia"/>
                      <w:b/>
                      <w:color w:val="auto"/>
                    </w:rPr>
                    <w:t>（</w:t>
                  </w:r>
                  <w:r>
                    <w:rPr>
                      <w:b/>
                      <w:color w:val="auto"/>
                    </w:rPr>
                    <w:t>个/L)</w:t>
                  </w:r>
                </w:p>
              </w:tc>
              <w:tc>
                <w:tcPr>
                  <w:tcW w:w="624" w:type="dxa"/>
                  <w:vAlign w:val="center"/>
                </w:tcPr>
                <w:p w14:paraId="5FBA2154">
                  <w:pPr>
                    <w:jc w:val="center"/>
                    <w:rPr>
                      <w:b/>
                      <w:color w:val="auto"/>
                    </w:rPr>
                  </w:pPr>
                  <w:r>
                    <w:rPr>
                      <w:b/>
                      <w:color w:val="auto"/>
                    </w:rPr>
                    <w:t>总余氯</w:t>
                  </w:r>
                </w:p>
              </w:tc>
            </w:tr>
            <w:tr w14:paraId="61E9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88" w:type="dxa"/>
                  <w:vMerge w:val="restart"/>
                  <w:vAlign w:val="center"/>
                </w:tcPr>
                <w:p w14:paraId="6D08C743">
                  <w:pPr>
                    <w:jc w:val="center"/>
                    <w:rPr>
                      <w:color w:val="auto"/>
                      <w:szCs w:val="21"/>
                    </w:rPr>
                  </w:pPr>
                  <w:r>
                    <w:rPr>
                      <w:rFonts w:hint="eastAsia"/>
                      <w:color w:val="auto"/>
                      <w:szCs w:val="21"/>
                    </w:rPr>
                    <w:t>纳古卫生院废水</w:t>
                  </w:r>
                  <w:r>
                    <w:rPr>
                      <w:color w:val="auto"/>
                      <w:szCs w:val="21"/>
                    </w:rPr>
                    <w:t>产生量</w:t>
                  </w:r>
                </w:p>
                <w:p w14:paraId="04D146DD">
                  <w:pPr>
                    <w:jc w:val="center"/>
                    <w:rPr>
                      <w:color w:val="auto"/>
                      <w:szCs w:val="21"/>
                    </w:rPr>
                  </w:pPr>
                  <w:r>
                    <w:rPr>
                      <w:rFonts w:hint="eastAsia"/>
                      <w:color w:val="auto"/>
                      <w:szCs w:val="21"/>
                    </w:rPr>
                    <w:t>2774</w:t>
                  </w:r>
                  <w:r>
                    <w:rPr>
                      <w:color w:val="auto"/>
                      <w:szCs w:val="21"/>
                    </w:rPr>
                    <w:t>t/a</w:t>
                  </w:r>
                </w:p>
              </w:tc>
              <w:tc>
                <w:tcPr>
                  <w:tcW w:w="975" w:type="dxa"/>
                  <w:vAlign w:val="center"/>
                </w:tcPr>
                <w:p w14:paraId="6B983784">
                  <w:pPr>
                    <w:jc w:val="center"/>
                    <w:rPr>
                      <w:color w:val="auto"/>
                      <w:szCs w:val="21"/>
                    </w:rPr>
                  </w:pPr>
                  <w:r>
                    <w:rPr>
                      <w:color w:val="auto"/>
                      <w:szCs w:val="21"/>
                    </w:rPr>
                    <w:t>产生浓度mg/L</w:t>
                  </w:r>
                </w:p>
              </w:tc>
              <w:tc>
                <w:tcPr>
                  <w:tcW w:w="664" w:type="dxa"/>
                  <w:vAlign w:val="center"/>
                </w:tcPr>
                <w:p w14:paraId="4996BBBD">
                  <w:pPr>
                    <w:jc w:val="center"/>
                    <w:rPr>
                      <w:color w:val="auto"/>
                      <w:szCs w:val="21"/>
                    </w:rPr>
                  </w:pPr>
                  <w:r>
                    <w:rPr>
                      <w:color w:val="auto"/>
                      <w:szCs w:val="21"/>
                    </w:rPr>
                    <w:t>7~8</w:t>
                  </w:r>
                </w:p>
              </w:tc>
              <w:tc>
                <w:tcPr>
                  <w:tcW w:w="814" w:type="dxa"/>
                  <w:vAlign w:val="center"/>
                </w:tcPr>
                <w:p w14:paraId="36AD1402">
                  <w:pPr>
                    <w:jc w:val="center"/>
                    <w:rPr>
                      <w:color w:val="auto"/>
                      <w:szCs w:val="21"/>
                    </w:rPr>
                  </w:pPr>
                  <w:r>
                    <w:rPr>
                      <w:rFonts w:hint="eastAsia"/>
                      <w:color w:val="auto"/>
                      <w:szCs w:val="21"/>
                    </w:rPr>
                    <w:t>330</w:t>
                  </w:r>
                </w:p>
              </w:tc>
              <w:tc>
                <w:tcPr>
                  <w:tcW w:w="769" w:type="dxa"/>
                  <w:vAlign w:val="center"/>
                </w:tcPr>
                <w:p w14:paraId="28E55C1B">
                  <w:pPr>
                    <w:jc w:val="center"/>
                    <w:rPr>
                      <w:color w:val="auto"/>
                      <w:szCs w:val="21"/>
                    </w:rPr>
                  </w:pPr>
                  <w:r>
                    <w:rPr>
                      <w:color w:val="auto"/>
                      <w:szCs w:val="21"/>
                    </w:rPr>
                    <w:t>150</w:t>
                  </w:r>
                </w:p>
              </w:tc>
              <w:tc>
                <w:tcPr>
                  <w:tcW w:w="759" w:type="dxa"/>
                  <w:vAlign w:val="center"/>
                </w:tcPr>
                <w:p w14:paraId="020B4750">
                  <w:pPr>
                    <w:jc w:val="center"/>
                    <w:rPr>
                      <w:color w:val="auto"/>
                      <w:szCs w:val="21"/>
                    </w:rPr>
                  </w:pPr>
                  <w:r>
                    <w:rPr>
                      <w:color w:val="auto"/>
                      <w:szCs w:val="21"/>
                    </w:rPr>
                    <w:t>120</w:t>
                  </w:r>
                </w:p>
              </w:tc>
              <w:tc>
                <w:tcPr>
                  <w:tcW w:w="938" w:type="dxa"/>
                  <w:vAlign w:val="center"/>
                </w:tcPr>
                <w:p w14:paraId="05BB70D4">
                  <w:pPr>
                    <w:jc w:val="center"/>
                    <w:rPr>
                      <w:color w:val="auto"/>
                      <w:szCs w:val="21"/>
                    </w:rPr>
                  </w:pPr>
                  <w:r>
                    <w:rPr>
                      <w:rFonts w:hint="eastAsia"/>
                      <w:color w:val="auto"/>
                      <w:szCs w:val="21"/>
                    </w:rPr>
                    <w:t>64</w:t>
                  </w:r>
                </w:p>
              </w:tc>
              <w:tc>
                <w:tcPr>
                  <w:tcW w:w="1228" w:type="dxa"/>
                  <w:vAlign w:val="center"/>
                </w:tcPr>
                <w:p w14:paraId="02E4214E">
                  <w:pPr>
                    <w:jc w:val="center"/>
                    <w:rPr>
                      <w:color w:val="auto"/>
                      <w:szCs w:val="21"/>
                    </w:rPr>
                  </w:pPr>
                  <w:r>
                    <w:rPr>
                      <w:color w:val="auto"/>
                      <w:szCs w:val="21"/>
                    </w:rPr>
                    <w:t>3.0×10</w:t>
                  </w:r>
                  <w:r>
                    <w:rPr>
                      <w:color w:val="auto"/>
                      <w:szCs w:val="21"/>
                      <w:vertAlign w:val="superscript"/>
                    </w:rPr>
                    <w:t>8</w:t>
                  </w:r>
                </w:p>
              </w:tc>
              <w:tc>
                <w:tcPr>
                  <w:tcW w:w="624" w:type="dxa"/>
                  <w:vAlign w:val="center"/>
                </w:tcPr>
                <w:p w14:paraId="04DE5EDC">
                  <w:pPr>
                    <w:jc w:val="center"/>
                    <w:rPr>
                      <w:color w:val="auto"/>
                      <w:szCs w:val="21"/>
                    </w:rPr>
                  </w:pPr>
                  <w:r>
                    <w:rPr>
                      <w:color w:val="auto"/>
                      <w:szCs w:val="21"/>
                    </w:rPr>
                    <w:t>—</w:t>
                  </w:r>
                </w:p>
              </w:tc>
            </w:tr>
            <w:tr w14:paraId="4779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6028A8C9">
                  <w:pPr>
                    <w:jc w:val="center"/>
                    <w:rPr>
                      <w:color w:val="auto"/>
                      <w:szCs w:val="21"/>
                    </w:rPr>
                  </w:pPr>
                </w:p>
              </w:tc>
              <w:tc>
                <w:tcPr>
                  <w:tcW w:w="975" w:type="dxa"/>
                  <w:vAlign w:val="center"/>
                </w:tcPr>
                <w:p w14:paraId="12E00CB3">
                  <w:pPr>
                    <w:jc w:val="center"/>
                    <w:rPr>
                      <w:color w:val="auto"/>
                      <w:szCs w:val="21"/>
                    </w:rPr>
                  </w:pPr>
                  <w:r>
                    <w:rPr>
                      <w:color w:val="auto"/>
                      <w:szCs w:val="21"/>
                    </w:rPr>
                    <w:t>产生量t/a</w:t>
                  </w:r>
                </w:p>
              </w:tc>
              <w:tc>
                <w:tcPr>
                  <w:tcW w:w="664" w:type="dxa"/>
                  <w:vAlign w:val="center"/>
                </w:tcPr>
                <w:p w14:paraId="3853F529">
                  <w:pPr>
                    <w:jc w:val="center"/>
                    <w:rPr>
                      <w:color w:val="auto"/>
                      <w:szCs w:val="21"/>
                    </w:rPr>
                  </w:pPr>
                  <w:r>
                    <w:rPr>
                      <w:color w:val="auto"/>
                      <w:szCs w:val="21"/>
                    </w:rPr>
                    <w:t>—</w:t>
                  </w:r>
                </w:p>
              </w:tc>
              <w:tc>
                <w:tcPr>
                  <w:tcW w:w="814" w:type="dxa"/>
                  <w:vAlign w:val="center"/>
                </w:tcPr>
                <w:p w14:paraId="07F10056">
                  <w:pPr>
                    <w:jc w:val="center"/>
                    <w:rPr>
                      <w:color w:val="auto"/>
                      <w:szCs w:val="21"/>
                    </w:rPr>
                  </w:pPr>
                  <w:r>
                    <w:rPr>
                      <w:rFonts w:hint="eastAsia"/>
                      <w:color w:val="auto"/>
                      <w:szCs w:val="21"/>
                    </w:rPr>
                    <w:t>0.915</w:t>
                  </w:r>
                </w:p>
              </w:tc>
              <w:tc>
                <w:tcPr>
                  <w:tcW w:w="769" w:type="dxa"/>
                  <w:vAlign w:val="center"/>
                </w:tcPr>
                <w:p w14:paraId="43A69FEF">
                  <w:pPr>
                    <w:jc w:val="center"/>
                    <w:rPr>
                      <w:color w:val="auto"/>
                      <w:szCs w:val="21"/>
                    </w:rPr>
                  </w:pPr>
                  <w:r>
                    <w:rPr>
                      <w:rFonts w:hint="eastAsia"/>
                      <w:color w:val="auto"/>
                      <w:szCs w:val="21"/>
                    </w:rPr>
                    <w:t>0.416</w:t>
                  </w:r>
                </w:p>
              </w:tc>
              <w:tc>
                <w:tcPr>
                  <w:tcW w:w="759" w:type="dxa"/>
                  <w:vAlign w:val="center"/>
                </w:tcPr>
                <w:p w14:paraId="6A52729B">
                  <w:pPr>
                    <w:jc w:val="center"/>
                    <w:rPr>
                      <w:color w:val="auto"/>
                      <w:szCs w:val="21"/>
                    </w:rPr>
                  </w:pPr>
                  <w:r>
                    <w:rPr>
                      <w:rFonts w:hint="eastAsia"/>
                      <w:color w:val="auto"/>
                      <w:szCs w:val="21"/>
                    </w:rPr>
                    <w:t>0.332</w:t>
                  </w:r>
                </w:p>
              </w:tc>
              <w:tc>
                <w:tcPr>
                  <w:tcW w:w="938" w:type="dxa"/>
                  <w:vAlign w:val="center"/>
                </w:tcPr>
                <w:p w14:paraId="78039BE4">
                  <w:pPr>
                    <w:jc w:val="center"/>
                    <w:rPr>
                      <w:color w:val="auto"/>
                      <w:szCs w:val="21"/>
                    </w:rPr>
                  </w:pPr>
                  <w:r>
                    <w:rPr>
                      <w:rFonts w:hint="eastAsia"/>
                      <w:color w:val="auto"/>
                      <w:szCs w:val="21"/>
                    </w:rPr>
                    <w:t>0.177</w:t>
                  </w:r>
                </w:p>
              </w:tc>
              <w:tc>
                <w:tcPr>
                  <w:tcW w:w="1228" w:type="dxa"/>
                  <w:vAlign w:val="center"/>
                </w:tcPr>
                <w:p w14:paraId="3D807622">
                  <w:pPr>
                    <w:jc w:val="center"/>
                    <w:rPr>
                      <w:color w:val="auto"/>
                      <w:szCs w:val="21"/>
                    </w:rPr>
                  </w:pPr>
                  <w:r>
                    <w:rPr>
                      <w:color w:val="auto"/>
                      <w:szCs w:val="21"/>
                    </w:rPr>
                    <w:t>—</w:t>
                  </w:r>
                </w:p>
              </w:tc>
              <w:tc>
                <w:tcPr>
                  <w:tcW w:w="624" w:type="dxa"/>
                  <w:vAlign w:val="center"/>
                </w:tcPr>
                <w:p w14:paraId="0440DD62">
                  <w:pPr>
                    <w:jc w:val="center"/>
                    <w:rPr>
                      <w:color w:val="auto"/>
                      <w:szCs w:val="21"/>
                    </w:rPr>
                  </w:pPr>
                  <w:r>
                    <w:rPr>
                      <w:color w:val="auto"/>
                      <w:szCs w:val="21"/>
                    </w:rPr>
                    <w:t>—</w:t>
                  </w:r>
                </w:p>
              </w:tc>
            </w:tr>
            <w:tr w14:paraId="7CF9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88" w:type="dxa"/>
                  <w:vMerge w:val="restart"/>
                  <w:vAlign w:val="center"/>
                </w:tcPr>
                <w:p w14:paraId="2063FD1B">
                  <w:pPr>
                    <w:jc w:val="center"/>
                    <w:rPr>
                      <w:color w:val="auto"/>
                      <w:szCs w:val="21"/>
                    </w:rPr>
                  </w:pPr>
                  <w:r>
                    <w:rPr>
                      <w:color w:val="auto"/>
                      <w:szCs w:val="21"/>
                    </w:rPr>
                    <w:t>化粪池</w:t>
                  </w:r>
                </w:p>
                <w:p w14:paraId="36F1B83F">
                  <w:pPr>
                    <w:jc w:val="center"/>
                    <w:rPr>
                      <w:color w:val="auto"/>
                      <w:szCs w:val="21"/>
                    </w:rPr>
                  </w:pPr>
                  <w:r>
                    <w:rPr>
                      <w:color w:val="auto"/>
                      <w:szCs w:val="21"/>
                    </w:rPr>
                    <w:t>出水</w:t>
                  </w:r>
                  <w:r>
                    <w:rPr>
                      <w:rFonts w:hint="eastAsia"/>
                      <w:color w:val="auto"/>
                      <w:szCs w:val="21"/>
                    </w:rPr>
                    <w:t>2774</w:t>
                  </w:r>
                  <w:r>
                    <w:rPr>
                      <w:color w:val="auto"/>
                      <w:szCs w:val="21"/>
                    </w:rPr>
                    <w:t>t/a</w:t>
                  </w:r>
                </w:p>
              </w:tc>
              <w:tc>
                <w:tcPr>
                  <w:tcW w:w="975" w:type="dxa"/>
                  <w:vAlign w:val="center"/>
                </w:tcPr>
                <w:p w14:paraId="72360EA4">
                  <w:pPr>
                    <w:jc w:val="center"/>
                    <w:rPr>
                      <w:color w:val="auto"/>
                      <w:szCs w:val="21"/>
                    </w:rPr>
                  </w:pPr>
                  <w:r>
                    <w:rPr>
                      <w:color w:val="auto"/>
                      <w:szCs w:val="21"/>
                    </w:rPr>
                    <w:t>出水浓度mg/L</w:t>
                  </w:r>
                </w:p>
              </w:tc>
              <w:tc>
                <w:tcPr>
                  <w:tcW w:w="664" w:type="dxa"/>
                  <w:vAlign w:val="center"/>
                </w:tcPr>
                <w:p w14:paraId="1EDCADE7">
                  <w:pPr>
                    <w:jc w:val="center"/>
                    <w:rPr>
                      <w:color w:val="auto"/>
                      <w:szCs w:val="21"/>
                    </w:rPr>
                  </w:pPr>
                  <w:r>
                    <w:rPr>
                      <w:rFonts w:hint="eastAsia"/>
                      <w:color w:val="auto"/>
                      <w:szCs w:val="21"/>
                    </w:rPr>
                    <w:t>7</w:t>
                  </w:r>
                </w:p>
              </w:tc>
              <w:tc>
                <w:tcPr>
                  <w:tcW w:w="814" w:type="dxa"/>
                  <w:vAlign w:val="center"/>
                </w:tcPr>
                <w:p w14:paraId="1308485E">
                  <w:pPr>
                    <w:jc w:val="center"/>
                    <w:rPr>
                      <w:color w:val="auto"/>
                      <w:szCs w:val="21"/>
                    </w:rPr>
                  </w:pPr>
                  <w:r>
                    <w:rPr>
                      <w:rFonts w:hint="eastAsia"/>
                      <w:color w:val="auto"/>
                      <w:szCs w:val="21"/>
                    </w:rPr>
                    <w:t>326</w:t>
                  </w:r>
                </w:p>
              </w:tc>
              <w:tc>
                <w:tcPr>
                  <w:tcW w:w="769" w:type="dxa"/>
                  <w:vAlign w:val="center"/>
                </w:tcPr>
                <w:p w14:paraId="3FCD02A2">
                  <w:pPr>
                    <w:jc w:val="center"/>
                    <w:rPr>
                      <w:color w:val="auto"/>
                      <w:szCs w:val="21"/>
                    </w:rPr>
                  </w:pPr>
                  <w:r>
                    <w:rPr>
                      <w:rFonts w:hint="eastAsia"/>
                      <w:color w:val="auto"/>
                      <w:szCs w:val="21"/>
                    </w:rPr>
                    <w:t>143</w:t>
                  </w:r>
                </w:p>
              </w:tc>
              <w:tc>
                <w:tcPr>
                  <w:tcW w:w="759" w:type="dxa"/>
                  <w:vAlign w:val="center"/>
                </w:tcPr>
                <w:p w14:paraId="36EADB71">
                  <w:pPr>
                    <w:jc w:val="center"/>
                    <w:rPr>
                      <w:color w:val="auto"/>
                      <w:szCs w:val="21"/>
                    </w:rPr>
                  </w:pPr>
                  <w:r>
                    <w:rPr>
                      <w:rFonts w:hint="eastAsia"/>
                      <w:color w:val="auto"/>
                      <w:szCs w:val="21"/>
                    </w:rPr>
                    <w:t>73</w:t>
                  </w:r>
                </w:p>
              </w:tc>
              <w:tc>
                <w:tcPr>
                  <w:tcW w:w="938" w:type="dxa"/>
                  <w:vAlign w:val="center"/>
                </w:tcPr>
                <w:p w14:paraId="6AF148AD">
                  <w:pPr>
                    <w:jc w:val="center"/>
                    <w:rPr>
                      <w:color w:val="auto"/>
                      <w:szCs w:val="21"/>
                    </w:rPr>
                  </w:pPr>
                  <w:r>
                    <w:rPr>
                      <w:rFonts w:hint="eastAsia"/>
                      <w:color w:val="auto"/>
                      <w:szCs w:val="21"/>
                    </w:rPr>
                    <w:t>60.85</w:t>
                  </w:r>
                </w:p>
              </w:tc>
              <w:tc>
                <w:tcPr>
                  <w:tcW w:w="1228" w:type="dxa"/>
                  <w:vAlign w:val="center"/>
                </w:tcPr>
                <w:p w14:paraId="457E11C1">
                  <w:pPr>
                    <w:jc w:val="center"/>
                    <w:rPr>
                      <w:color w:val="auto"/>
                      <w:szCs w:val="21"/>
                    </w:rPr>
                  </w:pPr>
                  <w:r>
                    <w:rPr>
                      <w:color w:val="auto"/>
                      <w:szCs w:val="21"/>
                    </w:rPr>
                    <w:t>3.0×10</w:t>
                  </w:r>
                  <w:r>
                    <w:rPr>
                      <w:color w:val="auto"/>
                      <w:szCs w:val="21"/>
                      <w:vertAlign w:val="superscript"/>
                    </w:rPr>
                    <w:t>8</w:t>
                  </w:r>
                </w:p>
              </w:tc>
              <w:tc>
                <w:tcPr>
                  <w:tcW w:w="624" w:type="dxa"/>
                  <w:vAlign w:val="center"/>
                </w:tcPr>
                <w:p w14:paraId="107BEB2A">
                  <w:pPr>
                    <w:jc w:val="center"/>
                    <w:rPr>
                      <w:color w:val="auto"/>
                      <w:szCs w:val="21"/>
                    </w:rPr>
                  </w:pPr>
                  <w:r>
                    <w:rPr>
                      <w:color w:val="auto"/>
                      <w:szCs w:val="21"/>
                    </w:rPr>
                    <w:t>—</w:t>
                  </w:r>
                </w:p>
              </w:tc>
            </w:tr>
            <w:tr w14:paraId="21A5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04F56DD4">
                  <w:pPr>
                    <w:jc w:val="center"/>
                    <w:rPr>
                      <w:color w:val="auto"/>
                      <w:szCs w:val="21"/>
                    </w:rPr>
                  </w:pPr>
                </w:p>
              </w:tc>
              <w:tc>
                <w:tcPr>
                  <w:tcW w:w="975" w:type="dxa"/>
                  <w:vAlign w:val="center"/>
                </w:tcPr>
                <w:p w14:paraId="5683055A">
                  <w:pPr>
                    <w:jc w:val="center"/>
                    <w:rPr>
                      <w:color w:val="auto"/>
                      <w:szCs w:val="21"/>
                    </w:rPr>
                  </w:pPr>
                  <w:r>
                    <w:rPr>
                      <w:color w:val="auto"/>
                      <w:szCs w:val="21"/>
                    </w:rPr>
                    <w:t>产生量t/a</w:t>
                  </w:r>
                </w:p>
              </w:tc>
              <w:tc>
                <w:tcPr>
                  <w:tcW w:w="664" w:type="dxa"/>
                  <w:vAlign w:val="center"/>
                </w:tcPr>
                <w:p w14:paraId="7B713565">
                  <w:pPr>
                    <w:jc w:val="center"/>
                    <w:rPr>
                      <w:color w:val="auto"/>
                      <w:szCs w:val="21"/>
                    </w:rPr>
                  </w:pPr>
                  <w:r>
                    <w:rPr>
                      <w:color w:val="auto"/>
                      <w:szCs w:val="21"/>
                    </w:rPr>
                    <w:t>—</w:t>
                  </w:r>
                </w:p>
              </w:tc>
              <w:tc>
                <w:tcPr>
                  <w:tcW w:w="814" w:type="dxa"/>
                  <w:vAlign w:val="center"/>
                </w:tcPr>
                <w:p w14:paraId="411A4C84">
                  <w:pPr>
                    <w:jc w:val="center"/>
                    <w:rPr>
                      <w:color w:val="auto"/>
                      <w:szCs w:val="21"/>
                    </w:rPr>
                  </w:pPr>
                  <w:r>
                    <w:rPr>
                      <w:rFonts w:hint="eastAsia"/>
                      <w:color w:val="auto"/>
                      <w:szCs w:val="21"/>
                    </w:rPr>
                    <w:t>0.904</w:t>
                  </w:r>
                </w:p>
              </w:tc>
              <w:tc>
                <w:tcPr>
                  <w:tcW w:w="769" w:type="dxa"/>
                  <w:vAlign w:val="center"/>
                </w:tcPr>
                <w:p w14:paraId="28F6424A">
                  <w:pPr>
                    <w:jc w:val="center"/>
                    <w:rPr>
                      <w:color w:val="auto"/>
                      <w:szCs w:val="21"/>
                    </w:rPr>
                  </w:pPr>
                  <w:r>
                    <w:rPr>
                      <w:rFonts w:hint="eastAsia"/>
                      <w:color w:val="auto"/>
                      <w:szCs w:val="21"/>
                    </w:rPr>
                    <w:t>0.397</w:t>
                  </w:r>
                </w:p>
              </w:tc>
              <w:tc>
                <w:tcPr>
                  <w:tcW w:w="759" w:type="dxa"/>
                  <w:vAlign w:val="center"/>
                </w:tcPr>
                <w:p w14:paraId="0A59DEA9">
                  <w:pPr>
                    <w:jc w:val="center"/>
                    <w:rPr>
                      <w:color w:val="auto"/>
                      <w:szCs w:val="21"/>
                    </w:rPr>
                  </w:pPr>
                  <w:r>
                    <w:rPr>
                      <w:rFonts w:hint="eastAsia"/>
                      <w:color w:val="auto"/>
                      <w:szCs w:val="21"/>
                    </w:rPr>
                    <w:t>0.203</w:t>
                  </w:r>
                </w:p>
              </w:tc>
              <w:tc>
                <w:tcPr>
                  <w:tcW w:w="938" w:type="dxa"/>
                  <w:vAlign w:val="center"/>
                </w:tcPr>
                <w:p w14:paraId="34BFC1B4">
                  <w:pPr>
                    <w:jc w:val="center"/>
                    <w:rPr>
                      <w:color w:val="auto"/>
                      <w:szCs w:val="21"/>
                    </w:rPr>
                  </w:pPr>
                  <w:r>
                    <w:rPr>
                      <w:rFonts w:hint="eastAsia"/>
                      <w:color w:val="auto"/>
                      <w:szCs w:val="21"/>
                    </w:rPr>
                    <w:t>0.169</w:t>
                  </w:r>
                </w:p>
              </w:tc>
              <w:tc>
                <w:tcPr>
                  <w:tcW w:w="1228" w:type="dxa"/>
                  <w:vAlign w:val="center"/>
                </w:tcPr>
                <w:p w14:paraId="3B76D4BB">
                  <w:pPr>
                    <w:jc w:val="center"/>
                    <w:rPr>
                      <w:color w:val="auto"/>
                      <w:szCs w:val="21"/>
                    </w:rPr>
                  </w:pPr>
                  <w:r>
                    <w:rPr>
                      <w:color w:val="auto"/>
                      <w:szCs w:val="21"/>
                    </w:rPr>
                    <w:t>—</w:t>
                  </w:r>
                </w:p>
              </w:tc>
              <w:tc>
                <w:tcPr>
                  <w:tcW w:w="624" w:type="dxa"/>
                  <w:vAlign w:val="center"/>
                </w:tcPr>
                <w:p w14:paraId="58CBE891">
                  <w:pPr>
                    <w:jc w:val="center"/>
                    <w:rPr>
                      <w:color w:val="auto"/>
                      <w:szCs w:val="21"/>
                    </w:rPr>
                  </w:pPr>
                  <w:r>
                    <w:rPr>
                      <w:color w:val="auto"/>
                      <w:szCs w:val="21"/>
                    </w:rPr>
                    <w:t>—</w:t>
                  </w:r>
                </w:p>
              </w:tc>
            </w:tr>
            <w:tr w14:paraId="3A4F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388" w:type="dxa"/>
                  <w:vMerge w:val="restart"/>
                  <w:vAlign w:val="center"/>
                </w:tcPr>
                <w:p w14:paraId="75680A56">
                  <w:pPr>
                    <w:jc w:val="center"/>
                    <w:rPr>
                      <w:color w:val="auto"/>
                      <w:szCs w:val="21"/>
                    </w:rPr>
                  </w:pPr>
                  <w:r>
                    <w:rPr>
                      <w:rFonts w:hint="eastAsia"/>
                      <w:color w:val="auto"/>
                      <w:szCs w:val="21"/>
                    </w:rPr>
                    <w:t>污水处理站出水2774</w:t>
                  </w:r>
                  <w:r>
                    <w:rPr>
                      <w:color w:val="auto"/>
                      <w:szCs w:val="21"/>
                    </w:rPr>
                    <w:t>t/a</w:t>
                  </w:r>
                </w:p>
              </w:tc>
              <w:tc>
                <w:tcPr>
                  <w:tcW w:w="975" w:type="dxa"/>
                  <w:vAlign w:val="center"/>
                </w:tcPr>
                <w:p w14:paraId="33616B72">
                  <w:pPr>
                    <w:jc w:val="center"/>
                    <w:rPr>
                      <w:color w:val="auto"/>
                      <w:szCs w:val="21"/>
                    </w:rPr>
                  </w:pPr>
                  <w:r>
                    <w:rPr>
                      <w:color w:val="auto"/>
                      <w:szCs w:val="21"/>
                    </w:rPr>
                    <w:t>排放浓度mg/L</w:t>
                  </w:r>
                </w:p>
              </w:tc>
              <w:tc>
                <w:tcPr>
                  <w:tcW w:w="664" w:type="dxa"/>
                  <w:vAlign w:val="center"/>
                </w:tcPr>
                <w:p w14:paraId="3B63C4F6">
                  <w:pPr>
                    <w:jc w:val="center"/>
                    <w:rPr>
                      <w:color w:val="auto"/>
                      <w:szCs w:val="21"/>
                    </w:rPr>
                  </w:pPr>
                  <w:r>
                    <w:rPr>
                      <w:rFonts w:hint="eastAsia"/>
                      <w:color w:val="auto"/>
                      <w:szCs w:val="21"/>
                    </w:rPr>
                    <w:t>6.95</w:t>
                  </w:r>
                </w:p>
              </w:tc>
              <w:tc>
                <w:tcPr>
                  <w:tcW w:w="814" w:type="dxa"/>
                  <w:vAlign w:val="center"/>
                </w:tcPr>
                <w:p w14:paraId="7D87F551">
                  <w:pPr>
                    <w:jc w:val="center"/>
                    <w:rPr>
                      <w:color w:val="auto"/>
                      <w:szCs w:val="21"/>
                    </w:rPr>
                  </w:pPr>
                  <w:r>
                    <w:rPr>
                      <w:rFonts w:hint="eastAsia"/>
                      <w:color w:val="auto"/>
                      <w:szCs w:val="21"/>
                    </w:rPr>
                    <w:t>22</w:t>
                  </w:r>
                </w:p>
              </w:tc>
              <w:tc>
                <w:tcPr>
                  <w:tcW w:w="769" w:type="dxa"/>
                  <w:vAlign w:val="center"/>
                </w:tcPr>
                <w:p w14:paraId="63DB3077">
                  <w:pPr>
                    <w:jc w:val="center"/>
                    <w:rPr>
                      <w:color w:val="auto"/>
                      <w:szCs w:val="21"/>
                    </w:rPr>
                  </w:pPr>
                  <w:r>
                    <w:rPr>
                      <w:rFonts w:hint="eastAsia"/>
                      <w:color w:val="auto"/>
                      <w:szCs w:val="21"/>
                    </w:rPr>
                    <w:t>4.2</w:t>
                  </w:r>
                </w:p>
              </w:tc>
              <w:tc>
                <w:tcPr>
                  <w:tcW w:w="759" w:type="dxa"/>
                  <w:vAlign w:val="center"/>
                </w:tcPr>
                <w:p w14:paraId="6ADF31CD">
                  <w:pPr>
                    <w:jc w:val="center"/>
                    <w:rPr>
                      <w:color w:val="auto"/>
                      <w:szCs w:val="21"/>
                    </w:rPr>
                  </w:pPr>
                  <w:r>
                    <w:rPr>
                      <w:rFonts w:hint="eastAsia"/>
                      <w:color w:val="auto"/>
                      <w:szCs w:val="21"/>
                    </w:rPr>
                    <w:t>9.17</w:t>
                  </w:r>
                </w:p>
              </w:tc>
              <w:tc>
                <w:tcPr>
                  <w:tcW w:w="938" w:type="dxa"/>
                  <w:vAlign w:val="center"/>
                </w:tcPr>
                <w:p w14:paraId="0F8666E2">
                  <w:pPr>
                    <w:jc w:val="center"/>
                    <w:rPr>
                      <w:color w:val="auto"/>
                      <w:szCs w:val="21"/>
                    </w:rPr>
                  </w:pPr>
                  <w:r>
                    <w:rPr>
                      <w:rFonts w:hint="eastAsia"/>
                      <w:color w:val="auto"/>
                      <w:szCs w:val="21"/>
                    </w:rPr>
                    <w:t>41.63</w:t>
                  </w:r>
                </w:p>
              </w:tc>
              <w:tc>
                <w:tcPr>
                  <w:tcW w:w="1228" w:type="dxa"/>
                  <w:vAlign w:val="center"/>
                </w:tcPr>
                <w:p w14:paraId="3225A4AC">
                  <w:pPr>
                    <w:jc w:val="center"/>
                    <w:rPr>
                      <w:color w:val="auto"/>
                      <w:szCs w:val="21"/>
                    </w:rPr>
                  </w:pPr>
                  <w:r>
                    <w:rPr>
                      <w:rFonts w:hint="eastAsia"/>
                      <w:color w:val="auto"/>
                      <w:szCs w:val="21"/>
                    </w:rPr>
                    <w:t>130</w:t>
                  </w:r>
                </w:p>
              </w:tc>
              <w:tc>
                <w:tcPr>
                  <w:tcW w:w="624" w:type="dxa"/>
                  <w:vAlign w:val="center"/>
                </w:tcPr>
                <w:p w14:paraId="692B39A4">
                  <w:pPr>
                    <w:jc w:val="center"/>
                    <w:rPr>
                      <w:color w:val="auto"/>
                      <w:szCs w:val="21"/>
                    </w:rPr>
                  </w:pPr>
                  <w:r>
                    <w:rPr>
                      <w:rFonts w:hint="eastAsia"/>
                      <w:color w:val="auto"/>
                      <w:szCs w:val="21"/>
                    </w:rPr>
                    <w:t>1.20</w:t>
                  </w:r>
                </w:p>
              </w:tc>
            </w:tr>
            <w:tr w14:paraId="08B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0CD64748">
                  <w:pPr>
                    <w:jc w:val="center"/>
                    <w:rPr>
                      <w:color w:val="auto"/>
                      <w:szCs w:val="21"/>
                    </w:rPr>
                  </w:pPr>
                </w:p>
              </w:tc>
              <w:tc>
                <w:tcPr>
                  <w:tcW w:w="975" w:type="dxa"/>
                  <w:vAlign w:val="center"/>
                </w:tcPr>
                <w:p w14:paraId="1379579F">
                  <w:pPr>
                    <w:jc w:val="center"/>
                    <w:rPr>
                      <w:color w:val="auto"/>
                      <w:szCs w:val="21"/>
                    </w:rPr>
                  </w:pPr>
                  <w:r>
                    <w:rPr>
                      <w:color w:val="auto"/>
                      <w:szCs w:val="21"/>
                    </w:rPr>
                    <w:t>排放量t/a</w:t>
                  </w:r>
                </w:p>
              </w:tc>
              <w:tc>
                <w:tcPr>
                  <w:tcW w:w="664" w:type="dxa"/>
                  <w:vAlign w:val="center"/>
                </w:tcPr>
                <w:p w14:paraId="312326A9">
                  <w:pPr>
                    <w:jc w:val="center"/>
                    <w:rPr>
                      <w:color w:val="auto"/>
                      <w:szCs w:val="21"/>
                    </w:rPr>
                  </w:pPr>
                  <w:r>
                    <w:rPr>
                      <w:color w:val="auto"/>
                      <w:szCs w:val="21"/>
                    </w:rPr>
                    <w:t>—</w:t>
                  </w:r>
                </w:p>
              </w:tc>
              <w:tc>
                <w:tcPr>
                  <w:tcW w:w="814" w:type="dxa"/>
                  <w:vAlign w:val="center"/>
                </w:tcPr>
                <w:p w14:paraId="2C8EE834">
                  <w:pPr>
                    <w:jc w:val="center"/>
                    <w:rPr>
                      <w:b/>
                      <w:bCs/>
                      <w:color w:val="auto"/>
                      <w:szCs w:val="21"/>
                    </w:rPr>
                  </w:pPr>
                  <w:r>
                    <w:rPr>
                      <w:rFonts w:hint="eastAsia"/>
                      <w:color w:val="auto"/>
                      <w:szCs w:val="21"/>
                    </w:rPr>
                    <w:t>0.061</w:t>
                  </w:r>
                </w:p>
              </w:tc>
              <w:tc>
                <w:tcPr>
                  <w:tcW w:w="769" w:type="dxa"/>
                  <w:vAlign w:val="center"/>
                </w:tcPr>
                <w:p w14:paraId="016EDF52">
                  <w:pPr>
                    <w:jc w:val="center"/>
                    <w:rPr>
                      <w:b/>
                      <w:bCs/>
                      <w:color w:val="auto"/>
                    </w:rPr>
                  </w:pPr>
                  <w:r>
                    <w:rPr>
                      <w:rFonts w:hint="eastAsia"/>
                      <w:color w:val="auto"/>
                      <w:szCs w:val="21"/>
                    </w:rPr>
                    <w:t>0.012</w:t>
                  </w:r>
                </w:p>
              </w:tc>
              <w:tc>
                <w:tcPr>
                  <w:tcW w:w="759" w:type="dxa"/>
                  <w:vAlign w:val="center"/>
                </w:tcPr>
                <w:p w14:paraId="157A0AC2">
                  <w:pPr>
                    <w:jc w:val="center"/>
                    <w:rPr>
                      <w:b/>
                      <w:bCs/>
                      <w:color w:val="auto"/>
                      <w:szCs w:val="21"/>
                    </w:rPr>
                  </w:pPr>
                  <w:r>
                    <w:rPr>
                      <w:rFonts w:hint="eastAsia"/>
                      <w:color w:val="auto"/>
                      <w:szCs w:val="21"/>
                    </w:rPr>
                    <w:t>0.025</w:t>
                  </w:r>
                </w:p>
              </w:tc>
              <w:tc>
                <w:tcPr>
                  <w:tcW w:w="938" w:type="dxa"/>
                  <w:vAlign w:val="center"/>
                </w:tcPr>
                <w:p w14:paraId="05FB7046">
                  <w:pPr>
                    <w:jc w:val="center"/>
                    <w:rPr>
                      <w:b/>
                      <w:bCs/>
                      <w:color w:val="auto"/>
                      <w:szCs w:val="21"/>
                    </w:rPr>
                  </w:pPr>
                  <w:r>
                    <w:rPr>
                      <w:rFonts w:hint="eastAsia"/>
                      <w:color w:val="auto"/>
                      <w:szCs w:val="21"/>
                    </w:rPr>
                    <w:t>0.115</w:t>
                  </w:r>
                </w:p>
              </w:tc>
              <w:tc>
                <w:tcPr>
                  <w:tcW w:w="1228" w:type="dxa"/>
                  <w:vAlign w:val="center"/>
                </w:tcPr>
                <w:p w14:paraId="1A0EEA76">
                  <w:pPr>
                    <w:jc w:val="center"/>
                    <w:rPr>
                      <w:color w:val="auto"/>
                      <w:szCs w:val="21"/>
                    </w:rPr>
                  </w:pPr>
                  <w:r>
                    <w:rPr>
                      <w:color w:val="auto"/>
                      <w:szCs w:val="21"/>
                    </w:rPr>
                    <w:t>—</w:t>
                  </w:r>
                </w:p>
              </w:tc>
              <w:tc>
                <w:tcPr>
                  <w:tcW w:w="624" w:type="dxa"/>
                  <w:vAlign w:val="center"/>
                </w:tcPr>
                <w:p w14:paraId="49457577">
                  <w:pPr>
                    <w:jc w:val="center"/>
                    <w:rPr>
                      <w:color w:val="auto"/>
                      <w:szCs w:val="21"/>
                    </w:rPr>
                  </w:pPr>
                  <w:r>
                    <w:rPr>
                      <w:color w:val="auto"/>
                      <w:szCs w:val="21"/>
                    </w:rPr>
                    <w:t>—</w:t>
                  </w:r>
                </w:p>
              </w:tc>
            </w:tr>
            <w:tr w14:paraId="5181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1BE6D206">
                  <w:pPr>
                    <w:jc w:val="center"/>
                    <w:rPr>
                      <w:color w:val="auto"/>
                      <w:szCs w:val="21"/>
                    </w:rPr>
                  </w:pPr>
                  <w:r>
                    <w:rPr>
                      <w:rFonts w:hint="eastAsia" w:ascii="宋体" w:hAnsi="宋体" w:cs="宋体"/>
                      <w:color w:val="auto"/>
                      <w:szCs w:val="21"/>
                    </w:rPr>
                    <w:t>《医疗机构水污染物排放标准》（GB18466-2005）表2预处理标准及《污水排入城镇下水道水质标准》（GB/T31962-2015）表1B等级标准较严值</w:t>
                  </w:r>
                </w:p>
              </w:tc>
              <w:tc>
                <w:tcPr>
                  <w:tcW w:w="664" w:type="dxa"/>
                  <w:vAlign w:val="center"/>
                </w:tcPr>
                <w:p w14:paraId="0113F797">
                  <w:pPr>
                    <w:jc w:val="center"/>
                    <w:rPr>
                      <w:color w:val="auto"/>
                      <w:szCs w:val="21"/>
                    </w:rPr>
                  </w:pPr>
                  <w:r>
                    <w:rPr>
                      <w:rFonts w:hint="eastAsia"/>
                      <w:color w:val="auto"/>
                      <w:szCs w:val="21"/>
                    </w:rPr>
                    <w:t>6-9</w:t>
                  </w:r>
                </w:p>
              </w:tc>
              <w:tc>
                <w:tcPr>
                  <w:tcW w:w="814" w:type="dxa"/>
                  <w:vAlign w:val="center"/>
                </w:tcPr>
                <w:p w14:paraId="760E134D">
                  <w:pPr>
                    <w:jc w:val="center"/>
                    <w:rPr>
                      <w:color w:val="auto"/>
                      <w:szCs w:val="21"/>
                    </w:rPr>
                  </w:pPr>
                  <w:r>
                    <w:rPr>
                      <w:rFonts w:hint="eastAsia"/>
                      <w:color w:val="auto"/>
                      <w:szCs w:val="21"/>
                    </w:rPr>
                    <w:t>250</w:t>
                  </w:r>
                </w:p>
              </w:tc>
              <w:tc>
                <w:tcPr>
                  <w:tcW w:w="769" w:type="dxa"/>
                  <w:vAlign w:val="center"/>
                </w:tcPr>
                <w:p w14:paraId="15075AB3">
                  <w:pPr>
                    <w:jc w:val="center"/>
                    <w:rPr>
                      <w:color w:val="auto"/>
                      <w:szCs w:val="21"/>
                    </w:rPr>
                  </w:pPr>
                  <w:r>
                    <w:rPr>
                      <w:rFonts w:hint="eastAsia"/>
                      <w:color w:val="auto"/>
                      <w:szCs w:val="21"/>
                    </w:rPr>
                    <w:t>100</w:t>
                  </w:r>
                </w:p>
              </w:tc>
              <w:tc>
                <w:tcPr>
                  <w:tcW w:w="759" w:type="dxa"/>
                  <w:vAlign w:val="center"/>
                </w:tcPr>
                <w:p w14:paraId="562F4F6E">
                  <w:pPr>
                    <w:jc w:val="center"/>
                    <w:rPr>
                      <w:color w:val="auto"/>
                      <w:szCs w:val="21"/>
                    </w:rPr>
                  </w:pPr>
                  <w:r>
                    <w:rPr>
                      <w:rFonts w:hint="eastAsia"/>
                      <w:color w:val="auto"/>
                      <w:szCs w:val="21"/>
                    </w:rPr>
                    <w:t>60</w:t>
                  </w:r>
                </w:p>
              </w:tc>
              <w:tc>
                <w:tcPr>
                  <w:tcW w:w="938" w:type="dxa"/>
                  <w:vAlign w:val="center"/>
                </w:tcPr>
                <w:p w14:paraId="700716F5">
                  <w:pPr>
                    <w:jc w:val="center"/>
                    <w:rPr>
                      <w:color w:val="auto"/>
                      <w:szCs w:val="21"/>
                    </w:rPr>
                  </w:pPr>
                  <w:r>
                    <w:rPr>
                      <w:rFonts w:hint="eastAsia"/>
                      <w:color w:val="auto"/>
                      <w:szCs w:val="21"/>
                    </w:rPr>
                    <w:t>45</w:t>
                  </w:r>
                </w:p>
              </w:tc>
              <w:tc>
                <w:tcPr>
                  <w:tcW w:w="1228" w:type="dxa"/>
                  <w:vAlign w:val="center"/>
                </w:tcPr>
                <w:p w14:paraId="5B08B9B3">
                  <w:pPr>
                    <w:jc w:val="center"/>
                    <w:rPr>
                      <w:color w:val="auto"/>
                      <w:szCs w:val="21"/>
                    </w:rPr>
                  </w:pPr>
                  <w:r>
                    <w:rPr>
                      <w:rFonts w:hint="eastAsia"/>
                      <w:color w:val="auto"/>
                      <w:szCs w:val="21"/>
                    </w:rPr>
                    <w:t>5000</w:t>
                  </w:r>
                </w:p>
              </w:tc>
              <w:tc>
                <w:tcPr>
                  <w:tcW w:w="624" w:type="dxa"/>
                  <w:vAlign w:val="center"/>
                </w:tcPr>
                <w:p w14:paraId="78C8FC3D">
                  <w:pPr>
                    <w:jc w:val="center"/>
                    <w:rPr>
                      <w:color w:val="auto"/>
                      <w:szCs w:val="21"/>
                    </w:rPr>
                  </w:pPr>
                  <w:r>
                    <w:rPr>
                      <w:color w:val="auto"/>
                      <w:szCs w:val="21"/>
                    </w:rPr>
                    <w:t>—</w:t>
                  </w:r>
                </w:p>
              </w:tc>
            </w:tr>
            <w:tr w14:paraId="70BB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75C263D7">
                  <w:pPr>
                    <w:jc w:val="center"/>
                    <w:rPr>
                      <w:rFonts w:hint="eastAsia" w:ascii="宋体" w:hAnsi="宋体" w:cs="宋体"/>
                      <w:color w:val="auto"/>
                      <w:szCs w:val="21"/>
                    </w:rPr>
                  </w:pPr>
                  <w:r>
                    <w:rPr>
                      <w:rFonts w:hint="eastAsia" w:ascii="宋体" w:hAnsi="宋体" w:cs="宋体"/>
                      <w:color w:val="auto"/>
                      <w:szCs w:val="21"/>
                    </w:rPr>
                    <w:t>是否达标</w:t>
                  </w:r>
                </w:p>
              </w:tc>
              <w:tc>
                <w:tcPr>
                  <w:tcW w:w="664" w:type="dxa"/>
                  <w:vAlign w:val="center"/>
                </w:tcPr>
                <w:p w14:paraId="3D7D1C0D">
                  <w:pPr>
                    <w:jc w:val="center"/>
                    <w:rPr>
                      <w:color w:val="auto"/>
                      <w:szCs w:val="21"/>
                    </w:rPr>
                  </w:pPr>
                  <w:r>
                    <w:rPr>
                      <w:rFonts w:hint="eastAsia"/>
                      <w:color w:val="auto"/>
                      <w:szCs w:val="21"/>
                    </w:rPr>
                    <w:t>达标</w:t>
                  </w:r>
                </w:p>
              </w:tc>
              <w:tc>
                <w:tcPr>
                  <w:tcW w:w="814" w:type="dxa"/>
                  <w:vAlign w:val="center"/>
                </w:tcPr>
                <w:p w14:paraId="03A9FCC3">
                  <w:pPr>
                    <w:jc w:val="center"/>
                    <w:rPr>
                      <w:color w:val="auto"/>
                      <w:szCs w:val="21"/>
                    </w:rPr>
                  </w:pPr>
                  <w:r>
                    <w:rPr>
                      <w:rFonts w:hint="eastAsia"/>
                      <w:color w:val="auto"/>
                      <w:szCs w:val="21"/>
                    </w:rPr>
                    <w:t>达标</w:t>
                  </w:r>
                </w:p>
              </w:tc>
              <w:tc>
                <w:tcPr>
                  <w:tcW w:w="769" w:type="dxa"/>
                  <w:vAlign w:val="center"/>
                </w:tcPr>
                <w:p w14:paraId="2B5276BE">
                  <w:pPr>
                    <w:jc w:val="center"/>
                    <w:rPr>
                      <w:color w:val="auto"/>
                      <w:szCs w:val="21"/>
                    </w:rPr>
                  </w:pPr>
                  <w:r>
                    <w:rPr>
                      <w:rFonts w:hint="eastAsia"/>
                      <w:color w:val="auto"/>
                      <w:szCs w:val="21"/>
                    </w:rPr>
                    <w:t>达标</w:t>
                  </w:r>
                </w:p>
              </w:tc>
              <w:tc>
                <w:tcPr>
                  <w:tcW w:w="759" w:type="dxa"/>
                  <w:vAlign w:val="center"/>
                </w:tcPr>
                <w:p w14:paraId="15A22FD1">
                  <w:pPr>
                    <w:jc w:val="center"/>
                    <w:rPr>
                      <w:color w:val="auto"/>
                      <w:szCs w:val="21"/>
                    </w:rPr>
                  </w:pPr>
                  <w:r>
                    <w:rPr>
                      <w:rFonts w:hint="eastAsia"/>
                      <w:color w:val="auto"/>
                      <w:szCs w:val="21"/>
                    </w:rPr>
                    <w:t>达标</w:t>
                  </w:r>
                </w:p>
              </w:tc>
              <w:tc>
                <w:tcPr>
                  <w:tcW w:w="938" w:type="dxa"/>
                  <w:vAlign w:val="center"/>
                </w:tcPr>
                <w:p w14:paraId="0A1121C5">
                  <w:pPr>
                    <w:jc w:val="center"/>
                    <w:rPr>
                      <w:color w:val="auto"/>
                      <w:szCs w:val="21"/>
                    </w:rPr>
                  </w:pPr>
                  <w:r>
                    <w:rPr>
                      <w:rFonts w:hint="eastAsia"/>
                      <w:color w:val="auto"/>
                      <w:szCs w:val="21"/>
                    </w:rPr>
                    <w:t>达标</w:t>
                  </w:r>
                </w:p>
              </w:tc>
              <w:tc>
                <w:tcPr>
                  <w:tcW w:w="1228" w:type="dxa"/>
                  <w:vAlign w:val="center"/>
                </w:tcPr>
                <w:p w14:paraId="4E4948EC">
                  <w:pPr>
                    <w:jc w:val="center"/>
                    <w:rPr>
                      <w:color w:val="auto"/>
                      <w:szCs w:val="21"/>
                    </w:rPr>
                  </w:pPr>
                  <w:r>
                    <w:rPr>
                      <w:rFonts w:hint="eastAsia"/>
                      <w:color w:val="auto"/>
                      <w:szCs w:val="21"/>
                    </w:rPr>
                    <w:t>达标</w:t>
                  </w:r>
                </w:p>
              </w:tc>
              <w:tc>
                <w:tcPr>
                  <w:tcW w:w="624" w:type="dxa"/>
                  <w:vAlign w:val="center"/>
                </w:tcPr>
                <w:p w14:paraId="6C7F7513">
                  <w:pPr>
                    <w:jc w:val="center"/>
                    <w:rPr>
                      <w:color w:val="auto"/>
                      <w:szCs w:val="21"/>
                    </w:rPr>
                  </w:pPr>
                  <w:r>
                    <w:rPr>
                      <w:rFonts w:hint="eastAsia"/>
                      <w:color w:val="auto"/>
                      <w:szCs w:val="21"/>
                    </w:rPr>
                    <w:t>-</w:t>
                  </w:r>
                </w:p>
              </w:tc>
            </w:tr>
          </w:tbl>
          <w:p w14:paraId="5E03D4FC">
            <w:pPr>
              <w:widowControl/>
              <w:spacing w:line="360" w:lineRule="auto"/>
              <w:ind w:firstLine="480" w:firstLineChars="200"/>
              <w:jc w:val="left"/>
              <w:rPr>
                <w:color w:val="auto"/>
                <w:sz w:val="24"/>
              </w:rPr>
            </w:pPr>
            <w:r>
              <w:rPr>
                <w:rFonts w:hint="eastAsia"/>
                <w:color w:val="auto"/>
                <w:sz w:val="24"/>
              </w:rPr>
              <w:t>纳古卫生院</w:t>
            </w:r>
            <w:r>
              <w:rPr>
                <w:color w:val="auto"/>
                <w:sz w:val="24"/>
              </w:rPr>
              <w:t>实行雨污分流制，雨水经院内雨水沟排入</w:t>
            </w:r>
            <w:r>
              <w:rPr>
                <w:rFonts w:hint="eastAsia"/>
                <w:color w:val="auto"/>
                <w:sz w:val="24"/>
              </w:rPr>
              <w:t>院外雨水沟。纳古卫生院现有项目</w:t>
            </w:r>
            <w:r>
              <w:rPr>
                <w:color w:val="auto"/>
                <w:sz w:val="24"/>
              </w:rPr>
              <w:t>医疗废水（其中化验室产生的特殊性废水经单独收集并进行处理后）与</w:t>
            </w:r>
            <w:r>
              <w:rPr>
                <w:rFonts w:hint="eastAsia"/>
                <w:color w:val="auto"/>
                <w:sz w:val="24"/>
              </w:rPr>
              <w:t>生活污水</w:t>
            </w:r>
            <w:r>
              <w:rPr>
                <w:color w:val="auto"/>
                <w:sz w:val="24"/>
              </w:rPr>
              <w:t>经化粪池处理后进入</w:t>
            </w:r>
            <w:r>
              <w:rPr>
                <w:rFonts w:hint="eastAsia"/>
                <w:color w:val="auto"/>
                <w:sz w:val="24"/>
              </w:rPr>
              <w:t>卫生院内</w:t>
            </w:r>
            <w:r>
              <w:rPr>
                <w:color w:val="auto"/>
                <w:sz w:val="24"/>
              </w:rPr>
              <w:t>的污水</w:t>
            </w:r>
            <w:r>
              <w:rPr>
                <w:rFonts w:hint="eastAsia"/>
                <w:color w:val="auto"/>
                <w:sz w:val="24"/>
              </w:rPr>
              <w:t>处理设施，</w:t>
            </w:r>
            <w:r>
              <w:rPr>
                <w:color w:val="auto"/>
                <w:sz w:val="24"/>
              </w:rPr>
              <w:t>所有废水</w:t>
            </w:r>
            <w:r>
              <w:rPr>
                <w:rFonts w:hint="eastAsia"/>
                <w:color w:val="auto"/>
                <w:sz w:val="24"/>
              </w:rPr>
              <w:t>采用“格栅+沉淀调节池+厌氧池+生物接触氧化池+斜管沉淀池+过滤池+接触氧化池”工艺处理</w:t>
            </w:r>
            <w:r>
              <w:rPr>
                <w:color w:val="auto"/>
                <w:sz w:val="24"/>
              </w:rPr>
              <w:t>后</w:t>
            </w:r>
            <w:r>
              <w:rPr>
                <w:rFonts w:hint="eastAsia"/>
                <w:color w:val="auto"/>
                <w:sz w:val="24"/>
              </w:rPr>
              <w:t>外排进入市政污水管网，最终进入纳古镇污水处理厂处理。根据监测结果可知，纳古卫生院污水处理站出水水质能满足《医疗机构水污染物排放标准》（GB18466-2005）表2预处理标准及《污水排入城镇下水道水质标准》（GB/T31962-2015）表1B等级标准较严值。污水经污水处理站达标处理</w:t>
            </w:r>
            <w:r>
              <w:rPr>
                <w:color w:val="auto"/>
                <w:sz w:val="24"/>
              </w:rPr>
              <w:t>后</w:t>
            </w:r>
            <w:r>
              <w:rPr>
                <w:rFonts w:hint="eastAsia"/>
                <w:color w:val="auto"/>
                <w:sz w:val="24"/>
              </w:rPr>
              <w:t>外排进入市政污水管网，最终进入纳古镇污水处理厂处理。</w:t>
            </w:r>
          </w:p>
          <w:p w14:paraId="540EBB9C">
            <w:pPr>
              <w:spacing w:line="360" w:lineRule="auto"/>
              <w:ind w:firstLine="480"/>
              <w:rPr>
                <w:color w:val="auto"/>
                <w:sz w:val="24"/>
              </w:rPr>
            </w:pPr>
            <w:r>
              <w:rPr>
                <w:rFonts w:hint="eastAsia"/>
                <w:color w:val="auto"/>
                <w:sz w:val="24"/>
              </w:rPr>
              <w:t>c、四街卫生院现有废水排放量核算</w:t>
            </w:r>
          </w:p>
          <w:p w14:paraId="5440375F">
            <w:pPr>
              <w:widowControl/>
              <w:spacing w:line="360" w:lineRule="auto"/>
              <w:ind w:firstLine="480" w:firstLineChars="200"/>
              <w:jc w:val="left"/>
              <w:rPr>
                <w:color w:val="auto"/>
                <w:sz w:val="24"/>
              </w:rPr>
            </w:pPr>
            <w:r>
              <w:rPr>
                <w:rFonts w:hint="eastAsia"/>
                <w:color w:val="auto"/>
                <w:sz w:val="24"/>
              </w:rPr>
              <w:t>四街卫生院地处通海县第二污水处理厂纳污范围内，且市政污水管网已贯通。根据</w:t>
            </w:r>
            <w:bookmarkStart w:id="46" w:name="_Hlk192169446"/>
            <w:r>
              <w:rPr>
                <w:rFonts w:hint="eastAsia"/>
                <w:color w:val="auto"/>
                <w:sz w:val="24"/>
              </w:rPr>
              <w:t>2024年11月，云南科环环境工程咨询有限公司</w:t>
            </w:r>
            <w:bookmarkEnd w:id="46"/>
            <w:r>
              <w:rPr>
                <w:rFonts w:hint="eastAsia"/>
                <w:color w:val="auto"/>
                <w:sz w:val="24"/>
              </w:rPr>
              <w:t>对通海县四街卫生院污水总排放口排放水的检测结果，四街卫生院现有项目废水污染物排放情况</w:t>
            </w:r>
            <w:r>
              <w:rPr>
                <w:color w:val="auto"/>
                <w:sz w:val="24"/>
              </w:rPr>
              <w:t>如下表所示。</w:t>
            </w:r>
          </w:p>
          <w:p w14:paraId="3E992056">
            <w:pPr>
              <w:widowControl/>
              <w:spacing w:line="360" w:lineRule="auto"/>
              <w:jc w:val="center"/>
              <w:rPr>
                <w:color w:val="auto"/>
                <w:sz w:val="32"/>
                <w:szCs w:val="32"/>
              </w:rPr>
            </w:pPr>
            <w:r>
              <w:rPr>
                <w:b/>
                <w:color w:val="auto"/>
                <w:sz w:val="24"/>
              </w:rPr>
              <w:t>表</w:t>
            </w:r>
            <w:r>
              <w:rPr>
                <w:rFonts w:hint="eastAsia"/>
                <w:b/>
                <w:color w:val="auto"/>
                <w:sz w:val="24"/>
              </w:rPr>
              <w:t>2</w:t>
            </w:r>
            <w:r>
              <w:rPr>
                <w:b/>
                <w:color w:val="auto"/>
                <w:sz w:val="24"/>
              </w:rPr>
              <w:t>-</w:t>
            </w:r>
            <w:r>
              <w:rPr>
                <w:rFonts w:hint="eastAsia"/>
                <w:b/>
                <w:color w:val="auto"/>
                <w:sz w:val="24"/>
              </w:rPr>
              <w:t>29</w:t>
            </w:r>
            <w:r>
              <w:rPr>
                <w:b/>
                <w:color w:val="auto"/>
                <w:sz w:val="24"/>
              </w:rPr>
              <w:t xml:space="preserve"> </w:t>
            </w:r>
            <w:r>
              <w:rPr>
                <w:rFonts w:hint="eastAsia"/>
                <w:b/>
                <w:color w:val="auto"/>
                <w:sz w:val="24"/>
              </w:rPr>
              <w:t>现有项目（四街卫生院）</w:t>
            </w:r>
            <w:r>
              <w:rPr>
                <w:b/>
                <w:color w:val="auto"/>
                <w:sz w:val="24"/>
              </w:rPr>
              <w:t>污水及污染物产排情况一览表</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75"/>
              <w:gridCol w:w="664"/>
              <w:gridCol w:w="814"/>
              <w:gridCol w:w="769"/>
              <w:gridCol w:w="759"/>
              <w:gridCol w:w="938"/>
              <w:gridCol w:w="1228"/>
              <w:gridCol w:w="624"/>
            </w:tblGrid>
            <w:tr w14:paraId="3D85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363" w:type="dxa"/>
                  <w:gridSpan w:val="2"/>
                  <w:vMerge w:val="restart"/>
                  <w:vAlign w:val="center"/>
                </w:tcPr>
                <w:p w14:paraId="137A6181">
                  <w:pPr>
                    <w:jc w:val="center"/>
                    <w:rPr>
                      <w:b/>
                      <w:color w:val="auto"/>
                      <w:szCs w:val="21"/>
                    </w:rPr>
                  </w:pPr>
                  <w:r>
                    <w:rPr>
                      <w:b/>
                      <w:color w:val="auto"/>
                      <w:szCs w:val="21"/>
                    </w:rPr>
                    <w:t>指标</w:t>
                  </w:r>
                </w:p>
              </w:tc>
              <w:tc>
                <w:tcPr>
                  <w:tcW w:w="5796" w:type="dxa"/>
                  <w:gridSpan w:val="7"/>
                </w:tcPr>
                <w:p w14:paraId="58FB58AB">
                  <w:pPr>
                    <w:jc w:val="center"/>
                    <w:rPr>
                      <w:b/>
                      <w:color w:val="auto"/>
                      <w:szCs w:val="21"/>
                    </w:rPr>
                  </w:pPr>
                  <w:r>
                    <w:rPr>
                      <w:b/>
                      <w:color w:val="auto"/>
                      <w:szCs w:val="21"/>
                    </w:rPr>
                    <w:t>主要污染物名称</w:t>
                  </w:r>
                </w:p>
              </w:tc>
            </w:tr>
            <w:tr w14:paraId="0552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363" w:type="dxa"/>
                  <w:gridSpan w:val="2"/>
                  <w:vMerge w:val="continue"/>
                  <w:vAlign w:val="center"/>
                </w:tcPr>
                <w:p w14:paraId="472EF0F9">
                  <w:pPr>
                    <w:jc w:val="center"/>
                    <w:rPr>
                      <w:color w:val="auto"/>
                      <w:szCs w:val="21"/>
                    </w:rPr>
                  </w:pPr>
                </w:p>
              </w:tc>
              <w:tc>
                <w:tcPr>
                  <w:tcW w:w="664" w:type="dxa"/>
                  <w:vAlign w:val="center"/>
                </w:tcPr>
                <w:p w14:paraId="6EDF629C">
                  <w:pPr>
                    <w:jc w:val="center"/>
                    <w:rPr>
                      <w:b/>
                      <w:color w:val="auto"/>
                      <w:szCs w:val="21"/>
                    </w:rPr>
                  </w:pPr>
                  <w:r>
                    <w:rPr>
                      <w:rFonts w:hint="eastAsia"/>
                      <w:b/>
                      <w:color w:val="auto"/>
                      <w:szCs w:val="21"/>
                    </w:rPr>
                    <w:t>PH</w:t>
                  </w:r>
                </w:p>
              </w:tc>
              <w:tc>
                <w:tcPr>
                  <w:tcW w:w="814" w:type="dxa"/>
                  <w:vAlign w:val="center"/>
                </w:tcPr>
                <w:p w14:paraId="0AD6F8EE">
                  <w:pPr>
                    <w:jc w:val="center"/>
                    <w:rPr>
                      <w:b/>
                      <w:color w:val="auto"/>
                      <w:szCs w:val="21"/>
                    </w:rPr>
                  </w:pPr>
                  <w:r>
                    <w:rPr>
                      <w:b/>
                      <w:color w:val="auto"/>
                      <w:szCs w:val="21"/>
                    </w:rPr>
                    <w:t>COD</w:t>
                  </w:r>
                </w:p>
              </w:tc>
              <w:tc>
                <w:tcPr>
                  <w:tcW w:w="769" w:type="dxa"/>
                  <w:vAlign w:val="center"/>
                </w:tcPr>
                <w:p w14:paraId="7418787B">
                  <w:pPr>
                    <w:jc w:val="center"/>
                    <w:rPr>
                      <w:b/>
                      <w:color w:val="auto"/>
                      <w:szCs w:val="21"/>
                    </w:rPr>
                  </w:pPr>
                  <w:r>
                    <w:rPr>
                      <w:b/>
                      <w:color w:val="auto"/>
                      <w:szCs w:val="21"/>
                    </w:rPr>
                    <w:t>BOD</w:t>
                  </w:r>
                  <w:r>
                    <w:rPr>
                      <w:b/>
                      <w:color w:val="auto"/>
                      <w:szCs w:val="21"/>
                      <w:vertAlign w:val="subscript"/>
                    </w:rPr>
                    <w:t>5</w:t>
                  </w:r>
                </w:p>
              </w:tc>
              <w:tc>
                <w:tcPr>
                  <w:tcW w:w="759" w:type="dxa"/>
                  <w:vAlign w:val="center"/>
                </w:tcPr>
                <w:p w14:paraId="69D30576">
                  <w:pPr>
                    <w:jc w:val="center"/>
                    <w:rPr>
                      <w:b/>
                      <w:color w:val="auto"/>
                      <w:szCs w:val="21"/>
                    </w:rPr>
                  </w:pPr>
                  <w:r>
                    <w:rPr>
                      <w:b/>
                      <w:color w:val="auto"/>
                      <w:szCs w:val="21"/>
                    </w:rPr>
                    <w:t>SS</w:t>
                  </w:r>
                </w:p>
              </w:tc>
              <w:tc>
                <w:tcPr>
                  <w:tcW w:w="938" w:type="dxa"/>
                  <w:vAlign w:val="center"/>
                </w:tcPr>
                <w:p w14:paraId="5F856698">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228" w:type="dxa"/>
                  <w:vAlign w:val="center"/>
                </w:tcPr>
                <w:p w14:paraId="1BBDB02F">
                  <w:pPr>
                    <w:jc w:val="center"/>
                    <w:rPr>
                      <w:b/>
                      <w:color w:val="auto"/>
                    </w:rPr>
                  </w:pPr>
                  <w:r>
                    <w:rPr>
                      <w:b/>
                      <w:color w:val="auto"/>
                    </w:rPr>
                    <w:t>粪大肠菌群数</w:t>
                  </w:r>
                  <w:r>
                    <w:rPr>
                      <w:rFonts w:hint="eastAsia"/>
                      <w:b/>
                      <w:color w:val="auto"/>
                    </w:rPr>
                    <w:t>（</w:t>
                  </w:r>
                  <w:r>
                    <w:rPr>
                      <w:b/>
                      <w:color w:val="auto"/>
                    </w:rPr>
                    <w:t>个/L)</w:t>
                  </w:r>
                </w:p>
              </w:tc>
              <w:tc>
                <w:tcPr>
                  <w:tcW w:w="624" w:type="dxa"/>
                  <w:vAlign w:val="center"/>
                </w:tcPr>
                <w:p w14:paraId="571CC22E">
                  <w:pPr>
                    <w:jc w:val="center"/>
                    <w:rPr>
                      <w:b/>
                      <w:color w:val="auto"/>
                    </w:rPr>
                  </w:pPr>
                  <w:r>
                    <w:rPr>
                      <w:b/>
                      <w:color w:val="auto"/>
                    </w:rPr>
                    <w:t>总余氯</w:t>
                  </w:r>
                </w:p>
              </w:tc>
            </w:tr>
            <w:tr w14:paraId="4B5C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88" w:type="dxa"/>
                  <w:vMerge w:val="restart"/>
                  <w:vAlign w:val="center"/>
                </w:tcPr>
                <w:p w14:paraId="407B11EF">
                  <w:pPr>
                    <w:jc w:val="center"/>
                    <w:rPr>
                      <w:color w:val="auto"/>
                      <w:szCs w:val="21"/>
                    </w:rPr>
                  </w:pPr>
                  <w:r>
                    <w:rPr>
                      <w:rFonts w:hint="eastAsia"/>
                      <w:color w:val="auto"/>
                      <w:szCs w:val="21"/>
                    </w:rPr>
                    <w:t>四街卫生院废水</w:t>
                  </w:r>
                  <w:r>
                    <w:rPr>
                      <w:color w:val="auto"/>
                      <w:szCs w:val="21"/>
                    </w:rPr>
                    <w:t>产生量</w:t>
                  </w:r>
                </w:p>
                <w:p w14:paraId="4C6BE17A">
                  <w:pPr>
                    <w:jc w:val="center"/>
                    <w:rPr>
                      <w:color w:val="auto"/>
                      <w:szCs w:val="21"/>
                    </w:rPr>
                  </w:pPr>
                  <w:r>
                    <w:rPr>
                      <w:rFonts w:hint="eastAsia"/>
                      <w:color w:val="auto"/>
                      <w:szCs w:val="21"/>
                    </w:rPr>
                    <w:t>2764.51</w:t>
                  </w:r>
                  <w:r>
                    <w:rPr>
                      <w:color w:val="auto"/>
                      <w:szCs w:val="21"/>
                    </w:rPr>
                    <w:t>t/a</w:t>
                  </w:r>
                </w:p>
              </w:tc>
              <w:tc>
                <w:tcPr>
                  <w:tcW w:w="975" w:type="dxa"/>
                  <w:vAlign w:val="center"/>
                </w:tcPr>
                <w:p w14:paraId="61B5F57C">
                  <w:pPr>
                    <w:jc w:val="center"/>
                    <w:rPr>
                      <w:color w:val="auto"/>
                      <w:szCs w:val="21"/>
                    </w:rPr>
                  </w:pPr>
                  <w:r>
                    <w:rPr>
                      <w:color w:val="auto"/>
                      <w:szCs w:val="21"/>
                    </w:rPr>
                    <w:t>产生浓度mg/L</w:t>
                  </w:r>
                </w:p>
              </w:tc>
              <w:tc>
                <w:tcPr>
                  <w:tcW w:w="664" w:type="dxa"/>
                  <w:vAlign w:val="center"/>
                </w:tcPr>
                <w:p w14:paraId="1C979308">
                  <w:pPr>
                    <w:jc w:val="center"/>
                    <w:rPr>
                      <w:color w:val="auto"/>
                      <w:szCs w:val="21"/>
                    </w:rPr>
                  </w:pPr>
                  <w:r>
                    <w:rPr>
                      <w:color w:val="auto"/>
                      <w:szCs w:val="21"/>
                    </w:rPr>
                    <w:t>7~8</w:t>
                  </w:r>
                </w:p>
              </w:tc>
              <w:tc>
                <w:tcPr>
                  <w:tcW w:w="814" w:type="dxa"/>
                  <w:vAlign w:val="center"/>
                </w:tcPr>
                <w:p w14:paraId="7DF04C7B">
                  <w:pPr>
                    <w:jc w:val="center"/>
                    <w:rPr>
                      <w:color w:val="auto"/>
                      <w:szCs w:val="21"/>
                    </w:rPr>
                  </w:pPr>
                  <w:r>
                    <w:rPr>
                      <w:rFonts w:hint="eastAsia"/>
                      <w:color w:val="auto"/>
                      <w:szCs w:val="21"/>
                    </w:rPr>
                    <w:t>330</w:t>
                  </w:r>
                </w:p>
              </w:tc>
              <w:tc>
                <w:tcPr>
                  <w:tcW w:w="769" w:type="dxa"/>
                  <w:vAlign w:val="center"/>
                </w:tcPr>
                <w:p w14:paraId="06B2FBD4">
                  <w:pPr>
                    <w:jc w:val="center"/>
                    <w:rPr>
                      <w:color w:val="auto"/>
                      <w:szCs w:val="21"/>
                    </w:rPr>
                  </w:pPr>
                  <w:r>
                    <w:rPr>
                      <w:color w:val="auto"/>
                      <w:szCs w:val="21"/>
                    </w:rPr>
                    <w:t>150</w:t>
                  </w:r>
                </w:p>
              </w:tc>
              <w:tc>
                <w:tcPr>
                  <w:tcW w:w="759" w:type="dxa"/>
                  <w:vAlign w:val="center"/>
                </w:tcPr>
                <w:p w14:paraId="1B73B249">
                  <w:pPr>
                    <w:jc w:val="center"/>
                    <w:rPr>
                      <w:color w:val="auto"/>
                      <w:szCs w:val="21"/>
                    </w:rPr>
                  </w:pPr>
                  <w:r>
                    <w:rPr>
                      <w:color w:val="auto"/>
                      <w:szCs w:val="21"/>
                    </w:rPr>
                    <w:t>120</w:t>
                  </w:r>
                </w:p>
              </w:tc>
              <w:tc>
                <w:tcPr>
                  <w:tcW w:w="938" w:type="dxa"/>
                  <w:vAlign w:val="center"/>
                </w:tcPr>
                <w:p w14:paraId="408B4BD3">
                  <w:pPr>
                    <w:jc w:val="center"/>
                    <w:rPr>
                      <w:color w:val="auto"/>
                      <w:szCs w:val="21"/>
                    </w:rPr>
                  </w:pPr>
                  <w:r>
                    <w:rPr>
                      <w:rFonts w:hint="eastAsia"/>
                      <w:color w:val="auto"/>
                      <w:szCs w:val="21"/>
                    </w:rPr>
                    <w:t>64</w:t>
                  </w:r>
                </w:p>
              </w:tc>
              <w:tc>
                <w:tcPr>
                  <w:tcW w:w="1228" w:type="dxa"/>
                  <w:vAlign w:val="center"/>
                </w:tcPr>
                <w:p w14:paraId="3AE8A50F">
                  <w:pPr>
                    <w:jc w:val="center"/>
                    <w:rPr>
                      <w:color w:val="auto"/>
                      <w:szCs w:val="21"/>
                    </w:rPr>
                  </w:pPr>
                  <w:r>
                    <w:rPr>
                      <w:color w:val="auto"/>
                      <w:szCs w:val="21"/>
                    </w:rPr>
                    <w:t>3.0×10</w:t>
                  </w:r>
                  <w:r>
                    <w:rPr>
                      <w:color w:val="auto"/>
                      <w:szCs w:val="21"/>
                      <w:vertAlign w:val="superscript"/>
                    </w:rPr>
                    <w:t>8</w:t>
                  </w:r>
                </w:p>
              </w:tc>
              <w:tc>
                <w:tcPr>
                  <w:tcW w:w="624" w:type="dxa"/>
                  <w:vAlign w:val="center"/>
                </w:tcPr>
                <w:p w14:paraId="0A110E43">
                  <w:pPr>
                    <w:jc w:val="center"/>
                    <w:rPr>
                      <w:color w:val="auto"/>
                      <w:szCs w:val="21"/>
                    </w:rPr>
                  </w:pPr>
                  <w:r>
                    <w:rPr>
                      <w:color w:val="auto"/>
                      <w:szCs w:val="21"/>
                    </w:rPr>
                    <w:t>—</w:t>
                  </w:r>
                </w:p>
              </w:tc>
            </w:tr>
            <w:tr w14:paraId="2FF7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45982F2E">
                  <w:pPr>
                    <w:jc w:val="center"/>
                    <w:rPr>
                      <w:color w:val="auto"/>
                      <w:szCs w:val="21"/>
                    </w:rPr>
                  </w:pPr>
                </w:p>
              </w:tc>
              <w:tc>
                <w:tcPr>
                  <w:tcW w:w="975" w:type="dxa"/>
                  <w:vAlign w:val="center"/>
                </w:tcPr>
                <w:p w14:paraId="7A56D9CA">
                  <w:pPr>
                    <w:jc w:val="center"/>
                    <w:rPr>
                      <w:color w:val="auto"/>
                      <w:szCs w:val="21"/>
                    </w:rPr>
                  </w:pPr>
                  <w:r>
                    <w:rPr>
                      <w:color w:val="auto"/>
                      <w:szCs w:val="21"/>
                    </w:rPr>
                    <w:t>产生量t/a</w:t>
                  </w:r>
                </w:p>
              </w:tc>
              <w:tc>
                <w:tcPr>
                  <w:tcW w:w="664" w:type="dxa"/>
                  <w:vAlign w:val="center"/>
                </w:tcPr>
                <w:p w14:paraId="70EE11AA">
                  <w:pPr>
                    <w:jc w:val="center"/>
                    <w:rPr>
                      <w:color w:val="auto"/>
                      <w:szCs w:val="21"/>
                    </w:rPr>
                  </w:pPr>
                  <w:r>
                    <w:rPr>
                      <w:color w:val="auto"/>
                      <w:szCs w:val="21"/>
                    </w:rPr>
                    <w:t>—</w:t>
                  </w:r>
                </w:p>
              </w:tc>
              <w:tc>
                <w:tcPr>
                  <w:tcW w:w="814" w:type="dxa"/>
                  <w:vAlign w:val="center"/>
                </w:tcPr>
                <w:p w14:paraId="7828AD8D">
                  <w:pPr>
                    <w:jc w:val="center"/>
                    <w:rPr>
                      <w:color w:val="auto"/>
                      <w:szCs w:val="21"/>
                    </w:rPr>
                  </w:pPr>
                  <w:r>
                    <w:rPr>
                      <w:rFonts w:hint="eastAsia"/>
                      <w:color w:val="auto"/>
                      <w:szCs w:val="21"/>
                    </w:rPr>
                    <w:t>0.912</w:t>
                  </w:r>
                </w:p>
              </w:tc>
              <w:tc>
                <w:tcPr>
                  <w:tcW w:w="769" w:type="dxa"/>
                  <w:vAlign w:val="center"/>
                </w:tcPr>
                <w:p w14:paraId="4B96F1BC">
                  <w:pPr>
                    <w:jc w:val="center"/>
                    <w:rPr>
                      <w:color w:val="auto"/>
                      <w:szCs w:val="21"/>
                    </w:rPr>
                  </w:pPr>
                  <w:r>
                    <w:rPr>
                      <w:rFonts w:hint="eastAsia"/>
                      <w:color w:val="auto"/>
                      <w:szCs w:val="21"/>
                    </w:rPr>
                    <w:t>0.415</w:t>
                  </w:r>
                </w:p>
              </w:tc>
              <w:tc>
                <w:tcPr>
                  <w:tcW w:w="759" w:type="dxa"/>
                  <w:vAlign w:val="center"/>
                </w:tcPr>
                <w:p w14:paraId="78C48858">
                  <w:pPr>
                    <w:jc w:val="center"/>
                    <w:rPr>
                      <w:color w:val="auto"/>
                      <w:szCs w:val="21"/>
                    </w:rPr>
                  </w:pPr>
                  <w:r>
                    <w:rPr>
                      <w:rFonts w:hint="eastAsia"/>
                      <w:color w:val="auto"/>
                      <w:szCs w:val="21"/>
                    </w:rPr>
                    <w:t>0.332</w:t>
                  </w:r>
                </w:p>
              </w:tc>
              <w:tc>
                <w:tcPr>
                  <w:tcW w:w="938" w:type="dxa"/>
                  <w:vAlign w:val="center"/>
                </w:tcPr>
                <w:p w14:paraId="26AF8A03">
                  <w:pPr>
                    <w:jc w:val="center"/>
                    <w:rPr>
                      <w:color w:val="auto"/>
                      <w:szCs w:val="21"/>
                    </w:rPr>
                  </w:pPr>
                  <w:r>
                    <w:rPr>
                      <w:rFonts w:hint="eastAsia"/>
                      <w:color w:val="auto"/>
                      <w:szCs w:val="21"/>
                    </w:rPr>
                    <w:t>0.177</w:t>
                  </w:r>
                </w:p>
              </w:tc>
              <w:tc>
                <w:tcPr>
                  <w:tcW w:w="1228" w:type="dxa"/>
                  <w:vAlign w:val="center"/>
                </w:tcPr>
                <w:p w14:paraId="374E5A40">
                  <w:pPr>
                    <w:jc w:val="center"/>
                    <w:rPr>
                      <w:color w:val="auto"/>
                      <w:szCs w:val="21"/>
                    </w:rPr>
                  </w:pPr>
                  <w:r>
                    <w:rPr>
                      <w:color w:val="auto"/>
                      <w:szCs w:val="21"/>
                    </w:rPr>
                    <w:t>—</w:t>
                  </w:r>
                </w:p>
              </w:tc>
              <w:tc>
                <w:tcPr>
                  <w:tcW w:w="624" w:type="dxa"/>
                  <w:vAlign w:val="center"/>
                </w:tcPr>
                <w:p w14:paraId="53E915D3">
                  <w:pPr>
                    <w:jc w:val="center"/>
                    <w:rPr>
                      <w:color w:val="auto"/>
                      <w:szCs w:val="21"/>
                    </w:rPr>
                  </w:pPr>
                  <w:r>
                    <w:rPr>
                      <w:color w:val="auto"/>
                      <w:szCs w:val="21"/>
                    </w:rPr>
                    <w:t>—</w:t>
                  </w:r>
                </w:p>
              </w:tc>
            </w:tr>
            <w:tr w14:paraId="2B0D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88" w:type="dxa"/>
                  <w:vMerge w:val="restart"/>
                  <w:vAlign w:val="center"/>
                </w:tcPr>
                <w:p w14:paraId="3942DE49">
                  <w:pPr>
                    <w:jc w:val="center"/>
                    <w:rPr>
                      <w:color w:val="auto"/>
                      <w:szCs w:val="21"/>
                    </w:rPr>
                  </w:pPr>
                  <w:r>
                    <w:rPr>
                      <w:color w:val="auto"/>
                      <w:szCs w:val="21"/>
                    </w:rPr>
                    <w:t>化粪池</w:t>
                  </w:r>
                </w:p>
                <w:p w14:paraId="55566F29">
                  <w:pPr>
                    <w:jc w:val="center"/>
                    <w:rPr>
                      <w:color w:val="auto"/>
                      <w:szCs w:val="21"/>
                    </w:rPr>
                  </w:pPr>
                  <w:r>
                    <w:rPr>
                      <w:color w:val="auto"/>
                      <w:szCs w:val="21"/>
                    </w:rPr>
                    <w:t>出水</w:t>
                  </w:r>
                  <w:r>
                    <w:rPr>
                      <w:rFonts w:hint="eastAsia"/>
                      <w:color w:val="auto"/>
                      <w:szCs w:val="21"/>
                    </w:rPr>
                    <w:t>2764.51</w:t>
                  </w:r>
                  <w:r>
                    <w:rPr>
                      <w:color w:val="auto"/>
                      <w:szCs w:val="21"/>
                    </w:rPr>
                    <w:t>t/a</w:t>
                  </w:r>
                </w:p>
              </w:tc>
              <w:tc>
                <w:tcPr>
                  <w:tcW w:w="975" w:type="dxa"/>
                  <w:vAlign w:val="center"/>
                </w:tcPr>
                <w:p w14:paraId="6FF34D29">
                  <w:pPr>
                    <w:jc w:val="center"/>
                    <w:rPr>
                      <w:color w:val="auto"/>
                      <w:szCs w:val="21"/>
                    </w:rPr>
                  </w:pPr>
                  <w:r>
                    <w:rPr>
                      <w:color w:val="auto"/>
                      <w:szCs w:val="21"/>
                    </w:rPr>
                    <w:t>出水浓度mg/L</w:t>
                  </w:r>
                </w:p>
              </w:tc>
              <w:tc>
                <w:tcPr>
                  <w:tcW w:w="664" w:type="dxa"/>
                  <w:vAlign w:val="center"/>
                </w:tcPr>
                <w:p w14:paraId="63E412DB">
                  <w:pPr>
                    <w:jc w:val="center"/>
                    <w:rPr>
                      <w:color w:val="auto"/>
                      <w:szCs w:val="21"/>
                    </w:rPr>
                  </w:pPr>
                  <w:r>
                    <w:rPr>
                      <w:rFonts w:hint="eastAsia"/>
                      <w:color w:val="auto"/>
                      <w:szCs w:val="21"/>
                    </w:rPr>
                    <w:t>7.4</w:t>
                  </w:r>
                </w:p>
              </w:tc>
              <w:tc>
                <w:tcPr>
                  <w:tcW w:w="814" w:type="dxa"/>
                  <w:vAlign w:val="center"/>
                </w:tcPr>
                <w:p w14:paraId="3FB44A3A">
                  <w:pPr>
                    <w:jc w:val="center"/>
                    <w:rPr>
                      <w:color w:val="auto"/>
                      <w:szCs w:val="21"/>
                    </w:rPr>
                  </w:pPr>
                  <w:r>
                    <w:rPr>
                      <w:rFonts w:hint="eastAsia"/>
                      <w:color w:val="auto"/>
                      <w:szCs w:val="21"/>
                    </w:rPr>
                    <w:t>326</w:t>
                  </w:r>
                </w:p>
              </w:tc>
              <w:tc>
                <w:tcPr>
                  <w:tcW w:w="769" w:type="dxa"/>
                  <w:vAlign w:val="center"/>
                </w:tcPr>
                <w:p w14:paraId="029077C7">
                  <w:pPr>
                    <w:jc w:val="center"/>
                    <w:rPr>
                      <w:color w:val="auto"/>
                      <w:szCs w:val="21"/>
                    </w:rPr>
                  </w:pPr>
                  <w:r>
                    <w:rPr>
                      <w:rFonts w:hint="eastAsia"/>
                      <w:color w:val="auto"/>
                      <w:szCs w:val="21"/>
                    </w:rPr>
                    <w:t>143</w:t>
                  </w:r>
                </w:p>
              </w:tc>
              <w:tc>
                <w:tcPr>
                  <w:tcW w:w="759" w:type="dxa"/>
                  <w:vAlign w:val="center"/>
                </w:tcPr>
                <w:p w14:paraId="7B4FC590">
                  <w:pPr>
                    <w:jc w:val="center"/>
                    <w:rPr>
                      <w:color w:val="auto"/>
                      <w:szCs w:val="21"/>
                    </w:rPr>
                  </w:pPr>
                  <w:r>
                    <w:rPr>
                      <w:rFonts w:hint="eastAsia"/>
                      <w:color w:val="auto"/>
                      <w:szCs w:val="21"/>
                    </w:rPr>
                    <w:t>73</w:t>
                  </w:r>
                </w:p>
              </w:tc>
              <w:tc>
                <w:tcPr>
                  <w:tcW w:w="938" w:type="dxa"/>
                  <w:vAlign w:val="center"/>
                </w:tcPr>
                <w:p w14:paraId="3E5B0EF7">
                  <w:pPr>
                    <w:jc w:val="center"/>
                    <w:rPr>
                      <w:color w:val="auto"/>
                      <w:szCs w:val="21"/>
                    </w:rPr>
                  </w:pPr>
                  <w:r>
                    <w:rPr>
                      <w:rFonts w:hint="eastAsia"/>
                      <w:color w:val="auto"/>
                      <w:szCs w:val="21"/>
                    </w:rPr>
                    <w:t>60.85</w:t>
                  </w:r>
                </w:p>
              </w:tc>
              <w:tc>
                <w:tcPr>
                  <w:tcW w:w="1228" w:type="dxa"/>
                  <w:vAlign w:val="center"/>
                </w:tcPr>
                <w:p w14:paraId="4659E8A1">
                  <w:pPr>
                    <w:jc w:val="center"/>
                    <w:rPr>
                      <w:color w:val="auto"/>
                      <w:szCs w:val="21"/>
                    </w:rPr>
                  </w:pPr>
                  <w:r>
                    <w:rPr>
                      <w:rFonts w:hint="eastAsia"/>
                      <w:color w:val="auto"/>
                      <w:szCs w:val="21"/>
                    </w:rPr>
                    <w:t>6483</w:t>
                  </w:r>
                </w:p>
              </w:tc>
              <w:tc>
                <w:tcPr>
                  <w:tcW w:w="624" w:type="dxa"/>
                  <w:vAlign w:val="center"/>
                </w:tcPr>
                <w:p w14:paraId="023E4C99">
                  <w:pPr>
                    <w:jc w:val="center"/>
                    <w:rPr>
                      <w:color w:val="auto"/>
                      <w:szCs w:val="21"/>
                    </w:rPr>
                  </w:pPr>
                  <w:r>
                    <w:rPr>
                      <w:rFonts w:hint="eastAsia"/>
                      <w:color w:val="auto"/>
                      <w:szCs w:val="21"/>
                    </w:rPr>
                    <w:t>0.26</w:t>
                  </w:r>
                </w:p>
              </w:tc>
            </w:tr>
            <w:tr w14:paraId="7BED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34094FDA">
                  <w:pPr>
                    <w:jc w:val="center"/>
                    <w:rPr>
                      <w:color w:val="auto"/>
                      <w:szCs w:val="21"/>
                    </w:rPr>
                  </w:pPr>
                </w:p>
              </w:tc>
              <w:tc>
                <w:tcPr>
                  <w:tcW w:w="975" w:type="dxa"/>
                  <w:vAlign w:val="center"/>
                </w:tcPr>
                <w:p w14:paraId="64492A05">
                  <w:pPr>
                    <w:jc w:val="center"/>
                    <w:rPr>
                      <w:color w:val="auto"/>
                      <w:szCs w:val="21"/>
                    </w:rPr>
                  </w:pPr>
                  <w:r>
                    <w:rPr>
                      <w:color w:val="auto"/>
                      <w:szCs w:val="21"/>
                    </w:rPr>
                    <w:t>产生量t/a</w:t>
                  </w:r>
                </w:p>
              </w:tc>
              <w:tc>
                <w:tcPr>
                  <w:tcW w:w="664" w:type="dxa"/>
                  <w:vAlign w:val="center"/>
                </w:tcPr>
                <w:p w14:paraId="65DDFB20">
                  <w:pPr>
                    <w:jc w:val="center"/>
                    <w:rPr>
                      <w:color w:val="auto"/>
                      <w:szCs w:val="21"/>
                    </w:rPr>
                  </w:pPr>
                  <w:r>
                    <w:rPr>
                      <w:color w:val="auto"/>
                      <w:szCs w:val="21"/>
                    </w:rPr>
                    <w:t>—</w:t>
                  </w:r>
                </w:p>
              </w:tc>
              <w:tc>
                <w:tcPr>
                  <w:tcW w:w="814" w:type="dxa"/>
                  <w:vAlign w:val="center"/>
                </w:tcPr>
                <w:p w14:paraId="0FF7D764">
                  <w:pPr>
                    <w:jc w:val="center"/>
                    <w:rPr>
                      <w:color w:val="auto"/>
                      <w:szCs w:val="21"/>
                    </w:rPr>
                  </w:pPr>
                  <w:r>
                    <w:rPr>
                      <w:rFonts w:hint="eastAsia"/>
                      <w:color w:val="auto"/>
                      <w:szCs w:val="21"/>
                    </w:rPr>
                    <w:t>0.901</w:t>
                  </w:r>
                </w:p>
              </w:tc>
              <w:tc>
                <w:tcPr>
                  <w:tcW w:w="769" w:type="dxa"/>
                  <w:vAlign w:val="center"/>
                </w:tcPr>
                <w:p w14:paraId="320EC5DC">
                  <w:pPr>
                    <w:jc w:val="center"/>
                    <w:rPr>
                      <w:color w:val="auto"/>
                      <w:szCs w:val="21"/>
                    </w:rPr>
                  </w:pPr>
                  <w:r>
                    <w:rPr>
                      <w:rFonts w:hint="eastAsia"/>
                      <w:color w:val="auto"/>
                      <w:szCs w:val="21"/>
                    </w:rPr>
                    <w:t>0.395</w:t>
                  </w:r>
                </w:p>
              </w:tc>
              <w:tc>
                <w:tcPr>
                  <w:tcW w:w="759" w:type="dxa"/>
                  <w:vAlign w:val="center"/>
                </w:tcPr>
                <w:p w14:paraId="7BC95B0A">
                  <w:pPr>
                    <w:jc w:val="center"/>
                    <w:rPr>
                      <w:color w:val="auto"/>
                      <w:szCs w:val="21"/>
                    </w:rPr>
                  </w:pPr>
                  <w:r>
                    <w:rPr>
                      <w:rFonts w:hint="eastAsia"/>
                      <w:color w:val="auto"/>
                      <w:szCs w:val="21"/>
                    </w:rPr>
                    <w:t>0.202</w:t>
                  </w:r>
                </w:p>
              </w:tc>
              <w:tc>
                <w:tcPr>
                  <w:tcW w:w="938" w:type="dxa"/>
                  <w:vAlign w:val="center"/>
                </w:tcPr>
                <w:p w14:paraId="76B691D4">
                  <w:pPr>
                    <w:jc w:val="center"/>
                    <w:rPr>
                      <w:color w:val="auto"/>
                      <w:szCs w:val="21"/>
                    </w:rPr>
                  </w:pPr>
                  <w:r>
                    <w:rPr>
                      <w:rFonts w:hint="eastAsia"/>
                      <w:color w:val="auto"/>
                      <w:szCs w:val="21"/>
                    </w:rPr>
                    <w:t>0.168</w:t>
                  </w:r>
                </w:p>
              </w:tc>
              <w:tc>
                <w:tcPr>
                  <w:tcW w:w="1228" w:type="dxa"/>
                  <w:vAlign w:val="center"/>
                </w:tcPr>
                <w:p w14:paraId="55057451">
                  <w:pPr>
                    <w:jc w:val="center"/>
                    <w:rPr>
                      <w:color w:val="auto"/>
                      <w:szCs w:val="21"/>
                    </w:rPr>
                  </w:pPr>
                  <w:r>
                    <w:rPr>
                      <w:color w:val="auto"/>
                      <w:szCs w:val="21"/>
                    </w:rPr>
                    <w:t>—</w:t>
                  </w:r>
                </w:p>
              </w:tc>
              <w:tc>
                <w:tcPr>
                  <w:tcW w:w="624" w:type="dxa"/>
                  <w:vAlign w:val="center"/>
                </w:tcPr>
                <w:p w14:paraId="4D4C1C78">
                  <w:pPr>
                    <w:jc w:val="center"/>
                    <w:rPr>
                      <w:color w:val="auto"/>
                      <w:szCs w:val="21"/>
                    </w:rPr>
                  </w:pPr>
                  <w:r>
                    <w:rPr>
                      <w:color w:val="auto"/>
                      <w:szCs w:val="21"/>
                    </w:rPr>
                    <w:t>—</w:t>
                  </w:r>
                </w:p>
              </w:tc>
            </w:tr>
            <w:tr w14:paraId="2F09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4F4B6643">
                  <w:pPr>
                    <w:jc w:val="center"/>
                    <w:rPr>
                      <w:color w:val="auto"/>
                      <w:szCs w:val="21"/>
                    </w:rPr>
                  </w:pPr>
                  <w:r>
                    <w:rPr>
                      <w:rFonts w:hint="eastAsia" w:ascii="宋体" w:hAnsi="宋体" w:cs="宋体"/>
                      <w:color w:val="auto"/>
                      <w:szCs w:val="21"/>
                    </w:rPr>
                    <w:t>《医疗机构水污染物排放标准》（GB18466-2005）表2预处理标准及《污水排入城镇下水道水质标准》（GB/T31962-2015）表1B等级标准较严值</w:t>
                  </w:r>
                </w:p>
              </w:tc>
              <w:tc>
                <w:tcPr>
                  <w:tcW w:w="664" w:type="dxa"/>
                  <w:vAlign w:val="center"/>
                </w:tcPr>
                <w:p w14:paraId="1A9EF507">
                  <w:pPr>
                    <w:jc w:val="center"/>
                    <w:rPr>
                      <w:color w:val="auto"/>
                      <w:szCs w:val="21"/>
                    </w:rPr>
                  </w:pPr>
                  <w:r>
                    <w:rPr>
                      <w:rFonts w:hint="eastAsia"/>
                      <w:color w:val="auto"/>
                      <w:szCs w:val="21"/>
                    </w:rPr>
                    <w:t>6-9</w:t>
                  </w:r>
                </w:p>
              </w:tc>
              <w:tc>
                <w:tcPr>
                  <w:tcW w:w="814" w:type="dxa"/>
                  <w:vAlign w:val="center"/>
                </w:tcPr>
                <w:p w14:paraId="5F2ADB78">
                  <w:pPr>
                    <w:jc w:val="center"/>
                    <w:rPr>
                      <w:color w:val="auto"/>
                      <w:szCs w:val="21"/>
                    </w:rPr>
                  </w:pPr>
                  <w:r>
                    <w:rPr>
                      <w:rFonts w:hint="eastAsia"/>
                      <w:color w:val="auto"/>
                      <w:szCs w:val="21"/>
                    </w:rPr>
                    <w:t>250</w:t>
                  </w:r>
                </w:p>
              </w:tc>
              <w:tc>
                <w:tcPr>
                  <w:tcW w:w="769" w:type="dxa"/>
                  <w:vAlign w:val="center"/>
                </w:tcPr>
                <w:p w14:paraId="0A3260D7">
                  <w:pPr>
                    <w:jc w:val="center"/>
                    <w:rPr>
                      <w:color w:val="auto"/>
                      <w:szCs w:val="21"/>
                    </w:rPr>
                  </w:pPr>
                  <w:r>
                    <w:rPr>
                      <w:rFonts w:hint="eastAsia"/>
                      <w:color w:val="auto"/>
                      <w:szCs w:val="21"/>
                    </w:rPr>
                    <w:t>100</w:t>
                  </w:r>
                </w:p>
              </w:tc>
              <w:tc>
                <w:tcPr>
                  <w:tcW w:w="759" w:type="dxa"/>
                  <w:vAlign w:val="center"/>
                </w:tcPr>
                <w:p w14:paraId="49B9CE34">
                  <w:pPr>
                    <w:jc w:val="center"/>
                    <w:rPr>
                      <w:color w:val="auto"/>
                      <w:szCs w:val="21"/>
                    </w:rPr>
                  </w:pPr>
                  <w:r>
                    <w:rPr>
                      <w:rFonts w:hint="eastAsia"/>
                      <w:color w:val="auto"/>
                      <w:szCs w:val="21"/>
                    </w:rPr>
                    <w:t>60</w:t>
                  </w:r>
                </w:p>
              </w:tc>
              <w:tc>
                <w:tcPr>
                  <w:tcW w:w="938" w:type="dxa"/>
                  <w:vAlign w:val="center"/>
                </w:tcPr>
                <w:p w14:paraId="78288045">
                  <w:pPr>
                    <w:jc w:val="center"/>
                    <w:rPr>
                      <w:color w:val="auto"/>
                      <w:szCs w:val="21"/>
                    </w:rPr>
                  </w:pPr>
                  <w:r>
                    <w:rPr>
                      <w:rFonts w:hint="eastAsia"/>
                      <w:color w:val="auto"/>
                      <w:szCs w:val="21"/>
                    </w:rPr>
                    <w:t>45</w:t>
                  </w:r>
                </w:p>
              </w:tc>
              <w:tc>
                <w:tcPr>
                  <w:tcW w:w="1228" w:type="dxa"/>
                  <w:vAlign w:val="center"/>
                </w:tcPr>
                <w:p w14:paraId="44CDE009">
                  <w:pPr>
                    <w:jc w:val="center"/>
                    <w:rPr>
                      <w:color w:val="auto"/>
                      <w:szCs w:val="21"/>
                    </w:rPr>
                  </w:pPr>
                  <w:r>
                    <w:rPr>
                      <w:rFonts w:hint="eastAsia"/>
                      <w:color w:val="auto"/>
                      <w:szCs w:val="21"/>
                    </w:rPr>
                    <w:t>5000</w:t>
                  </w:r>
                </w:p>
              </w:tc>
              <w:tc>
                <w:tcPr>
                  <w:tcW w:w="624" w:type="dxa"/>
                  <w:vAlign w:val="center"/>
                </w:tcPr>
                <w:p w14:paraId="2918949C">
                  <w:pPr>
                    <w:jc w:val="center"/>
                    <w:rPr>
                      <w:color w:val="auto"/>
                      <w:szCs w:val="21"/>
                    </w:rPr>
                  </w:pPr>
                  <w:r>
                    <w:rPr>
                      <w:color w:val="auto"/>
                      <w:szCs w:val="21"/>
                    </w:rPr>
                    <w:t>—</w:t>
                  </w:r>
                </w:p>
              </w:tc>
            </w:tr>
            <w:tr w14:paraId="7B70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2A1FFFAC">
                  <w:pPr>
                    <w:jc w:val="center"/>
                    <w:rPr>
                      <w:rFonts w:hint="eastAsia" w:ascii="宋体" w:hAnsi="宋体" w:cs="宋体"/>
                      <w:color w:val="auto"/>
                      <w:szCs w:val="21"/>
                    </w:rPr>
                  </w:pPr>
                  <w:r>
                    <w:rPr>
                      <w:rFonts w:hint="eastAsia" w:ascii="宋体" w:hAnsi="宋体" w:cs="宋体"/>
                      <w:color w:val="auto"/>
                      <w:szCs w:val="21"/>
                    </w:rPr>
                    <w:t>是否达标</w:t>
                  </w:r>
                </w:p>
              </w:tc>
              <w:tc>
                <w:tcPr>
                  <w:tcW w:w="664" w:type="dxa"/>
                  <w:vAlign w:val="center"/>
                </w:tcPr>
                <w:p w14:paraId="28A03F34">
                  <w:pPr>
                    <w:jc w:val="center"/>
                    <w:rPr>
                      <w:color w:val="auto"/>
                      <w:szCs w:val="21"/>
                    </w:rPr>
                  </w:pPr>
                  <w:r>
                    <w:rPr>
                      <w:rFonts w:hint="eastAsia"/>
                      <w:color w:val="auto"/>
                      <w:szCs w:val="21"/>
                    </w:rPr>
                    <w:t>达标</w:t>
                  </w:r>
                </w:p>
              </w:tc>
              <w:tc>
                <w:tcPr>
                  <w:tcW w:w="814" w:type="dxa"/>
                  <w:vAlign w:val="center"/>
                </w:tcPr>
                <w:p w14:paraId="26A57FF0">
                  <w:pPr>
                    <w:jc w:val="center"/>
                    <w:rPr>
                      <w:color w:val="auto"/>
                      <w:szCs w:val="21"/>
                    </w:rPr>
                  </w:pPr>
                  <w:r>
                    <w:rPr>
                      <w:rFonts w:hint="eastAsia"/>
                      <w:color w:val="auto"/>
                      <w:szCs w:val="21"/>
                    </w:rPr>
                    <w:t>不达标</w:t>
                  </w:r>
                </w:p>
              </w:tc>
              <w:tc>
                <w:tcPr>
                  <w:tcW w:w="769" w:type="dxa"/>
                  <w:vAlign w:val="center"/>
                </w:tcPr>
                <w:p w14:paraId="3629F00E">
                  <w:pPr>
                    <w:jc w:val="center"/>
                    <w:rPr>
                      <w:color w:val="auto"/>
                      <w:szCs w:val="21"/>
                    </w:rPr>
                  </w:pPr>
                  <w:r>
                    <w:rPr>
                      <w:rFonts w:hint="eastAsia"/>
                      <w:color w:val="auto"/>
                      <w:szCs w:val="21"/>
                    </w:rPr>
                    <w:t>不达标</w:t>
                  </w:r>
                </w:p>
              </w:tc>
              <w:tc>
                <w:tcPr>
                  <w:tcW w:w="759" w:type="dxa"/>
                  <w:vAlign w:val="center"/>
                </w:tcPr>
                <w:p w14:paraId="01EB2913">
                  <w:pPr>
                    <w:jc w:val="center"/>
                    <w:rPr>
                      <w:color w:val="auto"/>
                      <w:szCs w:val="21"/>
                    </w:rPr>
                  </w:pPr>
                  <w:r>
                    <w:rPr>
                      <w:rFonts w:hint="eastAsia"/>
                      <w:color w:val="auto"/>
                      <w:szCs w:val="21"/>
                    </w:rPr>
                    <w:t>不达标</w:t>
                  </w:r>
                </w:p>
              </w:tc>
              <w:tc>
                <w:tcPr>
                  <w:tcW w:w="938" w:type="dxa"/>
                  <w:vAlign w:val="center"/>
                </w:tcPr>
                <w:p w14:paraId="3593652A">
                  <w:pPr>
                    <w:jc w:val="center"/>
                    <w:rPr>
                      <w:color w:val="auto"/>
                      <w:szCs w:val="21"/>
                    </w:rPr>
                  </w:pPr>
                  <w:r>
                    <w:rPr>
                      <w:rFonts w:hint="eastAsia"/>
                      <w:color w:val="auto"/>
                      <w:szCs w:val="21"/>
                    </w:rPr>
                    <w:t>不达标</w:t>
                  </w:r>
                </w:p>
              </w:tc>
              <w:tc>
                <w:tcPr>
                  <w:tcW w:w="1228" w:type="dxa"/>
                  <w:vAlign w:val="center"/>
                </w:tcPr>
                <w:p w14:paraId="729CDCFD">
                  <w:pPr>
                    <w:jc w:val="center"/>
                    <w:rPr>
                      <w:color w:val="auto"/>
                      <w:szCs w:val="21"/>
                    </w:rPr>
                  </w:pPr>
                  <w:r>
                    <w:rPr>
                      <w:rFonts w:hint="eastAsia"/>
                      <w:color w:val="auto"/>
                      <w:szCs w:val="21"/>
                    </w:rPr>
                    <w:t>不达标</w:t>
                  </w:r>
                </w:p>
              </w:tc>
              <w:tc>
                <w:tcPr>
                  <w:tcW w:w="624" w:type="dxa"/>
                  <w:vAlign w:val="center"/>
                </w:tcPr>
                <w:p w14:paraId="06D6D9DD">
                  <w:pPr>
                    <w:jc w:val="center"/>
                    <w:rPr>
                      <w:color w:val="auto"/>
                      <w:szCs w:val="21"/>
                    </w:rPr>
                  </w:pPr>
                  <w:r>
                    <w:rPr>
                      <w:color w:val="auto"/>
                      <w:szCs w:val="21"/>
                    </w:rPr>
                    <w:t>—</w:t>
                  </w:r>
                </w:p>
              </w:tc>
            </w:tr>
          </w:tbl>
          <w:p w14:paraId="2AFCA10C">
            <w:pPr>
              <w:widowControl/>
              <w:spacing w:line="360" w:lineRule="auto"/>
              <w:ind w:firstLine="480" w:firstLineChars="200"/>
              <w:jc w:val="left"/>
              <w:rPr>
                <w:color w:val="auto"/>
                <w:sz w:val="24"/>
              </w:rPr>
            </w:pPr>
            <w:r>
              <w:rPr>
                <w:rFonts w:hint="eastAsia"/>
                <w:color w:val="auto"/>
                <w:sz w:val="24"/>
              </w:rPr>
              <w:t>四街卫生院</w:t>
            </w:r>
            <w:r>
              <w:rPr>
                <w:color w:val="auto"/>
                <w:sz w:val="24"/>
              </w:rPr>
              <w:t>实行雨污分流制，雨水经院内雨水沟排入</w:t>
            </w:r>
            <w:r>
              <w:rPr>
                <w:rFonts w:hint="eastAsia"/>
                <w:color w:val="auto"/>
                <w:sz w:val="24"/>
              </w:rPr>
              <w:t>院外雨水沟。</w:t>
            </w:r>
            <w:bookmarkStart w:id="47" w:name="_Hlk192169415"/>
            <w:r>
              <w:rPr>
                <w:rFonts w:hint="eastAsia"/>
                <w:color w:val="auto"/>
                <w:sz w:val="24"/>
              </w:rPr>
              <w:t>四街卫生院现有项目</w:t>
            </w:r>
            <w:r>
              <w:rPr>
                <w:color w:val="auto"/>
                <w:sz w:val="24"/>
              </w:rPr>
              <w:t>医疗废水（其中化验室产生的特殊性废水经单独收集并进行处理后）与</w:t>
            </w:r>
            <w:r>
              <w:rPr>
                <w:rFonts w:hint="eastAsia"/>
                <w:color w:val="auto"/>
                <w:sz w:val="24"/>
              </w:rPr>
              <w:t>生活污水（其中食堂废水经隔油池预处理）</w:t>
            </w:r>
            <w:r>
              <w:rPr>
                <w:color w:val="auto"/>
                <w:sz w:val="24"/>
              </w:rPr>
              <w:t>经化粪池处理后进入</w:t>
            </w:r>
            <w:r>
              <w:rPr>
                <w:rFonts w:hint="eastAsia"/>
                <w:color w:val="auto"/>
                <w:sz w:val="24"/>
              </w:rPr>
              <w:t>卫生院内</w:t>
            </w:r>
            <w:r>
              <w:rPr>
                <w:color w:val="auto"/>
                <w:sz w:val="24"/>
              </w:rPr>
              <w:t>的污水</w:t>
            </w:r>
            <w:r>
              <w:rPr>
                <w:rFonts w:hint="eastAsia"/>
                <w:color w:val="auto"/>
                <w:sz w:val="24"/>
              </w:rPr>
              <w:t>处理设施，根据现场踏勘，卫生院内的现有污水处理设施已损坏，现已停用。项目</w:t>
            </w:r>
            <w:r>
              <w:rPr>
                <w:color w:val="auto"/>
                <w:sz w:val="24"/>
              </w:rPr>
              <w:t>所有废水</w:t>
            </w:r>
            <w:r>
              <w:rPr>
                <w:rFonts w:hint="eastAsia"/>
                <w:color w:val="auto"/>
                <w:sz w:val="24"/>
              </w:rPr>
              <w:t>最终进入通海县第二污水处理厂处理。根据现有排放污水水质监测结果，四街卫生院污水处理站出水水质不能满足《医疗机构水污染物排放标准》（GB18466-2005）表2预处理标准及《污水排入城镇下水道水质标准》（GB/T31962-2015）表1B等级标准较严值。</w:t>
            </w:r>
          </w:p>
          <w:bookmarkEnd w:id="47"/>
          <w:p w14:paraId="38BB2632">
            <w:pPr>
              <w:widowControl/>
              <w:spacing w:line="360" w:lineRule="auto"/>
              <w:ind w:firstLine="480" w:firstLineChars="200"/>
              <w:jc w:val="left"/>
              <w:rPr>
                <w:color w:val="auto"/>
                <w:sz w:val="24"/>
              </w:rPr>
            </w:pPr>
            <w:r>
              <w:rPr>
                <w:rFonts w:hint="eastAsia"/>
                <w:color w:val="auto"/>
                <w:sz w:val="24"/>
              </w:rPr>
              <w:t>d、九龙卫生院现有废水排放量核算</w:t>
            </w:r>
          </w:p>
          <w:p w14:paraId="7EB52806">
            <w:pPr>
              <w:widowControl/>
              <w:spacing w:line="360" w:lineRule="auto"/>
              <w:ind w:firstLine="480" w:firstLineChars="200"/>
              <w:jc w:val="left"/>
              <w:rPr>
                <w:color w:val="auto"/>
                <w:sz w:val="24"/>
              </w:rPr>
            </w:pPr>
            <w:r>
              <w:rPr>
                <w:rFonts w:hint="eastAsia"/>
                <w:color w:val="auto"/>
                <w:sz w:val="24"/>
              </w:rPr>
              <w:t>根据现场踏勘，九龙卫生院现有污水处理设施为“次氯酸钠发生器消毒</w:t>
            </w:r>
            <w:r>
              <w:rPr>
                <w:color w:val="auto"/>
                <w:sz w:val="24"/>
              </w:rPr>
              <w:t>处理</w:t>
            </w:r>
            <w:r>
              <w:rPr>
                <w:rFonts w:hint="eastAsia"/>
                <w:color w:val="auto"/>
                <w:sz w:val="24"/>
              </w:rPr>
              <w:t>”处理，九龙卫生院地处通海县第二污水处理厂纳污范围内，且市政污水管网已贯通。</w:t>
            </w:r>
            <w:bookmarkStart w:id="48" w:name="_Hlk192169513"/>
            <w:r>
              <w:rPr>
                <w:rFonts w:hint="eastAsia"/>
                <w:color w:val="auto"/>
                <w:sz w:val="24"/>
              </w:rPr>
              <w:t>根据2024年11月，云南科环环境工程咨询有限公司</w:t>
            </w:r>
            <w:bookmarkEnd w:id="48"/>
            <w:r>
              <w:rPr>
                <w:rFonts w:hint="eastAsia"/>
                <w:color w:val="auto"/>
                <w:sz w:val="24"/>
              </w:rPr>
              <w:t>对九龙卫生院污水总排放口排放水进行了检测，九龙卫生院现有项目废水污染物排放情况</w:t>
            </w:r>
            <w:r>
              <w:rPr>
                <w:color w:val="auto"/>
                <w:sz w:val="24"/>
              </w:rPr>
              <w:t>如下表所示。</w:t>
            </w:r>
          </w:p>
          <w:p w14:paraId="06CD628C">
            <w:pPr>
              <w:widowControl/>
              <w:spacing w:line="360" w:lineRule="auto"/>
              <w:jc w:val="center"/>
              <w:rPr>
                <w:color w:val="auto"/>
                <w:sz w:val="32"/>
                <w:szCs w:val="32"/>
              </w:rPr>
            </w:pPr>
            <w:r>
              <w:rPr>
                <w:b/>
                <w:color w:val="auto"/>
                <w:sz w:val="24"/>
              </w:rPr>
              <w:t>表</w:t>
            </w:r>
            <w:r>
              <w:rPr>
                <w:rFonts w:hint="eastAsia"/>
                <w:b/>
                <w:color w:val="auto"/>
                <w:sz w:val="24"/>
              </w:rPr>
              <w:t>2</w:t>
            </w:r>
            <w:r>
              <w:rPr>
                <w:b/>
                <w:color w:val="auto"/>
                <w:sz w:val="24"/>
              </w:rPr>
              <w:t>-</w:t>
            </w:r>
            <w:r>
              <w:rPr>
                <w:rFonts w:hint="eastAsia"/>
                <w:b/>
                <w:color w:val="auto"/>
                <w:sz w:val="24"/>
              </w:rPr>
              <w:t>30</w:t>
            </w:r>
            <w:r>
              <w:rPr>
                <w:b/>
                <w:color w:val="auto"/>
                <w:sz w:val="24"/>
              </w:rPr>
              <w:t xml:space="preserve"> </w:t>
            </w:r>
            <w:r>
              <w:rPr>
                <w:rFonts w:hint="eastAsia"/>
                <w:b/>
                <w:color w:val="auto"/>
                <w:sz w:val="24"/>
              </w:rPr>
              <w:t>现有项目（九龙卫生院）</w:t>
            </w:r>
            <w:r>
              <w:rPr>
                <w:b/>
                <w:color w:val="auto"/>
                <w:sz w:val="24"/>
              </w:rPr>
              <w:t>污水及污染物产排情况一览表</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75"/>
              <w:gridCol w:w="664"/>
              <w:gridCol w:w="814"/>
              <w:gridCol w:w="769"/>
              <w:gridCol w:w="759"/>
              <w:gridCol w:w="938"/>
              <w:gridCol w:w="1228"/>
              <w:gridCol w:w="624"/>
            </w:tblGrid>
            <w:tr w14:paraId="6E5F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363" w:type="dxa"/>
                  <w:gridSpan w:val="2"/>
                  <w:vMerge w:val="restart"/>
                  <w:vAlign w:val="center"/>
                </w:tcPr>
                <w:p w14:paraId="104A4BC9">
                  <w:pPr>
                    <w:jc w:val="center"/>
                    <w:rPr>
                      <w:b/>
                      <w:color w:val="auto"/>
                      <w:szCs w:val="21"/>
                    </w:rPr>
                  </w:pPr>
                  <w:r>
                    <w:rPr>
                      <w:b/>
                      <w:color w:val="auto"/>
                      <w:szCs w:val="21"/>
                    </w:rPr>
                    <w:t>指标</w:t>
                  </w:r>
                </w:p>
              </w:tc>
              <w:tc>
                <w:tcPr>
                  <w:tcW w:w="5796" w:type="dxa"/>
                  <w:gridSpan w:val="7"/>
                </w:tcPr>
                <w:p w14:paraId="0D4A16F8">
                  <w:pPr>
                    <w:jc w:val="center"/>
                    <w:rPr>
                      <w:b/>
                      <w:color w:val="auto"/>
                      <w:szCs w:val="21"/>
                    </w:rPr>
                  </w:pPr>
                  <w:r>
                    <w:rPr>
                      <w:b/>
                      <w:color w:val="auto"/>
                      <w:szCs w:val="21"/>
                    </w:rPr>
                    <w:t>主要污染物名称</w:t>
                  </w:r>
                </w:p>
              </w:tc>
            </w:tr>
            <w:tr w14:paraId="6CAB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363" w:type="dxa"/>
                  <w:gridSpan w:val="2"/>
                  <w:vMerge w:val="continue"/>
                  <w:vAlign w:val="center"/>
                </w:tcPr>
                <w:p w14:paraId="6EBC3E9B">
                  <w:pPr>
                    <w:jc w:val="center"/>
                    <w:rPr>
                      <w:color w:val="auto"/>
                      <w:szCs w:val="21"/>
                    </w:rPr>
                  </w:pPr>
                </w:p>
              </w:tc>
              <w:tc>
                <w:tcPr>
                  <w:tcW w:w="664" w:type="dxa"/>
                  <w:vAlign w:val="center"/>
                </w:tcPr>
                <w:p w14:paraId="46BAAA08">
                  <w:pPr>
                    <w:jc w:val="center"/>
                    <w:rPr>
                      <w:b/>
                      <w:color w:val="auto"/>
                      <w:szCs w:val="21"/>
                    </w:rPr>
                  </w:pPr>
                  <w:r>
                    <w:rPr>
                      <w:rFonts w:hint="eastAsia"/>
                      <w:b/>
                      <w:color w:val="auto"/>
                      <w:szCs w:val="21"/>
                    </w:rPr>
                    <w:t>PH</w:t>
                  </w:r>
                </w:p>
              </w:tc>
              <w:tc>
                <w:tcPr>
                  <w:tcW w:w="814" w:type="dxa"/>
                  <w:vAlign w:val="center"/>
                </w:tcPr>
                <w:p w14:paraId="0219DA23">
                  <w:pPr>
                    <w:jc w:val="center"/>
                    <w:rPr>
                      <w:b/>
                      <w:color w:val="auto"/>
                      <w:szCs w:val="21"/>
                    </w:rPr>
                  </w:pPr>
                  <w:r>
                    <w:rPr>
                      <w:b/>
                      <w:color w:val="auto"/>
                      <w:szCs w:val="21"/>
                    </w:rPr>
                    <w:t>COD</w:t>
                  </w:r>
                </w:p>
              </w:tc>
              <w:tc>
                <w:tcPr>
                  <w:tcW w:w="769" w:type="dxa"/>
                  <w:vAlign w:val="center"/>
                </w:tcPr>
                <w:p w14:paraId="34D23367">
                  <w:pPr>
                    <w:jc w:val="center"/>
                    <w:rPr>
                      <w:b/>
                      <w:color w:val="auto"/>
                      <w:szCs w:val="21"/>
                    </w:rPr>
                  </w:pPr>
                  <w:r>
                    <w:rPr>
                      <w:b/>
                      <w:color w:val="auto"/>
                      <w:szCs w:val="21"/>
                    </w:rPr>
                    <w:t>BOD</w:t>
                  </w:r>
                  <w:r>
                    <w:rPr>
                      <w:b/>
                      <w:color w:val="auto"/>
                      <w:szCs w:val="21"/>
                      <w:vertAlign w:val="subscript"/>
                    </w:rPr>
                    <w:t>5</w:t>
                  </w:r>
                </w:p>
              </w:tc>
              <w:tc>
                <w:tcPr>
                  <w:tcW w:w="759" w:type="dxa"/>
                  <w:vAlign w:val="center"/>
                </w:tcPr>
                <w:p w14:paraId="7F0AC338">
                  <w:pPr>
                    <w:jc w:val="center"/>
                    <w:rPr>
                      <w:b/>
                      <w:color w:val="auto"/>
                      <w:szCs w:val="21"/>
                    </w:rPr>
                  </w:pPr>
                  <w:r>
                    <w:rPr>
                      <w:b/>
                      <w:color w:val="auto"/>
                      <w:szCs w:val="21"/>
                    </w:rPr>
                    <w:t>SS</w:t>
                  </w:r>
                </w:p>
              </w:tc>
              <w:tc>
                <w:tcPr>
                  <w:tcW w:w="938" w:type="dxa"/>
                  <w:vAlign w:val="center"/>
                </w:tcPr>
                <w:p w14:paraId="5AF03327">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228" w:type="dxa"/>
                  <w:vAlign w:val="center"/>
                </w:tcPr>
                <w:p w14:paraId="4BE74A17">
                  <w:pPr>
                    <w:jc w:val="center"/>
                    <w:rPr>
                      <w:b/>
                      <w:color w:val="auto"/>
                    </w:rPr>
                  </w:pPr>
                  <w:r>
                    <w:rPr>
                      <w:b/>
                      <w:color w:val="auto"/>
                    </w:rPr>
                    <w:t>粪大肠菌群数</w:t>
                  </w:r>
                  <w:r>
                    <w:rPr>
                      <w:rFonts w:hint="eastAsia"/>
                      <w:b/>
                      <w:color w:val="auto"/>
                    </w:rPr>
                    <w:t>（</w:t>
                  </w:r>
                  <w:r>
                    <w:rPr>
                      <w:b/>
                      <w:color w:val="auto"/>
                    </w:rPr>
                    <w:t>个/L)</w:t>
                  </w:r>
                </w:p>
              </w:tc>
              <w:tc>
                <w:tcPr>
                  <w:tcW w:w="624" w:type="dxa"/>
                  <w:vAlign w:val="center"/>
                </w:tcPr>
                <w:p w14:paraId="031235EB">
                  <w:pPr>
                    <w:jc w:val="center"/>
                    <w:rPr>
                      <w:b/>
                      <w:color w:val="auto"/>
                    </w:rPr>
                  </w:pPr>
                  <w:r>
                    <w:rPr>
                      <w:b/>
                      <w:color w:val="auto"/>
                    </w:rPr>
                    <w:t>总余氯</w:t>
                  </w:r>
                </w:p>
              </w:tc>
            </w:tr>
            <w:tr w14:paraId="497D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88" w:type="dxa"/>
                  <w:vMerge w:val="restart"/>
                  <w:vAlign w:val="center"/>
                </w:tcPr>
                <w:p w14:paraId="7AD856DE">
                  <w:pPr>
                    <w:jc w:val="center"/>
                    <w:rPr>
                      <w:color w:val="auto"/>
                      <w:szCs w:val="21"/>
                    </w:rPr>
                  </w:pPr>
                  <w:r>
                    <w:rPr>
                      <w:rFonts w:hint="eastAsia"/>
                      <w:color w:val="auto"/>
                      <w:szCs w:val="21"/>
                    </w:rPr>
                    <w:t>九龙卫生院废水</w:t>
                  </w:r>
                  <w:r>
                    <w:rPr>
                      <w:color w:val="auto"/>
                      <w:szCs w:val="21"/>
                    </w:rPr>
                    <w:t>产生量</w:t>
                  </w:r>
                </w:p>
                <w:p w14:paraId="58898E8A">
                  <w:pPr>
                    <w:jc w:val="center"/>
                    <w:rPr>
                      <w:color w:val="auto"/>
                      <w:szCs w:val="21"/>
                    </w:rPr>
                  </w:pPr>
                  <w:r>
                    <w:rPr>
                      <w:rFonts w:hint="eastAsia"/>
                      <w:color w:val="auto"/>
                      <w:szCs w:val="21"/>
                    </w:rPr>
                    <w:t>4206.99</w:t>
                  </w:r>
                  <w:r>
                    <w:rPr>
                      <w:color w:val="auto"/>
                      <w:szCs w:val="21"/>
                    </w:rPr>
                    <w:t>t/a</w:t>
                  </w:r>
                </w:p>
              </w:tc>
              <w:tc>
                <w:tcPr>
                  <w:tcW w:w="975" w:type="dxa"/>
                  <w:vAlign w:val="center"/>
                </w:tcPr>
                <w:p w14:paraId="302E22C5">
                  <w:pPr>
                    <w:jc w:val="center"/>
                    <w:rPr>
                      <w:color w:val="auto"/>
                      <w:szCs w:val="21"/>
                    </w:rPr>
                  </w:pPr>
                  <w:r>
                    <w:rPr>
                      <w:color w:val="auto"/>
                      <w:szCs w:val="21"/>
                    </w:rPr>
                    <w:t>产生浓度mg/L</w:t>
                  </w:r>
                </w:p>
              </w:tc>
              <w:tc>
                <w:tcPr>
                  <w:tcW w:w="664" w:type="dxa"/>
                  <w:vAlign w:val="center"/>
                </w:tcPr>
                <w:p w14:paraId="74F8A2D9">
                  <w:pPr>
                    <w:jc w:val="center"/>
                    <w:rPr>
                      <w:color w:val="auto"/>
                      <w:szCs w:val="21"/>
                    </w:rPr>
                  </w:pPr>
                  <w:r>
                    <w:rPr>
                      <w:color w:val="auto"/>
                      <w:szCs w:val="21"/>
                    </w:rPr>
                    <w:t>7~8</w:t>
                  </w:r>
                </w:p>
              </w:tc>
              <w:tc>
                <w:tcPr>
                  <w:tcW w:w="814" w:type="dxa"/>
                  <w:vAlign w:val="center"/>
                </w:tcPr>
                <w:p w14:paraId="018C6362">
                  <w:pPr>
                    <w:jc w:val="center"/>
                    <w:rPr>
                      <w:color w:val="auto"/>
                      <w:szCs w:val="21"/>
                    </w:rPr>
                  </w:pPr>
                  <w:r>
                    <w:rPr>
                      <w:rFonts w:hint="eastAsia"/>
                      <w:color w:val="auto"/>
                      <w:szCs w:val="21"/>
                    </w:rPr>
                    <w:t>330</w:t>
                  </w:r>
                </w:p>
              </w:tc>
              <w:tc>
                <w:tcPr>
                  <w:tcW w:w="769" w:type="dxa"/>
                  <w:vAlign w:val="center"/>
                </w:tcPr>
                <w:p w14:paraId="01CD6685">
                  <w:pPr>
                    <w:jc w:val="center"/>
                    <w:rPr>
                      <w:color w:val="auto"/>
                      <w:szCs w:val="21"/>
                    </w:rPr>
                  </w:pPr>
                  <w:r>
                    <w:rPr>
                      <w:color w:val="auto"/>
                      <w:szCs w:val="21"/>
                    </w:rPr>
                    <w:t>150</w:t>
                  </w:r>
                </w:p>
              </w:tc>
              <w:tc>
                <w:tcPr>
                  <w:tcW w:w="759" w:type="dxa"/>
                  <w:vAlign w:val="center"/>
                </w:tcPr>
                <w:p w14:paraId="3FE2AD79">
                  <w:pPr>
                    <w:jc w:val="center"/>
                    <w:rPr>
                      <w:color w:val="auto"/>
                      <w:szCs w:val="21"/>
                    </w:rPr>
                  </w:pPr>
                  <w:r>
                    <w:rPr>
                      <w:color w:val="auto"/>
                      <w:szCs w:val="21"/>
                    </w:rPr>
                    <w:t>120</w:t>
                  </w:r>
                </w:p>
              </w:tc>
              <w:tc>
                <w:tcPr>
                  <w:tcW w:w="938" w:type="dxa"/>
                  <w:vAlign w:val="center"/>
                </w:tcPr>
                <w:p w14:paraId="7625BFEC">
                  <w:pPr>
                    <w:jc w:val="center"/>
                    <w:rPr>
                      <w:color w:val="auto"/>
                      <w:szCs w:val="21"/>
                    </w:rPr>
                  </w:pPr>
                  <w:r>
                    <w:rPr>
                      <w:rFonts w:hint="eastAsia"/>
                      <w:color w:val="auto"/>
                      <w:szCs w:val="21"/>
                    </w:rPr>
                    <w:t>64</w:t>
                  </w:r>
                </w:p>
              </w:tc>
              <w:tc>
                <w:tcPr>
                  <w:tcW w:w="1228" w:type="dxa"/>
                  <w:vAlign w:val="center"/>
                </w:tcPr>
                <w:p w14:paraId="2140C4D6">
                  <w:pPr>
                    <w:jc w:val="center"/>
                    <w:rPr>
                      <w:color w:val="auto"/>
                      <w:szCs w:val="21"/>
                    </w:rPr>
                  </w:pPr>
                  <w:r>
                    <w:rPr>
                      <w:color w:val="auto"/>
                      <w:szCs w:val="21"/>
                    </w:rPr>
                    <w:t>3.0×10</w:t>
                  </w:r>
                  <w:r>
                    <w:rPr>
                      <w:color w:val="auto"/>
                      <w:szCs w:val="21"/>
                      <w:vertAlign w:val="superscript"/>
                    </w:rPr>
                    <w:t>8</w:t>
                  </w:r>
                </w:p>
              </w:tc>
              <w:tc>
                <w:tcPr>
                  <w:tcW w:w="624" w:type="dxa"/>
                  <w:vAlign w:val="center"/>
                </w:tcPr>
                <w:p w14:paraId="4CCC0235">
                  <w:pPr>
                    <w:jc w:val="center"/>
                    <w:rPr>
                      <w:color w:val="auto"/>
                      <w:szCs w:val="21"/>
                    </w:rPr>
                  </w:pPr>
                  <w:r>
                    <w:rPr>
                      <w:color w:val="auto"/>
                      <w:szCs w:val="21"/>
                    </w:rPr>
                    <w:t>—</w:t>
                  </w:r>
                </w:p>
              </w:tc>
            </w:tr>
            <w:tr w14:paraId="108F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72C334B8">
                  <w:pPr>
                    <w:jc w:val="center"/>
                    <w:rPr>
                      <w:color w:val="auto"/>
                      <w:szCs w:val="21"/>
                    </w:rPr>
                  </w:pPr>
                </w:p>
              </w:tc>
              <w:tc>
                <w:tcPr>
                  <w:tcW w:w="975" w:type="dxa"/>
                  <w:vAlign w:val="center"/>
                </w:tcPr>
                <w:p w14:paraId="45CA7207">
                  <w:pPr>
                    <w:jc w:val="center"/>
                    <w:rPr>
                      <w:color w:val="auto"/>
                      <w:szCs w:val="21"/>
                    </w:rPr>
                  </w:pPr>
                  <w:r>
                    <w:rPr>
                      <w:color w:val="auto"/>
                      <w:szCs w:val="21"/>
                    </w:rPr>
                    <w:t>产生量t/a</w:t>
                  </w:r>
                </w:p>
              </w:tc>
              <w:tc>
                <w:tcPr>
                  <w:tcW w:w="664" w:type="dxa"/>
                  <w:vAlign w:val="center"/>
                </w:tcPr>
                <w:p w14:paraId="028541B3">
                  <w:pPr>
                    <w:jc w:val="center"/>
                    <w:rPr>
                      <w:color w:val="auto"/>
                      <w:szCs w:val="21"/>
                    </w:rPr>
                  </w:pPr>
                  <w:r>
                    <w:rPr>
                      <w:color w:val="auto"/>
                      <w:szCs w:val="21"/>
                    </w:rPr>
                    <w:t>—</w:t>
                  </w:r>
                </w:p>
              </w:tc>
              <w:tc>
                <w:tcPr>
                  <w:tcW w:w="814" w:type="dxa"/>
                  <w:vAlign w:val="center"/>
                </w:tcPr>
                <w:p w14:paraId="4D362A9F">
                  <w:pPr>
                    <w:jc w:val="center"/>
                    <w:rPr>
                      <w:color w:val="auto"/>
                      <w:szCs w:val="21"/>
                    </w:rPr>
                  </w:pPr>
                  <w:r>
                    <w:rPr>
                      <w:rFonts w:hint="eastAsia"/>
                      <w:color w:val="auto"/>
                      <w:szCs w:val="21"/>
                    </w:rPr>
                    <w:t>1.388</w:t>
                  </w:r>
                </w:p>
              </w:tc>
              <w:tc>
                <w:tcPr>
                  <w:tcW w:w="769" w:type="dxa"/>
                  <w:vAlign w:val="center"/>
                </w:tcPr>
                <w:p w14:paraId="320DF141">
                  <w:pPr>
                    <w:jc w:val="center"/>
                    <w:rPr>
                      <w:color w:val="auto"/>
                      <w:szCs w:val="21"/>
                    </w:rPr>
                  </w:pPr>
                  <w:r>
                    <w:rPr>
                      <w:rFonts w:hint="eastAsia"/>
                      <w:color w:val="auto"/>
                      <w:szCs w:val="21"/>
                    </w:rPr>
                    <w:t>0.631</w:t>
                  </w:r>
                </w:p>
              </w:tc>
              <w:tc>
                <w:tcPr>
                  <w:tcW w:w="759" w:type="dxa"/>
                  <w:vAlign w:val="center"/>
                </w:tcPr>
                <w:p w14:paraId="5BED0CC6">
                  <w:pPr>
                    <w:jc w:val="center"/>
                    <w:rPr>
                      <w:color w:val="auto"/>
                      <w:szCs w:val="21"/>
                    </w:rPr>
                  </w:pPr>
                  <w:r>
                    <w:rPr>
                      <w:rFonts w:hint="eastAsia"/>
                      <w:color w:val="auto"/>
                      <w:szCs w:val="21"/>
                    </w:rPr>
                    <w:t>0.505</w:t>
                  </w:r>
                </w:p>
              </w:tc>
              <w:tc>
                <w:tcPr>
                  <w:tcW w:w="938" w:type="dxa"/>
                  <w:vAlign w:val="center"/>
                </w:tcPr>
                <w:p w14:paraId="300FF0AE">
                  <w:pPr>
                    <w:jc w:val="center"/>
                    <w:rPr>
                      <w:color w:val="auto"/>
                      <w:szCs w:val="21"/>
                    </w:rPr>
                  </w:pPr>
                  <w:r>
                    <w:rPr>
                      <w:rFonts w:hint="eastAsia"/>
                      <w:color w:val="auto"/>
                      <w:szCs w:val="21"/>
                    </w:rPr>
                    <w:t>0.269</w:t>
                  </w:r>
                </w:p>
              </w:tc>
              <w:tc>
                <w:tcPr>
                  <w:tcW w:w="1228" w:type="dxa"/>
                  <w:vAlign w:val="center"/>
                </w:tcPr>
                <w:p w14:paraId="6E911A80">
                  <w:pPr>
                    <w:jc w:val="center"/>
                    <w:rPr>
                      <w:color w:val="auto"/>
                      <w:szCs w:val="21"/>
                    </w:rPr>
                  </w:pPr>
                  <w:r>
                    <w:rPr>
                      <w:color w:val="auto"/>
                      <w:szCs w:val="21"/>
                    </w:rPr>
                    <w:t>—</w:t>
                  </w:r>
                </w:p>
              </w:tc>
              <w:tc>
                <w:tcPr>
                  <w:tcW w:w="624" w:type="dxa"/>
                  <w:vAlign w:val="center"/>
                </w:tcPr>
                <w:p w14:paraId="4FB291CA">
                  <w:pPr>
                    <w:jc w:val="center"/>
                    <w:rPr>
                      <w:color w:val="auto"/>
                      <w:szCs w:val="21"/>
                    </w:rPr>
                  </w:pPr>
                  <w:r>
                    <w:rPr>
                      <w:color w:val="auto"/>
                      <w:szCs w:val="21"/>
                    </w:rPr>
                    <w:t>—</w:t>
                  </w:r>
                </w:p>
              </w:tc>
            </w:tr>
            <w:tr w14:paraId="25EF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88" w:type="dxa"/>
                  <w:vMerge w:val="restart"/>
                  <w:vAlign w:val="center"/>
                </w:tcPr>
                <w:p w14:paraId="7B494DF5">
                  <w:pPr>
                    <w:jc w:val="center"/>
                    <w:rPr>
                      <w:color w:val="auto"/>
                      <w:szCs w:val="21"/>
                    </w:rPr>
                  </w:pPr>
                  <w:r>
                    <w:rPr>
                      <w:color w:val="auto"/>
                      <w:szCs w:val="21"/>
                    </w:rPr>
                    <w:t>化粪池</w:t>
                  </w:r>
                </w:p>
                <w:p w14:paraId="4640A6C4">
                  <w:pPr>
                    <w:jc w:val="center"/>
                    <w:rPr>
                      <w:color w:val="auto"/>
                      <w:szCs w:val="21"/>
                    </w:rPr>
                  </w:pPr>
                  <w:r>
                    <w:rPr>
                      <w:color w:val="auto"/>
                      <w:szCs w:val="21"/>
                    </w:rPr>
                    <w:t>出水</w:t>
                  </w:r>
                  <w:r>
                    <w:rPr>
                      <w:rFonts w:hint="eastAsia"/>
                      <w:color w:val="auto"/>
                      <w:szCs w:val="21"/>
                    </w:rPr>
                    <w:t>4206.99</w:t>
                  </w:r>
                  <w:r>
                    <w:rPr>
                      <w:color w:val="auto"/>
                      <w:szCs w:val="21"/>
                    </w:rPr>
                    <w:t>t/a</w:t>
                  </w:r>
                </w:p>
              </w:tc>
              <w:tc>
                <w:tcPr>
                  <w:tcW w:w="975" w:type="dxa"/>
                  <w:vAlign w:val="center"/>
                </w:tcPr>
                <w:p w14:paraId="394A834C">
                  <w:pPr>
                    <w:jc w:val="center"/>
                    <w:rPr>
                      <w:color w:val="auto"/>
                      <w:szCs w:val="21"/>
                    </w:rPr>
                  </w:pPr>
                  <w:r>
                    <w:rPr>
                      <w:color w:val="auto"/>
                      <w:szCs w:val="21"/>
                    </w:rPr>
                    <w:t>出水浓度mg/L</w:t>
                  </w:r>
                </w:p>
              </w:tc>
              <w:tc>
                <w:tcPr>
                  <w:tcW w:w="664" w:type="dxa"/>
                  <w:vAlign w:val="center"/>
                </w:tcPr>
                <w:p w14:paraId="7A9BC922">
                  <w:pPr>
                    <w:jc w:val="center"/>
                    <w:rPr>
                      <w:color w:val="auto"/>
                      <w:szCs w:val="21"/>
                    </w:rPr>
                  </w:pPr>
                  <w:r>
                    <w:rPr>
                      <w:rFonts w:hint="eastAsia"/>
                      <w:color w:val="auto"/>
                      <w:szCs w:val="21"/>
                    </w:rPr>
                    <w:t>7.4</w:t>
                  </w:r>
                </w:p>
              </w:tc>
              <w:tc>
                <w:tcPr>
                  <w:tcW w:w="814" w:type="dxa"/>
                  <w:vAlign w:val="center"/>
                </w:tcPr>
                <w:p w14:paraId="458004FA">
                  <w:pPr>
                    <w:jc w:val="center"/>
                    <w:rPr>
                      <w:color w:val="auto"/>
                      <w:szCs w:val="21"/>
                    </w:rPr>
                  </w:pPr>
                  <w:r>
                    <w:rPr>
                      <w:rFonts w:hint="eastAsia"/>
                      <w:color w:val="auto"/>
                      <w:szCs w:val="21"/>
                    </w:rPr>
                    <w:t>326</w:t>
                  </w:r>
                </w:p>
              </w:tc>
              <w:tc>
                <w:tcPr>
                  <w:tcW w:w="769" w:type="dxa"/>
                  <w:vAlign w:val="center"/>
                </w:tcPr>
                <w:p w14:paraId="5B4BCCC0">
                  <w:pPr>
                    <w:jc w:val="center"/>
                    <w:rPr>
                      <w:color w:val="auto"/>
                      <w:szCs w:val="21"/>
                    </w:rPr>
                  </w:pPr>
                  <w:r>
                    <w:rPr>
                      <w:rFonts w:hint="eastAsia"/>
                      <w:color w:val="auto"/>
                      <w:szCs w:val="21"/>
                    </w:rPr>
                    <w:t>143</w:t>
                  </w:r>
                </w:p>
              </w:tc>
              <w:tc>
                <w:tcPr>
                  <w:tcW w:w="759" w:type="dxa"/>
                  <w:vAlign w:val="center"/>
                </w:tcPr>
                <w:p w14:paraId="05FACB1A">
                  <w:pPr>
                    <w:jc w:val="center"/>
                    <w:rPr>
                      <w:color w:val="auto"/>
                      <w:szCs w:val="21"/>
                    </w:rPr>
                  </w:pPr>
                  <w:r>
                    <w:rPr>
                      <w:rFonts w:hint="eastAsia"/>
                      <w:color w:val="auto"/>
                      <w:szCs w:val="21"/>
                    </w:rPr>
                    <w:t>86</w:t>
                  </w:r>
                </w:p>
              </w:tc>
              <w:tc>
                <w:tcPr>
                  <w:tcW w:w="938" w:type="dxa"/>
                  <w:vAlign w:val="center"/>
                </w:tcPr>
                <w:p w14:paraId="014E66C3">
                  <w:pPr>
                    <w:jc w:val="center"/>
                    <w:rPr>
                      <w:color w:val="auto"/>
                      <w:szCs w:val="21"/>
                    </w:rPr>
                  </w:pPr>
                  <w:r>
                    <w:rPr>
                      <w:rFonts w:hint="eastAsia"/>
                      <w:color w:val="auto"/>
                      <w:szCs w:val="21"/>
                    </w:rPr>
                    <w:t>60.85</w:t>
                  </w:r>
                </w:p>
              </w:tc>
              <w:tc>
                <w:tcPr>
                  <w:tcW w:w="1228" w:type="dxa"/>
                  <w:vAlign w:val="center"/>
                </w:tcPr>
                <w:p w14:paraId="37C8F0CD">
                  <w:pPr>
                    <w:jc w:val="center"/>
                    <w:rPr>
                      <w:color w:val="auto"/>
                      <w:szCs w:val="21"/>
                    </w:rPr>
                  </w:pPr>
                  <w:r>
                    <w:rPr>
                      <w:color w:val="auto"/>
                      <w:szCs w:val="21"/>
                    </w:rPr>
                    <w:t>3.0×10</w:t>
                  </w:r>
                  <w:r>
                    <w:rPr>
                      <w:color w:val="auto"/>
                      <w:szCs w:val="21"/>
                      <w:vertAlign w:val="superscript"/>
                    </w:rPr>
                    <w:t>8</w:t>
                  </w:r>
                </w:p>
              </w:tc>
              <w:tc>
                <w:tcPr>
                  <w:tcW w:w="624" w:type="dxa"/>
                  <w:vAlign w:val="center"/>
                </w:tcPr>
                <w:p w14:paraId="32CAB786">
                  <w:pPr>
                    <w:jc w:val="center"/>
                    <w:rPr>
                      <w:color w:val="auto"/>
                      <w:szCs w:val="21"/>
                    </w:rPr>
                  </w:pPr>
                  <w:r>
                    <w:rPr>
                      <w:color w:val="auto"/>
                      <w:szCs w:val="21"/>
                    </w:rPr>
                    <w:t>—</w:t>
                  </w:r>
                </w:p>
              </w:tc>
            </w:tr>
            <w:tr w14:paraId="2ECD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6C4869A4">
                  <w:pPr>
                    <w:jc w:val="center"/>
                    <w:rPr>
                      <w:color w:val="auto"/>
                      <w:szCs w:val="21"/>
                    </w:rPr>
                  </w:pPr>
                </w:p>
              </w:tc>
              <w:tc>
                <w:tcPr>
                  <w:tcW w:w="975" w:type="dxa"/>
                  <w:vAlign w:val="center"/>
                </w:tcPr>
                <w:p w14:paraId="3109B33D">
                  <w:pPr>
                    <w:jc w:val="center"/>
                    <w:rPr>
                      <w:color w:val="auto"/>
                      <w:szCs w:val="21"/>
                    </w:rPr>
                  </w:pPr>
                  <w:r>
                    <w:rPr>
                      <w:color w:val="auto"/>
                      <w:szCs w:val="21"/>
                    </w:rPr>
                    <w:t>产生量t/a</w:t>
                  </w:r>
                </w:p>
              </w:tc>
              <w:tc>
                <w:tcPr>
                  <w:tcW w:w="664" w:type="dxa"/>
                  <w:vAlign w:val="center"/>
                </w:tcPr>
                <w:p w14:paraId="5C2DEBF9">
                  <w:pPr>
                    <w:jc w:val="center"/>
                    <w:rPr>
                      <w:color w:val="auto"/>
                      <w:szCs w:val="21"/>
                    </w:rPr>
                  </w:pPr>
                  <w:r>
                    <w:rPr>
                      <w:color w:val="auto"/>
                      <w:szCs w:val="21"/>
                    </w:rPr>
                    <w:t>—</w:t>
                  </w:r>
                </w:p>
              </w:tc>
              <w:tc>
                <w:tcPr>
                  <w:tcW w:w="814" w:type="dxa"/>
                  <w:vAlign w:val="center"/>
                </w:tcPr>
                <w:p w14:paraId="68C28DDD">
                  <w:pPr>
                    <w:jc w:val="center"/>
                    <w:rPr>
                      <w:color w:val="auto"/>
                      <w:szCs w:val="21"/>
                    </w:rPr>
                  </w:pPr>
                  <w:r>
                    <w:rPr>
                      <w:rFonts w:hint="eastAsia"/>
                      <w:color w:val="auto"/>
                      <w:szCs w:val="21"/>
                    </w:rPr>
                    <w:t>1.371</w:t>
                  </w:r>
                </w:p>
              </w:tc>
              <w:tc>
                <w:tcPr>
                  <w:tcW w:w="769" w:type="dxa"/>
                  <w:vAlign w:val="center"/>
                </w:tcPr>
                <w:p w14:paraId="0AC95265">
                  <w:pPr>
                    <w:jc w:val="center"/>
                    <w:rPr>
                      <w:color w:val="auto"/>
                      <w:szCs w:val="21"/>
                    </w:rPr>
                  </w:pPr>
                  <w:r>
                    <w:rPr>
                      <w:rFonts w:hint="eastAsia"/>
                      <w:color w:val="auto"/>
                      <w:szCs w:val="21"/>
                    </w:rPr>
                    <w:t>0.602</w:t>
                  </w:r>
                </w:p>
              </w:tc>
              <w:tc>
                <w:tcPr>
                  <w:tcW w:w="759" w:type="dxa"/>
                  <w:vAlign w:val="center"/>
                </w:tcPr>
                <w:p w14:paraId="686AB0E0">
                  <w:pPr>
                    <w:jc w:val="center"/>
                    <w:rPr>
                      <w:color w:val="auto"/>
                      <w:szCs w:val="21"/>
                    </w:rPr>
                  </w:pPr>
                  <w:r>
                    <w:rPr>
                      <w:rFonts w:hint="eastAsia"/>
                      <w:color w:val="auto"/>
                      <w:szCs w:val="21"/>
                    </w:rPr>
                    <w:t>0.362</w:t>
                  </w:r>
                </w:p>
              </w:tc>
              <w:tc>
                <w:tcPr>
                  <w:tcW w:w="938" w:type="dxa"/>
                  <w:vAlign w:val="center"/>
                </w:tcPr>
                <w:p w14:paraId="60106674">
                  <w:pPr>
                    <w:jc w:val="center"/>
                    <w:rPr>
                      <w:color w:val="auto"/>
                      <w:szCs w:val="21"/>
                    </w:rPr>
                  </w:pPr>
                  <w:r>
                    <w:rPr>
                      <w:rFonts w:hint="eastAsia"/>
                      <w:color w:val="auto"/>
                      <w:szCs w:val="21"/>
                    </w:rPr>
                    <w:t>0.256</w:t>
                  </w:r>
                </w:p>
              </w:tc>
              <w:tc>
                <w:tcPr>
                  <w:tcW w:w="1228" w:type="dxa"/>
                  <w:vAlign w:val="center"/>
                </w:tcPr>
                <w:p w14:paraId="70374B40">
                  <w:pPr>
                    <w:jc w:val="center"/>
                    <w:rPr>
                      <w:color w:val="auto"/>
                      <w:szCs w:val="21"/>
                    </w:rPr>
                  </w:pPr>
                  <w:r>
                    <w:rPr>
                      <w:color w:val="auto"/>
                      <w:szCs w:val="21"/>
                    </w:rPr>
                    <w:t>—</w:t>
                  </w:r>
                </w:p>
              </w:tc>
              <w:tc>
                <w:tcPr>
                  <w:tcW w:w="624" w:type="dxa"/>
                  <w:vAlign w:val="center"/>
                </w:tcPr>
                <w:p w14:paraId="144ED1A9">
                  <w:pPr>
                    <w:jc w:val="center"/>
                    <w:rPr>
                      <w:color w:val="auto"/>
                      <w:szCs w:val="21"/>
                    </w:rPr>
                  </w:pPr>
                  <w:r>
                    <w:rPr>
                      <w:color w:val="auto"/>
                      <w:szCs w:val="21"/>
                    </w:rPr>
                    <w:t>—</w:t>
                  </w:r>
                </w:p>
              </w:tc>
            </w:tr>
            <w:tr w14:paraId="1FDA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388" w:type="dxa"/>
                  <w:vMerge w:val="restart"/>
                  <w:vAlign w:val="center"/>
                </w:tcPr>
                <w:p w14:paraId="2F02F8D2">
                  <w:pPr>
                    <w:jc w:val="center"/>
                    <w:rPr>
                      <w:color w:val="auto"/>
                      <w:szCs w:val="21"/>
                    </w:rPr>
                  </w:pPr>
                  <w:r>
                    <w:rPr>
                      <w:rFonts w:hint="eastAsia"/>
                      <w:color w:val="auto"/>
                      <w:szCs w:val="21"/>
                    </w:rPr>
                    <w:t>次氯酸钠发生器消毒后</w:t>
                  </w:r>
                  <w:r>
                    <w:rPr>
                      <w:color w:val="auto"/>
                      <w:szCs w:val="21"/>
                    </w:rPr>
                    <w:t>出水</w:t>
                  </w:r>
                  <w:r>
                    <w:rPr>
                      <w:rFonts w:hint="eastAsia"/>
                      <w:color w:val="auto"/>
                      <w:szCs w:val="21"/>
                    </w:rPr>
                    <w:t>4206.99</w:t>
                  </w:r>
                  <w:r>
                    <w:rPr>
                      <w:color w:val="auto"/>
                      <w:szCs w:val="21"/>
                    </w:rPr>
                    <w:t>t/a</w:t>
                  </w:r>
                </w:p>
              </w:tc>
              <w:tc>
                <w:tcPr>
                  <w:tcW w:w="975" w:type="dxa"/>
                  <w:vAlign w:val="center"/>
                </w:tcPr>
                <w:p w14:paraId="201068C8">
                  <w:pPr>
                    <w:jc w:val="center"/>
                    <w:rPr>
                      <w:color w:val="auto"/>
                      <w:szCs w:val="21"/>
                    </w:rPr>
                  </w:pPr>
                  <w:r>
                    <w:rPr>
                      <w:color w:val="auto"/>
                      <w:szCs w:val="21"/>
                    </w:rPr>
                    <w:t>排放浓度mg/L</w:t>
                  </w:r>
                </w:p>
              </w:tc>
              <w:tc>
                <w:tcPr>
                  <w:tcW w:w="664" w:type="dxa"/>
                  <w:vAlign w:val="center"/>
                </w:tcPr>
                <w:p w14:paraId="309087FD">
                  <w:pPr>
                    <w:jc w:val="center"/>
                    <w:rPr>
                      <w:color w:val="auto"/>
                      <w:szCs w:val="21"/>
                    </w:rPr>
                  </w:pPr>
                  <w:r>
                    <w:rPr>
                      <w:rFonts w:hint="eastAsia"/>
                      <w:color w:val="auto"/>
                      <w:szCs w:val="21"/>
                    </w:rPr>
                    <w:t>6.87</w:t>
                  </w:r>
                </w:p>
              </w:tc>
              <w:tc>
                <w:tcPr>
                  <w:tcW w:w="814" w:type="dxa"/>
                  <w:vAlign w:val="center"/>
                </w:tcPr>
                <w:p w14:paraId="33BDCBC1">
                  <w:pPr>
                    <w:jc w:val="center"/>
                    <w:rPr>
                      <w:color w:val="auto"/>
                      <w:szCs w:val="21"/>
                    </w:rPr>
                  </w:pPr>
                  <w:r>
                    <w:rPr>
                      <w:rFonts w:hint="eastAsia"/>
                      <w:color w:val="auto"/>
                      <w:szCs w:val="21"/>
                    </w:rPr>
                    <w:t>281</w:t>
                  </w:r>
                </w:p>
              </w:tc>
              <w:tc>
                <w:tcPr>
                  <w:tcW w:w="769" w:type="dxa"/>
                  <w:vAlign w:val="center"/>
                </w:tcPr>
                <w:p w14:paraId="133E7299">
                  <w:pPr>
                    <w:jc w:val="center"/>
                    <w:rPr>
                      <w:color w:val="auto"/>
                      <w:szCs w:val="21"/>
                    </w:rPr>
                  </w:pPr>
                  <w:r>
                    <w:rPr>
                      <w:rFonts w:hint="eastAsia"/>
                      <w:color w:val="auto"/>
                      <w:szCs w:val="21"/>
                    </w:rPr>
                    <w:t>125</w:t>
                  </w:r>
                </w:p>
              </w:tc>
              <w:tc>
                <w:tcPr>
                  <w:tcW w:w="759" w:type="dxa"/>
                  <w:vAlign w:val="center"/>
                </w:tcPr>
                <w:p w14:paraId="5DBF15FF">
                  <w:pPr>
                    <w:jc w:val="center"/>
                    <w:rPr>
                      <w:color w:val="auto"/>
                      <w:szCs w:val="21"/>
                    </w:rPr>
                  </w:pPr>
                  <w:r>
                    <w:rPr>
                      <w:rFonts w:hint="eastAsia"/>
                      <w:color w:val="auto"/>
                      <w:szCs w:val="21"/>
                    </w:rPr>
                    <w:t>86</w:t>
                  </w:r>
                </w:p>
              </w:tc>
              <w:tc>
                <w:tcPr>
                  <w:tcW w:w="938" w:type="dxa"/>
                  <w:vAlign w:val="center"/>
                </w:tcPr>
                <w:p w14:paraId="06BBBD3E">
                  <w:pPr>
                    <w:jc w:val="center"/>
                    <w:rPr>
                      <w:color w:val="auto"/>
                      <w:szCs w:val="21"/>
                    </w:rPr>
                  </w:pPr>
                  <w:r>
                    <w:rPr>
                      <w:rFonts w:hint="eastAsia"/>
                      <w:color w:val="auto"/>
                      <w:szCs w:val="21"/>
                    </w:rPr>
                    <w:t>49.55</w:t>
                  </w:r>
                </w:p>
              </w:tc>
              <w:tc>
                <w:tcPr>
                  <w:tcW w:w="1228" w:type="dxa"/>
                  <w:vAlign w:val="center"/>
                </w:tcPr>
                <w:p w14:paraId="6B57B2B0">
                  <w:pPr>
                    <w:jc w:val="center"/>
                    <w:rPr>
                      <w:color w:val="auto"/>
                      <w:szCs w:val="21"/>
                    </w:rPr>
                  </w:pPr>
                  <w:r>
                    <w:rPr>
                      <w:rFonts w:hint="eastAsia"/>
                      <w:color w:val="auto"/>
                      <w:szCs w:val="21"/>
                    </w:rPr>
                    <w:t>7433</w:t>
                  </w:r>
                </w:p>
              </w:tc>
              <w:tc>
                <w:tcPr>
                  <w:tcW w:w="624" w:type="dxa"/>
                  <w:vAlign w:val="center"/>
                </w:tcPr>
                <w:p w14:paraId="1E6EE880">
                  <w:pPr>
                    <w:jc w:val="center"/>
                    <w:rPr>
                      <w:color w:val="auto"/>
                      <w:szCs w:val="21"/>
                    </w:rPr>
                  </w:pPr>
                  <w:r>
                    <w:rPr>
                      <w:rFonts w:hint="eastAsia"/>
                      <w:color w:val="auto"/>
                      <w:szCs w:val="21"/>
                    </w:rPr>
                    <w:t>0.41</w:t>
                  </w:r>
                </w:p>
              </w:tc>
            </w:tr>
            <w:tr w14:paraId="43E9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10E21DFA">
                  <w:pPr>
                    <w:jc w:val="center"/>
                    <w:rPr>
                      <w:color w:val="auto"/>
                      <w:szCs w:val="21"/>
                    </w:rPr>
                  </w:pPr>
                </w:p>
              </w:tc>
              <w:tc>
                <w:tcPr>
                  <w:tcW w:w="975" w:type="dxa"/>
                  <w:vAlign w:val="center"/>
                </w:tcPr>
                <w:p w14:paraId="4DA4B70B">
                  <w:pPr>
                    <w:jc w:val="center"/>
                    <w:rPr>
                      <w:color w:val="auto"/>
                      <w:szCs w:val="21"/>
                    </w:rPr>
                  </w:pPr>
                  <w:r>
                    <w:rPr>
                      <w:color w:val="auto"/>
                      <w:szCs w:val="21"/>
                    </w:rPr>
                    <w:t>排放量t/a</w:t>
                  </w:r>
                </w:p>
              </w:tc>
              <w:tc>
                <w:tcPr>
                  <w:tcW w:w="664" w:type="dxa"/>
                  <w:vAlign w:val="center"/>
                </w:tcPr>
                <w:p w14:paraId="430EF5D1">
                  <w:pPr>
                    <w:jc w:val="center"/>
                    <w:rPr>
                      <w:color w:val="auto"/>
                      <w:szCs w:val="21"/>
                    </w:rPr>
                  </w:pPr>
                  <w:r>
                    <w:rPr>
                      <w:color w:val="auto"/>
                      <w:szCs w:val="21"/>
                    </w:rPr>
                    <w:t>—</w:t>
                  </w:r>
                </w:p>
              </w:tc>
              <w:tc>
                <w:tcPr>
                  <w:tcW w:w="814" w:type="dxa"/>
                  <w:vAlign w:val="center"/>
                </w:tcPr>
                <w:p w14:paraId="2FF91E15">
                  <w:pPr>
                    <w:jc w:val="center"/>
                    <w:rPr>
                      <w:b/>
                      <w:bCs/>
                      <w:color w:val="auto"/>
                      <w:szCs w:val="21"/>
                    </w:rPr>
                  </w:pPr>
                  <w:r>
                    <w:rPr>
                      <w:rFonts w:hint="eastAsia"/>
                      <w:color w:val="auto"/>
                      <w:szCs w:val="21"/>
                    </w:rPr>
                    <w:t>1.182</w:t>
                  </w:r>
                </w:p>
              </w:tc>
              <w:tc>
                <w:tcPr>
                  <w:tcW w:w="769" w:type="dxa"/>
                  <w:vAlign w:val="center"/>
                </w:tcPr>
                <w:p w14:paraId="0303C63A">
                  <w:pPr>
                    <w:jc w:val="center"/>
                    <w:rPr>
                      <w:b/>
                      <w:bCs/>
                      <w:color w:val="auto"/>
                    </w:rPr>
                  </w:pPr>
                  <w:r>
                    <w:rPr>
                      <w:rFonts w:hint="eastAsia"/>
                      <w:color w:val="auto"/>
                      <w:szCs w:val="21"/>
                    </w:rPr>
                    <w:t>0.526</w:t>
                  </w:r>
                </w:p>
              </w:tc>
              <w:tc>
                <w:tcPr>
                  <w:tcW w:w="759" w:type="dxa"/>
                  <w:vAlign w:val="center"/>
                </w:tcPr>
                <w:p w14:paraId="42D85432">
                  <w:pPr>
                    <w:jc w:val="center"/>
                    <w:rPr>
                      <w:b/>
                      <w:bCs/>
                      <w:color w:val="auto"/>
                      <w:szCs w:val="21"/>
                    </w:rPr>
                  </w:pPr>
                  <w:r>
                    <w:rPr>
                      <w:rFonts w:hint="eastAsia"/>
                      <w:color w:val="auto"/>
                      <w:szCs w:val="21"/>
                    </w:rPr>
                    <w:t>0.362</w:t>
                  </w:r>
                </w:p>
              </w:tc>
              <w:tc>
                <w:tcPr>
                  <w:tcW w:w="938" w:type="dxa"/>
                  <w:vAlign w:val="center"/>
                </w:tcPr>
                <w:p w14:paraId="0022D3B1">
                  <w:pPr>
                    <w:jc w:val="center"/>
                    <w:rPr>
                      <w:b/>
                      <w:bCs/>
                      <w:color w:val="auto"/>
                      <w:szCs w:val="21"/>
                    </w:rPr>
                  </w:pPr>
                  <w:r>
                    <w:rPr>
                      <w:rFonts w:hint="eastAsia"/>
                      <w:color w:val="auto"/>
                      <w:szCs w:val="21"/>
                    </w:rPr>
                    <w:t>0.208</w:t>
                  </w:r>
                </w:p>
              </w:tc>
              <w:tc>
                <w:tcPr>
                  <w:tcW w:w="1228" w:type="dxa"/>
                  <w:vAlign w:val="center"/>
                </w:tcPr>
                <w:p w14:paraId="531FE964">
                  <w:pPr>
                    <w:jc w:val="center"/>
                    <w:rPr>
                      <w:color w:val="auto"/>
                      <w:szCs w:val="21"/>
                    </w:rPr>
                  </w:pPr>
                  <w:r>
                    <w:rPr>
                      <w:color w:val="auto"/>
                      <w:szCs w:val="21"/>
                    </w:rPr>
                    <w:t>—</w:t>
                  </w:r>
                </w:p>
              </w:tc>
              <w:tc>
                <w:tcPr>
                  <w:tcW w:w="624" w:type="dxa"/>
                  <w:vAlign w:val="center"/>
                </w:tcPr>
                <w:p w14:paraId="0A499519">
                  <w:pPr>
                    <w:jc w:val="center"/>
                    <w:rPr>
                      <w:color w:val="auto"/>
                      <w:szCs w:val="21"/>
                    </w:rPr>
                  </w:pPr>
                  <w:r>
                    <w:rPr>
                      <w:color w:val="auto"/>
                      <w:szCs w:val="21"/>
                    </w:rPr>
                    <w:t>—</w:t>
                  </w:r>
                </w:p>
              </w:tc>
            </w:tr>
            <w:tr w14:paraId="09A1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72DD05F9">
                  <w:pPr>
                    <w:jc w:val="center"/>
                    <w:rPr>
                      <w:color w:val="auto"/>
                      <w:szCs w:val="21"/>
                    </w:rPr>
                  </w:pPr>
                  <w:r>
                    <w:rPr>
                      <w:rFonts w:hint="eastAsia" w:ascii="宋体" w:hAnsi="宋体" w:cs="宋体"/>
                      <w:color w:val="auto"/>
                      <w:szCs w:val="21"/>
                    </w:rPr>
                    <w:t>《医疗机构水污染物排放标准》（GB18466-2005）表2预处理标准及《污水排入城镇下水道水质标准》（GB/T31962-2015）表1B等级标准较严值</w:t>
                  </w:r>
                </w:p>
              </w:tc>
              <w:tc>
                <w:tcPr>
                  <w:tcW w:w="664" w:type="dxa"/>
                  <w:vAlign w:val="center"/>
                </w:tcPr>
                <w:p w14:paraId="243B0C9B">
                  <w:pPr>
                    <w:jc w:val="center"/>
                    <w:rPr>
                      <w:color w:val="auto"/>
                      <w:szCs w:val="21"/>
                    </w:rPr>
                  </w:pPr>
                  <w:r>
                    <w:rPr>
                      <w:rFonts w:hint="eastAsia"/>
                      <w:color w:val="auto"/>
                      <w:szCs w:val="21"/>
                    </w:rPr>
                    <w:t>6-9</w:t>
                  </w:r>
                </w:p>
              </w:tc>
              <w:tc>
                <w:tcPr>
                  <w:tcW w:w="814" w:type="dxa"/>
                  <w:vAlign w:val="center"/>
                </w:tcPr>
                <w:p w14:paraId="085F668F">
                  <w:pPr>
                    <w:jc w:val="center"/>
                    <w:rPr>
                      <w:color w:val="auto"/>
                      <w:szCs w:val="21"/>
                    </w:rPr>
                  </w:pPr>
                  <w:r>
                    <w:rPr>
                      <w:rFonts w:hint="eastAsia"/>
                      <w:color w:val="auto"/>
                      <w:szCs w:val="21"/>
                    </w:rPr>
                    <w:t>250</w:t>
                  </w:r>
                </w:p>
              </w:tc>
              <w:tc>
                <w:tcPr>
                  <w:tcW w:w="769" w:type="dxa"/>
                  <w:vAlign w:val="center"/>
                </w:tcPr>
                <w:p w14:paraId="4EEE4408">
                  <w:pPr>
                    <w:jc w:val="center"/>
                    <w:rPr>
                      <w:color w:val="auto"/>
                      <w:szCs w:val="21"/>
                    </w:rPr>
                  </w:pPr>
                  <w:r>
                    <w:rPr>
                      <w:rFonts w:hint="eastAsia"/>
                      <w:color w:val="auto"/>
                      <w:szCs w:val="21"/>
                    </w:rPr>
                    <w:t>100</w:t>
                  </w:r>
                </w:p>
              </w:tc>
              <w:tc>
                <w:tcPr>
                  <w:tcW w:w="759" w:type="dxa"/>
                  <w:vAlign w:val="center"/>
                </w:tcPr>
                <w:p w14:paraId="25B4B6B5">
                  <w:pPr>
                    <w:jc w:val="center"/>
                    <w:rPr>
                      <w:color w:val="auto"/>
                      <w:szCs w:val="21"/>
                    </w:rPr>
                  </w:pPr>
                  <w:r>
                    <w:rPr>
                      <w:rFonts w:hint="eastAsia"/>
                      <w:color w:val="auto"/>
                      <w:szCs w:val="21"/>
                    </w:rPr>
                    <w:t>60</w:t>
                  </w:r>
                </w:p>
              </w:tc>
              <w:tc>
                <w:tcPr>
                  <w:tcW w:w="938" w:type="dxa"/>
                  <w:vAlign w:val="center"/>
                </w:tcPr>
                <w:p w14:paraId="20D20264">
                  <w:pPr>
                    <w:jc w:val="center"/>
                    <w:rPr>
                      <w:color w:val="auto"/>
                      <w:szCs w:val="21"/>
                    </w:rPr>
                  </w:pPr>
                  <w:r>
                    <w:rPr>
                      <w:rFonts w:hint="eastAsia"/>
                      <w:color w:val="auto"/>
                      <w:szCs w:val="21"/>
                    </w:rPr>
                    <w:t>45</w:t>
                  </w:r>
                </w:p>
              </w:tc>
              <w:tc>
                <w:tcPr>
                  <w:tcW w:w="1228" w:type="dxa"/>
                  <w:vAlign w:val="center"/>
                </w:tcPr>
                <w:p w14:paraId="33B2787E">
                  <w:pPr>
                    <w:jc w:val="center"/>
                    <w:rPr>
                      <w:color w:val="auto"/>
                      <w:szCs w:val="21"/>
                    </w:rPr>
                  </w:pPr>
                  <w:r>
                    <w:rPr>
                      <w:rFonts w:hint="eastAsia"/>
                      <w:color w:val="auto"/>
                      <w:szCs w:val="21"/>
                    </w:rPr>
                    <w:t>5000</w:t>
                  </w:r>
                </w:p>
              </w:tc>
              <w:tc>
                <w:tcPr>
                  <w:tcW w:w="624" w:type="dxa"/>
                  <w:vAlign w:val="center"/>
                </w:tcPr>
                <w:p w14:paraId="60C53C29">
                  <w:pPr>
                    <w:jc w:val="center"/>
                    <w:rPr>
                      <w:color w:val="auto"/>
                      <w:szCs w:val="21"/>
                    </w:rPr>
                  </w:pPr>
                  <w:r>
                    <w:rPr>
                      <w:color w:val="auto"/>
                      <w:szCs w:val="21"/>
                    </w:rPr>
                    <w:t>—</w:t>
                  </w:r>
                </w:p>
              </w:tc>
            </w:tr>
            <w:tr w14:paraId="51D3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1E89A45E">
                  <w:pPr>
                    <w:jc w:val="center"/>
                    <w:rPr>
                      <w:rFonts w:hint="eastAsia" w:ascii="宋体" w:hAnsi="宋体" w:cs="宋体"/>
                      <w:color w:val="auto"/>
                      <w:szCs w:val="21"/>
                    </w:rPr>
                  </w:pPr>
                  <w:r>
                    <w:rPr>
                      <w:rFonts w:hint="eastAsia" w:ascii="宋体" w:hAnsi="宋体" w:cs="宋体"/>
                      <w:color w:val="auto"/>
                      <w:szCs w:val="21"/>
                    </w:rPr>
                    <w:t>是否达标</w:t>
                  </w:r>
                </w:p>
              </w:tc>
              <w:tc>
                <w:tcPr>
                  <w:tcW w:w="664" w:type="dxa"/>
                  <w:vAlign w:val="center"/>
                </w:tcPr>
                <w:p w14:paraId="21737634">
                  <w:pPr>
                    <w:jc w:val="center"/>
                    <w:rPr>
                      <w:color w:val="auto"/>
                      <w:szCs w:val="21"/>
                    </w:rPr>
                  </w:pPr>
                  <w:r>
                    <w:rPr>
                      <w:rFonts w:hint="eastAsia"/>
                      <w:color w:val="auto"/>
                      <w:szCs w:val="21"/>
                    </w:rPr>
                    <w:t>达标</w:t>
                  </w:r>
                </w:p>
              </w:tc>
              <w:tc>
                <w:tcPr>
                  <w:tcW w:w="814" w:type="dxa"/>
                  <w:vAlign w:val="center"/>
                </w:tcPr>
                <w:p w14:paraId="658A6A60">
                  <w:pPr>
                    <w:jc w:val="center"/>
                    <w:rPr>
                      <w:color w:val="auto"/>
                      <w:szCs w:val="21"/>
                    </w:rPr>
                  </w:pPr>
                  <w:r>
                    <w:rPr>
                      <w:rFonts w:hint="eastAsia"/>
                      <w:color w:val="auto"/>
                      <w:szCs w:val="21"/>
                    </w:rPr>
                    <w:t>不达标</w:t>
                  </w:r>
                </w:p>
              </w:tc>
              <w:tc>
                <w:tcPr>
                  <w:tcW w:w="769" w:type="dxa"/>
                  <w:vAlign w:val="center"/>
                </w:tcPr>
                <w:p w14:paraId="0A1FDBA4">
                  <w:pPr>
                    <w:jc w:val="center"/>
                    <w:rPr>
                      <w:color w:val="auto"/>
                      <w:szCs w:val="21"/>
                    </w:rPr>
                  </w:pPr>
                  <w:r>
                    <w:rPr>
                      <w:rFonts w:hint="eastAsia"/>
                      <w:color w:val="auto"/>
                      <w:szCs w:val="21"/>
                    </w:rPr>
                    <w:t>不达标</w:t>
                  </w:r>
                </w:p>
              </w:tc>
              <w:tc>
                <w:tcPr>
                  <w:tcW w:w="759" w:type="dxa"/>
                  <w:vAlign w:val="center"/>
                </w:tcPr>
                <w:p w14:paraId="0339D23D">
                  <w:pPr>
                    <w:jc w:val="center"/>
                    <w:rPr>
                      <w:color w:val="auto"/>
                      <w:szCs w:val="21"/>
                    </w:rPr>
                  </w:pPr>
                  <w:r>
                    <w:rPr>
                      <w:rFonts w:hint="eastAsia"/>
                      <w:color w:val="auto"/>
                      <w:szCs w:val="21"/>
                    </w:rPr>
                    <w:t>不达标</w:t>
                  </w:r>
                </w:p>
              </w:tc>
              <w:tc>
                <w:tcPr>
                  <w:tcW w:w="938" w:type="dxa"/>
                  <w:vAlign w:val="center"/>
                </w:tcPr>
                <w:p w14:paraId="5C430F5A">
                  <w:pPr>
                    <w:jc w:val="center"/>
                    <w:rPr>
                      <w:color w:val="auto"/>
                      <w:szCs w:val="21"/>
                    </w:rPr>
                  </w:pPr>
                  <w:r>
                    <w:rPr>
                      <w:rFonts w:hint="eastAsia"/>
                      <w:color w:val="auto"/>
                      <w:szCs w:val="21"/>
                    </w:rPr>
                    <w:t>不达标</w:t>
                  </w:r>
                </w:p>
              </w:tc>
              <w:tc>
                <w:tcPr>
                  <w:tcW w:w="1228" w:type="dxa"/>
                  <w:vAlign w:val="center"/>
                </w:tcPr>
                <w:p w14:paraId="13B0DB73">
                  <w:pPr>
                    <w:jc w:val="center"/>
                    <w:rPr>
                      <w:color w:val="auto"/>
                      <w:szCs w:val="21"/>
                    </w:rPr>
                  </w:pPr>
                  <w:r>
                    <w:rPr>
                      <w:rFonts w:hint="eastAsia"/>
                      <w:color w:val="auto"/>
                      <w:szCs w:val="21"/>
                    </w:rPr>
                    <w:t>超标</w:t>
                  </w:r>
                </w:p>
              </w:tc>
              <w:tc>
                <w:tcPr>
                  <w:tcW w:w="624" w:type="dxa"/>
                  <w:vAlign w:val="center"/>
                </w:tcPr>
                <w:p w14:paraId="02DF768A">
                  <w:pPr>
                    <w:jc w:val="center"/>
                    <w:rPr>
                      <w:color w:val="auto"/>
                      <w:szCs w:val="21"/>
                    </w:rPr>
                  </w:pPr>
                  <w:r>
                    <w:rPr>
                      <w:color w:val="auto"/>
                      <w:szCs w:val="21"/>
                    </w:rPr>
                    <w:t>—</w:t>
                  </w:r>
                </w:p>
              </w:tc>
            </w:tr>
          </w:tbl>
          <w:p w14:paraId="30AF102D">
            <w:pPr>
              <w:widowControl/>
              <w:spacing w:line="360" w:lineRule="auto"/>
              <w:ind w:firstLine="480" w:firstLineChars="200"/>
              <w:jc w:val="left"/>
              <w:rPr>
                <w:color w:val="auto"/>
                <w:sz w:val="24"/>
              </w:rPr>
            </w:pPr>
            <w:r>
              <w:rPr>
                <w:rFonts w:hint="eastAsia"/>
                <w:color w:val="auto"/>
                <w:sz w:val="24"/>
              </w:rPr>
              <w:t>九龙卫生院</w:t>
            </w:r>
            <w:r>
              <w:rPr>
                <w:color w:val="auto"/>
                <w:sz w:val="24"/>
              </w:rPr>
              <w:t>实行雨污分流制，雨水经院内雨水沟排入</w:t>
            </w:r>
            <w:r>
              <w:rPr>
                <w:rFonts w:hint="eastAsia"/>
                <w:color w:val="auto"/>
                <w:sz w:val="24"/>
              </w:rPr>
              <w:t>院外雨水沟。九龙卫生院现有项目</w:t>
            </w:r>
            <w:bookmarkStart w:id="49" w:name="_Hlk192169475"/>
            <w:r>
              <w:rPr>
                <w:color w:val="auto"/>
                <w:sz w:val="24"/>
              </w:rPr>
              <w:t>医疗废水（其中化验室产生的特殊性废水经单独收集并进行处理后）与</w:t>
            </w:r>
            <w:r>
              <w:rPr>
                <w:rFonts w:hint="eastAsia"/>
                <w:color w:val="auto"/>
                <w:sz w:val="24"/>
              </w:rPr>
              <w:t>生活污水（其中食堂废水经隔油池预处理）</w:t>
            </w:r>
            <w:r>
              <w:rPr>
                <w:color w:val="auto"/>
                <w:sz w:val="24"/>
              </w:rPr>
              <w:t>经化粪池处理后进入</w:t>
            </w:r>
            <w:r>
              <w:rPr>
                <w:rFonts w:hint="eastAsia"/>
                <w:color w:val="auto"/>
                <w:sz w:val="24"/>
              </w:rPr>
              <w:t>卫生院内</w:t>
            </w:r>
            <w:r>
              <w:rPr>
                <w:color w:val="auto"/>
                <w:sz w:val="24"/>
              </w:rPr>
              <w:t>的污水</w:t>
            </w:r>
            <w:r>
              <w:rPr>
                <w:rFonts w:hint="eastAsia"/>
                <w:color w:val="auto"/>
                <w:sz w:val="24"/>
              </w:rPr>
              <w:t>处理设施，</w:t>
            </w:r>
            <w:r>
              <w:rPr>
                <w:color w:val="auto"/>
                <w:sz w:val="24"/>
              </w:rPr>
              <w:t>所有废水</w:t>
            </w:r>
            <w:r>
              <w:rPr>
                <w:rFonts w:hint="eastAsia"/>
                <w:color w:val="auto"/>
                <w:sz w:val="24"/>
              </w:rPr>
              <w:t>采用“次氯酸钠发生器消毒</w:t>
            </w:r>
            <w:r>
              <w:rPr>
                <w:color w:val="auto"/>
                <w:sz w:val="24"/>
              </w:rPr>
              <w:t>处理</w:t>
            </w:r>
            <w:r>
              <w:rPr>
                <w:rFonts w:hint="eastAsia"/>
                <w:color w:val="auto"/>
                <w:sz w:val="24"/>
              </w:rPr>
              <w:t>”工艺处理</w:t>
            </w:r>
            <w:r>
              <w:rPr>
                <w:color w:val="auto"/>
                <w:sz w:val="24"/>
              </w:rPr>
              <w:t>后</w:t>
            </w:r>
            <w:r>
              <w:rPr>
                <w:rFonts w:hint="eastAsia"/>
                <w:color w:val="auto"/>
                <w:sz w:val="24"/>
              </w:rPr>
              <w:t>外排进入市政污水管网，最终进入通海县第二污水处理厂处理。根据现有排放污水水质监测结果，九龙卫生院污水处理站出水水质不能满足《医疗机构水污染物排放标准》（GB18466-2005）表2预处理标准及《污水排入城镇下水道水质标准》（GB/T31962-2015）表1B等级标准较严值。</w:t>
            </w:r>
          </w:p>
          <w:bookmarkEnd w:id="49"/>
          <w:p w14:paraId="470C4CFD">
            <w:pPr>
              <w:pStyle w:val="8"/>
              <w:adjustRightInd w:val="0"/>
              <w:snapToGrid w:val="0"/>
              <w:spacing w:line="360" w:lineRule="auto"/>
              <w:ind w:firstLine="419" w:firstLineChars="174"/>
              <w:rPr>
                <w:b/>
                <w:bCs/>
                <w:color w:val="auto"/>
              </w:rPr>
            </w:pPr>
            <w:r>
              <w:rPr>
                <w:b/>
                <w:bCs/>
                <w:color w:val="auto"/>
              </w:rPr>
              <w:t>（</w:t>
            </w:r>
            <w:r>
              <w:rPr>
                <w:rFonts w:hint="eastAsia"/>
                <w:b/>
                <w:bCs/>
                <w:color w:val="auto"/>
              </w:rPr>
              <w:t>3</w:t>
            </w:r>
            <w:r>
              <w:rPr>
                <w:b/>
                <w:bCs/>
                <w:color w:val="auto"/>
              </w:rPr>
              <w:t>）</w:t>
            </w:r>
            <w:r>
              <w:rPr>
                <w:rFonts w:hint="eastAsia"/>
                <w:b/>
                <w:color w:val="auto"/>
              </w:rPr>
              <w:t>现有项目</w:t>
            </w:r>
            <w:r>
              <w:rPr>
                <w:b/>
                <w:bCs/>
                <w:color w:val="auto"/>
              </w:rPr>
              <w:t>运营期</w:t>
            </w:r>
            <w:r>
              <w:rPr>
                <w:rFonts w:hint="eastAsia"/>
                <w:b/>
                <w:bCs/>
                <w:color w:val="auto"/>
              </w:rPr>
              <w:t>噪声</w:t>
            </w:r>
          </w:p>
          <w:p w14:paraId="3DF25A0E">
            <w:pPr>
              <w:spacing w:line="360" w:lineRule="auto"/>
              <w:ind w:firstLine="480" w:firstLineChars="200"/>
              <w:rPr>
                <w:bCs/>
                <w:color w:val="auto"/>
                <w:sz w:val="24"/>
              </w:rPr>
            </w:pPr>
            <w:r>
              <w:rPr>
                <w:rFonts w:hint="eastAsia"/>
                <w:bCs/>
                <w:color w:val="auto"/>
                <w:sz w:val="24"/>
              </w:rPr>
              <w:t>项目涉及四家卫生院，现有项目卫生院</w:t>
            </w:r>
            <w:r>
              <w:rPr>
                <w:bCs/>
                <w:color w:val="auto"/>
                <w:sz w:val="24"/>
              </w:rPr>
              <w:t>运营期噪声主要来自</w:t>
            </w:r>
            <w:r>
              <w:rPr>
                <w:rFonts w:hint="eastAsia"/>
                <w:bCs/>
                <w:color w:val="auto"/>
                <w:sz w:val="24"/>
              </w:rPr>
              <w:t>于</w:t>
            </w:r>
            <w:bookmarkStart w:id="50" w:name="_Hlk192169581"/>
            <w:r>
              <w:rPr>
                <w:bCs/>
                <w:color w:val="auto"/>
                <w:sz w:val="24"/>
              </w:rPr>
              <w:t>水泵、备用</w:t>
            </w:r>
            <w:r>
              <w:rPr>
                <w:rFonts w:hint="eastAsia"/>
                <w:bCs/>
                <w:color w:val="auto"/>
                <w:sz w:val="24"/>
              </w:rPr>
              <w:t>柴油</w:t>
            </w:r>
            <w:r>
              <w:rPr>
                <w:bCs/>
                <w:color w:val="auto"/>
                <w:sz w:val="24"/>
              </w:rPr>
              <w:t>发电机</w:t>
            </w:r>
            <w:r>
              <w:rPr>
                <w:rFonts w:hint="eastAsia"/>
                <w:bCs/>
                <w:color w:val="auto"/>
                <w:sz w:val="24"/>
              </w:rPr>
              <w:t>等</w:t>
            </w:r>
            <w:bookmarkEnd w:id="50"/>
            <w:r>
              <w:rPr>
                <w:rFonts w:hint="eastAsia"/>
                <w:bCs/>
                <w:color w:val="auto"/>
                <w:sz w:val="24"/>
              </w:rPr>
              <w:t>，其噪声源强及治理措施详见下表</w:t>
            </w:r>
            <w:r>
              <w:rPr>
                <w:bCs/>
                <w:color w:val="auto"/>
                <w:sz w:val="24"/>
              </w:rPr>
              <w:t>。</w:t>
            </w:r>
          </w:p>
          <w:p w14:paraId="1575A441">
            <w:pPr>
              <w:tabs>
                <w:tab w:val="left" w:pos="1700"/>
              </w:tabs>
              <w:spacing w:line="360" w:lineRule="auto"/>
              <w:ind w:firstLine="482" w:firstLineChars="200"/>
              <w:jc w:val="center"/>
              <w:rPr>
                <w:b/>
                <w:color w:val="auto"/>
                <w:kern w:val="24"/>
                <w:sz w:val="24"/>
              </w:rPr>
            </w:pPr>
            <w:r>
              <w:rPr>
                <w:rFonts w:hint="eastAsia"/>
                <w:b/>
                <w:color w:val="auto"/>
                <w:kern w:val="24"/>
                <w:sz w:val="24"/>
              </w:rPr>
              <w:t>表2-31现有项目主要设备噪声源强及治理措施表</w:t>
            </w:r>
          </w:p>
          <w:tbl>
            <w:tblPr>
              <w:tblStyle w:val="33"/>
              <w:tblW w:w="80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0"/>
              <w:gridCol w:w="1635"/>
              <w:gridCol w:w="952"/>
              <w:gridCol w:w="956"/>
              <w:gridCol w:w="1599"/>
              <w:gridCol w:w="1584"/>
            </w:tblGrid>
            <w:tr w14:paraId="5E506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330" w:type="dxa"/>
                  <w:vAlign w:val="center"/>
                </w:tcPr>
                <w:p w14:paraId="5D2B0AEF">
                  <w:pPr>
                    <w:autoSpaceDE w:val="0"/>
                    <w:autoSpaceDN w:val="0"/>
                    <w:jc w:val="center"/>
                    <w:rPr>
                      <w:b/>
                      <w:color w:val="auto"/>
                      <w:kern w:val="0"/>
                      <w:szCs w:val="21"/>
                    </w:rPr>
                  </w:pPr>
                  <w:r>
                    <w:rPr>
                      <w:rFonts w:hAnsi="宋体"/>
                      <w:b/>
                      <w:color w:val="auto"/>
                      <w:kern w:val="0"/>
                      <w:szCs w:val="21"/>
                    </w:rPr>
                    <w:t>位置</w:t>
                  </w:r>
                </w:p>
              </w:tc>
              <w:tc>
                <w:tcPr>
                  <w:tcW w:w="1635" w:type="dxa"/>
                  <w:vAlign w:val="center"/>
                </w:tcPr>
                <w:p w14:paraId="574F4AF0">
                  <w:pPr>
                    <w:autoSpaceDE w:val="0"/>
                    <w:autoSpaceDN w:val="0"/>
                    <w:jc w:val="center"/>
                    <w:rPr>
                      <w:b/>
                      <w:color w:val="auto"/>
                      <w:kern w:val="0"/>
                      <w:szCs w:val="21"/>
                    </w:rPr>
                  </w:pPr>
                  <w:r>
                    <w:rPr>
                      <w:rFonts w:hAnsi="宋体"/>
                      <w:b/>
                      <w:color w:val="auto"/>
                      <w:kern w:val="0"/>
                      <w:szCs w:val="21"/>
                    </w:rPr>
                    <w:t>噪声源</w:t>
                  </w:r>
                </w:p>
              </w:tc>
              <w:tc>
                <w:tcPr>
                  <w:tcW w:w="952" w:type="dxa"/>
                  <w:vAlign w:val="center"/>
                </w:tcPr>
                <w:p w14:paraId="17FACA68">
                  <w:pPr>
                    <w:autoSpaceDE w:val="0"/>
                    <w:autoSpaceDN w:val="0"/>
                    <w:jc w:val="center"/>
                    <w:rPr>
                      <w:b/>
                      <w:color w:val="auto"/>
                      <w:kern w:val="0"/>
                      <w:szCs w:val="21"/>
                    </w:rPr>
                  </w:pPr>
                  <w:r>
                    <w:rPr>
                      <w:rFonts w:hAnsi="宋体"/>
                      <w:b/>
                      <w:color w:val="auto"/>
                      <w:kern w:val="0"/>
                      <w:szCs w:val="21"/>
                    </w:rPr>
                    <w:t>噪声级</w:t>
                  </w:r>
                  <w:r>
                    <w:rPr>
                      <w:b/>
                      <w:color w:val="auto"/>
                      <w:kern w:val="24"/>
                      <w:szCs w:val="21"/>
                    </w:rPr>
                    <w:t>dB(A)</w:t>
                  </w:r>
                </w:p>
              </w:tc>
              <w:tc>
                <w:tcPr>
                  <w:tcW w:w="956" w:type="dxa"/>
                  <w:vAlign w:val="center"/>
                </w:tcPr>
                <w:p w14:paraId="0B33BCDE">
                  <w:pPr>
                    <w:tabs>
                      <w:tab w:val="left" w:pos="1700"/>
                    </w:tabs>
                    <w:jc w:val="center"/>
                    <w:rPr>
                      <w:b/>
                      <w:color w:val="auto"/>
                      <w:kern w:val="24"/>
                      <w:szCs w:val="21"/>
                    </w:rPr>
                  </w:pPr>
                  <w:r>
                    <w:rPr>
                      <w:rFonts w:hAnsi="宋体"/>
                      <w:b/>
                      <w:color w:val="auto"/>
                      <w:kern w:val="24"/>
                      <w:szCs w:val="21"/>
                    </w:rPr>
                    <w:t>性质</w:t>
                  </w:r>
                </w:p>
              </w:tc>
              <w:tc>
                <w:tcPr>
                  <w:tcW w:w="1599" w:type="dxa"/>
                  <w:vAlign w:val="center"/>
                </w:tcPr>
                <w:p w14:paraId="5AE15641">
                  <w:pPr>
                    <w:autoSpaceDE w:val="0"/>
                    <w:autoSpaceDN w:val="0"/>
                    <w:jc w:val="center"/>
                    <w:rPr>
                      <w:b/>
                      <w:color w:val="auto"/>
                      <w:kern w:val="0"/>
                      <w:szCs w:val="21"/>
                    </w:rPr>
                  </w:pPr>
                  <w:r>
                    <w:rPr>
                      <w:rFonts w:hAnsi="宋体"/>
                      <w:b/>
                      <w:color w:val="auto"/>
                      <w:kern w:val="0"/>
                      <w:szCs w:val="21"/>
                    </w:rPr>
                    <w:t>治理措施</w:t>
                  </w:r>
                </w:p>
              </w:tc>
              <w:tc>
                <w:tcPr>
                  <w:tcW w:w="1584" w:type="dxa"/>
                  <w:vAlign w:val="center"/>
                </w:tcPr>
                <w:p w14:paraId="11B6F201">
                  <w:pPr>
                    <w:autoSpaceDE w:val="0"/>
                    <w:autoSpaceDN w:val="0"/>
                    <w:jc w:val="center"/>
                    <w:rPr>
                      <w:b/>
                      <w:color w:val="auto"/>
                      <w:kern w:val="0"/>
                      <w:szCs w:val="21"/>
                    </w:rPr>
                  </w:pPr>
                  <w:r>
                    <w:rPr>
                      <w:rFonts w:hAnsi="宋体"/>
                      <w:b/>
                      <w:color w:val="auto"/>
                      <w:kern w:val="0"/>
                      <w:szCs w:val="21"/>
                    </w:rPr>
                    <w:t>降噪后噪声</w:t>
                  </w:r>
                </w:p>
                <w:p w14:paraId="326EC38A">
                  <w:pPr>
                    <w:autoSpaceDE w:val="0"/>
                    <w:autoSpaceDN w:val="0"/>
                    <w:jc w:val="center"/>
                    <w:rPr>
                      <w:b/>
                      <w:color w:val="auto"/>
                      <w:kern w:val="0"/>
                      <w:szCs w:val="21"/>
                    </w:rPr>
                  </w:pPr>
                  <w:r>
                    <w:rPr>
                      <w:b/>
                      <w:color w:val="auto"/>
                      <w:kern w:val="24"/>
                      <w:szCs w:val="21"/>
                    </w:rPr>
                    <w:t>dB(A)</w:t>
                  </w:r>
                </w:p>
              </w:tc>
            </w:tr>
            <w:tr w14:paraId="583F9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1330" w:type="dxa"/>
                  <w:vAlign w:val="center"/>
                </w:tcPr>
                <w:p w14:paraId="4CB1641F">
                  <w:pPr>
                    <w:autoSpaceDE w:val="0"/>
                    <w:autoSpaceDN w:val="0"/>
                    <w:jc w:val="center"/>
                    <w:rPr>
                      <w:color w:val="auto"/>
                      <w:kern w:val="0"/>
                      <w:szCs w:val="21"/>
                    </w:rPr>
                  </w:pPr>
                  <w:r>
                    <w:rPr>
                      <w:rFonts w:hAnsi="宋体"/>
                      <w:color w:val="auto"/>
                      <w:kern w:val="0"/>
                      <w:szCs w:val="21"/>
                    </w:rPr>
                    <w:t>污水处理系统</w:t>
                  </w:r>
                </w:p>
              </w:tc>
              <w:tc>
                <w:tcPr>
                  <w:tcW w:w="1635" w:type="dxa"/>
                  <w:vAlign w:val="center"/>
                </w:tcPr>
                <w:p w14:paraId="4C5AC5FD">
                  <w:pPr>
                    <w:autoSpaceDE w:val="0"/>
                    <w:autoSpaceDN w:val="0"/>
                    <w:jc w:val="center"/>
                    <w:rPr>
                      <w:color w:val="auto"/>
                      <w:kern w:val="0"/>
                      <w:szCs w:val="21"/>
                    </w:rPr>
                  </w:pPr>
                  <w:r>
                    <w:rPr>
                      <w:rFonts w:hAnsi="宋体"/>
                      <w:color w:val="auto"/>
                      <w:kern w:val="0"/>
                      <w:szCs w:val="21"/>
                    </w:rPr>
                    <w:t>水泵</w:t>
                  </w:r>
                </w:p>
              </w:tc>
              <w:tc>
                <w:tcPr>
                  <w:tcW w:w="952" w:type="dxa"/>
                  <w:vAlign w:val="center"/>
                </w:tcPr>
                <w:p w14:paraId="516A54C0">
                  <w:pPr>
                    <w:autoSpaceDE w:val="0"/>
                    <w:autoSpaceDN w:val="0"/>
                    <w:jc w:val="center"/>
                    <w:rPr>
                      <w:color w:val="auto"/>
                      <w:kern w:val="0"/>
                      <w:szCs w:val="21"/>
                    </w:rPr>
                  </w:pPr>
                  <w:r>
                    <w:rPr>
                      <w:rFonts w:hint="eastAsia"/>
                      <w:color w:val="auto"/>
                      <w:kern w:val="0"/>
                      <w:szCs w:val="21"/>
                    </w:rPr>
                    <w:t>85</w:t>
                  </w:r>
                </w:p>
              </w:tc>
              <w:tc>
                <w:tcPr>
                  <w:tcW w:w="956" w:type="dxa"/>
                  <w:vAlign w:val="center"/>
                </w:tcPr>
                <w:p w14:paraId="77421B6B">
                  <w:pPr>
                    <w:tabs>
                      <w:tab w:val="left" w:pos="1700"/>
                    </w:tabs>
                    <w:jc w:val="center"/>
                    <w:rPr>
                      <w:color w:val="auto"/>
                      <w:kern w:val="24"/>
                      <w:szCs w:val="21"/>
                    </w:rPr>
                  </w:pPr>
                  <w:r>
                    <w:rPr>
                      <w:rFonts w:hAnsi="宋体"/>
                      <w:color w:val="auto"/>
                      <w:kern w:val="24"/>
                      <w:szCs w:val="21"/>
                    </w:rPr>
                    <w:t>连续</w:t>
                  </w:r>
                </w:p>
              </w:tc>
              <w:tc>
                <w:tcPr>
                  <w:tcW w:w="1599" w:type="dxa"/>
                  <w:vAlign w:val="center"/>
                </w:tcPr>
                <w:p w14:paraId="3E22D7A0">
                  <w:pPr>
                    <w:autoSpaceDE w:val="0"/>
                    <w:autoSpaceDN w:val="0"/>
                    <w:jc w:val="center"/>
                    <w:rPr>
                      <w:color w:val="auto"/>
                      <w:kern w:val="0"/>
                      <w:szCs w:val="21"/>
                    </w:rPr>
                  </w:pPr>
                  <w:r>
                    <w:rPr>
                      <w:rFonts w:hint="eastAsia"/>
                      <w:color w:val="auto"/>
                      <w:kern w:val="0"/>
                      <w:szCs w:val="21"/>
                    </w:rPr>
                    <w:t>基础减震，置于封闭环境内</w:t>
                  </w:r>
                </w:p>
              </w:tc>
              <w:tc>
                <w:tcPr>
                  <w:tcW w:w="1584" w:type="dxa"/>
                  <w:vAlign w:val="center"/>
                </w:tcPr>
                <w:p w14:paraId="59B6E36C">
                  <w:pPr>
                    <w:autoSpaceDE w:val="0"/>
                    <w:autoSpaceDN w:val="0"/>
                    <w:jc w:val="center"/>
                    <w:rPr>
                      <w:color w:val="auto"/>
                      <w:kern w:val="0"/>
                      <w:szCs w:val="21"/>
                    </w:rPr>
                  </w:pPr>
                  <w:r>
                    <w:rPr>
                      <w:rFonts w:hint="eastAsia"/>
                      <w:color w:val="auto"/>
                      <w:kern w:val="0"/>
                      <w:szCs w:val="21"/>
                    </w:rPr>
                    <w:t>70</w:t>
                  </w:r>
                </w:p>
              </w:tc>
            </w:tr>
            <w:tr w14:paraId="08B43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1330" w:type="dxa"/>
                  <w:vAlign w:val="center"/>
                </w:tcPr>
                <w:p w14:paraId="1BCFD4A6">
                  <w:pPr>
                    <w:autoSpaceDE w:val="0"/>
                    <w:autoSpaceDN w:val="0"/>
                    <w:jc w:val="center"/>
                    <w:rPr>
                      <w:color w:val="auto"/>
                      <w:kern w:val="0"/>
                      <w:szCs w:val="21"/>
                    </w:rPr>
                  </w:pPr>
                  <w:r>
                    <w:rPr>
                      <w:rFonts w:hAnsi="宋体"/>
                      <w:bCs/>
                      <w:color w:val="auto"/>
                      <w:kern w:val="0"/>
                      <w:szCs w:val="21"/>
                    </w:rPr>
                    <w:t>发电机</w:t>
                  </w:r>
                  <w:r>
                    <w:rPr>
                      <w:rFonts w:hint="eastAsia" w:hAnsi="宋体"/>
                      <w:bCs/>
                      <w:color w:val="auto"/>
                      <w:kern w:val="0"/>
                      <w:szCs w:val="21"/>
                    </w:rPr>
                    <w:t>房</w:t>
                  </w:r>
                </w:p>
              </w:tc>
              <w:tc>
                <w:tcPr>
                  <w:tcW w:w="1635" w:type="dxa"/>
                  <w:vAlign w:val="center"/>
                </w:tcPr>
                <w:p w14:paraId="0F1D9F34">
                  <w:pPr>
                    <w:autoSpaceDE w:val="0"/>
                    <w:autoSpaceDN w:val="0"/>
                    <w:jc w:val="center"/>
                    <w:rPr>
                      <w:color w:val="auto"/>
                      <w:kern w:val="0"/>
                      <w:szCs w:val="21"/>
                    </w:rPr>
                  </w:pPr>
                  <w:r>
                    <w:rPr>
                      <w:rFonts w:hAnsi="宋体"/>
                      <w:bCs/>
                      <w:color w:val="auto"/>
                      <w:kern w:val="0"/>
                      <w:szCs w:val="21"/>
                    </w:rPr>
                    <w:t>备用</w:t>
                  </w:r>
                  <w:r>
                    <w:rPr>
                      <w:rFonts w:hint="eastAsia" w:hAnsi="宋体"/>
                      <w:bCs/>
                      <w:color w:val="auto"/>
                      <w:kern w:val="0"/>
                      <w:szCs w:val="21"/>
                    </w:rPr>
                    <w:t>柴油</w:t>
                  </w:r>
                  <w:r>
                    <w:rPr>
                      <w:rFonts w:hAnsi="宋体"/>
                      <w:bCs/>
                      <w:color w:val="auto"/>
                      <w:kern w:val="0"/>
                      <w:szCs w:val="21"/>
                    </w:rPr>
                    <w:t>发电机</w:t>
                  </w:r>
                </w:p>
              </w:tc>
              <w:tc>
                <w:tcPr>
                  <w:tcW w:w="952" w:type="dxa"/>
                  <w:vAlign w:val="center"/>
                </w:tcPr>
                <w:p w14:paraId="7E713885">
                  <w:pPr>
                    <w:autoSpaceDE w:val="0"/>
                    <w:autoSpaceDN w:val="0"/>
                    <w:jc w:val="center"/>
                    <w:rPr>
                      <w:color w:val="auto"/>
                      <w:kern w:val="0"/>
                      <w:szCs w:val="21"/>
                    </w:rPr>
                  </w:pPr>
                  <w:r>
                    <w:rPr>
                      <w:rFonts w:hint="eastAsia"/>
                      <w:color w:val="auto"/>
                      <w:kern w:val="0"/>
                      <w:szCs w:val="21"/>
                    </w:rPr>
                    <w:t>85</w:t>
                  </w:r>
                </w:p>
              </w:tc>
              <w:tc>
                <w:tcPr>
                  <w:tcW w:w="956" w:type="dxa"/>
                  <w:vAlign w:val="center"/>
                </w:tcPr>
                <w:p w14:paraId="58925414">
                  <w:pPr>
                    <w:tabs>
                      <w:tab w:val="left" w:pos="1700"/>
                    </w:tabs>
                    <w:jc w:val="center"/>
                    <w:rPr>
                      <w:color w:val="auto"/>
                      <w:kern w:val="24"/>
                      <w:szCs w:val="21"/>
                    </w:rPr>
                  </w:pPr>
                  <w:r>
                    <w:rPr>
                      <w:rFonts w:hAnsi="宋体"/>
                      <w:color w:val="auto"/>
                      <w:kern w:val="24"/>
                      <w:szCs w:val="21"/>
                    </w:rPr>
                    <w:t>连续</w:t>
                  </w:r>
                </w:p>
              </w:tc>
              <w:tc>
                <w:tcPr>
                  <w:tcW w:w="1599" w:type="dxa"/>
                  <w:vAlign w:val="center"/>
                </w:tcPr>
                <w:p w14:paraId="00B07696">
                  <w:pPr>
                    <w:autoSpaceDE w:val="0"/>
                    <w:autoSpaceDN w:val="0"/>
                    <w:jc w:val="center"/>
                    <w:rPr>
                      <w:color w:val="auto"/>
                      <w:kern w:val="0"/>
                      <w:szCs w:val="21"/>
                    </w:rPr>
                  </w:pPr>
                  <w:r>
                    <w:rPr>
                      <w:rFonts w:hint="eastAsia"/>
                      <w:color w:val="auto"/>
                      <w:kern w:val="0"/>
                      <w:szCs w:val="21"/>
                    </w:rPr>
                    <w:t>基础减震，置于</w:t>
                  </w:r>
                  <w:r>
                    <w:rPr>
                      <w:rFonts w:hAnsi="宋体"/>
                      <w:color w:val="auto"/>
                      <w:kern w:val="0"/>
                      <w:szCs w:val="21"/>
                    </w:rPr>
                    <w:t>独立</w:t>
                  </w:r>
                  <w:r>
                    <w:rPr>
                      <w:rFonts w:hint="eastAsia"/>
                      <w:color w:val="auto"/>
                      <w:kern w:val="0"/>
                      <w:szCs w:val="21"/>
                    </w:rPr>
                    <w:t>机</w:t>
                  </w:r>
                  <w:r>
                    <w:rPr>
                      <w:rFonts w:hAnsi="宋体"/>
                      <w:color w:val="auto"/>
                      <w:kern w:val="0"/>
                      <w:szCs w:val="21"/>
                    </w:rPr>
                    <w:t>房</w:t>
                  </w:r>
                  <w:r>
                    <w:rPr>
                      <w:rFonts w:hint="eastAsia"/>
                      <w:color w:val="auto"/>
                      <w:kern w:val="0"/>
                      <w:szCs w:val="21"/>
                    </w:rPr>
                    <w:t>内</w:t>
                  </w:r>
                </w:p>
              </w:tc>
              <w:tc>
                <w:tcPr>
                  <w:tcW w:w="1584" w:type="dxa"/>
                  <w:vAlign w:val="center"/>
                </w:tcPr>
                <w:p w14:paraId="0CC1FA83">
                  <w:pPr>
                    <w:autoSpaceDE w:val="0"/>
                    <w:autoSpaceDN w:val="0"/>
                    <w:jc w:val="center"/>
                    <w:rPr>
                      <w:color w:val="auto"/>
                      <w:kern w:val="0"/>
                      <w:szCs w:val="21"/>
                    </w:rPr>
                  </w:pPr>
                  <w:r>
                    <w:rPr>
                      <w:rFonts w:hint="eastAsia"/>
                      <w:color w:val="auto"/>
                      <w:kern w:val="0"/>
                      <w:szCs w:val="21"/>
                    </w:rPr>
                    <w:t>70</w:t>
                  </w:r>
                </w:p>
              </w:tc>
            </w:tr>
          </w:tbl>
          <w:p w14:paraId="04F7B593">
            <w:pPr>
              <w:pStyle w:val="8"/>
              <w:adjustRightInd w:val="0"/>
              <w:snapToGrid w:val="0"/>
              <w:spacing w:line="360" w:lineRule="auto"/>
              <w:ind w:firstLine="417" w:firstLineChars="174"/>
              <w:rPr>
                <w:color w:val="auto"/>
              </w:rPr>
            </w:pPr>
            <w:r>
              <w:rPr>
                <w:rFonts w:hint="eastAsia" w:ascii="宋体" w:hAnsi="宋体" w:cs="宋体"/>
                <w:color w:val="auto"/>
              </w:rPr>
              <w:t>为了解现有项目噪声环境现状，建设单位于</w:t>
            </w:r>
            <w:bookmarkStart w:id="51" w:name="_Hlk192169603"/>
            <w:r>
              <w:rPr>
                <w:rFonts w:hint="eastAsia" w:ascii="宋体" w:hAnsi="宋体" w:cs="宋体"/>
                <w:color w:val="auto"/>
              </w:rPr>
              <w:t>2024年10月23日委托云南科环环境工程咨询有限公司对现有项目厂界</w:t>
            </w:r>
            <w:bookmarkEnd w:id="51"/>
            <w:r>
              <w:rPr>
                <w:rFonts w:hint="eastAsia" w:ascii="宋体" w:hAnsi="宋体" w:cs="宋体"/>
                <w:color w:val="auto"/>
              </w:rPr>
              <w:t>进行了现状监测，监测结果见下表，监测报告见附件10。</w:t>
            </w:r>
          </w:p>
          <w:p w14:paraId="2DFD7459">
            <w:pPr>
              <w:pStyle w:val="58"/>
              <w:adjustRightInd/>
              <w:spacing w:line="360" w:lineRule="auto"/>
              <w:ind w:firstLine="482" w:firstLineChars="200"/>
              <w:jc w:val="center"/>
              <w:rPr>
                <w:rFonts w:ascii="Times New Roman" w:eastAsia="宋体" w:cs="Times New Roman"/>
                <w:b/>
                <w:bCs/>
                <w:color w:val="auto"/>
              </w:rPr>
            </w:pPr>
            <w:r>
              <w:rPr>
                <w:rFonts w:hint="eastAsia" w:ascii="Times New Roman" w:eastAsia="宋体" w:cs="Times New Roman"/>
                <w:b/>
                <w:bCs/>
                <w:color w:val="auto"/>
              </w:rPr>
              <w:t>表2-32 现有项目厂界噪声监测结果表</w:t>
            </w:r>
            <w:r>
              <w:rPr>
                <w:rFonts w:hint="eastAsia" w:ascii="Times New Roman" w:eastAsia="宋体" w:cs="Times New Roman"/>
                <w:b/>
                <w:bCs/>
                <w:color w:val="auto"/>
              </w:rPr>
              <w:tab/>
            </w:r>
            <w:r>
              <w:rPr>
                <w:rFonts w:hint="eastAsia" w:ascii="Times New Roman" w:eastAsia="宋体" w:cs="Times New Roman"/>
                <w:b/>
                <w:bCs/>
                <w:color w:val="auto"/>
              </w:rPr>
              <w:t>单位：dB（A）</w:t>
            </w:r>
          </w:p>
          <w:tbl>
            <w:tblPr>
              <w:tblStyle w:val="33"/>
              <w:tblW w:w="8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988"/>
              <w:gridCol w:w="1308"/>
              <w:gridCol w:w="1148"/>
              <w:gridCol w:w="1148"/>
              <w:gridCol w:w="1148"/>
              <w:gridCol w:w="1148"/>
            </w:tblGrid>
            <w:tr w14:paraId="6755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148" w:type="dxa"/>
                  <w:vAlign w:val="center"/>
                </w:tcPr>
                <w:p w14:paraId="6F655568">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r>
                    <w:rPr>
                      <w:rFonts w:hint="eastAsia" w:ascii="宋体" w:hAnsi="宋体" w:cs="宋体"/>
                      <w:b/>
                      <w:bCs/>
                      <w:color w:val="auto"/>
                      <w:sz w:val="21"/>
                      <w:szCs w:val="21"/>
                    </w:rPr>
                    <w:t>分区</w:t>
                  </w:r>
                </w:p>
              </w:tc>
              <w:tc>
                <w:tcPr>
                  <w:tcW w:w="988" w:type="dxa"/>
                  <w:vAlign w:val="center"/>
                </w:tcPr>
                <w:p w14:paraId="1D8A5B86">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监测点位</w:t>
                  </w:r>
                </w:p>
              </w:tc>
              <w:tc>
                <w:tcPr>
                  <w:tcW w:w="1308" w:type="dxa"/>
                  <w:vAlign w:val="center"/>
                </w:tcPr>
                <w:p w14:paraId="5FE5F2BA">
                  <w:pPr>
                    <w:autoSpaceDE w:val="0"/>
                    <w:autoSpaceDN w:val="0"/>
                    <w:adjustRightInd w:val="0"/>
                    <w:snapToGrid w:val="0"/>
                    <w:jc w:val="center"/>
                    <w:rPr>
                      <w:rFonts w:hint="eastAsia" w:ascii="宋体" w:hAnsi="宋体" w:cs="宋体"/>
                      <w:b/>
                      <w:bCs/>
                      <w:color w:val="auto"/>
                      <w:szCs w:val="21"/>
                    </w:rPr>
                  </w:pPr>
                  <w:r>
                    <w:rPr>
                      <w:rFonts w:hint="eastAsia" w:ascii="宋体" w:hAnsi="宋体" w:cs="宋体"/>
                      <w:color w:val="auto"/>
                      <w:szCs w:val="21"/>
                    </w:rPr>
                    <w:t>检测日期</w:t>
                  </w:r>
                </w:p>
              </w:tc>
              <w:tc>
                <w:tcPr>
                  <w:tcW w:w="1148" w:type="dxa"/>
                  <w:vAlign w:val="center"/>
                </w:tcPr>
                <w:p w14:paraId="139DBB9D">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时段</w:t>
                  </w:r>
                </w:p>
              </w:tc>
              <w:tc>
                <w:tcPr>
                  <w:tcW w:w="1148" w:type="dxa"/>
                  <w:vAlign w:val="center"/>
                </w:tcPr>
                <w:p w14:paraId="25333B0C">
                  <w:pPr>
                    <w:autoSpaceDE w:val="0"/>
                    <w:autoSpaceDN w:val="0"/>
                    <w:adjustRightInd w:val="0"/>
                    <w:snapToGrid w:val="0"/>
                    <w:jc w:val="center"/>
                    <w:rPr>
                      <w:rFonts w:hint="eastAsia" w:ascii="宋体" w:hAnsi="宋体" w:cs="宋体"/>
                      <w:b/>
                      <w:bCs/>
                      <w:color w:val="auto"/>
                      <w:szCs w:val="21"/>
                    </w:rPr>
                  </w:pPr>
                  <w:r>
                    <w:rPr>
                      <w:bCs/>
                      <w:color w:val="auto"/>
                      <w:szCs w:val="21"/>
                    </w:rPr>
                    <w:t>昼间等效声级 (Leq)</w:t>
                  </w:r>
                </w:p>
              </w:tc>
              <w:tc>
                <w:tcPr>
                  <w:tcW w:w="1148" w:type="dxa"/>
                  <w:vAlign w:val="center"/>
                </w:tcPr>
                <w:p w14:paraId="396CFA00">
                  <w:pPr>
                    <w:autoSpaceDE w:val="0"/>
                    <w:autoSpaceDN w:val="0"/>
                    <w:adjustRightInd w:val="0"/>
                    <w:snapToGrid w:val="0"/>
                    <w:jc w:val="center"/>
                    <w:rPr>
                      <w:rFonts w:hint="eastAsia" w:ascii="宋体" w:hAnsi="宋体" w:cs="宋体"/>
                      <w:color w:val="auto"/>
                      <w:szCs w:val="21"/>
                    </w:rPr>
                  </w:pPr>
                  <w:r>
                    <w:rPr>
                      <w:rFonts w:hint="eastAsia"/>
                      <w:color w:val="auto"/>
                      <w:szCs w:val="21"/>
                    </w:rPr>
                    <w:t>标准值</w:t>
                  </w:r>
                </w:p>
              </w:tc>
              <w:tc>
                <w:tcPr>
                  <w:tcW w:w="1148" w:type="dxa"/>
                  <w:vAlign w:val="center"/>
                </w:tcPr>
                <w:p w14:paraId="24BFA625">
                  <w:pPr>
                    <w:autoSpaceDE w:val="0"/>
                    <w:autoSpaceDN w:val="0"/>
                    <w:adjustRightInd w:val="0"/>
                    <w:snapToGrid w:val="0"/>
                    <w:jc w:val="center"/>
                    <w:rPr>
                      <w:rFonts w:hint="eastAsia" w:ascii="宋体" w:hAnsi="宋体" w:cs="宋体"/>
                      <w:color w:val="auto"/>
                      <w:szCs w:val="21"/>
                    </w:rPr>
                  </w:pPr>
                  <w:r>
                    <w:rPr>
                      <w:rFonts w:hint="eastAsia"/>
                      <w:color w:val="auto"/>
                      <w:szCs w:val="21"/>
                    </w:rPr>
                    <w:t>是否达标</w:t>
                  </w:r>
                </w:p>
              </w:tc>
            </w:tr>
            <w:tr w14:paraId="6AF9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restart"/>
                  <w:vAlign w:val="center"/>
                </w:tcPr>
                <w:p w14:paraId="5DB1C3FE">
                  <w:pPr>
                    <w:autoSpaceDE w:val="0"/>
                    <w:autoSpaceDN w:val="0"/>
                    <w:adjustRightInd w:val="0"/>
                    <w:snapToGrid w:val="0"/>
                    <w:jc w:val="center"/>
                    <w:rPr>
                      <w:rFonts w:hint="eastAsia" w:ascii="宋体" w:hAnsi="宋体" w:cs="宋体"/>
                      <w:b/>
                      <w:bCs/>
                      <w:color w:val="auto"/>
                      <w:szCs w:val="21"/>
                    </w:rPr>
                  </w:pPr>
                  <w:r>
                    <w:rPr>
                      <w:rFonts w:hint="eastAsia" w:ascii="宋体" w:hAnsi="宋体" w:cs="宋体"/>
                      <w:color w:val="auto"/>
                      <w:szCs w:val="21"/>
                    </w:rPr>
                    <w:t>纳古卫生院</w:t>
                  </w:r>
                </w:p>
              </w:tc>
              <w:tc>
                <w:tcPr>
                  <w:tcW w:w="988" w:type="dxa"/>
                  <w:vMerge w:val="restart"/>
                  <w:vAlign w:val="center"/>
                </w:tcPr>
                <w:p w14:paraId="07B8BF65">
                  <w:pPr>
                    <w:autoSpaceDE w:val="0"/>
                    <w:autoSpaceDN w:val="0"/>
                    <w:adjustRightInd w:val="0"/>
                    <w:snapToGrid w:val="0"/>
                    <w:jc w:val="center"/>
                    <w:rPr>
                      <w:bCs/>
                      <w:color w:val="auto"/>
                      <w:szCs w:val="21"/>
                    </w:rPr>
                  </w:pPr>
                  <w:r>
                    <w:rPr>
                      <w:bCs/>
                      <w:color w:val="auto"/>
                      <w:szCs w:val="21"/>
                    </w:rPr>
                    <w:t>厂界西</w:t>
                  </w:r>
                </w:p>
              </w:tc>
              <w:tc>
                <w:tcPr>
                  <w:tcW w:w="1308" w:type="dxa"/>
                  <w:vAlign w:val="center"/>
                </w:tcPr>
                <w:p w14:paraId="55932A2E">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09C61229">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0EB37482">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51</w:t>
                  </w:r>
                </w:p>
              </w:tc>
              <w:tc>
                <w:tcPr>
                  <w:tcW w:w="1148" w:type="dxa"/>
                  <w:vAlign w:val="center"/>
                </w:tcPr>
                <w:p w14:paraId="158948E4">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4EBE0601">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是</w:t>
                  </w:r>
                </w:p>
              </w:tc>
            </w:tr>
            <w:tr w14:paraId="068B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74C76E8D">
                  <w:pPr>
                    <w:autoSpaceDE w:val="0"/>
                    <w:autoSpaceDN w:val="0"/>
                    <w:adjustRightInd w:val="0"/>
                    <w:snapToGrid w:val="0"/>
                    <w:jc w:val="center"/>
                    <w:rPr>
                      <w:rFonts w:hint="eastAsia" w:ascii="宋体" w:hAnsi="宋体" w:cs="宋体"/>
                      <w:bCs/>
                      <w:color w:val="auto"/>
                      <w:szCs w:val="21"/>
                    </w:rPr>
                  </w:pPr>
                </w:p>
              </w:tc>
              <w:tc>
                <w:tcPr>
                  <w:tcW w:w="988" w:type="dxa"/>
                  <w:vMerge w:val="continue"/>
                  <w:vAlign w:val="center"/>
                </w:tcPr>
                <w:p w14:paraId="21E90A64">
                  <w:pPr>
                    <w:autoSpaceDE w:val="0"/>
                    <w:autoSpaceDN w:val="0"/>
                    <w:adjustRightInd w:val="0"/>
                    <w:snapToGrid w:val="0"/>
                    <w:jc w:val="center"/>
                    <w:rPr>
                      <w:rFonts w:hint="eastAsia" w:ascii="宋体" w:hAnsi="宋体" w:cs="宋体"/>
                      <w:b/>
                      <w:bCs/>
                      <w:color w:val="auto"/>
                      <w:szCs w:val="21"/>
                    </w:rPr>
                  </w:pPr>
                </w:p>
              </w:tc>
              <w:tc>
                <w:tcPr>
                  <w:tcW w:w="1308" w:type="dxa"/>
                  <w:vAlign w:val="center"/>
                </w:tcPr>
                <w:p w14:paraId="044058DA">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339D515A">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3546BF57">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40</w:t>
                  </w:r>
                </w:p>
              </w:tc>
              <w:tc>
                <w:tcPr>
                  <w:tcW w:w="1148" w:type="dxa"/>
                  <w:vAlign w:val="center"/>
                </w:tcPr>
                <w:p w14:paraId="762737AE">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59900E9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6768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3239D3C1">
                  <w:pPr>
                    <w:autoSpaceDE w:val="0"/>
                    <w:autoSpaceDN w:val="0"/>
                    <w:adjustRightInd w:val="0"/>
                    <w:snapToGrid w:val="0"/>
                    <w:jc w:val="center"/>
                    <w:rPr>
                      <w:rFonts w:hint="eastAsia" w:ascii="宋体" w:hAnsi="宋体" w:cs="宋体"/>
                      <w:b/>
                      <w:bCs/>
                      <w:color w:val="auto"/>
                      <w:szCs w:val="21"/>
                    </w:rPr>
                  </w:pPr>
                </w:p>
              </w:tc>
              <w:tc>
                <w:tcPr>
                  <w:tcW w:w="988" w:type="dxa"/>
                  <w:vMerge w:val="restart"/>
                  <w:vAlign w:val="center"/>
                </w:tcPr>
                <w:p w14:paraId="6F7D5DF7">
                  <w:pPr>
                    <w:adjustRightInd w:val="0"/>
                    <w:snapToGrid w:val="0"/>
                    <w:jc w:val="center"/>
                    <w:textAlignment w:val="baseline"/>
                    <w:rPr>
                      <w:bCs/>
                      <w:color w:val="auto"/>
                      <w:szCs w:val="21"/>
                    </w:rPr>
                  </w:pPr>
                  <w:r>
                    <w:rPr>
                      <w:bCs/>
                      <w:color w:val="auto"/>
                      <w:szCs w:val="21"/>
                    </w:rPr>
                    <w:t>厂界北</w:t>
                  </w:r>
                </w:p>
              </w:tc>
              <w:tc>
                <w:tcPr>
                  <w:tcW w:w="1308" w:type="dxa"/>
                  <w:vAlign w:val="center"/>
                </w:tcPr>
                <w:p w14:paraId="378AB82E">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5FC88278">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2A42138E">
                  <w:pPr>
                    <w:adjustRightInd w:val="0"/>
                    <w:snapToGrid w:val="0"/>
                    <w:jc w:val="center"/>
                    <w:textAlignment w:val="baseline"/>
                    <w:rPr>
                      <w:rFonts w:hint="eastAsia" w:ascii="宋体" w:hAnsi="宋体" w:cs="宋体"/>
                      <w:b/>
                      <w:bCs/>
                      <w:color w:val="auto"/>
                      <w:szCs w:val="21"/>
                    </w:rPr>
                  </w:pPr>
                  <w:r>
                    <w:rPr>
                      <w:rFonts w:hint="eastAsia"/>
                      <w:bCs/>
                      <w:color w:val="auto"/>
                      <w:szCs w:val="21"/>
                    </w:rPr>
                    <w:t>49</w:t>
                  </w:r>
                </w:p>
              </w:tc>
              <w:tc>
                <w:tcPr>
                  <w:tcW w:w="1148" w:type="dxa"/>
                  <w:vAlign w:val="center"/>
                </w:tcPr>
                <w:p w14:paraId="43F4FFE2">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29095E04">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49FD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2E66D69D">
                  <w:pPr>
                    <w:autoSpaceDE w:val="0"/>
                    <w:autoSpaceDN w:val="0"/>
                    <w:adjustRightInd w:val="0"/>
                    <w:snapToGrid w:val="0"/>
                    <w:jc w:val="center"/>
                    <w:rPr>
                      <w:rFonts w:hint="eastAsia" w:ascii="宋体" w:hAnsi="宋体" w:cs="宋体"/>
                      <w:bCs/>
                      <w:color w:val="auto"/>
                      <w:szCs w:val="21"/>
                    </w:rPr>
                  </w:pPr>
                </w:p>
              </w:tc>
              <w:tc>
                <w:tcPr>
                  <w:tcW w:w="988" w:type="dxa"/>
                  <w:vMerge w:val="continue"/>
                  <w:vAlign w:val="center"/>
                </w:tcPr>
                <w:p w14:paraId="3A44229F">
                  <w:pPr>
                    <w:adjustRightInd w:val="0"/>
                    <w:snapToGrid w:val="0"/>
                    <w:jc w:val="center"/>
                    <w:textAlignment w:val="baseline"/>
                    <w:rPr>
                      <w:rFonts w:hint="eastAsia" w:ascii="宋体" w:hAnsi="宋体" w:cs="宋体"/>
                      <w:b/>
                      <w:bCs/>
                      <w:color w:val="auto"/>
                      <w:szCs w:val="21"/>
                    </w:rPr>
                  </w:pPr>
                </w:p>
              </w:tc>
              <w:tc>
                <w:tcPr>
                  <w:tcW w:w="1308" w:type="dxa"/>
                  <w:vAlign w:val="center"/>
                </w:tcPr>
                <w:p w14:paraId="62F10294">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52FCD948">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4928801D">
                  <w:pPr>
                    <w:adjustRightInd w:val="0"/>
                    <w:snapToGrid w:val="0"/>
                    <w:jc w:val="center"/>
                    <w:textAlignment w:val="baseline"/>
                    <w:rPr>
                      <w:rFonts w:hint="eastAsia" w:ascii="宋体" w:hAnsi="宋体" w:cs="宋体"/>
                      <w:b/>
                      <w:bCs/>
                      <w:color w:val="auto"/>
                      <w:szCs w:val="21"/>
                    </w:rPr>
                  </w:pPr>
                  <w:r>
                    <w:rPr>
                      <w:rFonts w:hint="eastAsia"/>
                      <w:bCs/>
                      <w:color w:val="auto"/>
                      <w:szCs w:val="21"/>
                    </w:rPr>
                    <w:t>37</w:t>
                  </w:r>
                </w:p>
              </w:tc>
              <w:tc>
                <w:tcPr>
                  <w:tcW w:w="1148" w:type="dxa"/>
                  <w:vAlign w:val="center"/>
                </w:tcPr>
                <w:p w14:paraId="31C7B406">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55521BB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4092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201D9BF0">
                  <w:pPr>
                    <w:autoSpaceDE w:val="0"/>
                    <w:autoSpaceDN w:val="0"/>
                    <w:adjustRightInd w:val="0"/>
                    <w:snapToGrid w:val="0"/>
                    <w:jc w:val="center"/>
                    <w:rPr>
                      <w:rFonts w:hint="eastAsia" w:ascii="宋体" w:hAnsi="宋体" w:cs="宋体"/>
                      <w:b/>
                      <w:bCs/>
                      <w:color w:val="auto"/>
                      <w:szCs w:val="21"/>
                    </w:rPr>
                  </w:pPr>
                </w:p>
              </w:tc>
              <w:tc>
                <w:tcPr>
                  <w:tcW w:w="988" w:type="dxa"/>
                  <w:vMerge w:val="restart"/>
                  <w:vAlign w:val="center"/>
                </w:tcPr>
                <w:p w14:paraId="2AF41131">
                  <w:pPr>
                    <w:adjustRightInd w:val="0"/>
                    <w:snapToGrid w:val="0"/>
                    <w:jc w:val="center"/>
                    <w:textAlignment w:val="baseline"/>
                    <w:rPr>
                      <w:bCs/>
                      <w:color w:val="auto"/>
                      <w:szCs w:val="21"/>
                    </w:rPr>
                  </w:pPr>
                  <w:r>
                    <w:rPr>
                      <w:bCs/>
                      <w:color w:val="auto"/>
                      <w:szCs w:val="21"/>
                    </w:rPr>
                    <w:t>厂界东</w:t>
                  </w:r>
                </w:p>
              </w:tc>
              <w:tc>
                <w:tcPr>
                  <w:tcW w:w="1308" w:type="dxa"/>
                  <w:vAlign w:val="center"/>
                </w:tcPr>
                <w:p w14:paraId="704457D2">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08E9F706">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12B64BAB">
                  <w:pPr>
                    <w:adjustRightInd w:val="0"/>
                    <w:snapToGrid w:val="0"/>
                    <w:jc w:val="center"/>
                    <w:textAlignment w:val="baseline"/>
                    <w:rPr>
                      <w:rFonts w:hint="eastAsia" w:ascii="宋体" w:hAnsi="宋体" w:cs="宋体"/>
                      <w:b/>
                      <w:bCs/>
                      <w:color w:val="auto"/>
                      <w:szCs w:val="21"/>
                    </w:rPr>
                  </w:pPr>
                  <w:r>
                    <w:rPr>
                      <w:rFonts w:hint="eastAsia"/>
                      <w:bCs/>
                      <w:color w:val="auto"/>
                      <w:szCs w:val="21"/>
                    </w:rPr>
                    <w:t>50</w:t>
                  </w:r>
                </w:p>
              </w:tc>
              <w:tc>
                <w:tcPr>
                  <w:tcW w:w="1148" w:type="dxa"/>
                  <w:vAlign w:val="center"/>
                </w:tcPr>
                <w:p w14:paraId="76819238">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63D369E6">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3423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50DCEF72">
                  <w:pPr>
                    <w:autoSpaceDE w:val="0"/>
                    <w:autoSpaceDN w:val="0"/>
                    <w:adjustRightInd w:val="0"/>
                    <w:snapToGrid w:val="0"/>
                    <w:jc w:val="center"/>
                    <w:rPr>
                      <w:rFonts w:hint="eastAsia" w:ascii="宋体" w:hAnsi="宋体" w:cs="宋体"/>
                      <w:bCs/>
                      <w:color w:val="auto"/>
                      <w:szCs w:val="21"/>
                    </w:rPr>
                  </w:pPr>
                </w:p>
              </w:tc>
              <w:tc>
                <w:tcPr>
                  <w:tcW w:w="988" w:type="dxa"/>
                  <w:vMerge w:val="continue"/>
                  <w:vAlign w:val="center"/>
                </w:tcPr>
                <w:p w14:paraId="46DAC1A7">
                  <w:pPr>
                    <w:adjustRightInd w:val="0"/>
                    <w:snapToGrid w:val="0"/>
                    <w:jc w:val="center"/>
                    <w:textAlignment w:val="baseline"/>
                    <w:rPr>
                      <w:rFonts w:hint="eastAsia" w:ascii="宋体" w:hAnsi="宋体" w:cs="宋体"/>
                      <w:b/>
                      <w:bCs/>
                      <w:color w:val="auto"/>
                      <w:szCs w:val="21"/>
                    </w:rPr>
                  </w:pPr>
                </w:p>
              </w:tc>
              <w:tc>
                <w:tcPr>
                  <w:tcW w:w="1308" w:type="dxa"/>
                  <w:vAlign w:val="center"/>
                </w:tcPr>
                <w:p w14:paraId="51440A52">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3A4CBFC9">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2D664D40">
                  <w:pPr>
                    <w:adjustRightInd w:val="0"/>
                    <w:snapToGrid w:val="0"/>
                    <w:jc w:val="center"/>
                    <w:textAlignment w:val="baseline"/>
                    <w:rPr>
                      <w:rFonts w:hint="eastAsia" w:ascii="宋体" w:hAnsi="宋体" w:cs="宋体"/>
                      <w:b/>
                      <w:bCs/>
                      <w:color w:val="auto"/>
                      <w:szCs w:val="21"/>
                    </w:rPr>
                  </w:pPr>
                  <w:r>
                    <w:rPr>
                      <w:rFonts w:hint="eastAsia"/>
                      <w:bCs/>
                      <w:color w:val="auto"/>
                      <w:szCs w:val="21"/>
                    </w:rPr>
                    <w:t>39</w:t>
                  </w:r>
                </w:p>
              </w:tc>
              <w:tc>
                <w:tcPr>
                  <w:tcW w:w="1148" w:type="dxa"/>
                  <w:vAlign w:val="center"/>
                </w:tcPr>
                <w:p w14:paraId="48AE51D0">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62856FED">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0C8B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5CD6C45A">
                  <w:pPr>
                    <w:autoSpaceDE w:val="0"/>
                    <w:autoSpaceDN w:val="0"/>
                    <w:adjustRightInd w:val="0"/>
                    <w:snapToGrid w:val="0"/>
                    <w:jc w:val="center"/>
                    <w:rPr>
                      <w:rFonts w:hint="eastAsia" w:ascii="宋体" w:hAnsi="宋体" w:cs="宋体"/>
                      <w:b/>
                      <w:bCs/>
                      <w:color w:val="auto"/>
                      <w:szCs w:val="21"/>
                    </w:rPr>
                  </w:pPr>
                </w:p>
              </w:tc>
              <w:tc>
                <w:tcPr>
                  <w:tcW w:w="988" w:type="dxa"/>
                  <w:vMerge w:val="restart"/>
                  <w:vAlign w:val="center"/>
                </w:tcPr>
                <w:p w14:paraId="363798EC">
                  <w:pPr>
                    <w:adjustRightInd w:val="0"/>
                    <w:snapToGrid w:val="0"/>
                    <w:jc w:val="center"/>
                    <w:textAlignment w:val="baseline"/>
                    <w:rPr>
                      <w:bCs/>
                      <w:color w:val="auto"/>
                      <w:szCs w:val="21"/>
                    </w:rPr>
                  </w:pPr>
                  <w:r>
                    <w:rPr>
                      <w:bCs/>
                      <w:color w:val="auto"/>
                      <w:szCs w:val="21"/>
                    </w:rPr>
                    <w:t>厂界南</w:t>
                  </w:r>
                </w:p>
              </w:tc>
              <w:tc>
                <w:tcPr>
                  <w:tcW w:w="1308" w:type="dxa"/>
                  <w:vAlign w:val="center"/>
                </w:tcPr>
                <w:p w14:paraId="0DF2629D">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26BDE273">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5DA51F35">
                  <w:pPr>
                    <w:adjustRightInd w:val="0"/>
                    <w:snapToGrid w:val="0"/>
                    <w:jc w:val="center"/>
                    <w:textAlignment w:val="baseline"/>
                    <w:rPr>
                      <w:rFonts w:hint="eastAsia" w:ascii="宋体" w:hAnsi="宋体" w:cs="宋体"/>
                      <w:b/>
                      <w:bCs/>
                      <w:color w:val="auto"/>
                      <w:szCs w:val="21"/>
                    </w:rPr>
                  </w:pPr>
                  <w:r>
                    <w:rPr>
                      <w:rFonts w:hint="eastAsia"/>
                      <w:bCs/>
                      <w:color w:val="auto"/>
                      <w:szCs w:val="21"/>
                    </w:rPr>
                    <w:t>51</w:t>
                  </w:r>
                </w:p>
              </w:tc>
              <w:tc>
                <w:tcPr>
                  <w:tcW w:w="1148" w:type="dxa"/>
                  <w:vAlign w:val="center"/>
                </w:tcPr>
                <w:p w14:paraId="22AB0E65">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1753FFE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5EA0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718082E1">
                  <w:pPr>
                    <w:autoSpaceDE w:val="0"/>
                    <w:autoSpaceDN w:val="0"/>
                    <w:adjustRightInd w:val="0"/>
                    <w:snapToGrid w:val="0"/>
                    <w:jc w:val="center"/>
                    <w:rPr>
                      <w:rFonts w:hint="eastAsia" w:ascii="宋体" w:hAnsi="宋体" w:cs="宋体"/>
                      <w:bCs/>
                      <w:color w:val="auto"/>
                      <w:szCs w:val="21"/>
                    </w:rPr>
                  </w:pPr>
                </w:p>
              </w:tc>
              <w:tc>
                <w:tcPr>
                  <w:tcW w:w="988" w:type="dxa"/>
                  <w:vMerge w:val="continue"/>
                  <w:vAlign w:val="center"/>
                </w:tcPr>
                <w:p w14:paraId="6A29D5C4">
                  <w:pPr>
                    <w:adjustRightInd w:val="0"/>
                    <w:snapToGrid w:val="0"/>
                    <w:jc w:val="center"/>
                    <w:textAlignment w:val="baseline"/>
                    <w:rPr>
                      <w:rFonts w:hint="eastAsia" w:ascii="宋体" w:hAnsi="宋体" w:cs="宋体"/>
                      <w:b/>
                      <w:bCs/>
                      <w:color w:val="auto"/>
                      <w:szCs w:val="21"/>
                    </w:rPr>
                  </w:pPr>
                </w:p>
              </w:tc>
              <w:tc>
                <w:tcPr>
                  <w:tcW w:w="1308" w:type="dxa"/>
                  <w:vAlign w:val="center"/>
                </w:tcPr>
                <w:p w14:paraId="61FAACEC">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68C8C913">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79D6DAF4">
                  <w:pPr>
                    <w:adjustRightInd w:val="0"/>
                    <w:snapToGrid w:val="0"/>
                    <w:jc w:val="center"/>
                    <w:textAlignment w:val="baseline"/>
                    <w:rPr>
                      <w:rFonts w:hint="eastAsia" w:ascii="宋体" w:hAnsi="宋体" w:cs="宋体"/>
                      <w:b/>
                      <w:bCs/>
                      <w:color w:val="auto"/>
                      <w:szCs w:val="21"/>
                    </w:rPr>
                  </w:pPr>
                  <w:r>
                    <w:rPr>
                      <w:rFonts w:hint="eastAsia"/>
                      <w:bCs/>
                      <w:color w:val="auto"/>
                      <w:szCs w:val="21"/>
                    </w:rPr>
                    <w:t>41</w:t>
                  </w:r>
                </w:p>
              </w:tc>
              <w:tc>
                <w:tcPr>
                  <w:tcW w:w="1148" w:type="dxa"/>
                  <w:vAlign w:val="center"/>
                </w:tcPr>
                <w:p w14:paraId="429AC8EA">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471A7FAA">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148F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148" w:type="dxa"/>
                  <w:vMerge w:val="restart"/>
                  <w:vAlign w:val="center"/>
                </w:tcPr>
                <w:p w14:paraId="4E992A3E">
                  <w:pPr>
                    <w:adjustRightInd w:val="0"/>
                    <w:snapToGrid w:val="0"/>
                    <w:jc w:val="center"/>
                    <w:textAlignment w:val="baseline"/>
                    <w:rPr>
                      <w:rFonts w:hint="eastAsia" w:ascii="宋体" w:hAnsi="宋体" w:cs="宋体"/>
                      <w:b/>
                      <w:bCs/>
                      <w:color w:val="auto"/>
                      <w:szCs w:val="21"/>
                    </w:rPr>
                  </w:pPr>
                  <w:r>
                    <w:rPr>
                      <w:rFonts w:hint="eastAsia" w:ascii="宋体" w:hAnsi="宋体" w:cs="宋体"/>
                      <w:color w:val="auto"/>
                      <w:szCs w:val="21"/>
                    </w:rPr>
                    <w:t>四街卫生院</w:t>
                  </w:r>
                </w:p>
              </w:tc>
              <w:tc>
                <w:tcPr>
                  <w:tcW w:w="988" w:type="dxa"/>
                  <w:vMerge w:val="restart"/>
                  <w:vAlign w:val="center"/>
                </w:tcPr>
                <w:p w14:paraId="64F66DEE">
                  <w:pPr>
                    <w:autoSpaceDE w:val="0"/>
                    <w:autoSpaceDN w:val="0"/>
                    <w:adjustRightInd w:val="0"/>
                    <w:snapToGrid w:val="0"/>
                    <w:jc w:val="center"/>
                    <w:rPr>
                      <w:bCs/>
                      <w:color w:val="auto"/>
                      <w:szCs w:val="21"/>
                    </w:rPr>
                  </w:pPr>
                  <w:r>
                    <w:rPr>
                      <w:bCs/>
                      <w:color w:val="auto"/>
                      <w:szCs w:val="21"/>
                    </w:rPr>
                    <w:t>厂界</w:t>
                  </w:r>
                  <w:r>
                    <w:rPr>
                      <w:rFonts w:hint="eastAsia"/>
                      <w:bCs/>
                      <w:color w:val="auto"/>
                      <w:szCs w:val="21"/>
                    </w:rPr>
                    <w:t>南</w:t>
                  </w:r>
                </w:p>
              </w:tc>
              <w:tc>
                <w:tcPr>
                  <w:tcW w:w="1308" w:type="dxa"/>
                  <w:vAlign w:val="center"/>
                </w:tcPr>
                <w:p w14:paraId="5CE42265">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37085BDA">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56B887E5">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52</w:t>
                  </w:r>
                </w:p>
              </w:tc>
              <w:tc>
                <w:tcPr>
                  <w:tcW w:w="1148" w:type="dxa"/>
                  <w:vAlign w:val="center"/>
                </w:tcPr>
                <w:p w14:paraId="004243E5">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09336AA8">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是</w:t>
                  </w:r>
                </w:p>
              </w:tc>
            </w:tr>
            <w:tr w14:paraId="3B32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5C6C8DA5">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4B82D1B0">
                  <w:pPr>
                    <w:adjustRightInd w:val="0"/>
                    <w:snapToGrid w:val="0"/>
                    <w:jc w:val="center"/>
                    <w:textAlignment w:val="baseline"/>
                    <w:rPr>
                      <w:rFonts w:hint="eastAsia" w:ascii="宋体" w:hAnsi="宋体" w:cs="宋体"/>
                      <w:b/>
                      <w:bCs/>
                      <w:color w:val="auto"/>
                      <w:szCs w:val="21"/>
                    </w:rPr>
                  </w:pPr>
                </w:p>
              </w:tc>
              <w:tc>
                <w:tcPr>
                  <w:tcW w:w="1308" w:type="dxa"/>
                  <w:vAlign w:val="center"/>
                </w:tcPr>
                <w:p w14:paraId="74B32DE4">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18F485AE">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77B935CE">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43</w:t>
                  </w:r>
                </w:p>
              </w:tc>
              <w:tc>
                <w:tcPr>
                  <w:tcW w:w="1148" w:type="dxa"/>
                  <w:vAlign w:val="center"/>
                </w:tcPr>
                <w:p w14:paraId="175218A0">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43875E1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64D0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0D8AA7BA">
                  <w:pPr>
                    <w:adjustRightInd w:val="0"/>
                    <w:snapToGrid w:val="0"/>
                    <w:jc w:val="center"/>
                    <w:textAlignment w:val="baseline"/>
                    <w:rPr>
                      <w:rFonts w:hint="eastAsia" w:ascii="宋体" w:hAnsi="宋体" w:cs="宋体"/>
                      <w:b/>
                      <w:bCs/>
                      <w:color w:val="auto"/>
                      <w:szCs w:val="21"/>
                    </w:rPr>
                  </w:pPr>
                </w:p>
              </w:tc>
              <w:tc>
                <w:tcPr>
                  <w:tcW w:w="988" w:type="dxa"/>
                  <w:vMerge w:val="restart"/>
                  <w:vAlign w:val="center"/>
                </w:tcPr>
                <w:p w14:paraId="1B513355">
                  <w:pPr>
                    <w:adjustRightInd w:val="0"/>
                    <w:snapToGrid w:val="0"/>
                    <w:jc w:val="center"/>
                    <w:textAlignment w:val="baseline"/>
                    <w:rPr>
                      <w:bCs/>
                      <w:color w:val="auto"/>
                      <w:szCs w:val="21"/>
                    </w:rPr>
                  </w:pPr>
                  <w:r>
                    <w:rPr>
                      <w:bCs/>
                      <w:color w:val="auto"/>
                      <w:szCs w:val="21"/>
                    </w:rPr>
                    <w:t>厂界</w:t>
                  </w:r>
                  <w:r>
                    <w:rPr>
                      <w:rFonts w:hint="eastAsia"/>
                      <w:bCs/>
                      <w:color w:val="auto"/>
                      <w:szCs w:val="21"/>
                    </w:rPr>
                    <w:t>东</w:t>
                  </w:r>
                </w:p>
              </w:tc>
              <w:tc>
                <w:tcPr>
                  <w:tcW w:w="1308" w:type="dxa"/>
                  <w:vAlign w:val="center"/>
                </w:tcPr>
                <w:p w14:paraId="152B1687">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310BF9EF">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338004D7">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51</w:t>
                  </w:r>
                </w:p>
              </w:tc>
              <w:tc>
                <w:tcPr>
                  <w:tcW w:w="1148" w:type="dxa"/>
                  <w:vAlign w:val="center"/>
                </w:tcPr>
                <w:p w14:paraId="51467CBA">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182BD67F">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53B9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2DFE6063">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12C48CE2">
                  <w:pPr>
                    <w:adjustRightInd w:val="0"/>
                    <w:snapToGrid w:val="0"/>
                    <w:jc w:val="center"/>
                    <w:textAlignment w:val="baseline"/>
                    <w:rPr>
                      <w:rFonts w:hint="eastAsia" w:ascii="宋体" w:hAnsi="宋体" w:cs="宋体"/>
                      <w:b/>
                      <w:bCs/>
                      <w:color w:val="auto"/>
                      <w:szCs w:val="21"/>
                    </w:rPr>
                  </w:pPr>
                </w:p>
              </w:tc>
              <w:tc>
                <w:tcPr>
                  <w:tcW w:w="1308" w:type="dxa"/>
                  <w:vAlign w:val="center"/>
                </w:tcPr>
                <w:p w14:paraId="195D888E">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344C69E2">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7286C2B7">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41</w:t>
                  </w:r>
                </w:p>
              </w:tc>
              <w:tc>
                <w:tcPr>
                  <w:tcW w:w="1148" w:type="dxa"/>
                  <w:vAlign w:val="center"/>
                </w:tcPr>
                <w:p w14:paraId="36E8C87D">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1B602D5E">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4663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020D334F">
                  <w:pPr>
                    <w:adjustRightInd w:val="0"/>
                    <w:snapToGrid w:val="0"/>
                    <w:jc w:val="center"/>
                    <w:textAlignment w:val="baseline"/>
                    <w:rPr>
                      <w:rFonts w:hint="eastAsia" w:ascii="宋体" w:hAnsi="宋体" w:cs="宋体"/>
                      <w:b/>
                      <w:bCs/>
                      <w:color w:val="auto"/>
                      <w:szCs w:val="21"/>
                    </w:rPr>
                  </w:pPr>
                </w:p>
              </w:tc>
              <w:tc>
                <w:tcPr>
                  <w:tcW w:w="988" w:type="dxa"/>
                  <w:vMerge w:val="restart"/>
                  <w:vAlign w:val="center"/>
                </w:tcPr>
                <w:p w14:paraId="4F7602DD">
                  <w:pPr>
                    <w:autoSpaceDE w:val="0"/>
                    <w:autoSpaceDN w:val="0"/>
                    <w:adjustRightInd w:val="0"/>
                    <w:snapToGrid w:val="0"/>
                    <w:jc w:val="center"/>
                    <w:rPr>
                      <w:bCs/>
                      <w:color w:val="auto"/>
                      <w:szCs w:val="21"/>
                    </w:rPr>
                  </w:pPr>
                  <w:r>
                    <w:rPr>
                      <w:bCs/>
                      <w:color w:val="auto"/>
                      <w:szCs w:val="21"/>
                    </w:rPr>
                    <w:t>厂界</w:t>
                  </w:r>
                  <w:r>
                    <w:rPr>
                      <w:rFonts w:hint="eastAsia"/>
                      <w:bCs/>
                      <w:color w:val="auto"/>
                      <w:szCs w:val="21"/>
                    </w:rPr>
                    <w:t>北</w:t>
                  </w:r>
                </w:p>
              </w:tc>
              <w:tc>
                <w:tcPr>
                  <w:tcW w:w="1308" w:type="dxa"/>
                  <w:vAlign w:val="center"/>
                </w:tcPr>
                <w:p w14:paraId="7D58B5B8">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4F405817">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72805B1F">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54</w:t>
                  </w:r>
                </w:p>
              </w:tc>
              <w:tc>
                <w:tcPr>
                  <w:tcW w:w="1148" w:type="dxa"/>
                  <w:vAlign w:val="center"/>
                </w:tcPr>
                <w:p w14:paraId="41349C43">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1A5B94AD">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6B05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148" w:type="dxa"/>
                  <w:vMerge w:val="continue"/>
                  <w:vAlign w:val="center"/>
                </w:tcPr>
                <w:p w14:paraId="71FD886E">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2667C8AB">
                  <w:pPr>
                    <w:adjustRightInd w:val="0"/>
                    <w:snapToGrid w:val="0"/>
                    <w:jc w:val="center"/>
                    <w:textAlignment w:val="baseline"/>
                    <w:rPr>
                      <w:rFonts w:hint="eastAsia" w:ascii="宋体" w:hAnsi="宋体" w:cs="宋体"/>
                      <w:b/>
                      <w:bCs/>
                      <w:color w:val="auto"/>
                      <w:szCs w:val="21"/>
                    </w:rPr>
                  </w:pPr>
                </w:p>
              </w:tc>
              <w:tc>
                <w:tcPr>
                  <w:tcW w:w="1308" w:type="dxa"/>
                  <w:vAlign w:val="center"/>
                </w:tcPr>
                <w:p w14:paraId="768A0064">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273DE5FB">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0CAC8629">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46</w:t>
                  </w:r>
                </w:p>
              </w:tc>
              <w:tc>
                <w:tcPr>
                  <w:tcW w:w="1148" w:type="dxa"/>
                  <w:vAlign w:val="center"/>
                </w:tcPr>
                <w:p w14:paraId="51A37A4E">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0797F10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19BF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50A7A2CF">
                  <w:pPr>
                    <w:adjustRightInd w:val="0"/>
                    <w:snapToGrid w:val="0"/>
                    <w:jc w:val="center"/>
                    <w:textAlignment w:val="baseline"/>
                    <w:rPr>
                      <w:rFonts w:hint="eastAsia" w:ascii="宋体" w:hAnsi="宋体" w:cs="宋体"/>
                      <w:b/>
                      <w:bCs/>
                      <w:color w:val="auto"/>
                      <w:szCs w:val="21"/>
                    </w:rPr>
                  </w:pPr>
                </w:p>
              </w:tc>
              <w:tc>
                <w:tcPr>
                  <w:tcW w:w="988" w:type="dxa"/>
                  <w:vMerge w:val="restart"/>
                  <w:vAlign w:val="center"/>
                </w:tcPr>
                <w:p w14:paraId="4A1DC8EC">
                  <w:pPr>
                    <w:adjustRightInd w:val="0"/>
                    <w:snapToGrid w:val="0"/>
                    <w:jc w:val="center"/>
                    <w:textAlignment w:val="baseline"/>
                    <w:rPr>
                      <w:bCs/>
                      <w:color w:val="auto"/>
                      <w:szCs w:val="21"/>
                    </w:rPr>
                  </w:pPr>
                  <w:r>
                    <w:rPr>
                      <w:bCs/>
                      <w:color w:val="auto"/>
                      <w:szCs w:val="21"/>
                    </w:rPr>
                    <w:t>厂界</w:t>
                  </w:r>
                  <w:r>
                    <w:rPr>
                      <w:rFonts w:hint="eastAsia"/>
                      <w:bCs/>
                      <w:color w:val="auto"/>
                      <w:szCs w:val="21"/>
                    </w:rPr>
                    <w:t>西</w:t>
                  </w:r>
                </w:p>
              </w:tc>
              <w:tc>
                <w:tcPr>
                  <w:tcW w:w="1308" w:type="dxa"/>
                  <w:vAlign w:val="center"/>
                </w:tcPr>
                <w:p w14:paraId="73B1EAE2">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0B8CE88D">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37C213DC">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59</w:t>
                  </w:r>
                </w:p>
              </w:tc>
              <w:tc>
                <w:tcPr>
                  <w:tcW w:w="1148" w:type="dxa"/>
                  <w:vAlign w:val="center"/>
                </w:tcPr>
                <w:p w14:paraId="2B809FF6">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00856D5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75F2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69167C4B">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1EAB2F43">
                  <w:pPr>
                    <w:adjustRightInd w:val="0"/>
                    <w:snapToGrid w:val="0"/>
                    <w:jc w:val="center"/>
                    <w:textAlignment w:val="baseline"/>
                    <w:rPr>
                      <w:rFonts w:hint="eastAsia" w:ascii="宋体" w:hAnsi="宋体" w:cs="宋体"/>
                      <w:b/>
                      <w:bCs/>
                      <w:color w:val="auto"/>
                      <w:szCs w:val="21"/>
                    </w:rPr>
                  </w:pPr>
                </w:p>
              </w:tc>
              <w:tc>
                <w:tcPr>
                  <w:tcW w:w="1308" w:type="dxa"/>
                  <w:vAlign w:val="center"/>
                </w:tcPr>
                <w:p w14:paraId="2840EF9D">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5E351E71">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36DDCF09">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47</w:t>
                  </w:r>
                </w:p>
              </w:tc>
              <w:tc>
                <w:tcPr>
                  <w:tcW w:w="1148" w:type="dxa"/>
                  <w:vAlign w:val="center"/>
                </w:tcPr>
                <w:p w14:paraId="765C5B04">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501CA4F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30DC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restart"/>
                  <w:vAlign w:val="center"/>
                </w:tcPr>
                <w:p w14:paraId="66BC7BE0">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r>
                    <w:rPr>
                      <w:rFonts w:hint="eastAsia"/>
                      <w:color w:val="auto"/>
                      <w:sz w:val="24"/>
                      <w:szCs w:val="24"/>
                    </w:rPr>
                    <w:t>九龙卫生院</w:t>
                  </w:r>
                </w:p>
              </w:tc>
              <w:tc>
                <w:tcPr>
                  <w:tcW w:w="988" w:type="dxa"/>
                  <w:vMerge w:val="restart"/>
                  <w:vAlign w:val="center"/>
                </w:tcPr>
                <w:p w14:paraId="67E940E0">
                  <w:pPr>
                    <w:autoSpaceDE w:val="0"/>
                    <w:autoSpaceDN w:val="0"/>
                    <w:adjustRightInd w:val="0"/>
                    <w:snapToGrid w:val="0"/>
                    <w:jc w:val="center"/>
                    <w:rPr>
                      <w:rFonts w:hint="eastAsia" w:ascii="宋体" w:hAnsi="宋体" w:cs="宋体"/>
                      <w:b/>
                      <w:bCs/>
                      <w:color w:val="auto"/>
                      <w:szCs w:val="21"/>
                    </w:rPr>
                  </w:pPr>
                  <w:r>
                    <w:rPr>
                      <w:bCs/>
                      <w:color w:val="auto"/>
                      <w:szCs w:val="21"/>
                    </w:rPr>
                    <w:t>厂界</w:t>
                  </w:r>
                  <w:r>
                    <w:rPr>
                      <w:rFonts w:hint="eastAsia"/>
                      <w:bCs/>
                      <w:color w:val="auto"/>
                      <w:szCs w:val="21"/>
                    </w:rPr>
                    <w:t>北</w:t>
                  </w:r>
                </w:p>
              </w:tc>
              <w:tc>
                <w:tcPr>
                  <w:tcW w:w="1308" w:type="dxa"/>
                  <w:vAlign w:val="center"/>
                </w:tcPr>
                <w:p w14:paraId="7A6ABEEB">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6C2B2CA3">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4F5C5F60">
                  <w:pPr>
                    <w:keepLines/>
                    <w:adjustRightInd w:val="0"/>
                    <w:snapToGrid w:val="0"/>
                    <w:jc w:val="center"/>
                    <w:rPr>
                      <w:rFonts w:hint="eastAsia" w:ascii="宋体" w:hAnsi="宋体" w:cs="宋体"/>
                      <w:color w:val="auto"/>
                      <w:szCs w:val="21"/>
                    </w:rPr>
                  </w:pPr>
                  <w:r>
                    <w:rPr>
                      <w:rFonts w:hint="eastAsia" w:cs="宋体"/>
                      <w:color w:val="auto"/>
                      <w:sz w:val="24"/>
                    </w:rPr>
                    <w:t>56</w:t>
                  </w:r>
                </w:p>
              </w:tc>
              <w:tc>
                <w:tcPr>
                  <w:tcW w:w="1148" w:type="dxa"/>
                  <w:vAlign w:val="center"/>
                </w:tcPr>
                <w:p w14:paraId="25C3D0F3">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6433C36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06B4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0F2C00D0">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2627F2F9">
                  <w:pPr>
                    <w:adjustRightInd w:val="0"/>
                    <w:snapToGrid w:val="0"/>
                    <w:jc w:val="center"/>
                    <w:textAlignment w:val="baseline"/>
                    <w:rPr>
                      <w:rFonts w:hint="eastAsia" w:ascii="宋体" w:hAnsi="宋体" w:cs="宋体"/>
                      <w:b/>
                      <w:bCs/>
                      <w:color w:val="auto"/>
                      <w:szCs w:val="21"/>
                    </w:rPr>
                  </w:pPr>
                </w:p>
              </w:tc>
              <w:tc>
                <w:tcPr>
                  <w:tcW w:w="1308" w:type="dxa"/>
                  <w:vAlign w:val="center"/>
                </w:tcPr>
                <w:p w14:paraId="65A0F1E7">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6A6D14A4">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75BDBCBA">
                  <w:pPr>
                    <w:keepLines/>
                    <w:adjustRightInd w:val="0"/>
                    <w:snapToGrid w:val="0"/>
                    <w:jc w:val="center"/>
                    <w:rPr>
                      <w:rFonts w:hint="eastAsia" w:ascii="宋体" w:hAnsi="宋体" w:cs="宋体"/>
                      <w:color w:val="auto"/>
                      <w:szCs w:val="21"/>
                    </w:rPr>
                  </w:pPr>
                  <w:r>
                    <w:rPr>
                      <w:rFonts w:hint="eastAsia" w:cs="宋体"/>
                      <w:color w:val="auto"/>
                      <w:sz w:val="24"/>
                    </w:rPr>
                    <w:t>45</w:t>
                  </w:r>
                </w:p>
              </w:tc>
              <w:tc>
                <w:tcPr>
                  <w:tcW w:w="1148" w:type="dxa"/>
                  <w:vAlign w:val="center"/>
                </w:tcPr>
                <w:p w14:paraId="0AFE3405">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551E4E7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1432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5499A6A9">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259B9024">
                  <w:pPr>
                    <w:adjustRightInd w:val="0"/>
                    <w:snapToGrid w:val="0"/>
                    <w:jc w:val="center"/>
                    <w:textAlignment w:val="baseline"/>
                    <w:rPr>
                      <w:rFonts w:hint="eastAsia" w:ascii="宋体" w:hAnsi="宋体" w:cs="宋体"/>
                      <w:b/>
                      <w:bCs/>
                      <w:color w:val="auto"/>
                      <w:szCs w:val="21"/>
                    </w:rPr>
                  </w:pPr>
                  <w:r>
                    <w:rPr>
                      <w:bCs/>
                      <w:color w:val="auto"/>
                      <w:szCs w:val="21"/>
                    </w:rPr>
                    <w:t>厂界</w:t>
                  </w:r>
                  <w:r>
                    <w:rPr>
                      <w:rFonts w:hint="eastAsia"/>
                      <w:bCs/>
                      <w:color w:val="auto"/>
                      <w:szCs w:val="21"/>
                    </w:rPr>
                    <w:t>西</w:t>
                  </w:r>
                </w:p>
              </w:tc>
              <w:tc>
                <w:tcPr>
                  <w:tcW w:w="1308" w:type="dxa"/>
                  <w:vAlign w:val="center"/>
                </w:tcPr>
                <w:p w14:paraId="5BF57A63">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7365027A">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051CEC59">
                  <w:pPr>
                    <w:keepLines/>
                    <w:adjustRightInd w:val="0"/>
                    <w:snapToGrid w:val="0"/>
                    <w:jc w:val="center"/>
                    <w:rPr>
                      <w:rFonts w:hint="eastAsia" w:ascii="宋体" w:hAnsi="宋体" w:cs="宋体"/>
                      <w:color w:val="auto"/>
                      <w:szCs w:val="21"/>
                    </w:rPr>
                  </w:pPr>
                  <w:r>
                    <w:rPr>
                      <w:rFonts w:hint="eastAsia" w:cs="宋体"/>
                      <w:color w:val="auto"/>
                      <w:sz w:val="24"/>
                    </w:rPr>
                    <w:t>46</w:t>
                  </w:r>
                </w:p>
              </w:tc>
              <w:tc>
                <w:tcPr>
                  <w:tcW w:w="1148" w:type="dxa"/>
                  <w:vAlign w:val="center"/>
                </w:tcPr>
                <w:p w14:paraId="41A3C6B5">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430AE65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4EEA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761A9313">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74892E1E">
                  <w:pPr>
                    <w:adjustRightInd w:val="0"/>
                    <w:snapToGrid w:val="0"/>
                    <w:jc w:val="center"/>
                    <w:textAlignment w:val="baseline"/>
                    <w:rPr>
                      <w:rFonts w:hint="eastAsia" w:ascii="宋体" w:hAnsi="宋体" w:cs="宋体"/>
                      <w:b/>
                      <w:bCs/>
                      <w:color w:val="auto"/>
                      <w:szCs w:val="21"/>
                    </w:rPr>
                  </w:pPr>
                </w:p>
              </w:tc>
              <w:tc>
                <w:tcPr>
                  <w:tcW w:w="1308" w:type="dxa"/>
                  <w:vAlign w:val="center"/>
                </w:tcPr>
                <w:p w14:paraId="4DBB3C98">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23106B43">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47EFAD3A">
                  <w:pPr>
                    <w:keepLines/>
                    <w:adjustRightInd w:val="0"/>
                    <w:snapToGrid w:val="0"/>
                    <w:jc w:val="center"/>
                    <w:rPr>
                      <w:rFonts w:hint="eastAsia" w:ascii="宋体" w:hAnsi="宋体" w:cs="宋体"/>
                      <w:color w:val="auto"/>
                      <w:szCs w:val="21"/>
                    </w:rPr>
                  </w:pPr>
                  <w:r>
                    <w:rPr>
                      <w:rFonts w:hint="eastAsia" w:cs="宋体"/>
                      <w:color w:val="auto"/>
                      <w:sz w:val="24"/>
                    </w:rPr>
                    <w:t>42</w:t>
                  </w:r>
                </w:p>
              </w:tc>
              <w:tc>
                <w:tcPr>
                  <w:tcW w:w="1148" w:type="dxa"/>
                  <w:vAlign w:val="center"/>
                </w:tcPr>
                <w:p w14:paraId="50D55346">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22E89007">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74D0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0943AA24">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03E2DB02">
                  <w:pPr>
                    <w:autoSpaceDE w:val="0"/>
                    <w:autoSpaceDN w:val="0"/>
                    <w:adjustRightInd w:val="0"/>
                    <w:snapToGrid w:val="0"/>
                    <w:jc w:val="center"/>
                    <w:rPr>
                      <w:rFonts w:hint="eastAsia" w:ascii="宋体" w:hAnsi="宋体" w:cs="宋体"/>
                      <w:b/>
                      <w:bCs/>
                      <w:color w:val="auto"/>
                      <w:szCs w:val="21"/>
                    </w:rPr>
                  </w:pPr>
                  <w:r>
                    <w:rPr>
                      <w:bCs/>
                      <w:color w:val="auto"/>
                      <w:szCs w:val="21"/>
                    </w:rPr>
                    <w:t>厂界</w:t>
                  </w:r>
                  <w:r>
                    <w:rPr>
                      <w:rFonts w:hint="eastAsia"/>
                      <w:bCs/>
                      <w:color w:val="auto"/>
                      <w:szCs w:val="21"/>
                    </w:rPr>
                    <w:t>南</w:t>
                  </w:r>
                </w:p>
              </w:tc>
              <w:tc>
                <w:tcPr>
                  <w:tcW w:w="1308" w:type="dxa"/>
                  <w:vAlign w:val="center"/>
                </w:tcPr>
                <w:p w14:paraId="30F88A7C">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49E577B6">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032E5198">
                  <w:pPr>
                    <w:keepLines/>
                    <w:adjustRightInd w:val="0"/>
                    <w:snapToGrid w:val="0"/>
                    <w:jc w:val="center"/>
                    <w:rPr>
                      <w:rFonts w:hint="eastAsia" w:ascii="宋体" w:hAnsi="宋体" w:cs="宋体"/>
                      <w:color w:val="auto"/>
                      <w:szCs w:val="21"/>
                    </w:rPr>
                  </w:pPr>
                  <w:r>
                    <w:rPr>
                      <w:rFonts w:hint="eastAsia" w:cs="宋体"/>
                      <w:color w:val="auto"/>
                      <w:sz w:val="24"/>
                    </w:rPr>
                    <w:t>45</w:t>
                  </w:r>
                </w:p>
              </w:tc>
              <w:tc>
                <w:tcPr>
                  <w:tcW w:w="1148" w:type="dxa"/>
                  <w:vAlign w:val="center"/>
                </w:tcPr>
                <w:p w14:paraId="22FCEAD8">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5BCA23E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7F4B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77CE72E3">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461A6706">
                  <w:pPr>
                    <w:adjustRightInd w:val="0"/>
                    <w:snapToGrid w:val="0"/>
                    <w:jc w:val="center"/>
                    <w:textAlignment w:val="baseline"/>
                    <w:rPr>
                      <w:rFonts w:hint="eastAsia" w:ascii="宋体" w:hAnsi="宋体" w:cs="宋体"/>
                      <w:b/>
                      <w:bCs/>
                      <w:color w:val="auto"/>
                      <w:szCs w:val="21"/>
                    </w:rPr>
                  </w:pPr>
                </w:p>
              </w:tc>
              <w:tc>
                <w:tcPr>
                  <w:tcW w:w="1308" w:type="dxa"/>
                  <w:vAlign w:val="center"/>
                </w:tcPr>
                <w:p w14:paraId="7DEF350E">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5CD35F28">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33F67226">
                  <w:pPr>
                    <w:keepLines/>
                    <w:adjustRightInd w:val="0"/>
                    <w:snapToGrid w:val="0"/>
                    <w:jc w:val="center"/>
                    <w:rPr>
                      <w:rFonts w:hint="eastAsia" w:ascii="宋体" w:hAnsi="宋体" w:cs="宋体"/>
                      <w:color w:val="auto"/>
                      <w:szCs w:val="21"/>
                    </w:rPr>
                  </w:pPr>
                  <w:r>
                    <w:rPr>
                      <w:rFonts w:hint="eastAsia" w:cs="宋体"/>
                      <w:color w:val="auto"/>
                      <w:sz w:val="24"/>
                    </w:rPr>
                    <w:t>38</w:t>
                  </w:r>
                </w:p>
              </w:tc>
              <w:tc>
                <w:tcPr>
                  <w:tcW w:w="1148" w:type="dxa"/>
                  <w:vAlign w:val="center"/>
                </w:tcPr>
                <w:p w14:paraId="1085F5DF">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7E362C39">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0967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0D97E06F">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1689C397">
                  <w:pPr>
                    <w:adjustRightInd w:val="0"/>
                    <w:snapToGrid w:val="0"/>
                    <w:jc w:val="center"/>
                    <w:textAlignment w:val="baseline"/>
                    <w:rPr>
                      <w:rFonts w:hint="eastAsia" w:ascii="宋体" w:hAnsi="宋体" w:cs="宋体"/>
                      <w:b/>
                      <w:bCs/>
                      <w:color w:val="auto"/>
                      <w:szCs w:val="21"/>
                    </w:rPr>
                  </w:pPr>
                  <w:r>
                    <w:rPr>
                      <w:bCs/>
                      <w:color w:val="auto"/>
                      <w:szCs w:val="21"/>
                    </w:rPr>
                    <w:t>厂界</w:t>
                  </w:r>
                  <w:r>
                    <w:rPr>
                      <w:rFonts w:hint="eastAsia"/>
                      <w:bCs/>
                      <w:color w:val="auto"/>
                      <w:szCs w:val="21"/>
                    </w:rPr>
                    <w:t>东</w:t>
                  </w:r>
                </w:p>
              </w:tc>
              <w:tc>
                <w:tcPr>
                  <w:tcW w:w="1308" w:type="dxa"/>
                  <w:vAlign w:val="center"/>
                </w:tcPr>
                <w:p w14:paraId="3E213359">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1ABBBFB7">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2FB695EA">
                  <w:pPr>
                    <w:keepLines/>
                    <w:adjustRightInd w:val="0"/>
                    <w:snapToGrid w:val="0"/>
                    <w:jc w:val="center"/>
                    <w:rPr>
                      <w:rFonts w:hint="eastAsia" w:ascii="宋体" w:hAnsi="宋体" w:cs="宋体"/>
                      <w:color w:val="auto"/>
                      <w:szCs w:val="21"/>
                    </w:rPr>
                  </w:pPr>
                  <w:r>
                    <w:rPr>
                      <w:rFonts w:hint="eastAsia" w:cs="宋体"/>
                      <w:color w:val="auto"/>
                      <w:sz w:val="24"/>
                    </w:rPr>
                    <w:t>44</w:t>
                  </w:r>
                </w:p>
              </w:tc>
              <w:tc>
                <w:tcPr>
                  <w:tcW w:w="1148" w:type="dxa"/>
                  <w:vAlign w:val="center"/>
                </w:tcPr>
                <w:p w14:paraId="0AA201F6">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0431E694">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7BB7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611AA412">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56153D26">
                  <w:pPr>
                    <w:adjustRightInd w:val="0"/>
                    <w:snapToGrid w:val="0"/>
                    <w:jc w:val="center"/>
                    <w:textAlignment w:val="baseline"/>
                    <w:rPr>
                      <w:rFonts w:hint="eastAsia" w:ascii="宋体" w:hAnsi="宋体" w:cs="宋体"/>
                      <w:b/>
                      <w:bCs/>
                      <w:color w:val="auto"/>
                      <w:szCs w:val="21"/>
                    </w:rPr>
                  </w:pPr>
                </w:p>
              </w:tc>
              <w:tc>
                <w:tcPr>
                  <w:tcW w:w="1308" w:type="dxa"/>
                  <w:vAlign w:val="center"/>
                </w:tcPr>
                <w:p w14:paraId="07D7C941">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7C506C0C">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344DF35C">
                  <w:pPr>
                    <w:keepLines/>
                    <w:adjustRightInd w:val="0"/>
                    <w:snapToGrid w:val="0"/>
                    <w:jc w:val="center"/>
                    <w:rPr>
                      <w:rFonts w:hint="eastAsia" w:ascii="宋体" w:hAnsi="宋体" w:cs="宋体"/>
                      <w:color w:val="auto"/>
                      <w:szCs w:val="21"/>
                    </w:rPr>
                  </w:pPr>
                  <w:r>
                    <w:rPr>
                      <w:rFonts w:hint="eastAsia" w:cs="宋体"/>
                      <w:color w:val="auto"/>
                      <w:sz w:val="24"/>
                    </w:rPr>
                    <w:t>37</w:t>
                  </w:r>
                </w:p>
              </w:tc>
              <w:tc>
                <w:tcPr>
                  <w:tcW w:w="1148" w:type="dxa"/>
                  <w:vAlign w:val="center"/>
                </w:tcPr>
                <w:p w14:paraId="2D7DD296">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4F0486E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314D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restart"/>
                  <w:vAlign w:val="center"/>
                </w:tcPr>
                <w:p w14:paraId="3FAD26D6">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r>
                    <w:rPr>
                      <w:rFonts w:hint="eastAsia" w:ascii="宋体" w:hAnsi="宋体" w:cs="宋体"/>
                      <w:color w:val="auto"/>
                      <w:sz w:val="21"/>
                      <w:szCs w:val="21"/>
                    </w:rPr>
                    <w:t>杨广卫生院</w:t>
                  </w:r>
                </w:p>
              </w:tc>
              <w:tc>
                <w:tcPr>
                  <w:tcW w:w="988" w:type="dxa"/>
                  <w:vMerge w:val="restart"/>
                  <w:vAlign w:val="center"/>
                </w:tcPr>
                <w:p w14:paraId="70B7ABCB">
                  <w:pPr>
                    <w:adjustRightInd w:val="0"/>
                    <w:snapToGrid w:val="0"/>
                    <w:jc w:val="center"/>
                    <w:textAlignment w:val="baseline"/>
                    <w:rPr>
                      <w:rFonts w:hint="eastAsia" w:ascii="宋体" w:hAnsi="宋体" w:cs="宋体"/>
                      <w:b/>
                      <w:bCs/>
                      <w:color w:val="auto"/>
                      <w:szCs w:val="21"/>
                    </w:rPr>
                  </w:pPr>
                  <w:r>
                    <w:rPr>
                      <w:bCs/>
                      <w:color w:val="auto"/>
                      <w:szCs w:val="21"/>
                    </w:rPr>
                    <w:t>厂界</w:t>
                  </w:r>
                  <w:r>
                    <w:rPr>
                      <w:rFonts w:hint="eastAsia"/>
                      <w:bCs/>
                      <w:color w:val="auto"/>
                      <w:szCs w:val="21"/>
                    </w:rPr>
                    <w:t>南</w:t>
                  </w:r>
                </w:p>
              </w:tc>
              <w:tc>
                <w:tcPr>
                  <w:tcW w:w="1308" w:type="dxa"/>
                  <w:vAlign w:val="center"/>
                </w:tcPr>
                <w:p w14:paraId="51467299">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16A72822">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25BB5DF2">
                  <w:pPr>
                    <w:keepLines/>
                    <w:adjustRightInd w:val="0"/>
                    <w:snapToGrid w:val="0"/>
                    <w:jc w:val="center"/>
                    <w:rPr>
                      <w:rFonts w:cs="宋体"/>
                      <w:color w:val="auto"/>
                      <w:sz w:val="24"/>
                    </w:rPr>
                  </w:pPr>
                  <w:r>
                    <w:rPr>
                      <w:rFonts w:hint="eastAsia" w:cs="宋体"/>
                      <w:color w:val="auto"/>
                      <w:sz w:val="24"/>
                    </w:rPr>
                    <w:t>57</w:t>
                  </w:r>
                </w:p>
              </w:tc>
              <w:tc>
                <w:tcPr>
                  <w:tcW w:w="1148" w:type="dxa"/>
                  <w:vAlign w:val="center"/>
                </w:tcPr>
                <w:p w14:paraId="200FCC3B">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191AB99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6315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104F9D98">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595D88A3">
                  <w:pPr>
                    <w:adjustRightInd w:val="0"/>
                    <w:snapToGrid w:val="0"/>
                    <w:jc w:val="center"/>
                    <w:textAlignment w:val="baseline"/>
                    <w:rPr>
                      <w:rFonts w:hint="eastAsia" w:ascii="宋体" w:hAnsi="宋体" w:cs="宋体"/>
                      <w:b/>
                      <w:bCs/>
                      <w:color w:val="auto"/>
                      <w:szCs w:val="21"/>
                    </w:rPr>
                  </w:pPr>
                </w:p>
              </w:tc>
              <w:tc>
                <w:tcPr>
                  <w:tcW w:w="1308" w:type="dxa"/>
                  <w:vAlign w:val="center"/>
                </w:tcPr>
                <w:p w14:paraId="744FCCCC">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3470AA6B">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61468B88">
                  <w:pPr>
                    <w:keepLines/>
                    <w:adjustRightInd w:val="0"/>
                    <w:snapToGrid w:val="0"/>
                    <w:jc w:val="center"/>
                    <w:rPr>
                      <w:rFonts w:cs="宋体"/>
                      <w:color w:val="auto"/>
                      <w:sz w:val="24"/>
                    </w:rPr>
                  </w:pPr>
                  <w:r>
                    <w:rPr>
                      <w:rFonts w:hint="eastAsia" w:cs="宋体"/>
                      <w:color w:val="auto"/>
                      <w:sz w:val="24"/>
                    </w:rPr>
                    <w:t>46</w:t>
                  </w:r>
                </w:p>
              </w:tc>
              <w:tc>
                <w:tcPr>
                  <w:tcW w:w="1148" w:type="dxa"/>
                  <w:vAlign w:val="center"/>
                </w:tcPr>
                <w:p w14:paraId="6A63D73E">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1345428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10FC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45EB554D">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703448EE">
                  <w:pPr>
                    <w:adjustRightInd w:val="0"/>
                    <w:snapToGrid w:val="0"/>
                    <w:jc w:val="center"/>
                    <w:textAlignment w:val="baseline"/>
                    <w:rPr>
                      <w:rFonts w:hint="eastAsia" w:ascii="宋体" w:hAnsi="宋体" w:cs="宋体"/>
                      <w:b/>
                      <w:bCs/>
                      <w:color w:val="auto"/>
                      <w:szCs w:val="21"/>
                    </w:rPr>
                  </w:pPr>
                  <w:r>
                    <w:rPr>
                      <w:bCs/>
                      <w:color w:val="auto"/>
                      <w:szCs w:val="21"/>
                    </w:rPr>
                    <w:t>厂界</w:t>
                  </w:r>
                  <w:r>
                    <w:rPr>
                      <w:rFonts w:hint="eastAsia"/>
                      <w:bCs/>
                      <w:color w:val="auto"/>
                      <w:szCs w:val="21"/>
                    </w:rPr>
                    <w:t>西</w:t>
                  </w:r>
                </w:p>
              </w:tc>
              <w:tc>
                <w:tcPr>
                  <w:tcW w:w="1308" w:type="dxa"/>
                  <w:vAlign w:val="center"/>
                </w:tcPr>
                <w:p w14:paraId="20DECA20">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1DFCE440">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09CD2EB0">
                  <w:pPr>
                    <w:keepLines/>
                    <w:adjustRightInd w:val="0"/>
                    <w:snapToGrid w:val="0"/>
                    <w:jc w:val="center"/>
                    <w:rPr>
                      <w:rFonts w:cs="宋体"/>
                      <w:color w:val="auto"/>
                      <w:sz w:val="24"/>
                    </w:rPr>
                  </w:pPr>
                  <w:r>
                    <w:rPr>
                      <w:rFonts w:hint="eastAsia" w:cs="宋体"/>
                      <w:color w:val="auto"/>
                      <w:sz w:val="24"/>
                    </w:rPr>
                    <w:t>52</w:t>
                  </w:r>
                </w:p>
              </w:tc>
              <w:tc>
                <w:tcPr>
                  <w:tcW w:w="1148" w:type="dxa"/>
                  <w:vAlign w:val="center"/>
                </w:tcPr>
                <w:p w14:paraId="1F84DBB3">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46ED19A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1C6C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503A6C25">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6C53AA45">
                  <w:pPr>
                    <w:adjustRightInd w:val="0"/>
                    <w:snapToGrid w:val="0"/>
                    <w:jc w:val="center"/>
                    <w:textAlignment w:val="baseline"/>
                    <w:rPr>
                      <w:rFonts w:hint="eastAsia" w:ascii="宋体" w:hAnsi="宋体" w:cs="宋体"/>
                      <w:b/>
                      <w:bCs/>
                      <w:color w:val="auto"/>
                      <w:szCs w:val="21"/>
                    </w:rPr>
                  </w:pPr>
                </w:p>
              </w:tc>
              <w:tc>
                <w:tcPr>
                  <w:tcW w:w="1308" w:type="dxa"/>
                  <w:vAlign w:val="center"/>
                </w:tcPr>
                <w:p w14:paraId="60B8094F">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0F49F970">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23F2FA15">
                  <w:pPr>
                    <w:keepLines/>
                    <w:adjustRightInd w:val="0"/>
                    <w:snapToGrid w:val="0"/>
                    <w:jc w:val="center"/>
                    <w:rPr>
                      <w:rFonts w:cs="宋体"/>
                      <w:color w:val="auto"/>
                      <w:sz w:val="24"/>
                    </w:rPr>
                  </w:pPr>
                  <w:r>
                    <w:rPr>
                      <w:rFonts w:hint="eastAsia" w:cs="宋体"/>
                      <w:color w:val="auto"/>
                      <w:sz w:val="24"/>
                    </w:rPr>
                    <w:t>42</w:t>
                  </w:r>
                </w:p>
              </w:tc>
              <w:tc>
                <w:tcPr>
                  <w:tcW w:w="1148" w:type="dxa"/>
                  <w:vAlign w:val="center"/>
                </w:tcPr>
                <w:p w14:paraId="3B70BA8A">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6EB121D6">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7158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148" w:type="dxa"/>
                  <w:vMerge w:val="continue"/>
                  <w:vAlign w:val="center"/>
                </w:tcPr>
                <w:p w14:paraId="77B734F8">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4A780AA0">
                  <w:pPr>
                    <w:adjustRightInd w:val="0"/>
                    <w:snapToGrid w:val="0"/>
                    <w:jc w:val="center"/>
                    <w:textAlignment w:val="baseline"/>
                    <w:rPr>
                      <w:rFonts w:hint="eastAsia" w:ascii="宋体" w:hAnsi="宋体" w:cs="宋体"/>
                      <w:b/>
                      <w:bCs/>
                      <w:color w:val="auto"/>
                      <w:szCs w:val="21"/>
                    </w:rPr>
                  </w:pPr>
                  <w:r>
                    <w:rPr>
                      <w:bCs/>
                      <w:color w:val="auto"/>
                      <w:szCs w:val="21"/>
                    </w:rPr>
                    <w:t>厂界</w:t>
                  </w:r>
                  <w:r>
                    <w:rPr>
                      <w:rFonts w:hint="eastAsia"/>
                      <w:bCs/>
                      <w:color w:val="auto"/>
                      <w:szCs w:val="21"/>
                    </w:rPr>
                    <w:t>北</w:t>
                  </w:r>
                </w:p>
              </w:tc>
              <w:tc>
                <w:tcPr>
                  <w:tcW w:w="1308" w:type="dxa"/>
                  <w:vAlign w:val="center"/>
                </w:tcPr>
                <w:p w14:paraId="7A3C71C4">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7BE55DA4">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29465D15">
                  <w:pPr>
                    <w:keepLines/>
                    <w:adjustRightInd w:val="0"/>
                    <w:snapToGrid w:val="0"/>
                    <w:jc w:val="center"/>
                    <w:rPr>
                      <w:rFonts w:cs="宋体"/>
                      <w:color w:val="auto"/>
                      <w:sz w:val="24"/>
                    </w:rPr>
                  </w:pPr>
                  <w:r>
                    <w:rPr>
                      <w:rFonts w:hint="eastAsia" w:cs="宋体"/>
                      <w:color w:val="auto"/>
                      <w:sz w:val="24"/>
                    </w:rPr>
                    <w:t>43</w:t>
                  </w:r>
                </w:p>
              </w:tc>
              <w:tc>
                <w:tcPr>
                  <w:tcW w:w="1148" w:type="dxa"/>
                  <w:vAlign w:val="center"/>
                </w:tcPr>
                <w:p w14:paraId="0B6DB5E4">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0AE7955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5FDC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7CEA33A8">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3FCC9D28">
                  <w:pPr>
                    <w:adjustRightInd w:val="0"/>
                    <w:snapToGrid w:val="0"/>
                    <w:jc w:val="center"/>
                    <w:textAlignment w:val="baseline"/>
                    <w:rPr>
                      <w:rFonts w:hint="eastAsia" w:ascii="宋体" w:hAnsi="宋体" w:cs="宋体"/>
                      <w:b/>
                      <w:bCs/>
                      <w:color w:val="auto"/>
                      <w:szCs w:val="21"/>
                    </w:rPr>
                  </w:pPr>
                </w:p>
              </w:tc>
              <w:tc>
                <w:tcPr>
                  <w:tcW w:w="1308" w:type="dxa"/>
                  <w:vAlign w:val="center"/>
                </w:tcPr>
                <w:p w14:paraId="27B5DB61">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06ADD589">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55E58C36">
                  <w:pPr>
                    <w:keepLines/>
                    <w:adjustRightInd w:val="0"/>
                    <w:snapToGrid w:val="0"/>
                    <w:jc w:val="center"/>
                    <w:rPr>
                      <w:rFonts w:cs="宋体"/>
                      <w:color w:val="auto"/>
                      <w:sz w:val="24"/>
                    </w:rPr>
                  </w:pPr>
                  <w:r>
                    <w:rPr>
                      <w:rFonts w:hint="eastAsia" w:cs="宋体"/>
                      <w:color w:val="auto"/>
                      <w:sz w:val="24"/>
                    </w:rPr>
                    <w:t>39</w:t>
                  </w:r>
                </w:p>
              </w:tc>
              <w:tc>
                <w:tcPr>
                  <w:tcW w:w="1148" w:type="dxa"/>
                  <w:vAlign w:val="center"/>
                </w:tcPr>
                <w:p w14:paraId="6240CA3C">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6A9B38B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3715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27922E2B">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2E01F15A">
                  <w:pPr>
                    <w:adjustRightInd w:val="0"/>
                    <w:snapToGrid w:val="0"/>
                    <w:jc w:val="center"/>
                    <w:textAlignment w:val="baseline"/>
                    <w:rPr>
                      <w:rFonts w:hint="eastAsia" w:ascii="宋体" w:hAnsi="宋体" w:cs="宋体"/>
                      <w:b/>
                      <w:bCs/>
                      <w:color w:val="auto"/>
                      <w:szCs w:val="21"/>
                    </w:rPr>
                  </w:pPr>
                  <w:r>
                    <w:rPr>
                      <w:rFonts w:hint="eastAsia" w:ascii="宋体" w:hAnsi="宋体" w:cs="宋体"/>
                      <w:color w:val="auto"/>
                      <w:szCs w:val="21"/>
                    </w:rPr>
                    <w:t>厂界东</w:t>
                  </w:r>
                </w:p>
              </w:tc>
              <w:tc>
                <w:tcPr>
                  <w:tcW w:w="1308" w:type="dxa"/>
                  <w:vAlign w:val="center"/>
                </w:tcPr>
                <w:p w14:paraId="1B94D959">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3862E208">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4486174F">
                  <w:pPr>
                    <w:keepLines/>
                    <w:adjustRightInd w:val="0"/>
                    <w:snapToGrid w:val="0"/>
                    <w:jc w:val="center"/>
                    <w:rPr>
                      <w:rFonts w:cs="宋体"/>
                      <w:color w:val="auto"/>
                      <w:sz w:val="24"/>
                    </w:rPr>
                  </w:pPr>
                  <w:r>
                    <w:rPr>
                      <w:rFonts w:hint="eastAsia" w:cs="宋体"/>
                      <w:color w:val="auto"/>
                      <w:sz w:val="24"/>
                    </w:rPr>
                    <w:t>46</w:t>
                  </w:r>
                </w:p>
              </w:tc>
              <w:tc>
                <w:tcPr>
                  <w:tcW w:w="1148" w:type="dxa"/>
                  <w:vAlign w:val="center"/>
                </w:tcPr>
                <w:p w14:paraId="673919B3">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149BC65D">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381C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55637B9E">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648A411A">
                  <w:pPr>
                    <w:adjustRightInd w:val="0"/>
                    <w:snapToGrid w:val="0"/>
                    <w:jc w:val="center"/>
                    <w:textAlignment w:val="baseline"/>
                    <w:rPr>
                      <w:rFonts w:hint="eastAsia" w:ascii="宋体" w:hAnsi="宋体" w:cs="宋体"/>
                      <w:b/>
                      <w:bCs/>
                      <w:color w:val="auto"/>
                      <w:szCs w:val="21"/>
                    </w:rPr>
                  </w:pPr>
                </w:p>
              </w:tc>
              <w:tc>
                <w:tcPr>
                  <w:tcW w:w="1308" w:type="dxa"/>
                  <w:vAlign w:val="center"/>
                </w:tcPr>
                <w:p w14:paraId="26F06115">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6EC925E9">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35C06032">
                  <w:pPr>
                    <w:keepLines/>
                    <w:adjustRightInd w:val="0"/>
                    <w:snapToGrid w:val="0"/>
                    <w:jc w:val="center"/>
                    <w:rPr>
                      <w:rFonts w:cs="宋体"/>
                      <w:color w:val="auto"/>
                      <w:sz w:val="24"/>
                    </w:rPr>
                  </w:pPr>
                  <w:r>
                    <w:rPr>
                      <w:rFonts w:hint="eastAsia" w:cs="宋体"/>
                      <w:color w:val="auto"/>
                      <w:sz w:val="24"/>
                    </w:rPr>
                    <w:t>40</w:t>
                  </w:r>
                </w:p>
              </w:tc>
              <w:tc>
                <w:tcPr>
                  <w:tcW w:w="1148" w:type="dxa"/>
                  <w:vAlign w:val="center"/>
                </w:tcPr>
                <w:p w14:paraId="30371E14">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4D89BCC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bl>
          <w:p w14:paraId="2AB0B577">
            <w:pPr>
              <w:pStyle w:val="8"/>
              <w:adjustRightInd w:val="0"/>
              <w:snapToGrid w:val="0"/>
              <w:spacing w:line="360" w:lineRule="auto"/>
              <w:ind w:firstLine="417" w:firstLineChars="174"/>
              <w:rPr>
                <w:color w:val="auto"/>
              </w:rPr>
            </w:pPr>
            <w:r>
              <w:rPr>
                <w:rFonts w:hint="eastAsia"/>
                <w:color w:val="auto"/>
              </w:rPr>
              <w:t>监测结果表明，现有</w:t>
            </w:r>
            <w:bookmarkStart w:id="52" w:name="_Hlk192169671"/>
            <w:r>
              <w:rPr>
                <w:rFonts w:hint="eastAsia"/>
                <w:color w:val="auto"/>
              </w:rPr>
              <w:t>项目纳古卫生院东、南、西、北侧厂界噪声测值可达到《工业企业厂界环境噪声排放标准》（</w:t>
            </w:r>
            <w:r>
              <w:rPr>
                <w:color w:val="auto"/>
              </w:rPr>
              <w:t>GB12348-2008</w:t>
            </w:r>
            <w:r>
              <w:rPr>
                <w:rFonts w:hint="eastAsia"/>
                <w:color w:val="auto"/>
              </w:rPr>
              <w:t>）中2类的标准要求。</w:t>
            </w:r>
          </w:p>
          <w:p w14:paraId="582E58D7">
            <w:pPr>
              <w:pStyle w:val="8"/>
              <w:adjustRightInd w:val="0"/>
              <w:snapToGrid w:val="0"/>
              <w:spacing w:line="360" w:lineRule="auto"/>
              <w:ind w:firstLine="417" w:firstLineChars="174"/>
              <w:rPr>
                <w:color w:val="auto"/>
              </w:rPr>
            </w:pPr>
            <w:r>
              <w:rPr>
                <w:rFonts w:hint="eastAsia"/>
                <w:color w:val="auto"/>
              </w:rPr>
              <w:t>现有项目四街卫生院西侧厂界噪声测值可达到《工业企业厂界环境噪声排放标准》（</w:t>
            </w:r>
            <w:r>
              <w:rPr>
                <w:color w:val="auto"/>
              </w:rPr>
              <w:t>GB12348-2008</w:t>
            </w:r>
            <w:r>
              <w:rPr>
                <w:rFonts w:hint="eastAsia"/>
                <w:color w:val="auto"/>
              </w:rPr>
              <w:t>）中4类（临市政道路一侧）的标准要求，东、南、北侧厂界噪声测值可达到《工业企业厂界环境噪声排放标准》（</w:t>
            </w:r>
            <w:r>
              <w:rPr>
                <w:color w:val="auto"/>
              </w:rPr>
              <w:t>GB12348-2008</w:t>
            </w:r>
            <w:r>
              <w:rPr>
                <w:rFonts w:hint="eastAsia"/>
                <w:color w:val="auto"/>
              </w:rPr>
              <w:t>）中2类的标准要求。现有项目九龙卫生院东、南、西、北侧厂界噪声测值可达到《工业企业厂界环境噪声排放标准》（</w:t>
            </w:r>
            <w:r>
              <w:rPr>
                <w:color w:val="auto"/>
              </w:rPr>
              <w:t>GB12348-2008</w:t>
            </w:r>
            <w:r>
              <w:rPr>
                <w:rFonts w:hint="eastAsia"/>
                <w:color w:val="auto"/>
              </w:rPr>
              <w:t>）中2类的标准要求。现有项目杨广卫生院东、南、西、北侧厂界噪声测值可达到《工业企业厂界环境噪声排放标准》（</w:t>
            </w:r>
            <w:r>
              <w:rPr>
                <w:color w:val="auto"/>
              </w:rPr>
              <w:t>GB12348-2008</w:t>
            </w:r>
            <w:r>
              <w:rPr>
                <w:rFonts w:hint="eastAsia"/>
                <w:color w:val="auto"/>
              </w:rPr>
              <w:t>）中2类的标准要求。</w:t>
            </w:r>
          </w:p>
          <w:bookmarkEnd w:id="52"/>
          <w:p w14:paraId="05131C4E">
            <w:pPr>
              <w:pStyle w:val="8"/>
              <w:adjustRightInd w:val="0"/>
              <w:snapToGrid w:val="0"/>
              <w:spacing w:line="360" w:lineRule="auto"/>
              <w:ind w:firstLine="419" w:firstLineChars="174"/>
              <w:rPr>
                <w:b/>
                <w:bCs/>
                <w:color w:val="auto"/>
              </w:rPr>
            </w:pPr>
            <w:r>
              <w:rPr>
                <w:b/>
                <w:bCs/>
                <w:color w:val="auto"/>
              </w:rPr>
              <w:t>（</w:t>
            </w:r>
            <w:r>
              <w:rPr>
                <w:rFonts w:hint="eastAsia"/>
                <w:b/>
                <w:bCs/>
                <w:color w:val="auto"/>
              </w:rPr>
              <w:t>4</w:t>
            </w:r>
            <w:r>
              <w:rPr>
                <w:b/>
                <w:bCs/>
                <w:color w:val="auto"/>
              </w:rPr>
              <w:t>）</w:t>
            </w:r>
            <w:r>
              <w:rPr>
                <w:rFonts w:hint="eastAsia"/>
                <w:b/>
                <w:color w:val="auto"/>
              </w:rPr>
              <w:t>现有项目</w:t>
            </w:r>
            <w:r>
              <w:rPr>
                <w:b/>
                <w:bCs/>
                <w:color w:val="auto"/>
              </w:rPr>
              <w:t>运营期</w:t>
            </w:r>
            <w:r>
              <w:rPr>
                <w:rFonts w:hint="eastAsia"/>
                <w:b/>
                <w:bCs/>
                <w:color w:val="auto"/>
              </w:rPr>
              <w:t>固体废物</w:t>
            </w:r>
          </w:p>
          <w:p w14:paraId="49319AE7">
            <w:pPr>
              <w:spacing w:line="360" w:lineRule="auto"/>
              <w:ind w:firstLine="480" w:firstLineChars="200"/>
              <w:rPr>
                <w:rFonts w:hint="eastAsia" w:hAnsi="宋体"/>
                <w:color w:val="auto"/>
                <w:sz w:val="24"/>
                <w:szCs w:val="30"/>
              </w:rPr>
            </w:pPr>
            <w:r>
              <w:rPr>
                <w:rFonts w:hint="eastAsia" w:hAnsi="宋体"/>
                <w:color w:val="auto"/>
                <w:sz w:val="24"/>
                <w:szCs w:val="30"/>
              </w:rPr>
              <w:t>现有项目产生的固体废物主要为医疗废物、</w:t>
            </w:r>
            <w:r>
              <w:rPr>
                <w:color w:val="auto"/>
                <w:sz w:val="24"/>
              </w:rPr>
              <w:t>化粪池和</w:t>
            </w:r>
            <w:r>
              <w:rPr>
                <w:rFonts w:hint="eastAsia" w:hAnsi="宋体"/>
                <w:color w:val="auto"/>
                <w:sz w:val="24"/>
                <w:szCs w:val="30"/>
              </w:rPr>
              <w:t>污水处理设施污泥、生活垃圾、食堂泔水。</w:t>
            </w:r>
          </w:p>
          <w:p w14:paraId="0F105D19">
            <w:pPr>
              <w:spacing w:line="360" w:lineRule="auto"/>
              <w:ind w:firstLine="482" w:firstLineChars="200"/>
              <w:rPr>
                <w:b/>
                <w:color w:val="auto"/>
                <w:sz w:val="24"/>
              </w:rPr>
            </w:pPr>
            <w:r>
              <w:rPr>
                <w:b/>
                <w:color w:val="auto"/>
                <w:sz w:val="24"/>
              </w:rPr>
              <w:t>1</w:t>
            </w:r>
            <w:r>
              <w:rPr>
                <w:rFonts w:hAnsi="宋体"/>
                <w:b/>
                <w:color w:val="auto"/>
                <w:sz w:val="24"/>
              </w:rPr>
              <w:t>）</w:t>
            </w:r>
            <w:r>
              <w:rPr>
                <w:b/>
                <w:color w:val="auto"/>
                <w:sz w:val="24"/>
              </w:rPr>
              <w:t>医疗废物</w:t>
            </w:r>
          </w:p>
          <w:p w14:paraId="01D03F02">
            <w:pPr>
              <w:adjustRightInd w:val="0"/>
              <w:snapToGrid w:val="0"/>
              <w:spacing w:line="360" w:lineRule="auto"/>
              <w:ind w:firstLine="480" w:firstLineChars="200"/>
              <w:rPr>
                <w:bCs/>
                <w:color w:val="auto"/>
                <w:sz w:val="24"/>
              </w:rPr>
            </w:pPr>
            <w:r>
              <w:rPr>
                <w:rFonts w:hint="eastAsia"/>
                <w:bCs/>
                <w:color w:val="auto"/>
                <w:sz w:val="24"/>
              </w:rPr>
              <w:t>根据2023年度本项目涉及的四个卫生院医疗废物转移联单统计，卫生院医疗废物产生情况见表2-33。</w:t>
            </w:r>
          </w:p>
          <w:p w14:paraId="2D0DE8AC">
            <w:pPr>
              <w:adjustRightInd w:val="0"/>
              <w:snapToGrid w:val="0"/>
              <w:spacing w:line="360" w:lineRule="auto"/>
              <w:ind w:firstLine="2168" w:firstLineChars="900"/>
              <w:textAlignment w:val="baseline"/>
              <w:rPr>
                <w:b/>
                <w:color w:val="auto"/>
                <w:kern w:val="0"/>
                <w:sz w:val="24"/>
                <w:szCs w:val="20"/>
              </w:rPr>
            </w:pPr>
            <w:r>
              <w:rPr>
                <w:rFonts w:hint="eastAsia"/>
                <w:b/>
                <w:color w:val="auto"/>
                <w:kern w:val="0"/>
                <w:sz w:val="24"/>
                <w:szCs w:val="20"/>
              </w:rPr>
              <w:t>表2-33 现有项目医疗废物产生情况</w:t>
            </w:r>
          </w:p>
          <w:tbl>
            <w:tblPr>
              <w:tblStyle w:val="33"/>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098"/>
              <w:gridCol w:w="1098"/>
              <w:gridCol w:w="898"/>
              <w:gridCol w:w="30"/>
              <w:gridCol w:w="928"/>
              <w:gridCol w:w="1315"/>
              <w:gridCol w:w="1987"/>
            </w:tblGrid>
            <w:tr w14:paraId="7D4B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684" w:type="dxa"/>
                  <w:vAlign w:val="center"/>
                </w:tcPr>
                <w:p w14:paraId="09A3EA21">
                  <w:pPr>
                    <w:pStyle w:val="29"/>
                    <w:spacing w:before="0" w:beforeAutospacing="0" w:after="0" w:afterAutospacing="0" w:line="280" w:lineRule="exact"/>
                    <w:jc w:val="center"/>
                    <w:rPr>
                      <w:rFonts w:hint="eastAsia"/>
                      <w:bCs/>
                      <w:color w:val="auto"/>
                      <w:sz w:val="21"/>
                      <w:szCs w:val="21"/>
                    </w:rPr>
                  </w:pPr>
                  <w:bookmarkStart w:id="53" w:name="_Hlk192169758"/>
                  <w:r>
                    <w:rPr>
                      <w:rFonts w:hint="eastAsia"/>
                      <w:bCs/>
                      <w:color w:val="auto"/>
                      <w:sz w:val="21"/>
                      <w:szCs w:val="21"/>
                    </w:rPr>
                    <w:t>分区</w:t>
                  </w:r>
                </w:p>
              </w:tc>
              <w:tc>
                <w:tcPr>
                  <w:tcW w:w="1098" w:type="dxa"/>
                  <w:vAlign w:val="center"/>
                </w:tcPr>
                <w:p w14:paraId="70599DB9">
                  <w:pPr>
                    <w:pStyle w:val="29"/>
                    <w:spacing w:before="0" w:beforeAutospacing="0" w:after="0" w:afterAutospacing="0" w:line="280" w:lineRule="exact"/>
                    <w:jc w:val="center"/>
                    <w:rPr>
                      <w:rFonts w:hint="eastAsia"/>
                      <w:bCs/>
                      <w:color w:val="auto"/>
                      <w:sz w:val="21"/>
                      <w:szCs w:val="21"/>
                    </w:rPr>
                  </w:pPr>
                  <w:r>
                    <w:rPr>
                      <w:rFonts w:hint="eastAsia"/>
                      <w:bCs/>
                      <w:color w:val="auto"/>
                      <w:sz w:val="21"/>
                      <w:szCs w:val="21"/>
                    </w:rPr>
                    <w:t>废物类别</w:t>
                  </w:r>
                </w:p>
              </w:tc>
              <w:tc>
                <w:tcPr>
                  <w:tcW w:w="1098" w:type="dxa"/>
                  <w:vAlign w:val="center"/>
                </w:tcPr>
                <w:p w14:paraId="3904A2B7">
                  <w:pPr>
                    <w:pStyle w:val="29"/>
                    <w:spacing w:before="0" w:beforeAutospacing="0" w:after="0" w:afterAutospacing="0" w:line="280" w:lineRule="exact"/>
                    <w:jc w:val="center"/>
                    <w:rPr>
                      <w:rFonts w:hint="eastAsia"/>
                      <w:bCs/>
                      <w:color w:val="auto"/>
                      <w:sz w:val="21"/>
                      <w:szCs w:val="21"/>
                    </w:rPr>
                  </w:pPr>
                  <w:r>
                    <w:rPr>
                      <w:rFonts w:hint="eastAsia"/>
                      <w:bCs/>
                      <w:color w:val="auto"/>
                      <w:sz w:val="21"/>
                      <w:szCs w:val="21"/>
                    </w:rPr>
                    <w:t>代码</w:t>
                  </w:r>
                </w:p>
              </w:tc>
              <w:tc>
                <w:tcPr>
                  <w:tcW w:w="1856" w:type="dxa"/>
                  <w:gridSpan w:val="3"/>
                  <w:vAlign w:val="center"/>
                </w:tcPr>
                <w:p w14:paraId="01E31E86">
                  <w:pPr>
                    <w:pStyle w:val="29"/>
                    <w:spacing w:before="0" w:beforeAutospacing="0" w:after="0" w:afterAutospacing="0" w:line="280" w:lineRule="exact"/>
                    <w:jc w:val="center"/>
                    <w:rPr>
                      <w:rFonts w:hint="eastAsia"/>
                      <w:bCs/>
                      <w:color w:val="auto"/>
                      <w:sz w:val="21"/>
                      <w:szCs w:val="21"/>
                    </w:rPr>
                  </w:pPr>
                  <w:r>
                    <w:rPr>
                      <w:rFonts w:hint="eastAsia"/>
                      <w:bCs/>
                      <w:color w:val="auto"/>
                      <w:sz w:val="21"/>
                      <w:szCs w:val="21"/>
                    </w:rPr>
                    <w:t>分类</w:t>
                  </w:r>
                </w:p>
              </w:tc>
              <w:tc>
                <w:tcPr>
                  <w:tcW w:w="1315" w:type="dxa"/>
                  <w:vAlign w:val="center"/>
                </w:tcPr>
                <w:p w14:paraId="0116BE92">
                  <w:pPr>
                    <w:pStyle w:val="29"/>
                    <w:spacing w:before="0" w:beforeAutospacing="0" w:after="0" w:afterAutospacing="0" w:line="280" w:lineRule="exact"/>
                    <w:jc w:val="center"/>
                    <w:rPr>
                      <w:rFonts w:hint="eastAsia"/>
                      <w:bCs/>
                      <w:color w:val="auto"/>
                      <w:sz w:val="21"/>
                      <w:szCs w:val="21"/>
                    </w:rPr>
                  </w:pPr>
                  <w:r>
                    <w:rPr>
                      <w:rFonts w:hint="eastAsia"/>
                      <w:bCs/>
                      <w:color w:val="auto"/>
                      <w:sz w:val="21"/>
                      <w:szCs w:val="21"/>
                    </w:rPr>
                    <w:t>产生量(kg/a)</w:t>
                  </w:r>
                </w:p>
              </w:tc>
              <w:tc>
                <w:tcPr>
                  <w:tcW w:w="1987" w:type="dxa"/>
                  <w:vAlign w:val="center"/>
                </w:tcPr>
                <w:p w14:paraId="609989E2">
                  <w:pPr>
                    <w:pStyle w:val="29"/>
                    <w:spacing w:before="0" w:beforeAutospacing="0" w:after="0" w:afterAutospacing="0" w:line="280" w:lineRule="exact"/>
                    <w:jc w:val="center"/>
                    <w:rPr>
                      <w:rFonts w:hint="eastAsia"/>
                      <w:bCs/>
                      <w:color w:val="auto"/>
                      <w:sz w:val="21"/>
                      <w:szCs w:val="21"/>
                    </w:rPr>
                  </w:pPr>
                  <w:r>
                    <w:rPr>
                      <w:rFonts w:hint="eastAsia"/>
                      <w:bCs/>
                      <w:color w:val="auto"/>
                      <w:sz w:val="21"/>
                      <w:szCs w:val="21"/>
                    </w:rPr>
                    <w:t>成份和来源</w:t>
                  </w:r>
                </w:p>
              </w:tc>
            </w:tr>
            <w:tr w14:paraId="2D73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684" w:type="dxa"/>
                  <w:vMerge w:val="restart"/>
                  <w:vAlign w:val="center"/>
                </w:tcPr>
                <w:p w14:paraId="5460BD9D">
                  <w:pPr>
                    <w:tabs>
                      <w:tab w:val="left" w:pos="567"/>
                    </w:tabs>
                    <w:snapToGrid w:val="0"/>
                    <w:spacing w:line="280" w:lineRule="exact"/>
                    <w:jc w:val="center"/>
                    <w:rPr>
                      <w:color w:val="auto"/>
                      <w:szCs w:val="21"/>
                    </w:rPr>
                  </w:pPr>
                  <w:r>
                    <w:rPr>
                      <w:rFonts w:hint="eastAsia"/>
                      <w:color w:val="auto"/>
                      <w:szCs w:val="21"/>
                    </w:rPr>
                    <w:t>杨广卫生院</w:t>
                  </w:r>
                </w:p>
              </w:tc>
              <w:tc>
                <w:tcPr>
                  <w:tcW w:w="1098" w:type="dxa"/>
                  <w:vMerge w:val="restart"/>
                  <w:vAlign w:val="center"/>
                </w:tcPr>
                <w:p w14:paraId="1E5712DE">
                  <w:pPr>
                    <w:tabs>
                      <w:tab w:val="left" w:pos="567"/>
                    </w:tabs>
                    <w:snapToGrid w:val="0"/>
                    <w:spacing w:line="280" w:lineRule="exact"/>
                    <w:jc w:val="center"/>
                    <w:rPr>
                      <w:color w:val="auto"/>
                      <w:szCs w:val="21"/>
                    </w:rPr>
                  </w:pPr>
                  <w:r>
                    <w:rPr>
                      <w:rFonts w:hint="eastAsia"/>
                      <w:color w:val="auto"/>
                      <w:szCs w:val="21"/>
                    </w:rPr>
                    <w:t>医疗废物HW01</w:t>
                  </w:r>
                </w:p>
              </w:tc>
              <w:tc>
                <w:tcPr>
                  <w:tcW w:w="1098" w:type="dxa"/>
                  <w:vMerge w:val="restart"/>
                  <w:vAlign w:val="center"/>
                </w:tcPr>
                <w:p w14:paraId="0D7B9888">
                  <w:pPr>
                    <w:tabs>
                      <w:tab w:val="left" w:pos="567"/>
                    </w:tabs>
                    <w:snapToGrid w:val="0"/>
                    <w:spacing w:line="280" w:lineRule="exact"/>
                    <w:jc w:val="center"/>
                    <w:rPr>
                      <w:color w:val="auto"/>
                      <w:szCs w:val="21"/>
                    </w:rPr>
                  </w:pPr>
                  <w:r>
                    <w:rPr>
                      <w:rFonts w:hint="eastAsia"/>
                      <w:color w:val="auto"/>
                      <w:szCs w:val="21"/>
                    </w:rPr>
                    <w:t>841-001-01</w:t>
                  </w:r>
                </w:p>
              </w:tc>
              <w:tc>
                <w:tcPr>
                  <w:tcW w:w="898" w:type="dxa"/>
                  <w:vMerge w:val="restart"/>
                  <w:vAlign w:val="center"/>
                </w:tcPr>
                <w:p w14:paraId="599750A1">
                  <w:pPr>
                    <w:tabs>
                      <w:tab w:val="left" w:pos="567"/>
                    </w:tabs>
                    <w:snapToGrid w:val="0"/>
                    <w:spacing w:line="280" w:lineRule="exact"/>
                    <w:jc w:val="center"/>
                    <w:rPr>
                      <w:color w:val="auto"/>
                      <w:szCs w:val="21"/>
                    </w:rPr>
                  </w:pPr>
                  <w:r>
                    <w:rPr>
                      <w:rFonts w:hint="eastAsia"/>
                      <w:color w:val="auto"/>
                      <w:szCs w:val="21"/>
                    </w:rPr>
                    <w:t>感染性废物</w:t>
                  </w:r>
                </w:p>
              </w:tc>
              <w:tc>
                <w:tcPr>
                  <w:tcW w:w="958" w:type="dxa"/>
                  <w:gridSpan w:val="2"/>
                  <w:vAlign w:val="center"/>
                </w:tcPr>
                <w:p w14:paraId="1CFD054F">
                  <w:pPr>
                    <w:tabs>
                      <w:tab w:val="left" w:pos="567"/>
                    </w:tabs>
                    <w:snapToGrid w:val="0"/>
                    <w:spacing w:line="280" w:lineRule="exact"/>
                    <w:jc w:val="center"/>
                    <w:rPr>
                      <w:color w:val="auto"/>
                      <w:szCs w:val="21"/>
                    </w:rPr>
                  </w:pPr>
                  <w:r>
                    <w:rPr>
                      <w:rFonts w:hint="eastAsia"/>
                      <w:color w:val="auto"/>
                      <w:szCs w:val="21"/>
                    </w:rPr>
                    <w:t>塑料类</w:t>
                  </w:r>
                </w:p>
              </w:tc>
              <w:tc>
                <w:tcPr>
                  <w:tcW w:w="1315" w:type="dxa"/>
                  <w:vMerge w:val="restart"/>
                  <w:vAlign w:val="center"/>
                </w:tcPr>
                <w:p w14:paraId="31C172DA">
                  <w:pPr>
                    <w:tabs>
                      <w:tab w:val="left" w:pos="567"/>
                    </w:tabs>
                    <w:snapToGrid w:val="0"/>
                    <w:spacing w:line="280" w:lineRule="exact"/>
                    <w:jc w:val="center"/>
                    <w:rPr>
                      <w:color w:val="auto"/>
                      <w:szCs w:val="21"/>
                    </w:rPr>
                  </w:pPr>
                  <w:r>
                    <w:rPr>
                      <w:rFonts w:hint="eastAsia"/>
                      <w:color w:val="auto"/>
                      <w:szCs w:val="21"/>
                    </w:rPr>
                    <w:t>3704.9</w:t>
                  </w:r>
                </w:p>
              </w:tc>
              <w:tc>
                <w:tcPr>
                  <w:tcW w:w="1987" w:type="dxa"/>
                  <w:vAlign w:val="center"/>
                </w:tcPr>
                <w:p w14:paraId="655FF627">
                  <w:pPr>
                    <w:pStyle w:val="134"/>
                    <w:tabs>
                      <w:tab w:val="left" w:pos="567"/>
                    </w:tabs>
                    <w:adjustRightInd/>
                    <w:snapToGrid w:val="0"/>
                    <w:spacing w:line="280" w:lineRule="exact"/>
                    <w:textAlignment w:val="auto"/>
                    <w:rPr>
                      <w:rFonts w:ascii="Times New Roman" w:hAnsi="Times New Roman"/>
                      <w:color w:val="auto"/>
                      <w:szCs w:val="21"/>
                    </w:rPr>
                  </w:pPr>
                  <w:r>
                    <w:rPr>
                      <w:rFonts w:hint="eastAsia" w:ascii="Times New Roman" w:hAnsi="Times New Roman"/>
                      <w:color w:val="auto"/>
                      <w:szCs w:val="21"/>
                    </w:rPr>
                    <w:t>塑胶手套、一次性针筒等</w:t>
                  </w:r>
                </w:p>
              </w:tc>
            </w:tr>
            <w:tr w14:paraId="0CD8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84" w:type="dxa"/>
                  <w:vMerge w:val="continue"/>
                  <w:vAlign w:val="center"/>
                </w:tcPr>
                <w:p w14:paraId="32792B8E">
                  <w:pPr>
                    <w:tabs>
                      <w:tab w:val="left" w:pos="567"/>
                    </w:tabs>
                    <w:snapToGrid w:val="0"/>
                    <w:spacing w:line="280" w:lineRule="exact"/>
                    <w:jc w:val="center"/>
                    <w:rPr>
                      <w:color w:val="auto"/>
                      <w:szCs w:val="21"/>
                    </w:rPr>
                  </w:pPr>
                </w:p>
              </w:tc>
              <w:tc>
                <w:tcPr>
                  <w:tcW w:w="1098" w:type="dxa"/>
                  <w:vMerge w:val="continue"/>
                  <w:vAlign w:val="center"/>
                </w:tcPr>
                <w:p w14:paraId="6D88B209">
                  <w:pPr>
                    <w:tabs>
                      <w:tab w:val="left" w:pos="567"/>
                    </w:tabs>
                    <w:snapToGrid w:val="0"/>
                    <w:spacing w:line="280" w:lineRule="exact"/>
                    <w:rPr>
                      <w:color w:val="auto"/>
                      <w:szCs w:val="21"/>
                    </w:rPr>
                  </w:pPr>
                </w:p>
              </w:tc>
              <w:tc>
                <w:tcPr>
                  <w:tcW w:w="1098" w:type="dxa"/>
                  <w:vMerge w:val="continue"/>
                  <w:vAlign w:val="center"/>
                </w:tcPr>
                <w:p w14:paraId="3023001A">
                  <w:pPr>
                    <w:tabs>
                      <w:tab w:val="left" w:pos="567"/>
                    </w:tabs>
                    <w:snapToGrid w:val="0"/>
                    <w:spacing w:line="280" w:lineRule="exact"/>
                    <w:rPr>
                      <w:color w:val="auto"/>
                      <w:szCs w:val="21"/>
                    </w:rPr>
                  </w:pPr>
                </w:p>
              </w:tc>
              <w:tc>
                <w:tcPr>
                  <w:tcW w:w="898" w:type="dxa"/>
                  <w:vMerge w:val="continue"/>
                  <w:vAlign w:val="center"/>
                </w:tcPr>
                <w:p w14:paraId="49C7B099">
                  <w:pPr>
                    <w:tabs>
                      <w:tab w:val="left" w:pos="567"/>
                    </w:tabs>
                    <w:snapToGrid w:val="0"/>
                    <w:spacing w:line="280" w:lineRule="exact"/>
                    <w:jc w:val="center"/>
                    <w:rPr>
                      <w:color w:val="auto"/>
                      <w:szCs w:val="21"/>
                    </w:rPr>
                  </w:pPr>
                </w:p>
              </w:tc>
              <w:tc>
                <w:tcPr>
                  <w:tcW w:w="958" w:type="dxa"/>
                  <w:gridSpan w:val="2"/>
                  <w:vAlign w:val="center"/>
                </w:tcPr>
                <w:p w14:paraId="0CCEBE8B">
                  <w:pPr>
                    <w:tabs>
                      <w:tab w:val="left" w:pos="567"/>
                    </w:tabs>
                    <w:snapToGrid w:val="0"/>
                    <w:spacing w:line="280" w:lineRule="exact"/>
                    <w:jc w:val="center"/>
                    <w:rPr>
                      <w:color w:val="auto"/>
                      <w:szCs w:val="21"/>
                    </w:rPr>
                  </w:pPr>
                  <w:r>
                    <w:rPr>
                      <w:rFonts w:hint="eastAsia"/>
                      <w:color w:val="auto"/>
                      <w:szCs w:val="21"/>
                    </w:rPr>
                    <w:t>纤维类</w:t>
                  </w:r>
                </w:p>
              </w:tc>
              <w:tc>
                <w:tcPr>
                  <w:tcW w:w="1315" w:type="dxa"/>
                  <w:vMerge w:val="continue"/>
                  <w:vAlign w:val="center"/>
                </w:tcPr>
                <w:p w14:paraId="72708F9E">
                  <w:pPr>
                    <w:tabs>
                      <w:tab w:val="left" w:pos="567"/>
                    </w:tabs>
                    <w:snapToGrid w:val="0"/>
                    <w:spacing w:line="280" w:lineRule="exact"/>
                    <w:jc w:val="center"/>
                    <w:rPr>
                      <w:color w:val="auto"/>
                      <w:szCs w:val="21"/>
                    </w:rPr>
                  </w:pPr>
                </w:p>
              </w:tc>
              <w:tc>
                <w:tcPr>
                  <w:tcW w:w="1987" w:type="dxa"/>
                  <w:vAlign w:val="center"/>
                </w:tcPr>
                <w:p w14:paraId="63429848">
                  <w:pPr>
                    <w:tabs>
                      <w:tab w:val="left" w:pos="567"/>
                    </w:tabs>
                    <w:snapToGrid w:val="0"/>
                    <w:spacing w:line="280" w:lineRule="exact"/>
                    <w:rPr>
                      <w:color w:val="auto"/>
                      <w:szCs w:val="21"/>
                    </w:rPr>
                  </w:pPr>
                  <w:r>
                    <w:rPr>
                      <w:rFonts w:hint="eastAsia"/>
                      <w:color w:val="auto"/>
                      <w:szCs w:val="21"/>
                    </w:rPr>
                    <w:t>湿纱布及衣物等</w:t>
                  </w:r>
                </w:p>
              </w:tc>
            </w:tr>
            <w:tr w14:paraId="1BD9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684" w:type="dxa"/>
                  <w:vMerge w:val="continue"/>
                  <w:vAlign w:val="center"/>
                </w:tcPr>
                <w:p w14:paraId="7A146DEC">
                  <w:pPr>
                    <w:tabs>
                      <w:tab w:val="left" w:pos="567"/>
                    </w:tabs>
                    <w:snapToGrid w:val="0"/>
                    <w:spacing w:line="280" w:lineRule="exact"/>
                    <w:jc w:val="center"/>
                    <w:rPr>
                      <w:color w:val="auto"/>
                      <w:szCs w:val="21"/>
                    </w:rPr>
                  </w:pPr>
                </w:p>
              </w:tc>
              <w:tc>
                <w:tcPr>
                  <w:tcW w:w="1098" w:type="dxa"/>
                  <w:vMerge w:val="continue"/>
                  <w:vAlign w:val="center"/>
                </w:tcPr>
                <w:p w14:paraId="7CC9E819">
                  <w:pPr>
                    <w:tabs>
                      <w:tab w:val="left" w:pos="567"/>
                    </w:tabs>
                    <w:snapToGrid w:val="0"/>
                    <w:spacing w:line="280" w:lineRule="exact"/>
                    <w:jc w:val="center"/>
                    <w:rPr>
                      <w:color w:val="auto"/>
                      <w:szCs w:val="21"/>
                    </w:rPr>
                  </w:pPr>
                </w:p>
              </w:tc>
              <w:tc>
                <w:tcPr>
                  <w:tcW w:w="1098" w:type="dxa"/>
                  <w:vMerge w:val="continue"/>
                  <w:vAlign w:val="center"/>
                </w:tcPr>
                <w:p w14:paraId="68DA008A">
                  <w:pPr>
                    <w:tabs>
                      <w:tab w:val="left" w:pos="567"/>
                    </w:tabs>
                    <w:snapToGrid w:val="0"/>
                    <w:spacing w:line="280" w:lineRule="exact"/>
                    <w:jc w:val="center"/>
                    <w:rPr>
                      <w:color w:val="auto"/>
                      <w:szCs w:val="21"/>
                    </w:rPr>
                  </w:pPr>
                </w:p>
              </w:tc>
              <w:tc>
                <w:tcPr>
                  <w:tcW w:w="898" w:type="dxa"/>
                  <w:vMerge w:val="continue"/>
                  <w:vAlign w:val="center"/>
                </w:tcPr>
                <w:p w14:paraId="0E5398E9">
                  <w:pPr>
                    <w:tabs>
                      <w:tab w:val="left" w:pos="567"/>
                    </w:tabs>
                    <w:snapToGrid w:val="0"/>
                    <w:spacing w:line="280" w:lineRule="exact"/>
                    <w:jc w:val="center"/>
                    <w:rPr>
                      <w:color w:val="auto"/>
                      <w:szCs w:val="21"/>
                    </w:rPr>
                  </w:pPr>
                </w:p>
              </w:tc>
              <w:tc>
                <w:tcPr>
                  <w:tcW w:w="958" w:type="dxa"/>
                  <w:gridSpan w:val="2"/>
                  <w:vAlign w:val="center"/>
                </w:tcPr>
                <w:p w14:paraId="381DCFE7">
                  <w:pPr>
                    <w:tabs>
                      <w:tab w:val="left" w:pos="567"/>
                    </w:tabs>
                    <w:snapToGrid w:val="0"/>
                    <w:spacing w:line="280" w:lineRule="exact"/>
                    <w:jc w:val="center"/>
                    <w:rPr>
                      <w:color w:val="auto"/>
                      <w:szCs w:val="21"/>
                    </w:rPr>
                  </w:pPr>
                  <w:r>
                    <w:rPr>
                      <w:rFonts w:hint="eastAsia"/>
                      <w:color w:val="auto"/>
                      <w:szCs w:val="21"/>
                    </w:rPr>
                    <w:t>其它</w:t>
                  </w:r>
                </w:p>
              </w:tc>
              <w:tc>
                <w:tcPr>
                  <w:tcW w:w="1315" w:type="dxa"/>
                  <w:vMerge w:val="continue"/>
                  <w:vAlign w:val="center"/>
                </w:tcPr>
                <w:p w14:paraId="6ABD9FAA">
                  <w:pPr>
                    <w:tabs>
                      <w:tab w:val="left" w:pos="567"/>
                    </w:tabs>
                    <w:snapToGrid w:val="0"/>
                    <w:spacing w:line="280" w:lineRule="exact"/>
                    <w:jc w:val="center"/>
                    <w:rPr>
                      <w:color w:val="auto"/>
                      <w:szCs w:val="21"/>
                    </w:rPr>
                  </w:pPr>
                </w:p>
              </w:tc>
              <w:tc>
                <w:tcPr>
                  <w:tcW w:w="1987" w:type="dxa"/>
                  <w:vAlign w:val="center"/>
                </w:tcPr>
                <w:p w14:paraId="07A3394B">
                  <w:pPr>
                    <w:tabs>
                      <w:tab w:val="left" w:pos="567"/>
                    </w:tabs>
                    <w:snapToGrid w:val="0"/>
                    <w:spacing w:line="280" w:lineRule="exact"/>
                    <w:rPr>
                      <w:color w:val="auto"/>
                      <w:szCs w:val="21"/>
                    </w:rPr>
                  </w:pPr>
                  <w:r>
                    <w:rPr>
                      <w:rFonts w:hint="eastAsia"/>
                      <w:color w:val="auto"/>
                      <w:szCs w:val="21"/>
                    </w:rPr>
                    <w:t>废血浆</w:t>
                  </w:r>
                </w:p>
              </w:tc>
            </w:tr>
            <w:tr w14:paraId="1851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84" w:type="dxa"/>
                  <w:vMerge w:val="continue"/>
                  <w:vAlign w:val="center"/>
                </w:tcPr>
                <w:p w14:paraId="0710C362">
                  <w:pPr>
                    <w:tabs>
                      <w:tab w:val="left" w:pos="567"/>
                    </w:tabs>
                    <w:snapToGrid w:val="0"/>
                    <w:spacing w:line="280" w:lineRule="exact"/>
                    <w:jc w:val="center"/>
                    <w:rPr>
                      <w:color w:val="auto"/>
                      <w:szCs w:val="21"/>
                    </w:rPr>
                  </w:pPr>
                </w:p>
              </w:tc>
              <w:tc>
                <w:tcPr>
                  <w:tcW w:w="1098" w:type="dxa"/>
                  <w:vMerge w:val="continue"/>
                  <w:vAlign w:val="center"/>
                </w:tcPr>
                <w:p w14:paraId="29244279">
                  <w:pPr>
                    <w:tabs>
                      <w:tab w:val="left" w:pos="567"/>
                    </w:tabs>
                    <w:snapToGrid w:val="0"/>
                    <w:spacing w:line="280" w:lineRule="exact"/>
                    <w:jc w:val="center"/>
                    <w:rPr>
                      <w:color w:val="auto"/>
                      <w:szCs w:val="21"/>
                    </w:rPr>
                  </w:pPr>
                </w:p>
              </w:tc>
              <w:tc>
                <w:tcPr>
                  <w:tcW w:w="1098" w:type="dxa"/>
                  <w:vMerge w:val="restart"/>
                  <w:vAlign w:val="center"/>
                </w:tcPr>
                <w:p w14:paraId="6F16D473">
                  <w:pPr>
                    <w:tabs>
                      <w:tab w:val="left" w:pos="567"/>
                    </w:tabs>
                    <w:snapToGrid w:val="0"/>
                    <w:spacing w:line="280" w:lineRule="exact"/>
                    <w:jc w:val="center"/>
                    <w:rPr>
                      <w:color w:val="auto"/>
                      <w:szCs w:val="21"/>
                    </w:rPr>
                  </w:pPr>
                  <w:r>
                    <w:rPr>
                      <w:rFonts w:hint="eastAsia"/>
                      <w:color w:val="auto"/>
                      <w:szCs w:val="21"/>
                    </w:rPr>
                    <w:t>841-002-01</w:t>
                  </w:r>
                </w:p>
              </w:tc>
              <w:tc>
                <w:tcPr>
                  <w:tcW w:w="898" w:type="dxa"/>
                  <w:vMerge w:val="restart"/>
                  <w:vAlign w:val="center"/>
                </w:tcPr>
                <w:p w14:paraId="59E13E54">
                  <w:pPr>
                    <w:tabs>
                      <w:tab w:val="left" w:pos="567"/>
                    </w:tabs>
                    <w:snapToGrid w:val="0"/>
                    <w:spacing w:line="280" w:lineRule="exact"/>
                    <w:jc w:val="center"/>
                    <w:rPr>
                      <w:color w:val="auto"/>
                      <w:szCs w:val="21"/>
                    </w:rPr>
                  </w:pPr>
                  <w:r>
                    <w:rPr>
                      <w:rFonts w:hint="eastAsia"/>
                      <w:color w:val="auto"/>
                      <w:szCs w:val="21"/>
                    </w:rPr>
                    <w:t>损伤性废物</w:t>
                  </w:r>
                </w:p>
              </w:tc>
              <w:tc>
                <w:tcPr>
                  <w:tcW w:w="958" w:type="dxa"/>
                  <w:gridSpan w:val="2"/>
                  <w:vAlign w:val="center"/>
                </w:tcPr>
                <w:p w14:paraId="312114C7">
                  <w:pPr>
                    <w:tabs>
                      <w:tab w:val="left" w:pos="567"/>
                    </w:tabs>
                    <w:snapToGrid w:val="0"/>
                    <w:spacing w:line="280" w:lineRule="exact"/>
                    <w:jc w:val="center"/>
                    <w:rPr>
                      <w:color w:val="auto"/>
                      <w:szCs w:val="21"/>
                    </w:rPr>
                  </w:pPr>
                  <w:r>
                    <w:rPr>
                      <w:rFonts w:hint="eastAsia"/>
                      <w:color w:val="auto"/>
                      <w:szCs w:val="21"/>
                    </w:rPr>
                    <w:t>玻璃</w:t>
                  </w:r>
                </w:p>
              </w:tc>
              <w:tc>
                <w:tcPr>
                  <w:tcW w:w="1315" w:type="dxa"/>
                  <w:vMerge w:val="restart"/>
                  <w:vAlign w:val="center"/>
                </w:tcPr>
                <w:p w14:paraId="5D26DE39">
                  <w:pPr>
                    <w:tabs>
                      <w:tab w:val="left" w:pos="567"/>
                    </w:tabs>
                    <w:snapToGrid w:val="0"/>
                    <w:spacing w:line="280" w:lineRule="exact"/>
                    <w:jc w:val="center"/>
                    <w:rPr>
                      <w:color w:val="auto"/>
                      <w:szCs w:val="21"/>
                    </w:rPr>
                  </w:pPr>
                  <w:r>
                    <w:rPr>
                      <w:rFonts w:hint="eastAsia"/>
                      <w:color w:val="auto"/>
                      <w:szCs w:val="21"/>
                    </w:rPr>
                    <w:t>2526.3</w:t>
                  </w:r>
                </w:p>
              </w:tc>
              <w:tc>
                <w:tcPr>
                  <w:tcW w:w="1987" w:type="dxa"/>
                  <w:vAlign w:val="center"/>
                </w:tcPr>
                <w:p w14:paraId="372818EF">
                  <w:pPr>
                    <w:tabs>
                      <w:tab w:val="left" w:pos="567"/>
                    </w:tabs>
                    <w:snapToGrid w:val="0"/>
                    <w:spacing w:line="280" w:lineRule="exact"/>
                    <w:rPr>
                      <w:color w:val="auto"/>
                      <w:szCs w:val="21"/>
                    </w:rPr>
                  </w:pPr>
                  <w:r>
                    <w:rPr>
                      <w:rFonts w:hint="eastAsia"/>
                      <w:color w:val="auto"/>
                      <w:szCs w:val="21"/>
                    </w:rPr>
                    <w:t>输液瓶及玻片等</w:t>
                  </w:r>
                </w:p>
              </w:tc>
            </w:tr>
            <w:tr w14:paraId="46FA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84" w:type="dxa"/>
                  <w:vMerge w:val="continue"/>
                  <w:vAlign w:val="center"/>
                </w:tcPr>
                <w:p w14:paraId="03519BCF">
                  <w:pPr>
                    <w:tabs>
                      <w:tab w:val="left" w:pos="567"/>
                    </w:tabs>
                    <w:snapToGrid w:val="0"/>
                    <w:spacing w:line="280" w:lineRule="exact"/>
                    <w:jc w:val="center"/>
                    <w:rPr>
                      <w:color w:val="auto"/>
                    </w:rPr>
                  </w:pPr>
                </w:p>
              </w:tc>
              <w:tc>
                <w:tcPr>
                  <w:tcW w:w="1098" w:type="dxa"/>
                  <w:vMerge w:val="continue"/>
                  <w:vAlign w:val="center"/>
                </w:tcPr>
                <w:p w14:paraId="6CD2F743">
                  <w:pPr>
                    <w:tabs>
                      <w:tab w:val="left" w:pos="567"/>
                    </w:tabs>
                    <w:snapToGrid w:val="0"/>
                    <w:spacing w:line="280" w:lineRule="exact"/>
                    <w:jc w:val="center"/>
                    <w:rPr>
                      <w:color w:val="auto"/>
                    </w:rPr>
                  </w:pPr>
                </w:p>
              </w:tc>
              <w:tc>
                <w:tcPr>
                  <w:tcW w:w="1098" w:type="dxa"/>
                  <w:vMerge w:val="continue"/>
                  <w:vAlign w:val="center"/>
                </w:tcPr>
                <w:p w14:paraId="7464C5D7">
                  <w:pPr>
                    <w:tabs>
                      <w:tab w:val="left" w:pos="567"/>
                    </w:tabs>
                    <w:snapToGrid w:val="0"/>
                    <w:spacing w:line="280" w:lineRule="exact"/>
                    <w:jc w:val="center"/>
                    <w:rPr>
                      <w:color w:val="auto"/>
                    </w:rPr>
                  </w:pPr>
                </w:p>
              </w:tc>
              <w:tc>
                <w:tcPr>
                  <w:tcW w:w="898" w:type="dxa"/>
                  <w:vMerge w:val="continue"/>
                  <w:vAlign w:val="center"/>
                </w:tcPr>
                <w:p w14:paraId="5906CDA7">
                  <w:pPr>
                    <w:tabs>
                      <w:tab w:val="left" w:pos="567"/>
                    </w:tabs>
                    <w:snapToGrid w:val="0"/>
                    <w:spacing w:line="280" w:lineRule="exact"/>
                    <w:jc w:val="center"/>
                    <w:rPr>
                      <w:color w:val="auto"/>
                    </w:rPr>
                  </w:pPr>
                </w:p>
              </w:tc>
              <w:tc>
                <w:tcPr>
                  <w:tcW w:w="958" w:type="dxa"/>
                  <w:gridSpan w:val="2"/>
                  <w:vAlign w:val="center"/>
                </w:tcPr>
                <w:p w14:paraId="750C65F1">
                  <w:pPr>
                    <w:tabs>
                      <w:tab w:val="left" w:pos="567"/>
                    </w:tabs>
                    <w:snapToGrid w:val="0"/>
                    <w:spacing w:line="280" w:lineRule="exact"/>
                    <w:jc w:val="center"/>
                    <w:rPr>
                      <w:color w:val="auto"/>
                      <w:szCs w:val="21"/>
                    </w:rPr>
                  </w:pPr>
                  <w:r>
                    <w:rPr>
                      <w:rFonts w:hint="eastAsia"/>
                      <w:color w:val="auto"/>
                      <w:szCs w:val="21"/>
                    </w:rPr>
                    <w:t>金属类</w:t>
                  </w:r>
                </w:p>
              </w:tc>
              <w:tc>
                <w:tcPr>
                  <w:tcW w:w="1315" w:type="dxa"/>
                  <w:vMerge w:val="continue"/>
                  <w:vAlign w:val="center"/>
                </w:tcPr>
                <w:p w14:paraId="77AFCC6D">
                  <w:pPr>
                    <w:tabs>
                      <w:tab w:val="left" w:pos="567"/>
                    </w:tabs>
                    <w:snapToGrid w:val="0"/>
                    <w:spacing w:line="280" w:lineRule="exact"/>
                    <w:jc w:val="center"/>
                    <w:rPr>
                      <w:color w:val="auto"/>
                      <w:szCs w:val="21"/>
                    </w:rPr>
                  </w:pPr>
                </w:p>
              </w:tc>
              <w:tc>
                <w:tcPr>
                  <w:tcW w:w="1987" w:type="dxa"/>
                  <w:vAlign w:val="center"/>
                </w:tcPr>
                <w:p w14:paraId="2E4277CC">
                  <w:pPr>
                    <w:tabs>
                      <w:tab w:val="left" w:pos="567"/>
                    </w:tabs>
                    <w:snapToGrid w:val="0"/>
                    <w:spacing w:line="280" w:lineRule="exact"/>
                    <w:rPr>
                      <w:color w:val="auto"/>
                      <w:szCs w:val="21"/>
                    </w:rPr>
                  </w:pPr>
                  <w:r>
                    <w:rPr>
                      <w:rFonts w:hint="eastAsia"/>
                      <w:color w:val="auto"/>
                      <w:szCs w:val="21"/>
                    </w:rPr>
                    <w:t>手术刀、手术剪、手术钳</w:t>
                  </w:r>
                </w:p>
              </w:tc>
            </w:tr>
            <w:tr w14:paraId="67BD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684" w:type="dxa"/>
                  <w:vMerge w:val="continue"/>
                  <w:vAlign w:val="center"/>
                </w:tcPr>
                <w:p w14:paraId="14FB36F5">
                  <w:pPr>
                    <w:tabs>
                      <w:tab w:val="left" w:pos="567"/>
                    </w:tabs>
                    <w:snapToGrid w:val="0"/>
                    <w:spacing w:line="280" w:lineRule="exact"/>
                    <w:jc w:val="center"/>
                    <w:rPr>
                      <w:color w:val="auto"/>
                      <w:szCs w:val="21"/>
                    </w:rPr>
                  </w:pPr>
                </w:p>
              </w:tc>
              <w:tc>
                <w:tcPr>
                  <w:tcW w:w="1098" w:type="dxa"/>
                  <w:vMerge w:val="continue"/>
                  <w:vAlign w:val="center"/>
                </w:tcPr>
                <w:p w14:paraId="047816B8">
                  <w:pPr>
                    <w:tabs>
                      <w:tab w:val="left" w:pos="567"/>
                    </w:tabs>
                    <w:snapToGrid w:val="0"/>
                    <w:spacing w:line="280" w:lineRule="exact"/>
                    <w:jc w:val="center"/>
                    <w:rPr>
                      <w:color w:val="auto"/>
                      <w:szCs w:val="21"/>
                    </w:rPr>
                  </w:pPr>
                </w:p>
              </w:tc>
              <w:tc>
                <w:tcPr>
                  <w:tcW w:w="1098" w:type="dxa"/>
                  <w:vAlign w:val="center"/>
                </w:tcPr>
                <w:p w14:paraId="0E0C4FC9">
                  <w:pPr>
                    <w:tabs>
                      <w:tab w:val="left" w:pos="567"/>
                    </w:tabs>
                    <w:snapToGrid w:val="0"/>
                    <w:spacing w:line="280" w:lineRule="exact"/>
                    <w:jc w:val="center"/>
                    <w:rPr>
                      <w:color w:val="auto"/>
                      <w:szCs w:val="21"/>
                    </w:rPr>
                  </w:pPr>
                  <w:r>
                    <w:rPr>
                      <w:rFonts w:hint="eastAsia"/>
                      <w:color w:val="auto"/>
                      <w:szCs w:val="21"/>
                    </w:rPr>
                    <w:t>841-003-01</w:t>
                  </w:r>
                </w:p>
              </w:tc>
              <w:tc>
                <w:tcPr>
                  <w:tcW w:w="898" w:type="dxa"/>
                  <w:vAlign w:val="center"/>
                </w:tcPr>
                <w:p w14:paraId="095D9BAD">
                  <w:pPr>
                    <w:tabs>
                      <w:tab w:val="left" w:pos="567"/>
                    </w:tabs>
                    <w:snapToGrid w:val="0"/>
                    <w:spacing w:line="280" w:lineRule="exact"/>
                    <w:jc w:val="center"/>
                    <w:rPr>
                      <w:color w:val="auto"/>
                      <w:szCs w:val="21"/>
                    </w:rPr>
                  </w:pPr>
                  <w:r>
                    <w:rPr>
                      <w:rFonts w:hint="eastAsia"/>
                      <w:color w:val="auto"/>
                      <w:szCs w:val="21"/>
                    </w:rPr>
                    <w:t>病理性废物</w:t>
                  </w:r>
                </w:p>
              </w:tc>
              <w:tc>
                <w:tcPr>
                  <w:tcW w:w="958" w:type="dxa"/>
                  <w:gridSpan w:val="2"/>
                  <w:vAlign w:val="center"/>
                </w:tcPr>
                <w:p w14:paraId="672A0487">
                  <w:pPr>
                    <w:tabs>
                      <w:tab w:val="left" w:pos="567"/>
                    </w:tabs>
                    <w:snapToGrid w:val="0"/>
                    <w:spacing w:line="280" w:lineRule="exact"/>
                    <w:jc w:val="center"/>
                    <w:rPr>
                      <w:color w:val="auto"/>
                      <w:szCs w:val="21"/>
                    </w:rPr>
                  </w:pPr>
                  <w:r>
                    <w:rPr>
                      <w:rFonts w:hint="eastAsia"/>
                      <w:color w:val="auto"/>
                      <w:szCs w:val="21"/>
                    </w:rPr>
                    <w:t>病理组织等</w:t>
                  </w:r>
                </w:p>
              </w:tc>
              <w:tc>
                <w:tcPr>
                  <w:tcW w:w="1315" w:type="dxa"/>
                  <w:vAlign w:val="center"/>
                </w:tcPr>
                <w:p w14:paraId="51FC9039">
                  <w:pPr>
                    <w:tabs>
                      <w:tab w:val="left" w:pos="567"/>
                    </w:tabs>
                    <w:snapToGrid w:val="0"/>
                    <w:spacing w:line="280" w:lineRule="exact"/>
                    <w:jc w:val="center"/>
                    <w:rPr>
                      <w:color w:val="auto"/>
                      <w:szCs w:val="21"/>
                    </w:rPr>
                  </w:pPr>
                  <w:r>
                    <w:rPr>
                      <w:rFonts w:hint="eastAsia"/>
                      <w:color w:val="auto"/>
                      <w:szCs w:val="21"/>
                    </w:rPr>
                    <w:t>0.5</w:t>
                  </w:r>
                </w:p>
              </w:tc>
              <w:tc>
                <w:tcPr>
                  <w:tcW w:w="1987" w:type="dxa"/>
                  <w:vAlign w:val="center"/>
                </w:tcPr>
                <w:p w14:paraId="6135CB19">
                  <w:pPr>
                    <w:tabs>
                      <w:tab w:val="left" w:pos="567"/>
                    </w:tabs>
                    <w:snapToGrid w:val="0"/>
                    <w:spacing w:line="280" w:lineRule="exact"/>
                    <w:rPr>
                      <w:color w:val="auto"/>
                      <w:szCs w:val="21"/>
                    </w:rPr>
                  </w:pPr>
                  <w:r>
                    <w:rPr>
                      <w:rFonts w:hint="eastAsia"/>
                      <w:color w:val="auto"/>
                      <w:szCs w:val="21"/>
                    </w:rPr>
                    <w:t>人体脏器等</w:t>
                  </w:r>
                </w:p>
              </w:tc>
            </w:tr>
            <w:tr w14:paraId="08FE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684" w:type="dxa"/>
                  <w:vMerge w:val="continue"/>
                  <w:vAlign w:val="center"/>
                </w:tcPr>
                <w:p w14:paraId="68892BE2">
                  <w:pPr>
                    <w:tabs>
                      <w:tab w:val="left" w:pos="567"/>
                    </w:tabs>
                    <w:snapToGrid w:val="0"/>
                    <w:spacing w:line="280" w:lineRule="exact"/>
                    <w:jc w:val="center"/>
                    <w:rPr>
                      <w:color w:val="auto"/>
                      <w:szCs w:val="21"/>
                    </w:rPr>
                  </w:pPr>
                </w:p>
              </w:tc>
              <w:tc>
                <w:tcPr>
                  <w:tcW w:w="1098" w:type="dxa"/>
                  <w:vMerge w:val="continue"/>
                  <w:vAlign w:val="center"/>
                </w:tcPr>
                <w:p w14:paraId="71656F5D">
                  <w:pPr>
                    <w:tabs>
                      <w:tab w:val="left" w:pos="567"/>
                    </w:tabs>
                    <w:snapToGrid w:val="0"/>
                    <w:spacing w:line="280" w:lineRule="exact"/>
                    <w:jc w:val="center"/>
                    <w:rPr>
                      <w:color w:val="auto"/>
                      <w:szCs w:val="21"/>
                    </w:rPr>
                  </w:pPr>
                </w:p>
              </w:tc>
              <w:tc>
                <w:tcPr>
                  <w:tcW w:w="1098" w:type="dxa"/>
                  <w:vAlign w:val="center"/>
                </w:tcPr>
                <w:p w14:paraId="5B6E4310">
                  <w:pPr>
                    <w:tabs>
                      <w:tab w:val="left" w:pos="567"/>
                    </w:tabs>
                    <w:snapToGrid w:val="0"/>
                    <w:spacing w:line="280" w:lineRule="exact"/>
                    <w:jc w:val="center"/>
                    <w:rPr>
                      <w:color w:val="auto"/>
                      <w:szCs w:val="21"/>
                    </w:rPr>
                  </w:pPr>
                  <w:r>
                    <w:rPr>
                      <w:rFonts w:hint="eastAsia"/>
                      <w:color w:val="auto"/>
                      <w:szCs w:val="21"/>
                    </w:rPr>
                    <w:t>841-005-01</w:t>
                  </w:r>
                </w:p>
              </w:tc>
              <w:tc>
                <w:tcPr>
                  <w:tcW w:w="898" w:type="dxa"/>
                  <w:vAlign w:val="center"/>
                </w:tcPr>
                <w:p w14:paraId="300F9574">
                  <w:pPr>
                    <w:tabs>
                      <w:tab w:val="left" w:pos="567"/>
                    </w:tabs>
                    <w:snapToGrid w:val="0"/>
                    <w:spacing w:line="280" w:lineRule="exact"/>
                    <w:jc w:val="center"/>
                    <w:rPr>
                      <w:color w:val="auto"/>
                      <w:szCs w:val="21"/>
                    </w:rPr>
                  </w:pPr>
                  <w:r>
                    <w:rPr>
                      <w:rFonts w:hint="eastAsia"/>
                      <w:color w:val="auto"/>
                      <w:szCs w:val="21"/>
                    </w:rPr>
                    <w:t>药物性废物</w:t>
                  </w:r>
                </w:p>
              </w:tc>
              <w:tc>
                <w:tcPr>
                  <w:tcW w:w="958" w:type="dxa"/>
                  <w:gridSpan w:val="2"/>
                  <w:vAlign w:val="center"/>
                </w:tcPr>
                <w:p w14:paraId="60E55868">
                  <w:pPr>
                    <w:tabs>
                      <w:tab w:val="left" w:pos="567"/>
                    </w:tabs>
                    <w:snapToGrid w:val="0"/>
                    <w:spacing w:line="280" w:lineRule="exact"/>
                    <w:jc w:val="center"/>
                    <w:rPr>
                      <w:color w:val="auto"/>
                      <w:szCs w:val="21"/>
                    </w:rPr>
                  </w:pPr>
                  <w:r>
                    <w:rPr>
                      <w:rFonts w:hint="eastAsia"/>
                      <w:color w:val="auto"/>
                      <w:szCs w:val="21"/>
                    </w:rPr>
                    <w:t>药品药物</w:t>
                  </w:r>
                </w:p>
              </w:tc>
              <w:tc>
                <w:tcPr>
                  <w:tcW w:w="1315" w:type="dxa"/>
                  <w:vAlign w:val="center"/>
                </w:tcPr>
                <w:p w14:paraId="597D82BE">
                  <w:pPr>
                    <w:tabs>
                      <w:tab w:val="left" w:pos="567"/>
                    </w:tabs>
                    <w:snapToGrid w:val="0"/>
                    <w:spacing w:line="280" w:lineRule="exact"/>
                    <w:jc w:val="center"/>
                    <w:rPr>
                      <w:color w:val="auto"/>
                      <w:szCs w:val="21"/>
                    </w:rPr>
                  </w:pPr>
                  <w:r>
                    <w:rPr>
                      <w:rFonts w:hint="eastAsia"/>
                      <w:color w:val="auto"/>
                      <w:szCs w:val="21"/>
                    </w:rPr>
                    <w:t>1.7</w:t>
                  </w:r>
                </w:p>
              </w:tc>
              <w:tc>
                <w:tcPr>
                  <w:tcW w:w="1987" w:type="dxa"/>
                  <w:vAlign w:val="center"/>
                </w:tcPr>
                <w:p w14:paraId="3F0DA19E">
                  <w:pPr>
                    <w:tabs>
                      <w:tab w:val="left" w:pos="567"/>
                    </w:tabs>
                    <w:snapToGrid w:val="0"/>
                    <w:spacing w:line="280" w:lineRule="exact"/>
                    <w:rPr>
                      <w:color w:val="auto"/>
                      <w:szCs w:val="21"/>
                    </w:rPr>
                  </w:pPr>
                  <w:r>
                    <w:rPr>
                      <w:rFonts w:hint="eastAsia"/>
                      <w:color w:val="auto"/>
                      <w:szCs w:val="21"/>
                    </w:rPr>
                    <w:t>来自药房</w:t>
                  </w:r>
                </w:p>
              </w:tc>
            </w:tr>
            <w:tr w14:paraId="0B0A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148AE31C">
                  <w:pPr>
                    <w:tabs>
                      <w:tab w:val="left" w:pos="567"/>
                    </w:tabs>
                    <w:snapToGrid w:val="0"/>
                    <w:spacing w:line="280" w:lineRule="exact"/>
                    <w:jc w:val="center"/>
                    <w:rPr>
                      <w:color w:val="auto"/>
                      <w:szCs w:val="21"/>
                    </w:rPr>
                  </w:pPr>
                </w:p>
              </w:tc>
              <w:tc>
                <w:tcPr>
                  <w:tcW w:w="1098" w:type="dxa"/>
                  <w:vMerge w:val="continue"/>
                  <w:vAlign w:val="center"/>
                </w:tcPr>
                <w:p w14:paraId="2F376C16">
                  <w:pPr>
                    <w:tabs>
                      <w:tab w:val="left" w:pos="567"/>
                    </w:tabs>
                    <w:snapToGrid w:val="0"/>
                    <w:spacing w:line="280" w:lineRule="exact"/>
                    <w:jc w:val="center"/>
                    <w:rPr>
                      <w:color w:val="auto"/>
                      <w:szCs w:val="21"/>
                    </w:rPr>
                  </w:pPr>
                </w:p>
              </w:tc>
              <w:tc>
                <w:tcPr>
                  <w:tcW w:w="2954" w:type="dxa"/>
                  <w:gridSpan w:val="4"/>
                  <w:vAlign w:val="center"/>
                </w:tcPr>
                <w:p w14:paraId="7C3A4355">
                  <w:pPr>
                    <w:tabs>
                      <w:tab w:val="left" w:pos="567"/>
                    </w:tabs>
                    <w:snapToGrid w:val="0"/>
                    <w:spacing w:line="280" w:lineRule="exact"/>
                    <w:jc w:val="center"/>
                    <w:rPr>
                      <w:color w:val="auto"/>
                      <w:szCs w:val="21"/>
                    </w:rPr>
                  </w:pPr>
                  <w:r>
                    <w:rPr>
                      <w:rFonts w:hint="eastAsia"/>
                      <w:color w:val="auto"/>
                      <w:szCs w:val="21"/>
                    </w:rPr>
                    <w:t>合计</w:t>
                  </w:r>
                </w:p>
              </w:tc>
              <w:tc>
                <w:tcPr>
                  <w:tcW w:w="1315" w:type="dxa"/>
                  <w:vAlign w:val="center"/>
                </w:tcPr>
                <w:p w14:paraId="62360EAF">
                  <w:pPr>
                    <w:tabs>
                      <w:tab w:val="left" w:pos="567"/>
                    </w:tabs>
                    <w:snapToGrid w:val="0"/>
                    <w:spacing w:line="280" w:lineRule="exact"/>
                    <w:jc w:val="center"/>
                    <w:rPr>
                      <w:color w:val="auto"/>
                      <w:szCs w:val="21"/>
                    </w:rPr>
                  </w:pPr>
                  <w:r>
                    <w:rPr>
                      <w:rFonts w:hint="eastAsia"/>
                      <w:color w:val="auto"/>
                      <w:szCs w:val="21"/>
                    </w:rPr>
                    <w:t>6233.4kg/a</w:t>
                  </w:r>
                </w:p>
                <w:p w14:paraId="4EDE44B0">
                  <w:pPr>
                    <w:tabs>
                      <w:tab w:val="left" w:pos="567"/>
                    </w:tabs>
                    <w:snapToGrid w:val="0"/>
                    <w:spacing w:line="280" w:lineRule="exact"/>
                    <w:jc w:val="center"/>
                    <w:rPr>
                      <w:color w:val="auto"/>
                      <w:szCs w:val="21"/>
                    </w:rPr>
                  </w:pPr>
                  <w:r>
                    <w:rPr>
                      <w:rFonts w:hint="eastAsia"/>
                      <w:color w:val="auto"/>
                      <w:szCs w:val="21"/>
                    </w:rPr>
                    <w:t>(6.2334t/a)</w:t>
                  </w:r>
                </w:p>
              </w:tc>
              <w:tc>
                <w:tcPr>
                  <w:tcW w:w="1987" w:type="dxa"/>
                  <w:vAlign w:val="center"/>
                </w:tcPr>
                <w:p w14:paraId="3FFDEA1B">
                  <w:pPr>
                    <w:tabs>
                      <w:tab w:val="left" w:pos="567"/>
                    </w:tabs>
                    <w:snapToGrid w:val="0"/>
                    <w:spacing w:line="280" w:lineRule="exact"/>
                    <w:jc w:val="center"/>
                    <w:rPr>
                      <w:color w:val="auto"/>
                      <w:szCs w:val="21"/>
                    </w:rPr>
                  </w:pPr>
                  <w:r>
                    <w:rPr>
                      <w:rFonts w:hint="eastAsia"/>
                      <w:color w:val="auto"/>
                      <w:szCs w:val="21"/>
                    </w:rPr>
                    <w:t>—</w:t>
                  </w:r>
                </w:p>
              </w:tc>
            </w:tr>
            <w:tr w14:paraId="3104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restart"/>
                  <w:vAlign w:val="center"/>
                </w:tcPr>
                <w:p w14:paraId="3BBEE47A">
                  <w:pPr>
                    <w:tabs>
                      <w:tab w:val="left" w:pos="567"/>
                    </w:tabs>
                    <w:snapToGrid w:val="0"/>
                    <w:spacing w:line="280" w:lineRule="exact"/>
                    <w:rPr>
                      <w:color w:val="auto"/>
                      <w:szCs w:val="21"/>
                    </w:rPr>
                  </w:pPr>
                  <w:r>
                    <w:rPr>
                      <w:rFonts w:hint="eastAsia"/>
                      <w:color w:val="auto"/>
                      <w:szCs w:val="21"/>
                    </w:rPr>
                    <w:t>四街卫生院</w:t>
                  </w:r>
                </w:p>
              </w:tc>
              <w:tc>
                <w:tcPr>
                  <w:tcW w:w="1098" w:type="dxa"/>
                  <w:vMerge w:val="restart"/>
                  <w:vAlign w:val="center"/>
                </w:tcPr>
                <w:p w14:paraId="254FFE8E">
                  <w:pPr>
                    <w:tabs>
                      <w:tab w:val="left" w:pos="567"/>
                    </w:tabs>
                    <w:snapToGrid w:val="0"/>
                    <w:spacing w:line="280" w:lineRule="exact"/>
                    <w:jc w:val="center"/>
                    <w:rPr>
                      <w:color w:val="auto"/>
                      <w:szCs w:val="21"/>
                    </w:rPr>
                  </w:pPr>
                  <w:r>
                    <w:rPr>
                      <w:rFonts w:hint="eastAsia"/>
                      <w:color w:val="auto"/>
                      <w:szCs w:val="21"/>
                    </w:rPr>
                    <w:t>医疗废物HW01</w:t>
                  </w:r>
                </w:p>
              </w:tc>
              <w:tc>
                <w:tcPr>
                  <w:tcW w:w="1098" w:type="dxa"/>
                  <w:vMerge w:val="restart"/>
                  <w:vAlign w:val="center"/>
                </w:tcPr>
                <w:p w14:paraId="08E54616">
                  <w:pPr>
                    <w:tabs>
                      <w:tab w:val="left" w:pos="567"/>
                    </w:tabs>
                    <w:snapToGrid w:val="0"/>
                    <w:spacing w:line="280" w:lineRule="exact"/>
                    <w:jc w:val="center"/>
                    <w:rPr>
                      <w:color w:val="auto"/>
                      <w:szCs w:val="21"/>
                    </w:rPr>
                  </w:pPr>
                  <w:r>
                    <w:rPr>
                      <w:rFonts w:hint="eastAsia"/>
                      <w:color w:val="auto"/>
                      <w:szCs w:val="21"/>
                    </w:rPr>
                    <w:t>841-001-01</w:t>
                  </w:r>
                </w:p>
              </w:tc>
              <w:tc>
                <w:tcPr>
                  <w:tcW w:w="928" w:type="dxa"/>
                  <w:gridSpan w:val="2"/>
                  <w:vMerge w:val="restart"/>
                  <w:vAlign w:val="center"/>
                </w:tcPr>
                <w:p w14:paraId="5EBE6BD1">
                  <w:pPr>
                    <w:tabs>
                      <w:tab w:val="left" w:pos="567"/>
                    </w:tabs>
                    <w:snapToGrid w:val="0"/>
                    <w:spacing w:line="280" w:lineRule="exact"/>
                    <w:jc w:val="center"/>
                    <w:rPr>
                      <w:color w:val="auto"/>
                      <w:szCs w:val="21"/>
                    </w:rPr>
                  </w:pPr>
                  <w:r>
                    <w:rPr>
                      <w:rFonts w:hint="eastAsia"/>
                      <w:color w:val="auto"/>
                      <w:szCs w:val="21"/>
                    </w:rPr>
                    <w:t>感染性废物</w:t>
                  </w:r>
                </w:p>
              </w:tc>
              <w:tc>
                <w:tcPr>
                  <w:tcW w:w="928" w:type="dxa"/>
                  <w:vAlign w:val="center"/>
                </w:tcPr>
                <w:p w14:paraId="4A3B291C">
                  <w:pPr>
                    <w:tabs>
                      <w:tab w:val="left" w:pos="567"/>
                    </w:tabs>
                    <w:snapToGrid w:val="0"/>
                    <w:spacing w:line="280" w:lineRule="exact"/>
                    <w:jc w:val="center"/>
                    <w:rPr>
                      <w:color w:val="auto"/>
                      <w:szCs w:val="21"/>
                    </w:rPr>
                  </w:pPr>
                  <w:r>
                    <w:rPr>
                      <w:rFonts w:hint="eastAsia"/>
                      <w:color w:val="auto"/>
                      <w:szCs w:val="21"/>
                    </w:rPr>
                    <w:t>塑料类</w:t>
                  </w:r>
                </w:p>
              </w:tc>
              <w:tc>
                <w:tcPr>
                  <w:tcW w:w="1315" w:type="dxa"/>
                  <w:vMerge w:val="restart"/>
                  <w:vAlign w:val="center"/>
                </w:tcPr>
                <w:p w14:paraId="5AA4FE7F">
                  <w:pPr>
                    <w:tabs>
                      <w:tab w:val="left" w:pos="567"/>
                    </w:tabs>
                    <w:snapToGrid w:val="0"/>
                    <w:spacing w:line="280" w:lineRule="exact"/>
                    <w:jc w:val="center"/>
                    <w:rPr>
                      <w:color w:val="auto"/>
                      <w:szCs w:val="21"/>
                    </w:rPr>
                  </w:pPr>
                  <w:r>
                    <w:rPr>
                      <w:rFonts w:hint="eastAsia"/>
                      <w:color w:val="auto"/>
                      <w:szCs w:val="21"/>
                    </w:rPr>
                    <w:t>1747.5</w:t>
                  </w:r>
                </w:p>
              </w:tc>
              <w:tc>
                <w:tcPr>
                  <w:tcW w:w="1987" w:type="dxa"/>
                  <w:vAlign w:val="center"/>
                </w:tcPr>
                <w:p w14:paraId="06C43A7D">
                  <w:pPr>
                    <w:pStyle w:val="134"/>
                    <w:tabs>
                      <w:tab w:val="left" w:pos="567"/>
                    </w:tabs>
                    <w:adjustRightInd/>
                    <w:snapToGrid w:val="0"/>
                    <w:spacing w:line="280" w:lineRule="exact"/>
                    <w:textAlignment w:val="auto"/>
                    <w:rPr>
                      <w:color w:val="auto"/>
                      <w:szCs w:val="21"/>
                    </w:rPr>
                  </w:pPr>
                  <w:r>
                    <w:rPr>
                      <w:rFonts w:hint="eastAsia" w:ascii="Times New Roman" w:hAnsi="Times New Roman"/>
                      <w:color w:val="auto"/>
                      <w:szCs w:val="21"/>
                    </w:rPr>
                    <w:t>塑胶手套、一次性针筒等</w:t>
                  </w:r>
                </w:p>
              </w:tc>
            </w:tr>
            <w:tr w14:paraId="69F5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12D1AD29">
                  <w:pPr>
                    <w:tabs>
                      <w:tab w:val="left" w:pos="567"/>
                    </w:tabs>
                    <w:snapToGrid w:val="0"/>
                    <w:spacing w:line="280" w:lineRule="exact"/>
                    <w:jc w:val="center"/>
                    <w:rPr>
                      <w:color w:val="auto"/>
                      <w:szCs w:val="21"/>
                    </w:rPr>
                  </w:pPr>
                </w:p>
              </w:tc>
              <w:tc>
                <w:tcPr>
                  <w:tcW w:w="1098" w:type="dxa"/>
                  <w:vMerge w:val="continue"/>
                  <w:vAlign w:val="center"/>
                </w:tcPr>
                <w:p w14:paraId="10ECB592">
                  <w:pPr>
                    <w:tabs>
                      <w:tab w:val="left" w:pos="567"/>
                    </w:tabs>
                    <w:snapToGrid w:val="0"/>
                    <w:spacing w:line="280" w:lineRule="exact"/>
                    <w:jc w:val="center"/>
                    <w:rPr>
                      <w:color w:val="auto"/>
                      <w:szCs w:val="21"/>
                    </w:rPr>
                  </w:pPr>
                </w:p>
              </w:tc>
              <w:tc>
                <w:tcPr>
                  <w:tcW w:w="1098" w:type="dxa"/>
                  <w:vMerge w:val="continue"/>
                  <w:vAlign w:val="center"/>
                </w:tcPr>
                <w:p w14:paraId="63FE53F0">
                  <w:pPr>
                    <w:tabs>
                      <w:tab w:val="left" w:pos="567"/>
                    </w:tabs>
                    <w:snapToGrid w:val="0"/>
                    <w:spacing w:line="280" w:lineRule="exact"/>
                    <w:jc w:val="center"/>
                    <w:rPr>
                      <w:color w:val="auto"/>
                      <w:szCs w:val="21"/>
                    </w:rPr>
                  </w:pPr>
                </w:p>
              </w:tc>
              <w:tc>
                <w:tcPr>
                  <w:tcW w:w="928" w:type="dxa"/>
                  <w:gridSpan w:val="2"/>
                  <w:vMerge w:val="continue"/>
                  <w:vAlign w:val="center"/>
                </w:tcPr>
                <w:p w14:paraId="2EE71D58">
                  <w:pPr>
                    <w:tabs>
                      <w:tab w:val="left" w:pos="567"/>
                    </w:tabs>
                    <w:snapToGrid w:val="0"/>
                    <w:spacing w:line="280" w:lineRule="exact"/>
                    <w:jc w:val="center"/>
                    <w:rPr>
                      <w:color w:val="auto"/>
                      <w:szCs w:val="21"/>
                    </w:rPr>
                  </w:pPr>
                </w:p>
              </w:tc>
              <w:tc>
                <w:tcPr>
                  <w:tcW w:w="928" w:type="dxa"/>
                  <w:vAlign w:val="center"/>
                </w:tcPr>
                <w:p w14:paraId="735D75CF">
                  <w:pPr>
                    <w:tabs>
                      <w:tab w:val="left" w:pos="567"/>
                    </w:tabs>
                    <w:snapToGrid w:val="0"/>
                    <w:spacing w:line="280" w:lineRule="exact"/>
                    <w:jc w:val="center"/>
                    <w:rPr>
                      <w:color w:val="auto"/>
                      <w:szCs w:val="21"/>
                    </w:rPr>
                  </w:pPr>
                  <w:r>
                    <w:rPr>
                      <w:rFonts w:hint="eastAsia"/>
                      <w:color w:val="auto"/>
                      <w:szCs w:val="21"/>
                    </w:rPr>
                    <w:t>纤维类</w:t>
                  </w:r>
                </w:p>
              </w:tc>
              <w:tc>
                <w:tcPr>
                  <w:tcW w:w="1315" w:type="dxa"/>
                  <w:vMerge w:val="continue"/>
                  <w:vAlign w:val="center"/>
                </w:tcPr>
                <w:p w14:paraId="637D72EB">
                  <w:pPr>
                    <w:tabs>
                      <w:tab w:val="left" w:pos="567"/>
                    </w:tabs>
                    <w:snapToGrid w:val="0"/>
                    <w:spacing w:line="280" w:lineRule="exact"/>
                    <w:jc w:val="center"/>
                    <w:rPr>
                      <w:color w:val="auto"/>
                      <w:szCs w:val="21"/>
                    </w:rPr>
                  </w:pPr>
                </w:p>
              </w:tc>
              <w:tc>
                <w:tcPr>
                  <w:tcW w:w="1987" w:type="dxa"/>
                  <w:vAlign w:val="center"/>
                </w:tcPr>
                <w:p w14:paraId="5EAE90CA">
                  <w:pPr>
                    <w:tabs>
                      <w:tab w:val="left" w:pos="567"/>
                    </w:tabs>
                    <w:snapToGrid w:val="0"/>
                    <w:spacing w:line="280" w:lineRule="exact"/>
                    <w:rPr>
                      <w:color w:val="auto"/>
                      <w:szCs w:val="21"/>
                    </w:rPr>
                  </w:pPr>
                  <w:r>
                    <w:rPr>
                      <w:rFonts w:hint="eastAsia"/>
                      <w:color w:val="auto"/>
                      <w:szCs w:val="21"/>
                    </w:rPr>
                    <w:t>湿纱布及衣物等</w:t>
                  </w:r>
                </w:p>
              </w:tc>
            </w:tr>
            <w:tr w14:paraId="1390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084B48C9">
                  <w:pPr>
                    <w:tabs>
                      <w:tab w:val="left" w:pos="567"/>
                    </w:tabs>
                    <w:snapToGrid w:val="0"/>
                    <w:spacing w:line="280" w:lineRule="exact"/>
                    <w:jc w:val="center"/>
                    <w:rPr>
                      <w:color w:val="auto"/>
                      <w:szCs w:val="21"/>
                    </w:rPr>
                  </w:pPr>
                </w:p>
              </w:tc>
              <w:tc>
                <w:tcPr>
                  <w:tcW w:w="1098" w:type="dxa"/>
                  <w:vMerge w:val="continue"/>
                  <w:vAlign w:val="center"/>
                </w:tcPr>
                <w:p w14:paraId="4B340E0D">
                  <w:pPr>
                    <w:tabs>
                      <w:tab w:val="left" w:pos="567"/>
                    </w:tabs>
                    <w:snapToGrid w:val="0"/>
                    <w:spacing w:line="280" w:lineRule="exact"/>
                    <w:jc w:val="center"/>
                    <w:rPr>
                      <w:color w:val="auto"/>
                      <w:szCs w:val="21"/>
                    </w:rPr>
                  </w:pPr>
                </w:p>
              </w:tc>
              <w:tc>
                <w:tcPr>
                  <w:tcW w:w="1098" w:type="dxa"/>
                  <w:vMerge w:val="continue"/>
                  <w:vAlign w:val="center"/>
                </w:tcPr>
                <w:p w14:paraId="270BEA0E">
                  <w:pPr>
                    <w:tabs>
                      <w:tab w:val="left" w:pos="567"/>
                    </w:tabs>
                    <w:snapToGrid w:val="0"/>
                    <w:spacing w:line="280" w:lineRule="exact"/>
                    <w:jc w:val="center"/>
                    <w:rPr>
                      <w:color w:val="auto"/>
                      <w:szCs w:val="21"/>
                    </w:rPr>
                  </w:pPr>
                </w:p>
              </w:tc>
              <w:tc>
                <w:tcPr>
                  <w:tcW w:w="928" w:type="dxa"/>
                  <w:gridSpan w:val="2"/>
                  <w:vMerge w:val="continue"/>
                  <w:vAlign w:val="center"/>
                </w:tcPr>
                <w:p w14:paraId="0F1EF30E">
                  <w:pPr>
                    <w:tabs>
                      <w:tab w:val="left" w:pos="567"/>
                    </w:tabs>
                    <w:snapToGrid w:val="0"/>
                    <w:spacing w:line="280" w:lineRule="exact"/>
                    <w:jc w:val="center"/>
                    <w:rPr>
                      <w:color w:val="auto"/>
                      <w:szCs w:val="21"/>
                    </w:rPr>
                  </w:pPr>
                </w:p>
              </w:tc>
              <w:tc>
                <w:tcPr>
                  <w:tcW w:w="928" w:type="dxa"/>
                  <w:vAlign w:val="center"/>
                </w:tcPr>
                <w:p w14:paraId="315F1D01">
                  <w:pPr>
                    <w:tabs>
                      <w:tab w:val="left" w:pos="567"/>
                    </w:tabs>
                    <w:snapToGrid w:val="0"/>
                    <w:spacing w:line="280" w:lineRule="exact"/>
                    <w:jc w:val="center"/>
                    <w:rPr>
                      <w:color w:val="auto"/>
                      <w:szCs w:val="21"/>
                    </w:rPr>
                  </w:pPr>
                  <w:r>
                    <w:rPr>
                      <w:rFonts w:hint="eastAsia"/>
                      <w:color w:val="auto"/>
                      <w:szCs w:val="21"/>
                    </w:rPr>
                    <w:t>其它</w:t>
                  </w:r>
                </w:p>
              </w:tc>
              <w:tc>
                <w:tcPr>
                  <w:tcW w:w="1315" w:type="dxa"/>
                  <w:vMerge w:val="continue"/>
                  <w:vAlign w:val="center"/>
                </w:tcPr>
                <w:p w14:paraId="28E87CB1">
                  <w:pPr>
                    <w:tabs>
                      <w:tab w:val="left" w:pos="567"/>
                    </w:tabs>
                    <w:snapToGrid w:val="0"/>
                    <w:spacing w:line="280" w:lineRule="exact"/>
                    <w:jc w:val="center"/>
                    <w:rPr>
                      <w:color w:val="auto"/>
                      <w:szCs w:val="21"/>
                    </w:rPr>
                  </w:pPr>
                </w:p>
              </w:tc>
              <w:tc>
                <w:tcPr>
                  <w:tcW w:w="1987" w:type="dxa"/>
                  <w:vAlign w:val="center"/>
                </w:tcPr>
                <w:p w14:paraId="7A045728">
                  <w:pPr>
                    <w:tabs>
                      <w:tab w:val="left" w:pos="567"/>
                    </w:tabs>
                    <w:snapToGrid w:val="0"/>
                    <w:spacing w:line="280" w:lineRule="exact"/>
                    <w:rPr>
                      <w:color w:val="auto"/>
                      <w:szCs w:val="21"/>
                    </w:rPr>
                  </w:pPr>
                  <w:r>
                    <w:rPr>
                      <w:rFonts w:hint="eastAsia"/>
                      <w:color w:val="auto"/>
                      <w:szCs w:val="21"/>
                    </w:rPr>
                    <w:t>废血浆</w:t>
                  </w:r>
                </w:p>
              </w:tc>
            </w:tr>
            <w:tr w14:paraId="04C5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2CFC37E8">
                  <w:pPr>
                    <w:tabs>
                      <w:tab w:val="left" w:pos="567"/>
                    </w:tabs>
                    <w:snapToGrid w:val="0"/>
                    <w:spacing w:line="280" w:lineRule="exact"/>
                    <w:jc w:val="center"/>
                    <w:rPr>
                      <w:color w:val="auto"/>
                      <w:szCs w:val="21"/>
                    </w:rPr>
                  </w:pPr>
                </w:p>
              </w:tc>
              <w:tc>
                <w:tcPr>
                  <w:tcW w:w="1098" w:type="dxa"/>
                  <w:vMerge w:val="continue"/>
                  <w:vAlign w:val="center"/>
                </w:tcPr>
                <w:p w14:paraId="62F97F45">
                  <w:pPr>
                    <w:tabs>
                      <w:tab w:val="left" w:pos="567"/>
                    </w:tabs>
                    <w:snapToGrid w:val="0"/>
                    <w:spacing w:line="280" w:lineRule="exact"/>
                    <w:jc w:val="center"/>
                    <w:rPr>
                      <w:color w:val="auto"/>
                      <w:szCs w:val="21"/>
                    </w:rPr>
                  </w:pPr>
                </w:p>
              </w:tc>
              <w:tc>
                <w:tcPr>
                  <w:tcW w:w="1098" w:type="dxa"/>
                  <w:vMerge w:val="restart"/>
                  <w:vAlign w:val="center"/>
                </w:tcPr>
                <w:p w14:paraId="1894588E">
                  <w:pPr>
                    <w:tabs>
                      <w:tab w:val="left" w:pos="567"/>
                    </w:tabs>
                    <w:snapToGrid w:val="0"/>
                    <w:spacing w:line="280" w:lineRule="exact"/>
                    <w:jc w:val="center"/>
                    <w:rPr>
                      <w:color w:val="auto"/>
                      <w:szCs w:val="21"/>
                    </w:rPr>
                  </w:pPr>
                  <w:r>
                    <w:rPr>
                      <w:rFonts w:hint="eastAsia"/>
                      <w:color w:val="auto"/>
                      <w:szCs w:val="21"/>
                    </w:rPr>
                    <w:t>841-002-01</w:t>
                  </w:r>
                </w:p>
              </w:tc>
              <w:tc>
                <w:tcPr>
                  <w:tcW w:w="928" w:type="dxa"/>
                  <w:gridSpan w:val="2"/>
                  <w:vMerge w:val="restart"/>
                  <w:vAlign w:val="center"/>
                </w:tcPr>
                <w:p w14:paraId="0E15F4F0">
                  <w:pPr>
                    <w:tabs>
                      <w:tab w:val="left" w:pos="567"/>
                    </w:tabs>
                    <w:snapToGrid w:val="0"/>
                    <w:spacing w:line="280" w:lineRule="exact"/>
                    <w:jc w:val="center"/>
                    <w:rPr>
                      <w:color w:val="auto"/>
                      <w:szCs w:val="21"/>
                    </w:rPr>
                  </w:pPr>
                  <w:r>
                    <w:rPr>
                      <w:rFonts w:hint="eastAsia"/>
                      <w:color w:val="auto"/>
                      <w:szCs w:val="21"/>
                    </w:rPr>
                    <w:t>损伤性废物</w:t>
                  </w:r>
                </w:p>
              </w:tc>
              <w:tc>
                <w:tcPr>
                  <w:tcW w:w="928" w:type="dxa"/>
                  <w:vAlign w:val="center"/>
                </w:tcPr>
                <w:p w14:paraId="7B625B3F">
                  <w:pPr>
                    <w:tabs>
                      <w:tab w:val="left" w:pos="567"/>
                    </w:tabs>
                    <w:snapToGrid w:val="0"/>
                    <w:spacing w:line="280" w:lineRule="exact"/>
                    <w:jc w:val="center"/>
                    <w:rPr>
                      <w:color w:val="auto"/>
                      <w:szCs w:val="21"/>
                    </w:rPr>
                  </w:pPr>
                  <w:r>
                    <w:rPr>
                      <w:rFonts w:hint="eastAsia"/>
                      <w:color w:val="auto"/>
                      <w:szCs w:val="21"/>
                    </w:rPr>
                    <w:t>玻璃</w:t>
                  </w:r>
                </w:p>
              </w:tc>
              <w:tc>
                <w:tcPr>
                  <w:tcW w:w="1315" w:type="dxa"/>
                  <w:vMerge w:val="restart"/>
                  <w:vAlign w:val="center"/>
                </w:tcPr>
                <w:p w14:paraId="07538BB5">
                  <w:pPr>
                    <w:tabs>
                      <w:tab w:val="left" w:pos="567"/>
                    </w:tabs>
                    <w:snapToGrid w:val="0"/>
                    <w:spacing w:line="280" w:lineRule="exact"/>
                    <w:jc w:val="center"/>
                    <w:rPr>
                      <w:color w:val="auto"/>
                      <w:szCs w:val="21"/>
                    </w:rPr>
                  </w:pPr>
                  <w:r>
                    <w:rPr>
                      <w:rFonts w:hint="eastAsia"/>
                      <w:color w:val="auto"/>
                      <w:szCs w:val="21"/>
                    </w:rPr>
                    <w:t>2401.25</w:t>
                  </w:r>
                </w:p>
              </w:tc>
              <w:tc>
                <w:tcPr>
                  <w:tcW w:w="1987" w:type="dxa"/>
                  <w:vAlign w:val="center"/>
                </w:tcPr>
                <w:p w14:paraId="2B235022">
                  <w:pPr>
                    <w:tabs>
                      <w:tab w:val="left" w:pos="567"/>
                    </w:tabs>
                    <w:snapToGrid w:val="0"/>
                    <w:spacing w:line="280" w:lineRule="exact"/>
                    <w:rPr>
                      <w:color w:val="auto"/>
                      <w:szCs w:val="21"/>
                    </w:rPr>
                  </w:pPr>
                  <w:r>
                    <w:rPr>
                      <w:rFonts w:hint="eastAsia"/>
                      <w:color w:val="auto"/>
                      <w:szCs w:val="21"/>
                    </w:rPr>
                    <w:t>输液瓶及玻片等</w:t>
                  </w:r>
                </w:p>
              </w:tc>
            </w:tr>
            <w:tr w14:paraId="298F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39971743">
                  <w:pPr>
                    <w:tabs>
                      <w:tab w:val="left" w:pos="567"/>
                    </w:tabs>
                    <w:snapToGrid w:val="0"/>
                    <w:spacing w:line="280" w:lineRule="exact"/>
                    <w:jc w:val="center"/>
                    <w:rPr>
                      <w:color w:val="auto"/>
                    </w:rPr>
                  </w:pPr>
                </w:p>
              </w:tc>
              <w:tc>
                <w:tcPr>
                  <w:tcW w:w="1098" w:type="dxa"/>
                  <w:vMerge w:val="continue"/>
                  <w:vAlign w:val="center"/>
                </w:tcPr>
                <w:p w14:paraId="74642912">
                  <w:pPr>
                    <w:tabs>
                      <w:tab w:val="left" w:pos="567"/>
                    </w:tabs>
                    <w:snapToGrid w:val="0"/>
                    <w:spacing w:line="280" w:lineRule="exact"/>
                    <w:jc w:val="center"/>
                    <w:rPr>
                      <w:color w:val="auto"/>
                    </w:rPr>
                  </w:pPr>
                </w:p>
              </w:tc>
              <w:tc>
                <w:tcPr>
                  <w:tcW w:w="1098" w:type="dxa"/>
                  <w:vMerge w:val="continue"/>
                  <w:vAlign w:val="center"/>
                </w:tcPr>
                <w:p w14:paraId="41889F89">
                  <w:pPr>
                    <w:tabs>
                      <w:tab w:val="left" w:pos="567"/>
                    </w:tabs>
                    <w:snapToGrid w:val="0"/>
                    <w:spacing w:line="280" w:lineRule="exact"/>
                    <w:jc w:val="center"/>
                    <w:rPr>
                      <w:color w:val="auto"/>
                    </w:rPr>
                  </w:pPr>
                </w:p>
              </w:tc>
              <w:tc>
                <w:tcPr>
                  <w:tcW w:w="928" w:type="dxa"/>
                  <w:gridSpan w:val="2"/>
                  <w:vMerge w:val="continue"/>
                  <w:vAlign w:val="center"/>
                </w:tcPr>
                <w:p w14:paraId="315D1852">
                  <w:pPr>
                    <w:tabs>
                      <w:tab w:val="left" w:pos="567"/>
                    </w:tabs>
                    <w:snapToGrid w:val="0"/>
                    <w:spacing w:line="280" w:lineRule="exact"/>
                    <w:jc w:val="center"/>
                    <w:rPr>
                      <w:color w:val="auto"/>
                    </w:rPr>
                  </w:pPr>
                </w:p>
              </w:tc>
              <w:tc>
                <w:tcPr>
                  <w:tcW w:w="928" w:type="dxa"/>
                  <w:vAlign w:val="center"/>
                </w:tcPr>
                <w:p w14:paraId="5B7ADB8D">
                  <w:pPr>
                    <w:tabs>
                      <w:tab w:val="left" w:pos="567"/>
                    </w:tabs>
                    <w:snapToGrid w:val="0"/>
                    <w:spacing w:line="280" w:lineRule="exact"/>
                    <w:jc w:val="center"/>
                    <w:rPr>
                      <w:color w:val="auto"/>
                      <w:szCs w:val="21"/>
                    </w:rPr>
                  </w:pPr>
                  <w:r>
                    <w:rPr>
                      <w:rFonts w:hint="eastAsia"/>
                      <w:color w:val="auto"/>
                      <w:szCs w:val="21"/>
                    </w:rPr>
                    <w:t>金属类</w:t>
                  </w:r>
                </w:p>
              </w:tc>
              <w:tc>
                <w:tcPr>
                  <w:tcW w:w="1315" w:type="dxa"/>
                  <w:vMerge w:val="continue"/>
                  <w:vAlign w:val="center"/>
                </w:tcPr>
                <w:p w14:paraId="1345A14B">
                  <w:pPr>
                    <w:tabs>
                      <w:tab w:val="left" w:pos="567"/>
                    </w:tabs>
                    <w:snapToGrid w:val="0"/>
                    <w:spacing w:line="280" w:lineRule="exact"/>
                    <w:jc w:val="center"/>
                    <w:rPr>
                      <w:color w:val="auto"/>
                      <w:szCs w:val="21"/>
                    </w:rPr>
                  </w:pPr>
                </w:p>
              </w:tc>
              <w:tc>
                <w:tcPr>
                  <w:tcW w:w="1987" w:type="dxa"/>
                  <w:vAlign w:val="center"/>
                </w:tcPr>
                <w:p w14:paraId="71497164">
                  <w:pPr>
                    <w:tabs>
                      <w:tab w:val="left" w:pos="567"/>
                    </w:tabs>
                    <w:snapToGrid w:val="0"/>
                    <w:spacing w:line="280" w:lineRule="exact"/>
                    <w:rPr>
                      <w:color w:val="auto"/>
                      <w:szCs w:val="21"/>
                    </w:rPr>
                  </w:pPr>
                  <w:r>
                    <w:rPr>
                      <w:rFonts w:hint="eastAsia"/>
                      <w:color w:val="auto"/>
                      <w:szCs w:val="21"/>
                    </w:rPr>
                    <w:t>手术刀、手术剪、手术钳</w:t>
                  </w:r>
                </w:p>
              </w:tc>
            </w:tr>
            <w:tr w14:paraId="52F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13FE8CD9">
                  <w:pPr>
                    <w:tabs>
                      <w:tab w:val="left" w:pos="567"/>
                    </w:tabs>
                    <w:snapToGrid w:val="0"/>
                    <w:spacing w:line="280" w:lineRule="exact"/>
                    <w:jc w:val="center"/>
                    <w:rPr>
                      <w:color w:val="auto"/>
                      <w:szCs w:val="21"/>
                    </w:rPr>
                  </w:pPr>
                </w:p>
              </w:tc>
              <w:tc>
                <w:tcPr>
                  <w:tcW w:w="1098" w:type="dxa"/>
                  <w:vMerge w:val="continue"/>
                  <w:vAlign w:val="center"/>
                </w:tcPr>
                <w:p w14:paraId="276E2205">
                  <w:pPr>
                    <w:tabs>
                      <w:tab w:val="left" w:pos="567"/>
                    </w:tabs>
                    <w:snapToGrid w:val="0"/>
                    <w:spacing w:line="280" w:lineRule="exact"/>
                    <w:jc w:val="center"/>
                    <w:rPr>
                      <w:color w:val="auto"/>
                      <w:szCs w:val="21"/>
                    </w:rPr>
                  </w:pPr>
                </w:p>
              </w:tc>
              <w:tc>
                <w:tcPr>
                  <w:tcW w:w="2954" w:type="dxa"/>
                  <w:gridSpan w:val="4"/>
                  <w:vAlign w:val="center"/>
                </w:tcPr>
                <w:p w14:paraId="471BF4B4">
                  <w:pPr>
                    <w:tabs>
                      <w:tab w:val="left" w:pos="567"/>
                    </w:tabs>
                    <w:snapToGrid w:val="0"/>
                    <w:spacing w:line="280" w:lineRule="exact"/>
                    <w:jc w:val="center"/>
                    <w:rPr>
                      <w:color w:val="auto"/>
                      <w:szCs w:val="21"/>
                    </w:rPr>
                  </w:pPr>
                  <w:r>
                    <w:rPr>
                      <w:rFonts w:hint="eastAsia"/>
                      <w:color w:val="auto"/>
                      <w:szCs w:val="21"/>
                    </w:rPr>
                    <w:t>合计</w:t>
                  </w:r>
                </w:p>
              </w:tc>
              <w:tc>
                <w:tcPr>
                  <w:tcW w:w="1315" w:type="dxa"/>
                  <w:vAlign w:val="center"/>
                </w:tcPr>
                <w:p w14:paraId="168783E5">
                  <w:pPr>
                    <w:tabs>
                      <w:tab w:val="left" w:pos="567"/>
                    </w:tabs>
                    <w:snapToGrid w:val="0"/>
                    <w:spacing w:line="280" w:lineRule="exact"/>
                    <w:jc w:val="center"/>
                    <w:rPr>
                      <w:color w:val="auto"/>
                      <w:szCs w:val="21"/>
                    </w:rPr>
                  </w:pPr>
                  <w:r>
                    <w:rPr>
                      <w:rFonts w:hint="eastAsia"/>
                      <w:color w:val="auto"/>
                      <w:szCs w:val="21"/>
                    </w:rPr>
                    <w:t>4148.75kg/a</w:t>
                  </w:r>
                </w:p>
                <w:p w14:paraId="67DBAE3F">
                  <w:pPr>
                    <w:tabs>
                      <w:tab w:val="left" w:pos="567"/>
                    </w:tabs>
                    <w:snapToGrid w:val="0"/>
                    <w:spacing w:line="280" w:lineRule="exact"/>
                    <w:jc w:val="center"/>
                    <w:rPr>
                      <w:color w:val="auto"/>
                      <w:szCs w:val="21"/>
                    </w:rPr>
                  </w:pPr>
                  <w:r>
                    <w:rPr>
                      <w:rFonts w:hint="eastAsia"/>
                      <w:color w:val="auto"/>
                      <w:szCs w:val="21"/>
                    </w:rPr>
                    <w:t>(4.14875t/a)</w:t>
                  </w:r>
                </w:p>
              </w:tc>
              <w:tc>
                <w:tcPr>
                  <w:tcW w:w="1987" w:type="dxa"/>
                  <w:vAlign w:val="center"/>
                </w:tcPr>
                <w:p w14:paraId="71B8A0B8">
                  <w:pPr>
                    <w:tabs>
                      <w:tab w:val="left" w:pos="567"/>
                    </w:tabs>
                    <w:snapToGrid w:val="0"/>
                    <w:spacing w:line="280" w:lineRule="exact"/>
                    <w:jc w:val="center"/>
                    <w:rPr>
                      <w:color w:val="auto"/>
                      <w:szCs w:val="21"/>
                    </w:rPr>
                  </w:pPr>
                  <w:r>
                    <w:rPr>
                      <w:rFonts w:hint="eastAsia"/>
                      <w:color w:val="auto"/>
                      <w:szCs w:val="21"/>
                    </w:rPr>
                    <w:t>—</w:t>
                  </w:r>
                </w:p>
              </w:tc>
            </w:tr>
            <w:tr w14:paraId="3F68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restart"/>
                  <w:vAlign w:val="center"/>
                </w:tcPr>
                <w:p w14:paraId="72F3904C">
                  <w:pPr>
                    <w:tabs>
                      <w:tab w:val="left" w:pos="567"/>
                    </w:tabs>
                    <w:snapToGrid w:val="0"/>
                    <w:spacing w:line="280" w:lineRule="exact"/>
                    <w:rPr>
                      <w:color w:val="auto"/>
                      <w:szCs w:val="21"/>
                    </w:rPr>
                  </w:pPr>
                  <w:r>
                    <w:rPr>
                      <w:rFonts w:hint="eastAsia"/>
                      <w:color w:val="auto"/>
                      <w:szCs w:val="21"/>
                    </w:rPr>
                    <w:t>九龙卫生院</w:t>
                  </w:r>
                </w:p>
              </w:tc>
              <w:tc>
                <w:tcPr>
                  <w:tcW w:w="1098" w:type="dxa"/>
                  <w:vMerge w:val="restart"/>
                  <w:vAlign w:val="center"/>
                </w:tcPr>
                <w:p w14:paraId="04F3B5B0">
                  <w:pPr>
                    <w:tabs>
                      <w:tab w:val="left" w:pos="567"/>
                    </w:tabs>
                    <w:snapToGrid w:val="0"/>
                    <w:spacing w:line="280" w:lineRule="exact"/>
                    <w:jc w:val="center"/>
                    <w:rPr>
                      <w:color w:val="auto"/>
                      <w:szCs w:val="21"/>
                    </w:rPr>
                  </w:pPr>
                  <w:r>
                    <w:rPr>
                      <w:rFonts w:hint="eastAsia"/>
                      <w:color w:val="auto"/>
                      <w:szCs w:val="21"/>
                    </w:rPr>
                    <w:t>医疗废物HW01</w:t>
                  </w:r>
                </w:p>
                <w:p w14:paraId="148DE101">
                  <w:pPr>
                    <w:tabs>
                      <w:tab w:val="left" w:pos="567"/>
                    </w:tabs>
                    <w:snapToGrid w:val="0"/>
                    <w:spacing w:line="280" w:lineRule="exact"/>
                    <w:jc w:val="center"/>
                    <w:rPr>
                      <w:color w:val="auto"/>
                      <w:szCs w:val="21"/>
                    </w:rPr>
                  </w:pPr>
                </w:p>
              </w:tc>
              <w:tc>
                <w:tcPr>
                  <w:tcW w:w="1098" w:type="dxa"/>
                  <w:vMerge w:val="restart"/>
                  <w:vAlign w:val="center"/>
                </w:tcPr>
                <w:p w14:paraId="21FDA274">
                  <w:pPr>
                    <w:tabs>
                      <w:tab w:val="left" w:pos="567"/>
                    </w:tabs>
                    <w:snapToGrid w:val="0"/>
                    <w:spacing w:line="280" w:lineRule="exact"/>
                    <w:jc w:val="center"/>
                    <w:rPr>
                      <w:color w:val="auto"/>
                      <w:szCs w:val="21"/>
                    </w:rPr>
                  </w:pPr>
                  <w:r>
                    <w:rPr>
                      <w:rFonts w:hint="eastAsia"/>
                      <w:color w:val="auto"/>
                      <w:szCs w:val="21"/>
                    </w:rPr>
                    <w:t>841-001-01</w:t>
                  </w:r>
                </w:p>
                <w:p w14:paraId="1A4E13BC">
                  <w:pPr>
                    <w:tabs>
                      <w:tab w:val="left" w:pos="567"/>
                    </w:tabs>
                    <w:snapToGrid w:val="0"/>
                    <w:spacing w:line="280" w:lineRule="exact"/>
                    <w:jc w:val="center"/>
                    <w:rPr>
                      <w:color w:val="auto"/>
                      <w:szCs w:val="21"/>
                    </w:rPr>
                  </w:pPr>
                </w:p>
              </w:tc>
              <w:tc>
                <w:tcPr>
                  <w:tcW w:w="898" w:type="dxa"/>
                  <w:vMerge w:val="restart"/>
                  <w:vAlign w:val="center"/>
                </w:tcPr>
                <w:p w14:paraId="4057D3BC">
                  <w:pPr>
                    <w:tabs>
                      <w:tab w:val="left" w:pos="567"/>
                    </w:tabs>
                    <w:snapToGrid w:val="0"/>
                    <w:spacing w:line="280" w:lineRule="exact"/>
                    <w:jc w:val="center"/>
                    <w:rPr>
                      <w:color w:val="auto"/>
                      <w:szCs w:val="21"/>
                    </w:rPr>
                  </w:pPr>
                  <w:r>
                    <w:rPr>
                      <w:rFonts w:hint="eastAsia"/>
                      <w:color w:val="auto"/>
                      <w:szCs w:val="21"/>
                    </w:rPr>
                    <w:t>感染性废物</w:t>
                  </w:r>
                </w:p>
              </w:tc>
              <w:tc>
                <w:tcPr>
                  <w:tcW w:w="958" w:type="dxa"/>
                  <w:gridSpan w:val="2"/>
                  <w:vAlign w:val="center"/>
                </w:tcPr>
                <w:p w14:paraId="0462B53B">
                  <w:pPr>
                    <w:tabs>
                      <w:tab w:val="left" w:pos="567"/>
                    </w:tabs>
                    <w:snapToGrid w:val="0"/>
                    <w:spacing w:line="280" w:lineRule="exact"/>
                    <w:jc w:val="center"/>
                    <w:rPr>
                      <w:color w:val="auto"/>
                      <w:szCs w:val="21"/>
                    </w:rPr>
                  </w:pPr>
                  <w:r>
                    <w:rPr>
                      <w:rFonts w:hint="eastAsia"/>
                      <w:color w:val="auto"/>
                      <w:szCs w:val="21"/>
                    </w:rPr>
                    <w:t>塑料类</w:t>
                  </w:r>
                </w:p>
              </w:tc>
              <w:tc>
                <w:tcPr>
                  <w:tcW w:w="1315" w:type="dxa"/>
                  <w:vMerge w:val="restart"/>
                  <w:vAlign w:val="center"/>
                </w:tcPr>
                <w:p w14:paraId="59CF5B6B">
                  <w:pPr>
                    <w:tabs>
                      <w:tab w:val="left" w:pos="567"/>
                    </w:tabs>
                    <w:snapToGrid w:val="0"/>
                    <w:spacing w:line="280" w:lineRule="exact"/>
                    <w:jc w:val="center"/>
                    <w:rPr>
                      <w:color w:val="auto"/>
                      <w:szCs w:val="21"/>
                    </w:rPr>
                  </w:pPr>
                  <w:r>
                    <w:rPr>
                      <w:rFonts w:hint="eastAsia"/>
                      <w:color w:val="auto"/>
                      <w:szCs w:val="21"/>
                    </w:rPr>
                    <w:t>1652.2</w:t>
                  </w:r>
                </w:p>
              </w:tc>
              <w:tc>
                <w:tcPr>
                  <w:tcW w:w="1987" w:type="dxa"/>
                  <w:vAlign w:val="center"/>
                </w:tcPr>
                <w:p w14:paraId="02F3008D">
                  <w:pPr>
                    <w:pStyle w:val="134"/>
                    <w:tabs>
                      <w:tab w:val="left" w:pos="567"/>
                    </w:tabs>
                    <w:adjustRightInd/>
                    <w:snapToGrid w:val="0"/>
                    <w:spacing w:line="280" w:lineRule="exact"/>
                    <w:textAlignment w:val="auto"/>
                    <w:rPr>
                      <w:color w:val="auto"/>
                      <w:szCs w:val="21"/>
                    </w:rPr>
                  </w:pPr>
                  <w:r>
                    <w:rPr>
                      <w:rFonts w:hint="eastAsia" w:ascii="Times New Roman" w:hAnsi="Times New Roman"/>
                      <w:color w:val="auto"/>
                      <w:szCs w:val="21"/>
                    </w:rPr>
                    <w:t>塑胶手套、一次性针筒等</w:t>
                  </w:r>
                </w:p>
              </w:tc>
            </w:tr>
            <w:tr w14:paraId="6577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32479921">
                  <w:pPr>
                    <w:tabs>
                      <w:tab w:val="left" w:pos="567"/>
                    </w:tabs>
                    <w:snapToGrid w:val="0"/>
                    <w:spacing w:line="280" w:lineRule="exact"/>
                    <w:jc w:val="center"/>
                    <w:rPr>
                      <w:color w:val="auto"/>
                      <w:szCs w:val="21"/>
                    </w:rPr>
                  </w:pPr>
                </w:p>
              </w:tc>
              <w:tc>
                <w:tcPr>
                  <w:tcW w:w="1098" w:type="dxa"/>
                  <w:vMerge w:val="continue"/>
                  <w:vAlign w:val="center"/>
                </w:tcPr>
                <w:p w14:paraId="7FCA434D">
                  <w:pPr>
                    <w:tabs>
                      <w:tab w:val="left" w:pos="567"/>
                    </w:tabs>
                    <w:snapToGrid w:val="0"/>
                    <w:spacing w:line="280" w:lineRule="exact"/>
                    <w:jc w:val="center"/>
                    <w:rPr>
                      <w:color w:val="auto"/>
                      <w:szCs w:val="21"/>
                    </w:rPr>
                  </w:pPr>
                </w:p>
              </w:tc>
              <w:tc>
                <w:tcPr>
                  <w:tcW w:w="1098" w:type="dxa"/>
                  <w:vMerge w:val="continue"/>
                  <w:vAlign w:val="center"/>
                </w:tcPr>
                <w:p w14:paraId="0D84E9A5">
                  <w:pPr>
                    <w:tabs>
                      <w:tab w:val="left" w:pos="567"/>
                    </w:tabs>
                    <w:snapToGrid w:val="0"/>
                    <w:spacing w:line="280" w:lineRule="exact"/>
                    <w:jc w:val="center"/>
                    <w:rPr>
                      <w:color w:val="auto"/>
                      <w:szCs w:val="21"/>
                    </w:rPr>
                  </w:pPr>
                </w:p>
              </w:tc>
              <w:tc>
                <w:tcPr>
                  <w:tcW w:w="898" w:type="dxa"/>
                  <w:vMerge w:val="continue"/>
                  <w:vAlign w:val="center"/>
                </w:tcPr>
                <w:p w14:paraId="3F041E68">
                  <w:pPr>
                    <w:tabs>
                      <w:tab w:val="left" w:pos="567"/>
                    </w:tabs>
                    <w:snapToGrid w:val="0"/>
                    <w:spacing w:line="280" w:lineRule="exact"/>
                    <w:jc w:val="center"/>
                    <w:rPr>
                      <w:color w:val="auto"/>
                      <w:szCs w:val="21"/>
                    </w:rPr>
                  </w:pPr>
                </w:p>
              </w:tc>
              <w:tc>
                <w:tcPr>
                  <w:tcW w:w="958" w:type="dxa"/>
                  <w:gridSpan w:val="2"/>
                  <w:vAlign w:val="center"/>
                </w:tcPr>
                <w:p w14:paraId="1C0F4FDA">
                  <w:pPr>
                    <w:tabs>
                      <w:tab w:val="left" w:pos="567"/>
                    </w:tabs>
                    <w:snapToGrid w:val="0"/>
                    <w:spacing w:line="280" w:lineRule="exact"/>
                    <w:jc w:val="center"/>
                    <w:rPr>
                      <w:color w:val="auto"/>
                      <w:szCs w:val="21"/>
                    </w:rPr>
                  </w:pPr>
                  <w:r>
                    <w:rPr>
                      <w:rFonts w:hint="eastAsia"/>
                      <w:color w:val="auto"/>
                      <w:szCs w:val="21"/>
                    </w:rPr>
                    <w:t>纤维类</w:t>
                  </w:r>
                </w:p>
              </w:tc>
              <w:tc>
                <w:tcPr>
                  <w:tcW w:w="1315" w:type="dxa"/>
                  <w:vMerge w:val="continue"/>
                  <w:vAlign w:val="center"/>
                </w:tcPr>
                <w:p w14:paraId="12773065">
                  <w:pPr>
                    <w:tabs>
                      <w:tab w:val="left" w:pos="567"/>
                    </w:tabs>
                    <w:snapToGrid w:val="0"/>
                    <w:spacing w:line="280" w:lineRule="exact"/>
                    <w:jc w:val="center"/>
                    <w:rPr>
                      <w:color w:val="auto"/>
                      <w:szCs w:val="21"/>
                    </w:rPr>
                  </w:pPr>
                </w:p>
              </w:tc>
              <w:tc>
                <w:tcPr>
                  <w:tcW w:w="1987" w:type="dxa"/>
                  <w:vAlign w:val="center"/>
                </w:tcPr>
                <w:p w14:paraId="01885023">
                  <w:pPr>
                    <w:tabs>
                      <w:tab w:val="left" w:pos="567"/>
                    </w:tabs>
                    <w:snapToGrid w:val="0"/>
                    <w:spacing w:line="280" w:lineRule="exact"/>
                    <w:rPr>
                      <w:color w:val="auto"/>
                      <w:szCs w:val="21"/>
                    </w:rPr>
                  </w:pPr>
                  <w:r>
                    <w:rPr>
                      <w:rFonts w:hint="eastAsia"/>
                      <w:color w:val="auto"/>
                      <w:szCs w:val="21"/>
                    </w:rPr>
                    <w:t>湿纱布及衣物等</w:t>
                  </w:r>
                </w:p>
              </w:tc>
            </w:tr>
            <w:tr w14:paraId="2D49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214B6719">
                  <w:pPr>
                    <w:tabs>
                      <w:tab w:val="left" w:pos="567"/>
                    </w:tabs>
                    <w:snapToGrid w:val="0"/>
                    <w:spacing w:line="280" w:lineRule="exact"/>
                    <w:jc w:val="center"/>
                    <w:rPr>
                      <w:color w:val="auto"/>
                      <w:szCs w:val="21"/>
                    </w:rPr>
                  </w:pPr>
                </w:p>
              </w:tc>
              <w:tc>
                <w:tcPr>
                  <w:tcW w:w="1098" w:type="dxa"/>
                  <w:vMerge w:val="continue"/>
                  <w:vAlign w:val="center"/>
                </w:tcPr>
                <w:p w14:paraId="64BEE8DF">
                  <w:pPr>
                    <w:tabs>
                      <w:tab w:val="left" w:pos="567"/>
                    </w:tabs>
                    <w:snapToGrid w:val="0"/>
                    <w:spacing w:line="280" w:lineRule="exact"/>
                    <w:jc w:val="center"/>
                    <w:rPr>
                      <w:color w:val="auto"/>
                      <w:szCs w:val="21"/>
                    </w:rPr>
                  </w:pPr>
                </w:p>
              </w:tc>
              <w:tc>
                <w:tcPr>
                  <w:tcW w:w="1098" w:type="dxa"/>
                  <w:vMerge w:val="continue"/>
                  <w:vAlign w:val="center"/>
                </w:tcPr>
                <w:p w14:paraId="0AF89519">
                  <w:pPr>
                    <w:tabs>
                      <w:tab w:val="left" w:pos="567"/>
                    </w:tabs>
                    <w:snapToGrid w:val="0"/>
                    <w:spacing w:line="280" w:lineRule="exact"/>
                    <w:jc w:val="center"/>
                    <w:rPr>
                      <w:color w:val="auto"/>
                      <w:szCs w:val="21"/>
                    </w:rPr>
                  </w:pPr>
                </w:p>
              </w:tc>
              <w:tc>
                <w:tcPr>
                  <w:tcW w:w="898" w:type="dxa"/>
                  <w:vMerge w:val="continue"/>
                  <w:vAlign w:val="center"/>
                </w:tcPr>
                <w:p w14:paraId="7D7C8AA3">
                  <w:pPr>
                    <w:tabs>
                      <w:tab w:val="left" w:pos="567"/>
                    </w:tabs>
                    <w:snapToGrid w:val="0"/>
                    <w:spacing w:line="280" w:lineRule="exact"/>
                    <w:jc w:val="center"/>
                    <w:rPr>
                      <w:color w:val="auto"/>
                      <w:szCs w:val="21"/>
                    </w:rPr>
                  </w:pPr>
                </w:p>
              </w:tc>
              <w:tc>
                <w:tcPr>
                  <w:tcW w:w="958" w:type="dxa"/>
                  <w:gridSpan w:val="2"/>
                  <w:vAlign w:val="center"/>
                </w:tcPr>
                <w:p w14:paraId="2DDF9603">
                  <w:pPr>
                    <w:tabs>
                      <w:tab w:val="left" w:pos="567"/>
                    </w:tabs>
                    <w:snapToGrid w:val="0"/>
                    <w:spacing w:line="280" w:lineRule="exact"/>
                    <w:jc w:val="center"/>
                    <w:rPr>
                      <w:color w:val="auto"/>
                      <w:szCs w:val="21"/>
                    </w:rPr>
                  </w:pPr>
                  <w:r>
                    <w:rPr>
                      <w:rFonts w:hint="eastAsia"/>
                      <w:color w:val="auto"/>
                      <w:szCs w:val="21"/>
                    </w:rPr>
                    <w:t>其它</w:t>
                  </w:r>
                </w:p>
              </w:tc>
              <w:tc>
                <w:tcPr>
                  <w:tcW w:w="1315" w:type="dxa"/>
                  <w:vMerge w:val="continue"/>
                  <w:vAlign w:val="center"/>
                </w:tcPr>
                <w:p w14:paraId="758AC23C">
                  <w:pPr>
                    <w:tabs>
                      <w:tab w:val="left" w:pos="567"/>
                    </w:tabs>
                    <w:snapToGrid w:val="0"/>
                    <w:spacing w:line="280" w:lineRule="exact"/>
                    <w:jc w:val="center"/>
                    <w:rPr>
                      <w:color w:val="auto"/>
                      <w:szCs w:val="21"/>
                    </w:rPr>
                  </w:pPr>
                </w:p>
              </w:tc>
              <w:tc>
                <w:tcPr>
                  <w:tcW w:w="1987" w:type="dxa"/>
                  <w:vAlign w:val="center"/>
                </w:tcPr>
                <w:p w14:paraId="674A6D22">
                  <w:pPr>
                    <w:tabs>
                      <w:tab w:val="left" w:pos="567"/>
                    </w:tabs>
                    <w:snapToGrid w:val="0"/>
                    <w:spacing w:line="280" w:lineRule="exact"/>
                    <w:rPr>
                      <w:color w:val="auto"/>
                      <w:szCs w:val="21"/>
                    </w:rPr>
                  </w:pPr>
                  <w:r>
                    <w:rPr>
                      <w:rFonts w:hint="eastAsia"/>
                      <w:color w:val="auto"/>
                      <w:szCs w:val="21"/>
                    </w:rPr>
                    <w:t>废血浆</w:t>
                  </w:r>
                </w:p>
              </w:tc>
            </w:tr>
            <w:tr w14:paraId="2CFD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7C088A77">
                  <w:pPr>
                    <w:tabs>
                      <w:tab w:val="left" w:pos="567"/>
                    </w:tabs>
                    <w:snapToGrid w:val="0"/>
                    <w:spacing w:line="280" w:lineRule="exact"/>
                    <w:jc w:val="center"/>
                    <w:rPr>
                      <w:color w:val="auto"/>
                      <w:szCs w:val="21"/>
                    </w:rPr>
                  </w:pPr>
                </w:p>
              </w:tc>
              <w:tc>
                <w:tcPr>
                  <w:tcW w:w="1098" w:type="dxa"/>
                  <w:vMerge w:val="continue"/>
                  <w:vAlign w:val="center"/>
                </w:tcPr>
                <w:p w14:paraId="6EB4F9FA">
                  <w:pPr>
                    <w:tabs>
                      <w:tab w:val="left" w:pos="567"/>
                    </w:tabs>
                    <w:snapToGrid w:val="0"/>
                    <w:spacing w:line="280" w:lineRule="exact"/>
                    <w:jc w:val="center"/>
                    <w:rPr>
                      <w:color w:val="auto"/>
                      <w:szCs w:val="21"/>
                    </w:rPr>
                  </w:pPr>
                </w:p>
              </w:tc>
              <w:tc>
                <w:tcPr>
                  <w:tcW w:w="1098" w:type="dxa"/>
                  <w:vMerge w:val="restart"/>
                  <w:vAlign w:val="center"/>
                </w:tcPr>
                <w:p w14:paraId="2FE6EAAD">
                  <w:pPr>
                    <w:tabs>
                      <w:tab w:val="left" w:pos="567"/>
                    </w:tabs>
                    <w:snapToGrid w:val="0"/>
                    <w:spacing w:line="280" w:lineRule="exact"/>
                    <w:jc w:val="center"/>
                    <w:rPr>
                      <w:color w:val="auto"/>
                      <w:szCs w:val="21"/>
                    </w:rPr>
                  </w:pPr>
                  <w:r>
                    <w:rPr>
                      <w:rFonts w:hint="eastAsia"/>
                      <w:color w:val="auto"/>
                      <w:szCs w:val="21"/>
                    </w:rPr>
                    <w:t>841-002-01</w:t>
                  </w:r>
                </w:p>
              </w:tc>
              <w:tc>
                <w:tcPr>
                  <w:tcW w:w="898" w:type="dxa"/>
                  <w:vMerge w:val="restart"/>
                  <w:vAlign w:val="center"/>
                </w:tcPr>
                <w:p w14:paraId="48C5B641">
                  <w:pPr>
                    <w:tabs>
                      <w:tab w:val="left" w:pos="567"/>
                    </w:tabs>
                    <w:snapToGrid w:val="0"/>
                    <w:spacing w:line="280" w:lineRule="exact"/>
                    <w:jc w:val="center"/>
                    <w:rPr>
                      <w:color w:val="auto"/>
                      <w:szCs w:val="21"/>
                    </w:rPr>
                  </w:pPr>
                  <w:r>
                    <w:rPr>
                      <w:rFonts w:hint="eastAsia"/>
                      <w:color w:val="auto"/>
                      <w:szCs w:val="21"/>
                    </w:rPr>
                    <w:t>损伤性废物</w:t>
                  </w:r>
                </w:p>
              </w:tc>
              <w:tc>
                <w:tcPr>
                  <w:tcW w:w="958" w:type="dxa"/>
                  <w:gridSpan w:val="2"/>
                  <w:vAlign w:val="center"/>
                </w:tcPr>
                <w:p w14:paraId="63EDB96C">
                  <w:pPr>
                    <w:tabs>
                      <w:tab w:val="left" w:pos="567"/>
                    </w:tabs>
                    <w:snapToGrid w:val="0"/>
                    <w:spacing w:line="280" w:lineRule="exact"/>
                    <w:jc w:val="center"/>
                    <w:rPr>
                      <w:color w:val="auto"/>
                      <w:szCs w:val="21"/>
                    </w:rPr>
                  </w:pPr>
                  <w:r>
                    <w:rPr>
                      <w:rFonts w:hint="eastAsia"/>
                      <w:color w:val="auto"/>
                      <w:szCs w:val="21"/>
                    </w:rPr>
                    <w:t>玻璃</w:t>
                  </w:r>
                </w:p>
              </w:tc>
              <w:tc>
                <w:tcPr>
                  <w:tcW w:w="1315" w:type="dxa"/>
                  <w:vMerge w:val="restart"/>
                  <w:vAlign w:val="center"/>
                </w:tcPr>
                <w:p w14:paraId="31EF4DF6">
                  <w:pPr>
                    <w:tabs>
                      <w:tab w:val="left" w:pos="567"/>
                    </w:tabs>
                    <w:snapToGrid w:val="0"/>
                    <w:spacing w:line="280" w:lineRule="exact"/>
                    <w:jc w:val="center"/>
                    <w:rPr>
                      <w:color w:val="auto"/>
                      <w:szCs w:val="21"/>
                    </w:rPr>
                  </w:pPr>
                  <w:r>
                    <w:rPr>
                      <w:rFonts w:hint="eastAsia"/>
                      <w:color w:val="auto"/>
                      <w:szCs w:val="21"/>
                    </w:rPr>
                    <w:t>1835.05</w:t>
                  </w:r>
                </w:p>
              </w:tc>
              <w:tc>
                <w:tcPr>
                  <w:tcW w:w="1987" w:type="dxa"/>
                  <w:vAlign w:val="center"/>
                </w:tcPr>
                <w:p w14:paraId="448E9528">
                  <w:pPr>
                    <w:tabs>
                      <w:tab w:val="left" w:pos="567"/>
                    </w:tabs>
                    <w:snapToGrid w:val="0"/>
                    <w:spacing w:line="280" w:lineRule="exact"/>
                    <w:rPr>
                      <w:color w:val="auto"/>
                      <w:szCs w:val="21"/>
                    </w:rPr>
                  </w:pPr>
                  <w:r>
                    <w:rPr>
                      <w:rFonts w:hint="eastAsia"/>
                      <w:color w:val="auto"/>
                      <w:szCs w:val="21"/>
                    </w:rPr>
                    <w:t>输液瓶及玻片等</w:t>
                  </w:r>
                </w:p>
              </w:tc>
            </w:tr>
            <w:tr w14:paraId="4C9E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0133B4F6">
                  <w:pPr>
                    <w:tabs>
                      <w:tab w:val="left" w:pos="567"/>
                    </w:tabs>
                    <w:snapToGrid w:val="0"/>
                    <w:spacing w:line="280" w:lineRule="exact"/>
                    <w:jc w:val="center"/>
                    <w:rPr>
                      <w:color w:val="auto"/>
                    </w:rPr>
                  </w:pPr>
                </w:p>
              </w:tc>
              <w:tc>
                <w:tcPr>
                  <w:tcW w:w="1098" w:type="dxa"/>
                  <w:vMerge w:val="continue"/>
                  <w:vAlign w:val="center"/>
                </w:tcPr>
                <w:p w14:paraId="37B1FB70">
                  <w:pPr>
                    <w:tabs>
                      <w:tab w:val="left" w:pos="567"/>
                    </w:tabs>
                    <w:snapToGrid w:val="0"/>
                    <w:spacing w:line="280" w:lineRule="exact"/>
                    <w:jc w:val="center"/>
                    <w:rPr>
                      <w:color w:val="auto"/>
                    </w:rPr>
                  </w:pPr>
                </w:p>
              </w:tc>
              <w:tc>
                <w:tcPr>
                  <w:tcW w:w="1098" w:type="dxa"/>
                  <w:vMerge w:val="continue"/>
                  <w:vAlign w:val="center"/>
                </w:tcPr>
                <w:p w14:paraId="4207C8C3">
                  <w:pPr>
                    <w:tabs>
                      <w:tab w:val="left" w:pos="567"/>
                    </w:tabs>
                    <w:snapToGrid w:val="0"/>
                    <w:spacing w:line="280" w:lineRule="exact"/>
                    <w:jc w:val="center"/>
                    <w:rPr>
                      <w:color w:val="auto"/>
                    </w:rPr>
                  </w:pPr>
                </w:p>
              </w:tc>
              <w:tc>
                <w:tcPr>
                  <w:tcW w:w="898" w:type="dxa"/>
                  <w:vMerge w:val="continue"/>
                  <w:vAlign w:val="center"/>
                </w:tcPr>
                <w:p w14:paraId="3FADB44F">
                  <w:pPr>
                    <w:tabs>
                      <w:tab w:val="left" w:pos="567"/>
                    </w:tabs>
                    <w:snapToGrid w:val="0"/>
                    <w:spacing w:line="280" w:lineRule="exact"/>
                    <w:jc w:val="center"/>
                    <w:rPr>
                      <w:color w:val="auto"/>
                    </w:rPr>
                  </w:pPr>
                </w:p>
              </w:tc>
              <w:tc>
                <w:tcPr>
                  <w:tcW w:w="958" w:type="dxa"/>
                  <w:gridSpan w:val="2"/>
                  <w:vAlign w:val="center"/>
                </w:tcPr>
                <w:p w14:paraId="05EB21E1">
                  <w:pPr>
                    <w:tabs>
                      <w:tab w:val="left" w:pos="567"/>
                    </w:tabs>
                    <w:snapToGrid w:val="0"/>
                    <w:spacing w:line="280" w:lineRule="exact"/>
                    <w:jc w:val="center"/>
                    <w:rPr>
                      <w:color w:val="auto"/>
                      <w:szCs w:val="21"/>
                    </w:rPr>
                  </w:pPr>
                  <w:r>
                    <w:rPr>
                      <w:rFonts w:hint="eastAsia"/>
                      <w:color w:val="auto"/>
                      <w:szCs w:val="21"/>
                    </w:rPr>
                    <w:t>金属类</w:t>
                  </w:r>
                </w:p>
              </w:tc>
              <w:tc>
                <w:tcPr>
                  <w:tcW w:w="1315" w:type="dxa"/>
                  <w:vMerge w:val="continue"/>
                  <w:vAlign w:val="center"/>
                </w:tcPr>
                <w:p w14:paraId="287F6CC9">
                  <w:pPr>
                    <w:tabs>
                      <w:tab w:val="left" w:pos="567"/>
                    </w:tabs>
                    <w:snapToGrid w:val="0"/>
                    <w:spacing w:line="280" w:lineRule="exact"/>
                    <w:jc w:val="center"/>
                    <w:rPr>
                      <w:color w:val="auto"/>
                      <w:szCs w:val="21"/>
                    </w:rPr>
                  </w:pPr>
                </w:p>
              </w:tc>
              <w:tc>
                <w:tcPr>
                  <w:tcW w:w="1987" w:type="dxa"/>
                  <w:vAlign w:val="center"/>
                </w:tcPr>
                <w:p w14:paraId="3B7D2FC4">
                  <w:pPr>
                    <w:tabs>
                      <w:tab w:val="left" w:pos="567"/>
                    </w:tabs>
                    <w:snapToGrid w:val="0"/>
                    <w:spacing w:line="280" w:lineRule="exact"/>
                    <w:rPr>
                      <w:color w:val="auto"/>
                      <w:szCs w:val="21"/>
                    </w:rPr>
                  </w:pPr>
                  <w:r>
                    <w:rPr>
                      <w:rFonts w:hint="eastAsia"/>
                      <w:color w:val="auto"/>
                      <w:szCs w:val="21"/>
                    </w:rPr>
                    <w:t>手术刀、手术剪、手术钳</w:t>
                  </w:r>
                </w:p>
              </w:tc>
            </w:tr>
            <w:tr w14:paraId="6694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6C99590A">
                  <w:pPr>
                    <w:tabs>
                      <w:tab w:val="left" w:pos="567"/>
                    </w:tabs>
                    <w:snapToGrid w:val="0"/>
                    <w:spacing w:line="280" w:lineRule="exact"/>
                    <w:jc w:val="center"/>
                    <w:rPr>
                      <w:color w:val="auto"/>
                      <w:szCs w:val="21"/>
                    </w:rPr>
                  </w:pPr>
                </w:p>
              </w:tc>
              <w:tc>
                <w:tcPr>
                  <w:tcW w:w="1098" w:type="dxa"/>
                  <w:vMerge w:val="continue"/>
                  <w:vAlign w:val="center"/>
                </w:tcPr>
                <w:p w14:paraId="51F9D61C">
                  <w:pPr>
                    <w:tabs>
                      <w:tab w:val="left" w:pos="567"/>
                    </w:tabs>
                    <w:snapToGrid w:val="0"/>
                    <w:spacing w:line="280" w:lineRule="exact"/>
                    <w:jc w:val="center"/>
                    <w:rPr>
                      <w:color w:val="auto"/>
                      <w:szCs w:val="21"/>
                    </w:rPr>
                  </w:pPr>
                </w:p>
              </w:tc>
              <w:tc>
                <w:tcPr>
                  <w:tcW w:w="1098" w:type="dxa"/>
                  <w:vAlign w:val="center"/>
                </w:tcPr>
                <w:p w14:paraId="7897C536">
                  <w:pPr>
                    <w:tabs>
                      <w:tab w:val="left" w:pos="567"/>
                    </w:tabs>
                    <w:snapToGrid w:val="0"/>
                    <w:spacing w:line="280" w:lineRule="exact"/>
                    <w:jc w:val="center"/>
                    <w:rPr>
                      <w:color w:val="auto"/>
                      <w:szCs w:val="21"/>
                    </w:rPr>
                  </w:pPr>
                  <w:r>
                    <w:rPr>
                      <w:rFonts w:hint="eastAsia"/>
                      <w:color w:val="auto"/>
                      <w:szCs w:val="21"/>
                    </w:rPr>
                    <w:t>841-005-01</w:t>
                  </w:r>
                </w:p>
              </w:tc>
              <w:tc>
                <w:tcPr>
                  <w:tcW w:w="898" w:type="dxa"/>
                  <w:vAlign w:val="center"/>
                </w:tcPr>
                <w:p w14:paraId="7175AF09">
                  <w:pPr>
                    <w:tabs>
                      <w:tab w:val="left" w:pos="567"/>
                    </w:tabs>
                    <w:snapToGrid w:val="0"/>
                    <w:spacing w:line="280" w:lineRule="exact"/>
                    <w:jc w:val="center"/>
                    <w:rPr>
                      <w:color w:val="auto"/>
                      <w:szCs w:val="21"/>
                    </w:rPr>
                  </w:pPr>
                  <w:r>
                    <w:rPr>
                      <w:rFonts w:hint="eastAsia"/>
                      <w:color w:val="auto"/>
                      <w:szCs w:val="21"/>
                    </w:rPr>
                    <w:t>药物性废物</w:t>
                  </w:r>
                </w:p>
              </w:tc>
              <w:tc>
                <w:tcPr>
                  <w:tcW w:w="958" w:type="dxa"/>
                  <w:gridSpan w:val="2"/>
                  <w:vAlign w:val="center"/>
                </w:tcPr>
                <w:p w14:paraId="4AC8E760">
                  <w:pPr>
                    <w:tabs>
                      <w:tab w:val="left" w:pos="567"/>
                    </w:tabs>
                    <w:snapToGrid w:val="0"/>
                    <w:spacing w:line="280" w:lineRule="exact"/>
                    <w:jc w:val="center"/>
                    <w:rPr>
                      <w:color w:val="auto"/>
                      <w:szCs w:val="21"/>
                    </w:rPr>
                  </w:pPr>
                  <w:r>
                    <w:rPr>
                      <w:rFonts w:hint="eastAsia"/>
                      <w:color w:val="auto"/>
                      <w:szCs w:val="21"/>
                    </w:rPr>
                    <w:t>药品药物</w:t>
                  </w:r>
                </w:p>
              </w:tc>
              <w:tc>
                <w:tcPr>
                  <w:tcW w:w="1315" w:type="dxa"/>
                  <w:vAlign w:val="center"/>
                </w:tcPr>
                <w:p w14:paraId="18613880">
                  <w:pPr>
                    <w:tabs>
                      <w:tab w:val="left" w:pos="567"/>
                    </w:tabs>
                    <w:snapToGrid w:val="0"/>
                    <w:spacing w:line="280" w:lineRule="exact"/>
                    <w:jc w:val="center"/>
                    <w:rPr>
                      <w:color w:val="auto"/>
                      <w:szCs w:val="21"/>
                    </w:rPr>
                  </w:pPr>
                  <w:r>
                    <w:rPr>
                      <w:rFonts w:hint="eastAsia"/>
                      <w:color w:val="auto"/>
                      <w:szCs w:val="21"/>
                    </w:rPr>
                    <w:t>16</w:t>
                  </w:r>
                </w:p>
              </w:tc>
              <w:tc>
                <w:tcPr>
                  <w:tcW w:w="1987" w:type="dxa"/>
                  <w:vAlign w:val="center"/>
                </w:tcPr>
                <w:p w14:paraId="64C14C2E">
                  <w:pPr>
                    <w:tabs>
                      <w:tab w:val="left" w:pos="567"/>
                    </w:tabs>
                    <w:snapToGrid w:val="0"/>
                    <w:spacing w:line="280" w:lineRule="exact"/>
                    <w:jc w:val="center"/>
                    <w:rPr>
                      <w:color w:val="auto"/>
                      <w:szCs w:val="21"/>
                    </w:rPr>
                  </w:pPr>
                  <w:r>
                    <w:rPr>
                      <w:rFonts w:hint="eastAsia"/>
                      <w:color w:val="auto"/>
                      <w:szCs w:val="21"/>
                    </w:rPr>
                    <w:t>来自药房</w:t>
                  </w:r>
                </w:p>
              </w:tc>
            </w:tr>
            <w:tr w14:paraId="47C5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69B52798">
                  <w:pPr>
                    <w:tabs>
                      <w:tab w:val="left" w:pos="567"/>
                    </w:tabs>
                    <w:snapToGrid w:val="0"/>
                    <w:spacing w:line="280" w:lineRule="exact"/>
                    <w:jc w:val="center"/>
                    <w:rPr>
                      <w:color w:val="auto"/>
                      <w:szCs w:val="21"/>
                    </w:rPr>
                  </w:pPr>
                </w:p>
              </w:tc>
              <w:tc>
                <w:tcPr>
                  <w:tcW w:w="1098" w:type="dxa"/>
                  <w:vMerge w:val="continue"/>
                  <w:vAlign w:val="center"/>
                </w:tcPr>
                <w:p w14:paraId="65BCCEC1">
                  <w:pPr>
                    <w:tabs>
                      <w:tab w:val="left" w:pos="567"/>
                    </w:tabs>
                    <w:snapToGrid w:val="0"/>
                    <w:spacing w:line="280" w:lineRule="exact"/>
                    <w:jc w:val="center"/>
                    <w:rPr>
                      <w:color w:val="auto"/>
                      <w:szCs w:val="21"/>
                    </w:rPr>
                  </w:pPr>
                </w:p>
              </w:tc>
              <w:tc>
                <w:tcPr>
                  <w:tcW w:w="1098" w:type="dxa"/>
                  <w:vAlign w:val="center"/>
                </w:tcPr>
                <w:p w14:paraId="1754A878">
                  <w:pPr>
                    <w:tabs>
                      <w:tab w:val="left" w:pos="567"/>
                    </w:tabs>
                    <w:snapToGrid w:val="0"/>
                    <w:spacing w:line="280" w:lineRule="exact"/>
                    <w:jc w:val="center"/>
                    <w:rPr>
                      <w:color w:val="auto"/>
                      <w:szCs w:val="21"/>
                    </w:rPr>
                  </w:pPr>
                  <w:r>
                    <w:rPr>
                      <w:rFonts w:hint="eastAsia"/>
                      <w:color w:val="auto"/>
                      <w:szCs w:val="21"/>
                    </w:rPr>
                    <w:t>841-004-01</w:t>
                  </w:r>
                </w:p>
              </w:tc>
              <w:tc>
                <w:tcPr>
                  <w:tcW w:w="898" w:type="dxa"/>
                  <w:vAlign w:val="center"/>
                </w:tcPr>
                <w:p w14:paraId="25CFBBB8">
                  <w:pPr>
                    <w:tabs>
                      <w:tab w:val="left" w:pos="567"/>
                    </w:tabs>
                    <w:snapToGrid w:val="0"/>
                    <w:spacing w:line="280" w:lineRule="exact"/>
                    <w:jc w:val="center"/>
                    <w:rPr>
                      <w:color w:val="auto"/>
                      <w:szCs w:val="21"/>
                    </w:rPr>
                  </w:pPr>
                  <w:r>
                    <w:rPr>
                      <w:rFonts w:hint="eastAsia"/>
                      <w:color w:val="auto"/>
                      <w:szCs w:val="21"/>
                    </w:rPr>
                    <w:t>化学性废物</w:t>
                  </w:r>
                </w:p>
              </w:tc>
              <w:tc>
                <w:tcPr>
                  <w:tcW w:w="958" w:type="dxa"/>
                  <w:gridSpan w:val="2"/>
                  <w:vAlign w:val="center"/>
                </w:tcPr>
                <w:p w14:paraId="2D613732">
                  <w:pPr>
                    <w:tabs>
                      <w:tab w:val="left" w:pos="567"/>
                    </w:tabs>
                    <w:snapToGrid w:val="0"/>
                    <w:spacing w:line="280" w:lineRule="exact"/>
                    <w:jc w:val="center"/>
                    <w:rPr>
                      <w:color w:val="auto"/>
                      <w:szCs w:val="21"/>
                    </w:rPr>
                  </w:pPr>
                  <w:r>
                    <w:rPr>
                      <w:rFonts w:hint="eastAsia"/>
                      <w:color w:val="auto"/>
                      <w:szCs w:val="21"/>
                    </w:rPr>
                    <w:t>废液类</w:t>
                  </w:r>
                </w:p>
              </w:tc>
              <w:tc>
                <w:tcPr>
                  <w:tcW w:w="1315" w:type="dxa"/>
                  <w:vAlign w:val="center"/>
                </w:tcPr>
                <w:p w14:paraId="058F393B">
                  <w:pPr>
                    <w:tabs>
                      <w:tab w:val="left" w:pos="567"/>
                    </w:tabs>
                    <w:snapToGrid w:val="0"/>
                    <w:spacing w:line="280" w:lineRule="exact"/>
                    <w:jc w:val="center"/>
                    <w:rPr>
                      <w:color w:val="auto"/>
                      <w:szCs w:val="21"/>
                    </w:rPr>
                  </w:pPr>
                  <w:r>
                    <w:rPr>
                      <w:rFonts w:hint="eastAsia"/>
                      <w:color w:val="auto"/>
                      <w:szCs w:val="21"/>
                    </w:rPr>
                    <w:t>1</w:t>
                  </w:r>
                </w:p>
              </w:tc>
              <w:tc>
                <w:tcPr>
                  <w:tcW w:w="1987" w:type="dxa"/>
                  <w:vAlign w:val="center"/>
                </w:tcPr>
                <w:p w14:paraId="62934B85">
                  <w:pPr>
                    <w:tabs>
                      <w:tab w:val="left" w:pos="567"/>
                    </w:tabs>
                    <w:snapToGrid w:val="0"/>
                    <w:spacing w:line="280" w:lineRule="exact"/>
                    <w:jc w:val="center"/>
                    <w:rPr>
                      <w:color w:val="auto"/>
                      <w:szCs w:val="21"/>
                    </w:rPr>
                  </w:pPr>
                  <w:r>
                    <w:rPr>
                      <w:rFonts w:hint="eastAsia"/>
                      <w:color w:val="auto"/>
                      <w:szCs w:val="21"/>
                    </w:rPr>
                    <w:t>酸性废液</w:t>
                  </w:r>
                </w:p>
              </w:tc>
            </w:tr>
            <w:tr w14:paraId="6073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7219DCDE">
                  <w:pPr>
                    <w:tabs>
                      <w:tab w:val="left" w:pos="567"/>
                    </w:tabs>
                    <w:snapToGrid w:val="0"/>
                    <w:spacing w:line="280" w:lineRule="exact"/>
                    <w:jc w:val="center"/>
                    <w:rPr>
                      <w:color w:val="auto"/>
                      <w:szCs w:val="21"/>
                    </w:rPr>
                  </w:pPr>
                </w:p>
              </w:tc>
              <w:tc>
                <w:tcPr>
                  <w:tcW w:w="1098" w:type="dxa"/>
                  <w:vMerge w:val="continue"/>
                  <w:vAlign w:val="center"/>
                </w:tcPr>
                <w:p w14:paraId="653B1294">
                  <w:pPr>
                    <w:tabs>
                      <w:tab w:val="left" w:pos="567"/>
                    </w:tabs>
                    <w:snapToGrid w:val="0"/>
                    <w:spacing w:line="280" w:lineRule="exact"/>
                    <w:jc w:val="center"/>
                    <w:rPr>
                      <w:color w:val="auto"/>
                      <w:szCs w:val="21"/>
                    </w:rPr>
                  </w:pPr>
                </w:p>
              </w:tc>
              <w:tc>
                <w:tcPr>
                  <w:tcW w:w="2954" w:type="dxa"/>
                  <w:gridSpan w:val="4"/>
                  <w:vAlign w:val="center"/>
                </w:tcPr>
                <w:p w14:paraId="2644A131">
                  <w:pPr>
                    <w:tabs>
                      <w:tab w:val="left" w:pos="567"/>
                    </w:tabs>
                    <w:snapToGrid w:val="0"/>
                    <w:spacing w:line="280" w:lineRule="exact"/>
                    <w:jc w:val="center"/>
                    <w:rPr>
                      <w:color w:val="auto"/>
                      <w:szCs w:val="21"/>
                    </w:rPr>
                  </w:pPr>
                  <w:r>
                    <w:rPr>
                      <w:rFonts w:hint="eastAsia"/>
                      <w:color w:val="auto"/>
                      <w:szCs w:val="21"/>
                    </w:rPr>
                    <w:t>合计</w:t>
                  </w:r>
                </w:p>
              </w:tc>
              <w:tc>
                <w:tcPr>
                  <w:tcW w:w="1315" w:type="dxa"/>
                  <w:vAlign w:val="center"/>
                </w:tcPr>
                <w:p w14:paraId="31E89E15">
                  <w:pPr>
                    <w:tabs>
                      <w:tab w:val="left" w:pos="567"/>
                    </w:tabs>
                    <w:snapToGrid w:val="0"/>
                    <w:spacing w:line="280" w:lineRule="exact"/>
                    <w:jc w:val="center"/>
                    <w:rPr>
                      <w:color w:val="auto"/>
                      <w:szCs w:val="21"/>
                    </w:rPr>
                  </w:pPr>
                  <w:r>
                    <w:rPr>
                      <w:rFonts w:hint="eastAsia"/>
                      <w:color w:val="auto"/>
                      <w:szCs w:val="21"/>
                    </w:rPr>
                    <w:t>3504.25kg/a</w:t>
                  </w:r>
                </w:p>
                <w:p w14:paraId="440557D5">
                  <w:pPr>
                    <w:tabs>
                      <w:tab w:val="left" w:pos="567"/>
                    </w:tabs>
                    <w:snapToGrid w:val="0"/>
                    <w:spacing w:line="280" w:lineRule="exact"/>
                    <w:jc w:val="center"/>
                    <w:rPr>
                      <w:color w:val="auto"/>
                      <w:szCs w:val="21"/>
                    </w:rPr>
                  </w:pPr>
                  <w:r>
                    <w:rPr>
                      <w:rFonts w:hint="eastAsia"/>
                      <w:color w:val="auto"/>
                      <w:szCs w:val="21"/>
                    </w:rPr>
                    <w:t>(3.50425t/a)</w:t>
                  </w:r>
                </w:p>
              </w:tc>
              <w:tc>
                <w:tcPr>
                  <w:tcW w:w="1987" w:type="dxa"/>
                  <w:vAlign w:val="center"/>
                </w:tcPr>
                <w:p w14:paraId="1C0755CE">
                  <w:pPr>
                    <w:tabs>
                      <w:tab w:val="left" w:pos="567"/>
                    </w:tabs>
                    <w:snapToGrid w:val="0"/>
                    <w:spacing w:line="280" w:lineRule="exact"/>
                    <w:jc w:val="center"/>
                    <w:rPr>
                      <w:color w:val="auto"/>
                      <w:szCs w:val="21"/>
                    </w:rPr>
                  </w:pPr>
                  <w:r>
                    <w:rPr>
                      <w:rFonts w:hint="eastAsia"/>
                      <w:color w:val="auto"/>
                      <w:szCs w:val="21"/>
                    </w:rPr>
                    <w:t>—</w:t>
                  </w:r>
                </w:p>
              </w:tc>
            </w:tr>
            <w:tr w14:paraId="3C5D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restart"/>
                  <w:vAlign w:val="center"/>
                </w:tcPr>
                <w:p w14:paraId="4B34F20A">
                  <w:pPr>
                    <w:tabs>
                      <w:tab w:val="left" w:pos="567"/>
                    </w:tabs>
                    <w:snapToGrid w:val="0"/>
                    <w:spacing w:line="280" w:lineRule="exact"/>
                    <w:jc w:val="center"/>
                    <w:rPr>
                      <w:color w:val="auto"/>
                      <w:szCs w:val="21"/>
                    </w:rPr>
                  </w:pPr>
                  <w:r>
                    <w:rPr>
                      <w:rFonts w:hint="eastAsia"/>
                      <w:color w:val="auto"/>
                      <w:szCs w:val="21"/>
                    </w:rPr>
                    <w:t>纳古卫生院</w:t>
                  </w:r>
                </w:p>
              </w:tc>
              <w:tc>
                <w:tcPr>
                  <w:tcW w:w="1098" w:type="dxa"/>
                  <w:vMerge w:val="restart"/>
                  <w:vAlign w:val="center"/>
                </w:tcPr>
                <w:p w14:paraId="49365082">
                  <w:pPr>
                    <w:tabs>
                      <w:tab w:val="left" w:pos="567"/>
                    </w:tabs>
                    <w:snapToGrid w:val="0"/>
                    <w:spacing w:line="280" w:lineRule="exact"/>
                    <w:jc w:val="center"/>
                    <w:rPr>
                      <w:color w:val="auto"/>
                      <w:szCs w:val="21"/>
                    </w:rPr>
                  </w:pPr>
                  <w:r>
                    <w:rPr>
                      <w:rFonts w:hint="eastAsia"/>
                      <w:color w:val="auto"/>
                      <w:szCs w:val="21"/>
                    </w:rPr>
                    <w:t>医疗废物HW01</w:t>
                  </w:r>
                </w:p>
                <w:p w14:paraId="43BB7420">
                  <w:pPr>
                    <w:tabs>
                      <w:tab w:val="left" w:pos="567"/>
                    </w:tabs>
                    <w:snapToGrid w:val="0"/>
                    <w:spacing w:line="280" w:lineRule="exact"/>
                    <w:jc w:val="center"/>
                    <w:rPr>
                      <w:color w:val="auto"/>
                      <w:szCs w:val="21"/>
                    </w:rPr>
                  </w:pPr>
                </w:p>
              </w:tc>
              <w:tc>
                <w:tcPr>
                  <w:tcW w:w="1098" w:type="dxa"/>
                  <w:vMerge w:val="restart"/>
                  <w:vAlign w:val="center"/>
                </w:tcPr>
                <w:p w14:paraId="0962D4DB">
                  <w:pPr>
                    <w:tabs>
                      <w:tab w:val="left" w:pos="567"/>
                    </w:tabs>
                    <w:snapToGrid w:val="0"/>
                    <w:spacing w:line="280" w:lineRule="exact"/>
                    <w:jc w:val="center"/>
                    <w:rPr>
                      <w:color w:val="auto"/>
                      <w:szCs w:val="21"/>
                    </w:rPr>
                  </w:pPr>
                  <w:r>
                    <w:rPr>
                      <w:rFonts w:hint="eastAsia"/>
                      <w:color w:val="auto"/>
                      <w:szCs w:val="21"/>
                    </w:rPr>
                    <w:t>841-001-01</w:t>
                  </w:r>
                </w:p>
              </w:tc>
              <w:tc>
                <w:tcPr>
                  <w:tcW w:w="898" w:type="dxa"/>
                  <w:vMerge w:val="restart"/>
                  <w:vAlign w:val="center"/>
                </w:tcPr>
                <w:p w14:paraId="2F8C983F">
                  <w:pPr>
                    <w:tabs>
                      <w:tab w:val="left" w:pos="567"/>
                    </w:tabs>
                    <w:snapToGrid w:val="0"/>
                    <w:spacing w:line="280" w:lineRule="exact"/>
                    <w:jc w:val="center"/>
                    <w:rPr>
                      <w:color w:val="auto"/>
                      <w:szCs w:val="21"/>
                    </w:rPr>
                  </w:pPr>
                  <w:r>
                    <w:rPr>
                      <w:rFonts w:hint="eastAsia"/>
                      <w:color w:val="auto"/>
                      <w:szCs w:val="21"/>
                    </w:rPr>
                    <w:t>感染性废物</w:t>
                  </w:r>
                </w:p>
              </w:tc>
              <w:tc>
                <w:tcPr>
                  <w:tcW w:w="958" w:type="dxa"/>
                  <w:gridSpan w:val="2"/>
                  <w:vAlign w:val="center"/>
                </w:tcPr>
                <w:p w14:paraId="3FB975B0">
                  <w:pPr>
                    <w:tabs>
                      <w:tab w:val="left" w:pos="567"/>
                    </w:tabs>
                    <w:snapToGrid w:val="0"/>
                    <w:spacing w:line="280" w:lineRule="exact"/>
                    <w:jc w:val="center"/>
                    <w:rPr>
                      <w:color w:val="auto"/>
                      <w:szCs w:val="21"/>
                    </w:rPr>
                  </w:pPr>
                  <w:r>
                    <w:rPr>
                      <w:rFonts w:hint="eastAsia"/>
                      <w:color w:val="auto"/>
                      <w:szCs w:val="21"/>
                    </w:rPr>
                    <w:t>塑料类</w:t>
                  </w:r>
                </w:p>
              </w:tc>
              <w:tc>
                <w:tcPr>
                  <w:tcW w:w="1315" w:type="dxa"/>
                  <w:vMerge w:val="restart"/>
                  <w:vAlign w:val="center"/>
                </w:tcPr>
                <w:p w14:paraId="48E4C1BF">
                  <w:pPr>
                    <w:tabs>
                      <w:tab w:val="left" w:pos="567"/>
                    </w:tabs>
                    <w:snapToGrid w:val="0"/>
                    <w:spacing w:line="280" w:lineRule="exact"/>
                    <w:jc w:val="center"/>
                    <w:rPr>
                      <w:color w:val="auto"/>
                      <w:szCs w:val="21"/>
                    </w:rPr>
                  </w:pPr>
                  <w:r>
                    <w:rPr>
                      <w:rFonts w:hint="eastAsia"/>
                      <w:color w:val="auto"/>
                      <w:szCs w:val="21"/>
                    </w:rPr>
                    <w:t>564.7</w:t>
                  </w:r>
                </w:p>
              </w:tc>
              <w:tc>
                <w:tcPr>
                  <w:tcW w:w="1987" w:type="dxa"/>
                  <w:vAlign w:val="center"/>
                </w:tcPr>
                <w:p w14:paraId="0AE989F1">
                  <w:pPr>
                    <w:pStyle w:val="134"/>
                    <w:tabs>
                      <w:tab w:val="left" w:pos="567"/>
                    </w:tabs>
                    <w:adjustRightInd/>
                    <w:snapToGrid w:val="0"/>
                    <w:spacing w:line="280" w:lineRule="exact"/>
                    <w:textAlignment w:val="auto"/>
                    <w:rPr>
                      <w:color w:val="auto"/>
                      <w:szCs w:val="21"/>
                    </w:rPr>
                  </w:pPr>
                  <w:r>
                    <w:rPr>
                      <w:rFonts w:hint="eastAsia" w:ascii="Times New Roman" w:hAnsi="Times New Roman"/>
                      <w:color w:val="auto"/>
                      <w:szCs w:val="21"/>
                    </w:rPr>
                    <w:t>塑胶手套、一次性针筒等</w:t>
                  </w:r>
                </w:p>
              </w:tc>
            </w:tr>
            <w:tr w14:paraId="27BE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6D4E7C57">
                  <w:pPr>
                    <w:tabs>
                      <w:tab w:val="left" w:pos="567"/>
                    </w:tabs>
                    <w:snapToGrid w:val="0"/>
                    <w:spacing w:line="280" w:lineRule="exact"/>
                    <w:jc w:val="center"/>
                    <w:rPr>
                      <w:color w:val="auto"/>
                      <w:szCs w:val="21"/>
                    </w:rPr>
                  </w:pPr>
                </w:p>
              </w:tc>
              <w:tc>
                <w:tcPr>
                  <w:tcW w:w="1098" w:type="dxa"/>
                  <w:vMerge w:val="continue"/>
                  <w:vAlign w:val="center"/>
                </w:tcPr>
                <w:p w14:paraId="7705197A">
                  <w:pPr>
                    <w:tabs>
                      <w:tab w:val="left" w:pos="567"/>
                    </w:tabs>
                    <w:snapToGrid w:val="0"/>
                    <w:spacing w:line="280" w:lineRule="exact"/>
                    <w:jc w:val="center"/>
                    <w:rPr>
                      <w:color w:val="auto"/>
                      <w:szCs w:val="21"/>
                    </w:rPr>
                  </w:pPr>
                </w:p>
              </w:tc>
              <w:tc>
                <w:tcPr>
                  <w:tcW w:w="1098" w:type="dxa"/>
                  <w:vMerge w:val="continue"/>
                  <w:vAlign w:val="center"/>
                </w:tcPr>
                <w:p w14:paraId="19AF5189">
                  <w:pPr>
                    <w:tabs>
                      <w:tab w:val="left" w:pos="567"/>
                    </w:tabs>
                    <w:snapToGrid w:val="0"/>
                    <w:spacing w:line="280" w:lineRule="exact"/>
                    <w:jc w:val="center"/>
                    <w:rPr>
                      <w:color w:val="auto"/>
                      <w:szCs w:val="21"/>
                    </w:rPr>
                  </w:pPr>
                </w:p>
              </w:tc>
              <w:tc>
                <w:tcPr>
                  <w:tcW w:w="898" w:type="dxa"/>
                  <w:vMerge w:val="continue"/>
                  <w:vAlign w:val="center"/>
                </w:tcPr>
                <w:p w14:paraId="75D7C41E">
                  <w:pPr>
                    <w:tabs>
                      <w:tab w:val="left" w:pos="567"/>
                    </w:tabs>
                    <w:snapToGrid w:val="0"/>
                    <w:spacing w:line="280" w:lineRule="exact"/>
                    <w:jc w:val="center"/>
                    <w:rPr>
                      <w:color w:val="auto"/>
                      <w:szCs w:val="21"/>
                    </w:rPr>
                  </w:pPr>
                </w:p>
              </w:tc>
              <w:tc>
                <w:tcPr>
                  <w:tcW w:w="958" w:type="dxa"/>
                  <w:gridSpan w:val="2"/>
                  <w:vAlign w:val="center"/>
                </w:tcPr>
                <w:p w14:paraId="718B9A72">
                  <w:pPr>
                    <w:tabs>
                      <w:tab w:val="left" w:pos="567"/>
                    </w:tabs>
                    <w:snapToGrid w:val="0"/>
                    <w:spacing w:line="280" w:lineRule="exact"/>
                    <w:jc w:val="center"/>
                    <w:rPr>
                      <w:color w:val="auto"/>
                      <w:szCs w:val="21"/>
                    </w:rPr>
                  </w:pPr>
                  <w:r>
                    <w:rPr>
                      <w:rFonts w:hint="eastAsia"/>
                      <w:color w:val="auto"/>
                      <w:szCs w:val="21"/>
                    </w:rPr>
                    <w:t>纤维类</w:t>
                  </w:r>
                </w:p>
              </w:tc>
              <w:tc>
                <w:tcPr>
                  <w:tcW w:w="1315" w:type="dxa"/>
                  <w:vMerge w:val="continue"/>
                  <w:vAlign w:val="center"/>
                </w:tcPr>
                <w:p w14:paraId="13B108D1">
                  <w:pPr>
                    <w:tabs>
                      <w:tab w:val="left" w:pos="567"/>
                    </w:tabs>
                    <w:snapToGrid w:val="0"/>
                    <w:spacing w:line="280" w:lineRule="exact"/>
                    <w:jc w:val="center"/>
                    <w:rPr>
                      <w:color w:val="auto"/>
                      <w:szCs w:val="21"/>
                    </w:rPr>
                  </w:pPr>
                </w:p>
              </w:tc>
              <w:tc>
                <w:tcPr>
                  <w:tcW w:w="1987" w:type="dxa"/>
                  <w:vAlign w:val="center"/>
                </w:tcPr>
                <w:p w14:paraId="09AC0814">
                  <w:pPr>
                    <w:tabs>
                      <w:tab w:val="left" w:pos="567"/>
                    </w:tabs>
                    <w:snapToGrid w:val="0"/>
                    <w:spacing w:line="280" w:lineRule="exact"/>
                    <w:jc w:val="center"/>
                    <w:rPr>
                      <w:color w:val="auto"/>
                      <w:szCs w:val="21"/>
                    </w:rPr>
                  </w:pPr>
                  <w:r>
                    <w:rPr>
                      <w:rFonts w:hint="eastAsia"/>
                      <w:color w:val="auto"/>
                      <w:szCs w:val="21"/>
                    </w:rPr>
                    <w:t>湿纱布及衣物等</w:t>
                  </w:r>
                </w:p>
              </w:tc>
            </w:tr>
            <w:tr w14:paraId="1348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58DB3ED2">
                  <w:pPr>
                    <w:tabs>
                      <w:tab w:val="left" w:pos="567"/>
                    </w:tabs>
                    <w:snapToGrid w:val="0"/>
                    <w:spacing w:line="280" w:lineRule="exact"/>
                    <w:jc w:val="center"/>
                    <w:rPr>
                      <w:color w:val="auto"/>
                      <w:szCs w:val="21"/>
                    </w:rPr>
                  </w:pPr>
                </w:p>
              </w:tc>
              <w:tc>
                <w:tcPr>
                  <w:tcW w:w="1098" w:type="dxa"/>
                  <w:vMerge w:val="continue"/>
                  <w:vAlign w:val="center"/>
                </w:tcPr>
                <w:p w14:paraId="6E05DECB">
                  <w:pPr>
                    <w:tabs>
                      <w:tab w:val="left" w:pos="567"/>
                    </w:tabs>
                    <w:snapToGrid w:val="0"/>
                    <w:spacing w:line="280" w:lineRule="exact"/>
                    <w:jc w:val="center"/>
                    <w:rPr>
                      <w:color w:val="auto"/>
                      <w:szCs w:val="21"/>
                    </w:rPr>
                  </w:pPr>
                </w:p>
              </w:tc>
              <w:tc>
                <w:tcPr>
                  <w:tcW w:w="1098" w:type="dxa"/>
                  <w:vMerge w:val="continue"/>
                  <w:vAlign w:val="center"/>
                </w:tcPr>
                <w:p w14:paraId="72411026">
                  <w:pPr>
                    <w:tabs>
                      <w:tab w:val="left" w:pos="567"/>
                    </w:tabs>
                    <w:snapToGrid w:val="0"/>
                    <w:spacing w:line="280" w:lineRule="exact"/>
                    <w:jc w:val="center"/>
                    <w:rPr>
                      <w:color w:val="auto"/>
                      <w:szCs w:val="21"/>
                    </w:rPr>
                  </w:pPr>
                </w:p>
              </w:tc>
              <w:tc>
                <w:tcPr>
                  <w:tcW w:w="898" w:type="dxa"/>
                  <w:vMerge w:val="continue"/>
                  <w:vAlign w:val="center"/>
                </w:tcPr>
                <w:p w14:paraId="45156C21">
                  <w:pPr>
                    <w:tabs>
                      <w:tab w:val="left" w:pos="567"/>
                    </w:tabs>
                    <w:snapToGrid w:val="0"/>
                    <w:spacing w:line="280" w:lineRule="exact"/>
                    <w:jc w:val="center"/>
                    <w:rPr>
                      <w:color w:val="auto"/>
                      <w:szCs w:val="21"/>
                    </w:rPr>
                  </w:pPr>
                </w:p>
              </w:tc>
              <w:tc>
                <w:tcPr>
                  <w:tcW w:w="958" w:type="dxa"/>
                  <w:gridSpan w:val="2"/>
                  <w:vAlign w:val="center"/>
                </w:tcPr>
                <w:p w14:paraId="61E1FE3C">
                  <w:pPr>
                    <w:tabs>
                      <w:tab w:val="left" w:pos="567"/>
                    </w:tabs>
                    <w:snapToGrid w:val="0"/>
                    <w:spacing w:line="280" w:lineRule="exact"/>
                    <w:jc w:val="center"/>
                    <w:rPr>
                      <w:color w:val="auto"/>
                      <w:szCs w:val="21"/>
                    </w:rPr>
                  </w:pPr>
                  <w:r>
                    <w:rPr>
                      <w:rFonts w:hint="eastAsia"/>
                      <w:color w:val="auto"/>
                      <w:szCs w:val="21"/>
                    </w:rPr>
                    <w:t>其它</w:t>
                  </w:r>
                </w:p>
              </w:tc>
              <w:tc>
                <w:tcPr>
                  <w:tcW w:w="1315" w:type="dxa"/>
                  <w:vMerge w:val="continue"/>
                  <w:vAlign w:val="center"/>
                </w:tcPr>
                <w:p w14:paraId="35E3323E">
                  <w:pPr>
                    <w:tabs>
                      <w:tab w:val="left" w:pos="567"/>
                    </w:tabs>
                    <w:snapToGrid w:val="0"/>
                    <w:spacing w:line="280" w:lineRule="exact"/>
                    <w:jc w:val="center"/>
                    <w:rPr>
                      <w:color w:val="auto"/>
                      <w:szCs w:val="21"/>
                    </w:rPr>
                  </w:pPr>
                </w:p>
              </w:tc>
              <w:tc>
                <w:tcPr>
                  <w:tcW w:w="1987" w:type="dxa"/>
                  <w:vAlign w:val="center"/>
                </w:tcPr>
                <w:p w14:paraId="680B4452">
                  <w:pPr>
                    <w:tabs>
                      <w:tab w:val="left" w:pos="567"/>
                    </w:tabs>
                    <w:snapToGrid w:val="0"/>
                    <w:spacing w:line="280" w:lineRule="exact"/>
                    <w:jc w:val="center"/>
                    <w:rPr>
                      <w:color w:val="auto"/>
                      <w:szCs w:val="21"/>
                    </w:rPr>
                  </w:pPr>
                  <w:r>
                    <w:rPr>
                      <w:rFonts w:hint="eastAsia"/>
                      <w:color w:val="auto"/>
                      <w:szCs w:val="21"/>
                    </w:rPr>
                    <w:t>废血浆</w:t>
                  </w:r>
                </w:p>
              </w:tc>
            </w:tr>
            <w:tr w14:paraId="39D6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6F174F8B">
                  <w:pPr>
                    <w:tabs>
                      <w:tab w:val="left" w:pos="567"/>
                    </w:tabs>
                    <w:snapToGrid w:val="0"/>
                    <w:spacing w:line="280" w:lineRule="exact"/>
                    <w:jc w:val="center"/>
                    <w:rPr>
                      <w:color w:val="auto"/>
                      <w:szCs w:val="21"/>
                    </w:rPr>
                  </w:pPr>
                </w:p>
              </w:tc>
              <w:tc>
                <w:tcPr>
                  <w:tcW w:w="1098" w:type="dxa"/>
                  <w:vMerge w:val="continue"/>
                  <w:vAlign w:val="center"/>
                </w:tcPr>
                <w:p w14:paraId="6C53703E">
                  <w:pPr>
                    <w:tabs>
                      <w:tab w:val="left" w:pos="567"/>
                    </w:tabs>
                    <w:snapToGrid w:val="0"/>
                    <w:spacing w:line="280" w:lineRule="exact"/>
                    <w:jc w:val="center"/>
                    <w:rPr>
                      <w:color w:val="auto"/>
                      <w:szCs w:val="21"/>
                    </w:rPr>
                  </w:pPr>
                </w:p>
              </w:tc>
              <w:tc>
                <w:tcPr>
                  <w:tcW w:w="1098" w:type="dxa"/>
                  <w:vMerge w:val="restart"/>
                  <w:vAlign w:val="center"/>
                </w:tcPr>
                <w:p w14:paraId="5805F854">
                  <w:pPr>
                    <w:tabs>
                      <w:tab w:val="left" w:pos="567"/>
                    </w:tabs>
                    <w:snapToGrid w:val="0"/>
                    <w:spacing w:line="280" w:lineRule="exact"/>
                    <w:jc w:val="center"/>
                    <w:rPr>
                      <w:color w:val="auto"/>
                      <w:szCs w:val="21"/>
                    </w:rPr>
                  </w:pPr>
                  <w:r>
                    <w:rPr>
                      <w:rFonts w:hint="eastAsia"/>
                      <w:color w:val="auto"/>
                      <w:szCs w:val="21"/>
                    </w:rPr>
                    <w:t>841-002-01</w:t>
                  </w:r>
                </w:p>
              </w:tc>
              <w:tc>
                <w:tcPr>
                  <w:tcW w:w="898" w:type="dxa"/>
                  <w:vMerge w:val="restart"/>
                  <w:vAlign w:val="center"/>
                </w:tcPr>
                <w:p w14:paraId="78148774">
                  <w:pPr>
                    <w:tabs>
                      <w:tab w:val="left" w:pos="567"/>
                    </w:tabs>
                    <w:snapToGrid w:val="0"/>
                    <w:spacing w:line="280" w:lineRule="exact"/>
                    <w:jc w:val="center"/>
                    <w:rPr>
                      <w:color w:val="auto"/>
                      <w:szCs w:val="21"/>
                    </w:rPr>
                  </w:pPr>
                  <w:r>
                    <w:rPr>
                      <w:rFonts w:hint="eastAsia"/>
                      <w:color w:val="auto"/>
                      <w:szCs w:val="21"/>
                    </w:rPr>
                    <w:t>损伤性废物</w:t>
                  </w:r>
                </w:p>
              </w:tc>
              <w:tc>
                <w:tcPr>
                  <w:tcW w:w="958" w:type="dxa"/>
                  <w:gridSpan w:val="2"/>
                  <w:vAlign w:val="center"/>
                </w:tcPr>
                <w:p w14:paraId="469D5E48">
                  <w:pPr>
                    <w:tabs>
                      <w:tab w:val="left" w:pos="567"/>
                    </w:tabs>
                    <w:snapToGrid w:val="0"/>
                    <w:spacing w:line="280" w:lineRule="exact"/>
                    <w:jc w:val="center"/>
                    <w:rPr>
                      <w:color w:val="auto"/>
                      <w:szCs w:val="21"/>
                    </w:rPr>
                  </w:pPr>
                  <w:r>
                    <w:rPr>
                      <w:rFonts w:hint="eastAsia"/>
                      <w:color w:val="auto"/>
                      <w:szCs w:val="21"/>
                    </w:rPr>
                    <w:t>玻璃</w:t>
                  </w:r>
                </w:p>
              </w:tc>
              <w:tc>
                <w:tcPr>
                  <w:tcW w:w="1315" w:type="dxa"/>
                  <w:vMerge w:val="restart"/>
                  <w:vAlign w:val="center"/>
                </w:tcPr>
                <w:p w14:paraId="1E36D4CA">
                  <w:pPr>
                    <w:tabs>
                      <w:tab w:val="left" w:pos="567"/>
                    </w:tabs>
                    <w:snapToGrid w:val="0"/>
                    <w:spacing w:line="280" w:lineRule="exact"/>
                    <w:jc w:val="center"/>
                    <w:rPr>
                      <w:color w:val="auto"/>
                      <w:szCs w:val="21"/>
                    </w:rPr>
                  </w:pPr>
                  <w:r>
                    <w:rPr>
                      <w:rFonts w:hint="eastAsia"/>
                      <w:color w:val="auto"/>
                      <w:szCs w:val="21"/>
                    </w:rPr>
                    <w:t>767.6</w:t>
                  </w:r>
                </w:p>
              </w:tc>
              <w:tc>
                <w:tcPr>
                  <w:tcW w:w="1987" w:type="dxa"/>
                  <w:vAlign w:val="center"/>
                </w:tcPr>
                <w:p w14:paraId="388DFAB0">
                  <w:pPr>
                    <w:tabs>
                      <w:tab w:val="left" w:pos="567"/>
                    </w:tabs>
                    <w:snapToGrid w:val="0"/>
                    <w:spacing w:line="280" w:lineRule="exact"/>
                    <w:jc w:val="center"/>
                    <w:rPr>
                      <w:color w:val="auto"/>
                      <w:szCs w:val="21"/>
                    </w:rPr>
                  </w:pPr>
                  <w:r>
                    <w:rPr>
                      <w:rFonts w:hint="eastAsia"/>
                      <w:color w:val="auto"/>
                      <w:szCs w:val="21"/>
                    </w:rPr>
                    <w:t>输液瓶及玻片等</w:t>
                  </w:r>
                </w:p>
              </w:tc>
            </w:tr>
            <w:tr w14:paraId="0823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072882C8">
                  <w:pPr>
                    <w:tabs>
                      <w:tab w:val="left" w:pos="567"/>
                    </w:tabs>
                    <w:snapToGrid w:val="0"/>
                    <w:spacing w:line="280" w:lineRule="exact"/>
                    <w:jc w:val="center"/>
                    <w:rPr>
                      <w:color w:val="auto"/>
                    </w:rPr>
                  </w:pPr>
                </w:p>
              </w:tc>
              <w:tc>
                <w:tcPr>
                  <w:tcW w:w="1098" w:type="dxa"/>
                  <w:vMerge w:val="continue"/>
                  <w:vAlign w:val="center"/>
                </w:tcPr>
                <w:p w14:paraId="382DF605">
                  <w:pPr>
                    <w:tabs>
                      <w:tab w:val="left" w:pos="567"/>
                    </w:tabs>
                    <w:snapToGrid w:val="0"/>
                    <w:spacing w:line="280" w:lineRule="exact"/>
                    <w:jc w:val="center"/>
                    <w:rPr>
                      <w:color w:val="auto"/>
                    </w:rPr>
                  </w:pPr>
                </w:p>
              </w:tc>
              <w:tc>
                <w:tcPr>
                  <w:tcW w:w="1098" w:type="dxa"/>
                  <w:vMerge w:val="continue"/>
                  <w:vAlign w:val="center"/>
                </w:tcPr>
                <w:p w14:paraId="5643DC9B">
                  <w:pPr>
                    <w:tabs>
                      <w:tab w:val="left" w:pos="567"/>
                    </w:tabs>
                    <w:snapToGrid w:val="0"/>
                    <w:spacing w:line="280" w:lineRule="exact"/>
                    <w:jc w:val="center"/>
                    <w:rPr>
                      <w:color w:val="auto"/>
                    </w:rPr>
                  </w:pPr>
                </w:p>
              </w:tc>
              <w:tc>
                <w:tcPr>
                  <w:tcW w:w="898" w:type="dxa"/>
                  <w:vMerge w:val="continue"/>
                  <w:vAlign w:val="center"/>
                </w:tcPr>
                <w:p w14:paraId="04730865">
                  <w:pPr>
                    <w:tabs>
                      <w:tab w:val="left" w:pos="567"/>
                    </w:tabs>
                    <w:snapToGrid w:val="0"/>
                    <w:spacing w:line="280" w:lineRule="exact"/>
                    <w:jc w:val="center"/>
                    <w:rPr>
                      <w:color w:val="auto"/>
                    </w:rPr>
                  </w:pPr>
                </w:p>
              </w:tc>
              <w:tc>
                <w:tcPr>
                  <w:tcW w:w="958" w:type="dxa"/>
                  <w:gridSpan w:val="2"/>
                  <w:vAlign w:val="center"/>
                </w:tcPr>
                <w:p w14:paraId="4C15B540">
                  <w:pPr>
                    <w:tabs>
                      <w:tab w:val="left" w:pos="567"/>
                    </w:tabs>
                    <w:snapToGrid w:val="0"/>
                    <w:spacing w:line="280" w:lineRule="exact"/>
                    <w:jc w:val="center"/>
                    <w:rPr>
                      <w:color w:val="auto"/>
                      <w:szCs w:val="21"/>
                    </w:rPr>
                  </w:pPr>
                  <w:r>
                    <w:rPr>
                      <w:rFonts w:hint="eastAsia"/>
                      <w:color w:val="auto"/>
                      <w:szCs w:val="21"/>
                    </w:rPr>
                    <w:t>金属类</w:t>
                  </w:r>
                </w:p>
              </w:tc>
              <w:tc>
                <w:tcPr>
                  <w:tcW w:w="1315" w:type="dxa"/>
                  <w:vMerge w:val="continue"/>
                  <w:vAlign w:val="center"/>
                </w:tcPr>
                <w:p w14:paraId="77D738AE">
                  <w:pPr>
                    <w:tabs>
                      <w:tab w:val="left" w:pos="567"/>
                    </w:tabs>
                    <w:snapToGrid w:val="0"/>
                    <w:spacing w:line="280" w:lineRule="exact"/>
                    <w:jc w:val="center"/>
                    <w:rPr>
                      <w:color w:val="auto"/>
                      <w:szCs w:val="21"/>
                    </w:rPr>
                  </w:pPr>
                </w:p>
              </w:tc>
              <w:tc>
                <w:tcPr>
                  <w:tcW w:w="1987" w:type="dxa"/>
                  <w:vAlign w:val="center"/>
                </w:tcPr>
                <w:p w14:paraId="16A662A6">
                  <w:pPr>
                    <w:tabs>
                      <w:tab w:val="left" w:pos="567"/>
                    </w:tabs>
                    <w:snapToGrid w:val="0"/>
                    <w:spacing w:line="280" w:lineRule="exact"/>
                    <w:jc w:val="center"/>
                    <w:rPr>
                      <w:color w:val="auto"/>
                      <w:szCs w:val="21"/>
                    </w:rPr>
                  </w:pPr>
                  <w:r>
                    <w:rPr>
                      <w:rFonts w:hint="eastAsia"/>
                      <w:color w:val="auto"/>
                      <w:szCs w:val="21"/>
                    </w:rPr>
                    <w:t>手术刀、手术剪、手术钳</w:t>
                  </w:r>
                </w:p>
              </w:tc>
            </w:tr>
            <w:tr w14:paraId="7E07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4BB97FA2">
                  <w:pPr>
                    <w:tabs>
                      <w:tab w:val="left" w:pos="567"/>
                    </w:tabs>
                    <w:snapToGrid w:val="0"/>
                    <w:spacing w:line="280" w:lineRule="exact"/>
                    <w:jc w:val="center"/>
                    <w:rPr>
                      <w:color w:val="auto"/>
                      <w:szCs w:val="21"/>
                    </w:rPr>
                  </w:pPr>
                </w:p>
              </w:tc>
              <w:tc>
                <w:tcPr>
                  <w:tcW w:w="1098" w:type="dxa"/>
                  <w:vMerge w:val="continue"/>
                  <w:vAlign w:val="center"/>
                </w:tcPr>
                <w:p w14:paraId="266250BB">
                  <w:pPr>
                    <w:tabs>
                      <w:tab w:val="left" w:pos="567"/>
                    </w:tabs>
                    <w:snapToGrid w:val="0"/>
                    <w:spacing w:line="280" w:lineRule="exact"/>
                    <w:jc w:val="center"/>
                    <w:rPr>
                      <w:color w:val="auto"/>
                      <w:szCs w:val="21"/>
                    </w:rPr>
                  </w:pPr>
                </w:p>
              </w:tc>
              <w:tc>
                <w:tcPr>
                  <w:tcW w:w="1098" w:type="dxa"/>
                  <w:vAlign w:val="center"/>
                </w:tcPr>
                <w:p w14:paraId="24BFD879">
                  <w:pPr>
                    <w:tabs>
                      <w:tab w:val="left" w:pos="567"/>
                    </w:tabs>
                    <w:snapToGrid w:val="0"/>
                    <w:spacing w:line="280" w:lineRule="exact"/>
                    <w:jc w:val="center"/>
                    <w:rPr>
                      <w:color w:val="auto"/>
                      <w:szCs w:val="21"/>
                    </w:rPr>
                  </w:pPr>
                  <w:r>
                    <w:rPr>
                      <w:rFonts w:hint="eastAsia"/>
                      <w:color w:val="auto"/>
                      <w:szCs w:val="21"/>
                    </w:rPr>
                    <w:t>841-005-01</w:t>
                  </w:r>
                </w:p>
              </w:tc>
              <w:tc>
                <w:tcPr>
                  <w:tcW w:w="898" w:type="dxa"/>
                  <w:vAlign w:val="center"/>
                </w:tcPr>
                <w:p w14:paraId="6EE058D2">
                  <w:pPr>
                    <w:tabs>
                      <w:tab w:val="left" w:pos="567"/>
                    </w:tabs>
                    <w:snapToGrid w:val="0"/>
                    <w:spacing w:line="280" w:lineRule="exact"/>
                    <w:jc w:val="center"/>
                    <w:rPr>
                      <w:color w:val="auto"/>
                      <w:szCs w:val="21"/>
                    </w:rPr>
                  </w:pPr>
                  <w:r>
                    <w:rPr>
                      <w:rFonts w:hint="eastAsia"/>
                      <w:color w:val="auto"/>
                      <w:szCs w:val="21"/>
                    </w:rPr>
                    <w:t>药物性废物</w:t>
                  </w:r>
                </w:p>
              </w:tc>
              <w:tc>
                <w:tcPr>
                  <w:tcW w:w="958" w:type="dxa"/>
                  <w:gridSpan w:val="2"/>
                  <w:vAlign w:val="center"/>
                </w:tcPr>
                <w:p w14:paraId="2FBC5957">
                  <w:pPr>
                    <w:tabs>
                      <w:tab w:val="left" w:pos="567"/>
                    </w:tabs>
                    <w:snapToGrid w:val="0"/>
                    <w:spacing w:line="280" w:lineRule="exact"/>
                    <w:jc w:val="center"/>
                    <w:rPr>
                      <w:color w:val="auto"/>
                      <w:szCs w:val="21"/>
                    </w:rPr>
                  </w:pPr>
                  <w:r>
                    <w:rPr>
                      <w:rFonts w:hint="eastAsia"/>
                      <w:color w:val="auto"/>
                      <w:szCs w:val="21"/>
                    </w:rPr>
                    <w:t>药品药物</w:t>
                  </w:r>
                </w:p>
              </w:tc>
              <w:tc>
                <w:tcPr>
                  <w:tcW w:w="1315" w:type="dxa"/>
                  <w:vAlign w:val="center"/>
                </w:tcPr>
                <w:p w14:paraId="67BC2B8E">
                  <w:pPr>
                    <w:tabs>
                      <w:tab w:val="left" w:pos="567"/>
                    </w:tabs>
                    <w:snapToGrid w:val="0"/>
                    <w:spacing w:line="280" w:lineRule="exact"/>
                    <w:jc w:val="center"/>
                    <w:rPr>
                      <w:color w:val="auto"/>
                      <w:szCs w:val="21"/>
                    </w:rPr>
                  </w:pPr>
                  <w:r>
                    <w:rPr>
                      <w:rFonts w:hint="eastAsia"/>
                      <w:color w:val="auto"/>
                      <w:szCs w:val="21"/>
                    </w:rPr>
                    <w:t>1.14</w:t>
                  </w:r>
                </w:p>
              </w:tc>
              <w:tc>
                <w:tcPr>
                  <w:tcW w:w="1987" w:type="dxa"/>
                  <w:vAlign w:val="center"/>
                </w:tcPr>
                <w:p w14:paraId="38DFD555">
                  <w:pPr>
                    <w:tabs>
                      <w:tab w:val="left" w:pos="567"/>
                    </w:tabs>
                    <w:snapToGrid w:val="0"/>
                    <w:spacing w:line="280" w:lineRule="exact"/>
                    <w:jc w:val="center"/>
                    <w:rPr>
                      <w:color w:val="auto"/>
                      <w:szCs w:val="21"/>
                    </w:rPr>
                  </w:pPr>
                  <w:r>
                    <w:rPr>
                      <w:rFonts w:hint="eastAsia"/>
                      <w:color w:val="auto"/>
                      <w:szCs w:val="21"/>
                    </w:rPr>
                    <w:t>来自药房</w:t>
                  </w:r>
                </w:p>
              </w:tc>
            </w:tr>
            <w:tr w14:paraId="2342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0FA382F4">
                  <w:pPr>
                    <w:tabs>
                      <w:tab w:val="left" w:pos="567"/>
                    </w:tabs>
                    <w:snapToGrid w:val="0"/>
                    <w:spacing w:line="280" w:lineRule="exact"/>
                    <w:jc w:val="center"/>
                    <w:rPr>
                      <w:color w:val="auto"/>
                      <w:szCs w:val="21"/>
                    </w:rPr>
                  </w:pPr>
                </w:p>
              </w:tc>
              <w:tc>
                <w:tcPr>
                  <w:tcW w:w="1098" w:type="dxa"/>
                  <w:vMerge w:val="continue"/>
                  <w:vAlign w:val="center"/>
                </w:tcPr>
                <w:p w14:paraId="0EE38E4E">
                  <w:pPr>
                    <w:tabs>
                      <w:tab w:val="left" w:pos="567"/>
                    </w:tabs>
                    <w:snapToGrid w:val="0"/>
                    <w:spacing w:line="280" w:lineRule="exact"/>
                    <w:jc w:val="center"/>
                    <w:rPr>
                      <w:color w:val="auto"/>
                      <w:szCs w:val="21"/>
                    </w:rPr>
                  </w:pPr>
                </w:p>
              </w:tc>
              <w:tc>
                <w:tcPr>
                  <w:tcW w:w="2954" w:type="dxa"/>
                  <w:gridSpan w:val="4"/>
                  <w:vAlign w:val="center"/>
                </w:tcPr>
                <w:p w14:paraId="4AD6FAA3">
                  <w:pPr>
                    <w:tabs>
                      <w:tab w:val="left" w:pos="567"/>
                    </w:tabs>
                    <w:snapToGrid w:val="0"/>
                    <w:spacing w:line="280" w:lineRule="exact"/>
                    <w:jc w:val="center"/>
                    <w:rPr>
                      <w:color w:val="auto"/>
                      <w:szCs w:val="21"/>
                    </w:rPr>
                  </w:pPr>
                  <w:r>
                    <w:rPr>
                      <w:rFonts w:hint="eastAsia"/>
                      <w:color w:val="auto"/>
                      <w:szCs w:val="21"/>
                    </w:rPr>
                    <w:t>合计</w:t>
                  </w:r>
                </w:p>
              </w:tc>
              <w:tc>
                <w:tcPr>
                  <w:tcW w:w="1315" w:type="dxa"/>
                  <w:vAlign w:val="center"/>
                </w:tcPr>
                <w:p w14:paraId="345A10D0">
                  <w:pPr>
                    <w:tabs>
                      <w:tab w:val="left" w:pos="567"/>
                    </w:tabs>
                    <w:snapToGrid w:val="0"/>
                    <w:spacing w:line="280" w:lineRule="exact"/>
                    <w:jc w:val="center"/>
                    <w:rPr>
                      <w:color w:val="auto"/>
                      <w:szCs w:val="21"/>
                    </w:rPr>
                  </w:pPr>
                  <w:r>
                    <w:rPr>
                      <w:rFonts w:hint="eastAsia"/>
                      <w:color w:val="auto"/>
                      <w:szCs w:val="21"/>
                    </w:rPr>
                    <w:t>1333.44kg/a</w:t>
                  </w:r>
                </w:p>
                <w:p w14:paraId="7E43CDFB">
                  <w:pPr>
                    <w:tabs>
                      <w:tab w:val="left" w:pos="567"/>
                    </w:tabs>
                    <w:snapToGrid w:val="0"/>
                    <w:spacing w:line="280" w:lineRule="exact"/>
                    <w:jc w:val="center"/>
                    <w:rPr>
                      <w:color w:val="auto"/>
                      <w:szCs w:val="21"/>
                    </w:rPr>
                  </w:pPr>
                  <w:r>
                    <w:rPr>
                      <w:rFonts w:hint="eastAsia"/>
                      <w:color w:val="auto"/>
                      <w:szCs w:val="21"/>
                    </w:rPr>
                    <w:t>(1.33344t/a)</w:t>
                  </w:r>
                </w:p>
              </w:tc>
              <w:tc>
                <w:tcPr>
                  <w:tcW w:w="1987" w:type="dxa"/>
                  <w:vAlign w:val="center"/>
                </w:tcPr>
                <w:p w14:paraId="0A420EE6">
                  <w:pPr>
                    <w:tabs>
                      <w:tab w:val="left" w:pos="567"/>
                    </w:tabs>
                    <w:snapToGrid w:val="0"/>
                    <w:spacing w:line="280" w:lineRule="exact"/>
                    <w:jc w:val="center"/>
                    <w:rPr>
                      <w:color w:val="auto"/>
                      <w:szCs w:val="21"/>
                    </w:rPr>
                  </w:pPr>
                  <w:r>
                    <w:rPr>
                      <w:rFonts w:hint="eastAsia"/>
                      <w:color w:val="auto"/>
                      <w:szCs w:val="21"/>
                    </w:rPr>
                    <w:t>—</w:t>
                  </w:r>
                </w:p>
              </w:tc>
            </w:tr>
            <w:bookmarkEnd w:id="53"/>
          </w:tbl>
          <w:p w14:paraId="3D9DBA69">
            <w:pPr>
              <w:spacing w:line="360" w:lineRule="auto"/>
              <w:ind w:firstLine="480" w:firstLineChars="200"/>
              <w:rPr>
                <w:b/>
                <w:color w:val="auto"/>
                <w:sz w:val="24"/>
              </w:rPr>
            </w:pPr>
            <w:r>
              <w:rPr>
                <w:rFonts w:hint="eastAsia"/>
                <w:color w:val="auto"/>
                <w:sz w:val="24"/>
              </w:rPr>
              <w:t>以上医疗废物按《医疗废物管理条例》和危险废物贮存、转移等相关污染控制标准和技术规范进行处置，现有项目医疗废物全部交由玉溪兴洁垃圾处理有限公司处理。</w:t>
            </w:r>
          </w:p>
          <w:p w14:paraId="67051925">
            <w:pPr>
              <w:spacing w:line="360" w:lineRule="auto"/>
              <w:ind w:firstLine="482" w:firstLineChars="200"/>
              <w:rPr>
                <w:b/>
                <w:color w:val="auto"/>
                <w:sz w:val="24"/>
              </w:rPr>
            </w:pPr>
            <w:r>
              <w:rPr>
                <w:rFonts w:hint="eastAsia"/>
                <w:b/>
                <w:color w:val="auto"/>
                <w:sz w:val="24"/>
              </w:rPr>
              <w:t>2</w:t>
            </w:r>
            <w:r>
              <w:rPr>
                <w:rFonts w:hAnsi="宋体"/>
                <w:b/>
                <w:color w:val="auto"/>
                <w:sz w:val="24"/>
              </w:rPr>
              <w:t>）化粪池和污水处理设施污泥</w:t>
            </w:r>
          </w:p>
          <w:p w14:paraId="49A299D3">
            <w:pPr>
              <w:spacing w:line="360" w:lineRule="auto"/>
              <w:ind w:firstLine="480" w:firstLineChars="200"/>
              <w:rPr>
                <w:rFonts w:hint="eastAsia" w:hAnsi="宋体"/>
                <w:color w:val="auto"/>
                <w:sz w:val="24"/>
              </w:rPr>
            </w:pPr>
            <w:r>
              <w:rPr>
                <w:rFonts w:hint="eastAsia"/>
                <w:color w:val="auto"/>
                <w:sz w:val="24"/>
              </w:rPr>
              <w:t>现有项目</w:t>
            </w:r>
            <w:r>
              <w:rPr>
                <w:rFonts w:hint="eastAsia" w:hAnsi="宋体"/>
                <w:color w:val="auto"/>
                <w:sz w:val="24"/>
              </w:rPr>
              <w:t>污水处理站在运行过程中会产生污泥，废水中含有病原微生物和寄生虫卵等，其中相当部分转移到了污泥中，使污泥也具有了传染性，按《国家危险废物名录（2025年版）》将其列为危险废物，危险废物类别为HW49其他废物，废物代码为772-006-49（采用物理、化学、物理化学或生物方法处理或处置毒性或感染性危险废物过程中产生的废水处理污泥、残渣（液））</w:t>
            </w:r>
            <w:r>
              <w:rPr>
                <w:rFonts w:hint="eastAsia"/>
                <w:color w:val="auto"/>
                <w:sz w:val="24"/>
              </w:rPr>
              <w:t>。</w:t>
            </w:r>
          </w:p>
          <w:p w14:paraId="7DF41761">
            <w:pPr>
              <w:spacing w:line="360" w:lineRule="auto"/>
              <w:ind w:firstLine="480" w:firstLineChars="200"/>
              <w:rPr>
                <w:color w:val="auto"/>
                <w:sz w:val="24"/>
              </w:rPr>
            </w:pPr>
            <w:r>
              <w:rPr>
                <w:rFonts w:hint="eastAsia"/>
                <w:color w:val="auto"/>
                <w:sz w:val="24"/>
              </w:rPr>
              <w:t>根据卫生院台账统计，</w:t>
            </w:r>
            <w:r>
              <w:rPr>
                <w:rFonts w:hint="eastAsia" w:hAnsi="宋体"/>
                <w:color w:val="auto"/>
                <w:sz w:val="24"/>
              </w:rPr>
              <w:t>杨广卫生院现有项目</w:t>
            </w:r>
            <w:r>
              <w:rPr>
                <w:rFonts w:hint="eastAsia"/>
                <w:color w:val="auto"/>
                <w:sz w:val="24"/>
              </w:rPr>
              <w:t>污水处理站和化粪池污泥产生量</w:t>
            </w:r>
            <w:r>
              <w:rPr>
                <w:rFonts w:hint="eastAsia" w:hAnsi="宋体"/>
                <w:color w:val="auto"/>
                <w:sz w:val="24"/>
              </w:rPr>
              <w:t>为</w:t>
            </w:r>
            <w:r>
              <w:rPr>
                <w:rFonts w:hint="eastAsia"/>
                <w:color w:val="auto"/>
                <w:sz w:val="24"/>
              </w:rPr>
              <w:t>污泥量为803.6</w:t>
            </w:r>
            <w:r>
              <w:rPr>
                <w:rFonts w:hint="eastAsia" w:hAnsi="宋体"/>
                <w:color w:val="auto"/>
                <w:sz w:val="24"/>
              </w:rPr>
              <w:t>kg/d，</w:t>
            </w:r>
            <w:r>
              <w:rPr>
                <w:rFonts w:hint="eastAsia"/>
                <w:color w:val="auto"/>
                <w:sz w:val="24"/>
              </w:rPr>
              <w:t>293.4</w:t>
            </w:r>
            <w:r>
              <w:rPr>
                <w:rFonts w:hint="eastAsia" w:hAnsi="宋体"/>
                <w:color w:val="auto"/>
                <w:sz w:val="24"/>
              </w:rPr>
              <w:t>t/a</w:t>
            </w:r>
            <w:r>
              <w:rPr>
                <w:rFonts w:hint="eastAsia"/>
                <w:color w:val="auto"/>
                <w:sz w:val="24"/>
              </w:rPr>
              <w:t>。</w:t>
            </w:r>
            <w:r>
              <w:rPr>
                <w:rFonts w:hint="eastAsia" w:hAnsi="宋体"/>
                <w:color w:val="auto"/>
                <w:sz w:val="24"/>
              </w:rPr>
              <w:t>纳古卫生院现有项目污水处理设施</w:t>
            </w:r>
            <w:r>
              <w:rPr>
                <w:rFonts w:hint="eastAsia"/>
                <w:color w:val="auto"/>
                <w:sz w:val="24"/>
              </w:rPr>
              <w:t>污泥产生量为441.4</w:t>
            </w:r>
            <w:r>
              <w:rPr>
                <w:rFonts w:hint="eastAsia" w:hAnsi="宋体"/>
                <w:color w:val="auto"/>
                <w:sz w:val="24"/>
              </w:rPr>
              <w:t>kg/d，</w:t>
            </w:r>
            <w:r>
              <w:rPr>
                <w:rFonts w:hint="eastAsia"/>
                <w:color w:val="auto"/>
                <w:sz w:val="24"/>
              </w:rPr>
              <w:t>161.11</w:t>
            </w:r>
            <w:r>
              <w:rPr>
                <w:rFonts w:hint="eastAsia" w:hAnsi="宋体"/>
                <w:color w:val="auto"/>
                <w:sz w:val="24"/>
              </w:rPr>
              <w:t>t/a</w:t>
            </w:r>
            <w:r>
              <w:rPr>
                <w:rFonts w:hint="eastAsia"/>
                <w:color w:val="auto"/>
                <w:sz w:val="24"/>
              </w:rPr>
              <w:t>。</w:t>
            </w:r>
            <w:r>
              <w:rPr>
                <w:rFonts w:hint="eastAsia" w:hAnsi="宋体"/>
                <w:color w:val="auto"/>
                <w:sz w:val="24"/>
              </w:rPr>
              <w:t>四街卫生院现有项目污水处理设施</w:t>
            </w:r>
            <w:r>
              <w:rPr>
                <w:rFonts w:hint="eastAsia"/>
                <w:color w:val="auto"/>
                <w:sz w:val="24"/>
              </w:rPr>
              <w:t>污泥产生量为710</w:t>
            </w:r>
            <w:r>
              <w:rPr>
                <w:rFonts w:hint="eastAsia" w:hAnsi="宋体"/>
                <w:color w:val="auto"/>
                <w:sz w:val="24"/>
              </w:rPr>
              <w:t>kg/d，</w:t>
            </w:r>
            <w:r>
              <w:rPr>
                <w:rFonts w:hint="eastAsia"/>
                <w:color w:val="auto"/>
                <w:sz w:val="24"/>
              </w:rPr>
              <w:t>259.15</w:t>
            </w:r>
            <w:r>
              <w:rPr>
                <w:rFonts w:hint="eastAsia" w:hAnsi="宋体"/>
                <w:color w:val="auto"/>
                <w:sz w:val="24"/>
              </w:rPr>
              <w:t>t/a</w:t>
            </w:r>
            <w:r>
              <w:rPr>
                <w:rFonts w:hint="eastAsia"/>
                <w:color w:val="auto"/>
                <w:sz w:val="24"/>
              </w:rPr>
              <w:t>。</w:t>
            </w:r>
            <w:r>
              <w:rPr>
                <w:rFonts w:hint="eastAsia" w:hAnsi="宋体"/>
                <w:color w:val="auto"/>
                <w:sz w:val="24"/>
              </w:rPr>
              <w:t>九龙卫生院现有项目污水处理设施</w:t>
            </w:r>
            <w:r>
              <w:rPr>
                <w:rFonts w:hint="eastAsia"/>
                <w:color w:val="auto"/>
                <w:sz w:val="24"/>
              </w:rPr>
              <w:t>污泥产生量为791.6</w:t>
            </w:r>
            <w:r>
              <w:rPr>
                <w:rFonts w:hint="eastAsia" w:hAnsi="宋体"/>
                <w:color w:val="auto"/>
                <w:sz w:val="24"/>
              </w:rPr>
              <w:t>kg/d，</w:t>
            </w:r>
            <w:r>
              <w:rPr>
                <w:rFonts w:hint="eastAsia"/>
                <w:color w:val="auto"/>
                <w:sz w:val="24"/>
              </w:rPr>
              <w:t>289</w:t>
            </w:r>
            <w:r>
              <w:rPr>
                <w:rFonts w:hint="eastAsia" w:hAnsi="宋体"/>
                <w:color w:val="auto"/>
                <w:sz w:val="24"/>
              </w:rPr>
              <w:t>t/a</w:t>
            </w:r>
            <w:r>
              <w:rPr>
                <w:rFonts w:hint="eastAsia"/>
                <w:color w:val="auto"/>
                <w:sz w:val="24"/>
              </w:rPr>
              <w:t>。</w:t>
            </w:r>
          </w:p>
          <w:p w14:paraId="1831DB61">
            <w:pPr>
              <w:spacing w:line="360" w:lineRule="auto"/>
              <w:ind w:firstLine="480" w:firstLineChars="200"/>
              <w:rPr>
                <w:rFonts w:hint="eastAsia" w:hAnsi="宋体"/>
                <w:color w:val="auto"/>
                <w:sz w:val="24"/>
              </w:rPr>
            </w:pPr>
            <w:r>
              <w:rPr>
                <w:rFonts w:hint="eastAsia"/>
                <w:color w:val="auto"/>
                <w:sz w:val="24"/>
              </w:rPr>
              <w:t>根据现场踏勘，污泥由环卫部门定期清掏脱水后由环卫部门交由有资质单位处置。依据</w:t>
            </w:r>
            <w:r>
              <w:rPr>
                <w:rFonts w:hint="eastAsia" w:hAnsi="宋体"/>
                <w:color w:val="auto"/>
                <w:sz w:val="24"/>
              </w:rPr>
              <w:t>《国家危险废物名录（2025年版）》</w:t>
            </w:r>
            <w:r>
              <w:rPr>
                <w:rFonts w:hint="eastAsia"/>
                <w:color w:val="auto"/>
                <w:sz w:val="24"/>
              </w:rPr>
              <w:t>，</w:t>
            </w:r>
            <w:r>
              <w:rPr>
                <w:rFonts w:hint="eastAsia" w:hAnsi="宋体"/>
                <w:color w:val="auto"/>
                <w:sz w:val="24"/>
              </w:rPr>
              <w:t>将</w:t>
            </w:r>
            <w:r>
              <w:rPr>
                <w:rFonts w:hint="eastAsia"/>
                <w:color w:val="auto"/>
                <w:sz w:val="24"/>
              </w:rPr>
              <w:t>原项目废水处理站污泥</w:t>
            </w:r>
            <w:r>
              <w:rPr>
                <w:rFonts w:hint="eastAsia" w:hAnsi="宋体"/>
                <w:color w:val="auto"/>
                <w:sz w:val="24"/>
              </w:rPr>
              <w:t>列为危险废物</w:t>
            </w:r>
            <w:r>
              <w:rPr>
                <w:rFonts w:hint="eastAsia"/>
                <w:color w:val="auto"/>
                <w:sz w:val="24"/>
              </w:rPr>
              <w:t>，须严格</w:t>
            </w:r>
            <w:r>
              <w:rPr>
                <w:rFonts w:hint="eastAsia" w:ascii="宋体" w:hAnsi="宋体" w:cs="宋体"/>
                <w:color w:val="auto"/>
                <w:sz w:val="24"/>
              </w:rPr>
              <w:t>按照《卫生院污水处理工程技术规范》(HJ2029-2013)及《医疗机构废水污染物排放标准》（GB18466-2005）中相关要求</w:t>
            </w:r>
            <w:r>
              <w:rPr>
                <w:rFonts w:hint="eastAsia" w:cs="宋体"/>
                <w:color w:val="auto"/>
                <w:sz w:val="24"/>
              </w:rPr>
              <w:t>，委托有资质的单位清运处置</w:t>
            </w:r>
            <w:r>
              <w:rPr>
                <w:rFonts w:hint="eastAsia" w:hAnsi="宋体"/>
                <w:color w:val="auto"/>
                <w:sz w:val="24"/>
              </w:rPr>
              <w:t>。</w:t>
            </w:r>
          </w:p>
          <w:p w14:paraId="4BB9C485">
            <w:pPr>
              <w:spacing w:line="360" w:lineRule="auto"/>
              <w:ind w:firstLine="482" w:firstLineChars="200"/>
              <w:rPr>
                <w:b/>
                <w:color w:val="auto"/>
                <w:sz w:val="24"/>
              </w:rPr>
            </w:pPr>
            <w:r>
              <w:rPr>
                <w:rFonts w:hint="eastAsia"/>
                <w:b/>
                <w:color w:val="auto"/>
                <w:sz w:val="24"/>
              </w:rPr>
              <w:t>3</w:t>
            </w:r>
            <w:r>
              <w:rPr>
                <w:rFonts w:hAnsi="宋体"/>
                <w:b/>
                <w:color w:val="auto"/>
                <w:sz w:val="24"/>
              </w:rPr>
              <w:t>）</w:t>
            </w:r>
            <w:r>
              <w:rPr>
                <w:b/>
                <w:color w:val="auto"/>
                <w:sz w:val="24"/>
              </w:rPr>
              <w:t>生活垃圾</w:t>
            </w:r>
          </w:p>
          <w:p w14:paraId="30B50992">
            <w:pPr>
              <w:spacing w:line="360" w:lineRule="auto"/>
              <w:ind w:firstLine="480" w:firstLineChars="200"/>
              <w:rPr>
                <w:color w:val="auto"/>
                <w:sz w:val="24"/>
              </w:rPr>
            </w:pPr>
            <w:r>
              <w:rPr>
                <w:color w:val="auto"/>
                <w:sz w:val="24"/>
              </w:rPr>
              <w:t>生活垃圾主要由住院病人及陪护人员、门诊病人、</w:t>
            </w:r>
            <w:r>
              <w:rPr>
                <w:rFonts w:hint="eastAsia"/>
                <w:color w:val="auto"/>
                <w:sz w:val="24"/>
              </w:rPr>
              <w:t>卫生院</w:t>
            </w:r>
            <w:r>
              <w:rPr>
                <w:color w:val="auto"/>
                <w:sz w:val="24"/>
              </w:rPr>
              <w:t>职工产生</w:t>
            </w:r>
            <w:r>
              <w:rPr>
                <w:rFonts w:hint="eastAsia"/>
                <w:color w:val="auto"/>
                <w:sz w:val="24"/>
              </w:rPr>
              <w:t>。</w:t>
            </w:r>
          </w:p>
          <w:p w14:paraId="2C3CE50E">
            <w:pPr>
              <w:widowControl/>
              <w:spacing w:line="360" w:lineRule="auto"/>
              <w:ind w:firstLine="482" w:firstLineChars="200"/>
              <w:jc w:val="left"/>
              <w:rPr>
                <w:b/>
                <w:color w:val="auto"/>
                <w:sz w:val="24"/>
              </w:rPr>
            </w:pPr>
            <w:r>
              <w:rPr>
                <w:rFonts w:hint="eastAsia"/>
                <w:b/>
                <w:color w:val="auto"/>
                <w:sz w:val="24"/>
              </w:rPr>
              <w:t>①</w:t>
            </w:r>
            <w:r>
              <w:rPr>
                <w:b/>
                <w:color w:val="auto"/>
                <w:sz w:val="24"/>
              </w:rPr>
              <w:t>住院病人及陪护人员</w:t>
            </w:r>
            <w:r>
              <w:rPr>
                <w:rFonts w:hint="eastAsia"/>
                <w:b/>
                <w:color w:val="auto"/>
                <w:sz w:val="24"/>
              </w:rPr>
              <w:t>生活垃圾</w:t>
            </w:r>
          </w:p>
          <w:p w14:paraId="372C1AB6">
            <w:pPr>
              <w:widowControl/>
              <w:spacing w:line="360" w:lineRule="auto"/>
              <w:ind w:firstLine="480" w:firstLineChars="200"/>
              <w:jc w:val="left"/>
              <w:rPr>
                <w:color w:val="auto"/>
                <w:sz w:val="24"/>
              </w:rPr>
            </w:pPr>
            <w:r>
              <w:rPr>
                <w:rFonts w:hint="eastAsia"/>
                <w:color w:val="auto"/>
                <w:sz w:val="24"/>
              </w:rPr>
              <w:t>本</w:t>
            </w:r>
            <w:r>
              <w:rPr>
                <w:color w:val="auto"/>
                <w:sz w:val="24"/>
              </w:rPr>
              <w:t>项目涉及4个乡镇卫生院</w:t>
            </w:r>
            <w:r>
              <w:rPr>
                <w:rFonts w:hint="eastAsia"/>
                <w:color w:val="auto"/>
                <w:sz w:val="24"/>
              </w:rPr>
              <w:t>，现有项目纳古卫生院</w:t>
            </w:r>
            <w:r>
              <w:rPr>
                <w:color w:val="auto"/>
                <w:sz w:val="24"/>
              </w:rPr>
              <w:t>床位数为</w:t>
            </w:r>
            <w:r>
              <w:rPr>
                <w:rFonts w:hint="eastAsia"/>
                <w:color w:val="auto"/>
                <w:sz w:val="24"/>
              </w:rPr>
              <w:t>24</w:t>
            </w:r>
            <w:r>
              <w:rPr>
                <w:color w:val="auto"/>
                <w:sz w:val="24"/>
              </w:rPr>
              <w:t>床，按负荷量为100%计，陪护人员按每床1人计，住院病人按每病床每日生活垃圾按0.5kg计，陪护人员每日生活垃圾按0.2kg计算，则住院病人生活垃圾产生量为</w:t>
            </w:r>
            <w:r>
              <w:rPr>
                <w:rFonts w:hint="eastAsia"/>
                <w:color w:val="auto"/>
                <w:sz w:val="24"/>
              </w:rPr>
              <w:t>12</w:t>
            </w:r>
            <w:r>
              <w:rPr>
                <w:color w:val="auto"/>
                <w:sz w:val="24"/>
              </w:rPr>
              <w:t>kg/d，陪护人员生活垃圾产生量为</w:t>
            </w:r>
            <w:r>
              <w:rPr>
                <w:rFonts w:hint="eastAsia"/>
                <w:color w:val="auto"/>
                <w:sz w:val="24"/>
              </w:rPr>
              <w:t>4.8</w:t>
            </w:r>
            <w:r>
              <w:rPr>
                <w:color w:val="auto"/>
                <w:sz w:val="24"/>
              </w:rPr>
              <w:t>kg/d，即</w:t>
            </w:r>
            <w:r>
              <w:rPr>
                <w:rFonts w:hint="eastAsia"/>
                <w:color w:val="auto"/>
                <w:sz w:val="24"/>
              </w:rPr>
              <w:t>纳古卫生院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16.8</w:t>
            </w:r>
            <w:r>
              <w:rPr>
                <w:color w:val="auto"/>
                <w:sz w:val="24"/>
              </w:rPr>
              <w:t>kg/d。</w:t>
            </w:r>
            <w:r>
              <w:rPr>
                <w:rFonts w:hint="eastAsia"/>
                <w:color w:val="auto"/>
                <w:sz w:val="24"/>
              </w:rPr>
              <w:t>现有项目四街卫生院</w:t>
            </w:r>
            <w:r>
              <w:rPr>
                <w:color w:val="auto"/>
                <w:sz w:val="24"/>
              </w:rPr>
              <w:t>床位数为</w:t>
            </w:r>
            <w:r>
              <w:rPr>
                <w:rFonts w:hint="eastAsia"/>
                <w:color w:val="auto"/>
                <w:sz w:val="24"/>
              </w:rPr>
              <w:t>15</w:t>
            </w:r>
            <w:r>
              <w:rPr>
                <w:color w:val="auto"/>
                <w:sz w:val="24"/>
              </w:rPr>
              <w:t>床，按负荷量为100%计，陪护人员按每床1人计，住院病人按每病床每日生活垃圾按0.5kg计，陪护人员每日生活垃圾按0.2kg计算，则住院病人生活垃圾产生量为</w:t>
            </w:r>
            <w:r>
              <w:rPr>
                <w:rFonts w:hint="eastAsia"/>
                <w:color w:val="auto"/>
                <w:sz w:val="24"/>
              </w:rPr>
              <w:t>7.5</w:t>
            </w:r>
            <w:r>
              <w:rPr>
                <w:color w:val="auto"/>
                <w:sz w:val="24"/>
              </w:rPr>
              <w:t>kg/d，陪护人员生活垃圾产生量为</w:t>
            </w:r>
            <w:r>
              <w:rPr>
                <w:rFonts w:hint="eastAsia"/>
                <w:color w:val="auto"/>
                <w:sz w:val="24"/>
              </w:rPr>
              <w:t>3</w:t>
            </w:r>
            <w:r>
              <w:rPr>
                <w:color w:val="auto"/>
                <w:sz w:val="24"/>
              </w:rPr>
              <w:t>kg/d，即</w:t>
            </w:r>
            <w:r>
              <w:rPr>
                <w:rFonts w:hint="eastAsia"/>
                <w:color w:val="auto"/>
                <w:sz w:val="24"/>
              </w:rPr>
              <w:t>四街卫生院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10.5</w:t>
            </w:r>
            <w:r>
              <w:rPr>
                <w:color w:val="auto"/>
                <w:sz w:val="24"/>
              </w:rPr>
              <w:t>kg/d。</w:t>
            </w:r>
            <w:r>
              <w:rPr>
                <w:rFonts w:hint="eastAsia"/>
                <w:color w:val="auto"/>
                <w:sz w:val="24"/>
              </w:rPr>
              <w:t>现有项目九龙卫生院</w:t>
            </w:r>
            <w:r>
              <w:rPr>
                <w:color w:val="auto"/>
                <w:sz w:val="24"/>
              </w:rPr>
              <w:t>床位数为</w:t>
            </w:r>
            <w:r>
              <w:rPr>
                <w:rFonts w:hint="eastAsia"/>
                <w:color w:val="auto"/>
                <w:sz w:val="24"/>
              </w:rPr>
              <w:t>20</w:t>
            </w:r>
            <w:r>
              <w:rPr>
                <w:color w:val="auto"/>
                <w:sz w:val="24"/>
              </w:rPr>
              <w:t>床，按负荷量为100%计，陪护人员按每床1人计，住院病人按每病床每日生活垃圾按0.5kg计，陪护人员每日生活垃圾按0.2kg计算，则住院病人生活垃圾产生量为</w:t>
            </w:r>
            <w:r>
              <w:rPr>
                <w:rFonts w:hint="eastAsia"/>
                <w:color w:val="auto"/>
                <w:sz w:val="24"/>
              </w:rPr>
              <w:t>10</w:t>
            </w:r>
            <w:r>
              <w:rPr>
                <w:color w:val="auto"/>
                <w:sz w:val="24"/>
              </w:rPr>
              <w:t>kg/d，陪护人员生活垃圾产生量为</w:t>
            </w:r>
            <w:r>
              <w:rPr>
                <w:rFonts w:hint="eastAsia"/>
                <w:color w:val="auto"/>
                <w:sz w:val="24"/>
              </w:rPr>
              <w:t>4</w:t>
            </w:r>
            <w:r>
              <w:rPr>
                <w:color w:val="auto"/>
                <w:sz w:val="24"/>
              </w:rPr>
              <w:t>kg/d，即</w:t>
            </w:r>
            <w:r>
              <w:rPr>
                <w:rFonts w:hint="eastAsia"/>
                <w:color w:val="auto"/>
                <w:sz w:val="24"/>
              </w:rPr>
              <w:t>九龙卫生院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14</w:t>
            </w:r>
            <w:r>
              <w:rPr>
                <w:color w:val="auto"/>
                <w:sz w:val="24"/>
              </w:rPr>
              <w:t>kg/d。</w:t>
            </w:r>
            <w:r>
              <w:rPr>
                <w:rFonts w:hint="eastAsia"/>
                <w:color w:val="auto"/>
                <w:sz w:val="24"/>
              </w:rPr>
              <w:t>现有项目杨广卫生院</w:t>
            </w:r>
            <w:r>
              <w:rPr>
                <w:color w:val="auto"/>
                <w:sz w:val="24"/>
              </w:rPr>
              <w:t>床位数为</w:t>
            </w:r>
            <w:r>
              <w:rPr>
                <w:rFonts w:hint="eastAsia"/>
                <w:color w:val="auto"/>
                <w:sz w:val="24"/>
              </w:rPr>
              <w:t>32</w:t>
            </w:r>
            <w:r>
              <w:rPr>
                <w:color w:val="auto"/>
                <w:sz w:val="24"/>
              </w:rPr>
              <w:t>床，按负荷量为100%计，陪护人员按每床1人计，住院病人按每病床每日生活垃圾按0.5kg计，陪护人员每日生活垃圾按0.2kg计算，则住院病人生活垃圾产生量为</w:t>
            </w:r>
            <w:r>
              <w:rPr>
                <w:rFonts w:hint="eastAsia"/>
                <w:color w:val="auto"/>
                <w:sz w:val="24"/>
              </w:rPr>
              <w:t>16</w:t>
            </w:r>
            <w:r>
              <w:rPr>
                <w:color w:val="auto"/>
                <w:sz w:val="24"/>
              </w:rPr>
              <w:t>kg/d，陪护人员生活垃圾产生量为</w:t>
            </w:r>
            <w:r>
              <w:rPr>
                <w:rFonts w:hint="eastAsia"/>
                <w:color w:val="auto"/>
                <w:sz w:val="24"/>
              </w:rPr>
              <w:t>6.4</w:t>
            </w:r>
            <w:r>
              <w:rPr>
                <w:color w:val="auto"/>
                <w:sz w:val="24"/>
              </w:rPr>
              <w:t>kg/d，即</w:t>
            </w:r>
            <w:r>
              <w:rPr>
                <w:rFonts w:hint="eastAsia"/>
                <w:color w:val="auto"/>
                <w:sz w:val="24"/>
              </w:rPr>
              <w:t>杨广卫生院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22.4</w:t>
            </w:r>
            <w:r>
              <w:rPr>
                <w:color w:val="auto"/>
                <w:sz w:val="24"/>
              </w:rPr>
              <w:t>kg/d。</w:t>
            </w:r>
          </w:p>
          <w:p w14:paraId="32097CAE">
            <w:pPr>
              <w:widowControl/>
              <w:spacing w:line="360" w:lineRule="auto"/>
              <w:ind w:firstLine="482" w:firstLineChars="200"/>
              <w:jc w:val="left"/>
              <w:rPr>
                <w:b/>
                <w:color w:val="auto"/>
                <w:sz w:val="24"/>
              </w:rPr>
            </w:pPr>
            <w:r>
              <w:rPr>
                <w:rFonts w:hint="eastAsia"/>
                <w:b/>
                <w:color w:val="auto"/>
                <w:sz w:val="24"/>
              </w:rPr>
              <w:t>②门诊</w:t>
            </w:r>
            <w:r>
              <w:rPr>
                <w:b/>
                <w:color w:val="auto"/>
                <w:sz w:val="24"/>
              </w:rPr>
              <w:t>病人</w:t>
            </w:r>
            <w:r>
              <w:rPr>
                <w:rFonts w:hint="eastAsia"/>
                <w:b/>
                <w:color w:val="auto"/>
                <w:sz w:val="24"/>
              </w:rPr>
              <w:t>生活垃圾</w:t>
            </w:r>
          </w:p>
          <w:p w14:paraId="3100DA68">
            <w:pPr>
              <w:widowControl/>
              <w:spacing w:line="360" w:lineRule="auto"/>
              <w:ind w:firstLine="480" w:firstLineChars="200"/>
              <w:jc w:val="left"/>
              <w:rPr>
                <w:color w:val="auto"/>
                <w:sz w:val="24"/>
              </w:rPr>
            </w:pPr>
            <w:r>
              <w:rPr>
                <w:rFonts w:hint="eastAsia"/>
                <w:color w:val="auto"/>
                <w:sz w:val="24"/>
              </w:rPr>
              <w:t>本</w:t>
            </w:r>
            <w:r>
              <w:rPr>
                <w:color w:val="auto"/>
                <w:sz w:val="24"/>
              </w:rPr>
              <w:t>项目涉及4个乡镇卫生院</w:t>
            </w:r>
            <w:r>
              <w:rPr>
                <w:rFonts w:hint="eastAsia"/>
                <w:color w:val="auto"/>
                <w:sz w:val="24"/>
              </w:rPr>
              <w:t>，现有项目纳古卫生院</w:t>
            </w:r>
            <w:r>
              <w:rPr>
                <w:color w:val="auto"/>
                <w:sz w:val="24"/>
              </w:rPr>
              <w:t>门诊</w:t>
            </w:r>
            <w:r>
              <w:rPr>
                <w:rFonts w:hint="eastAsia"/>
                <w:color w:val="auto"/>
                <w:sz w:val="24"/>
              </w:rPr>
              <w:t>人数</w:t>
            </w:r>
            <w:r>
              <w:rPr>
                <w:color w:val="auto"/>
                <w:sz w:val="24"/>
              </w:rPr>
              <w:t>为</w:t>
            </w:r>
            <w:r>
              <w:rPr>
                <w:rFonts w:hint="eastAsia"/>
                <w:color w:val="auto"/>
                <w:sz w:val="24"/>
              </w:rPr>
              <w:t>52</w:t>
            </w:r>
            <w:r>
              <w:rPr>
                <w:color w:val="auto"/>
                <w:sz w:val="24"/>
              </w:rPr>
              <w:t>人·次/d，门诊垃圾按每人次产生0.2kg计，</w:t>
            </w:r>
            <w:r>
              <w:rPr>
                <w:rFonts w:hint="eastAsia"/>
                <w:color w:val="auto"/>
                <w:sz w:val="24"/>
              </w:rPr>
              <w:t>现有项目纳古卫生院</w:t>
            </w:r>
            <w:r>
              <w:rPr>
                <w:color w:val="auto"/>
                <w:sz w:val="24"/>
              </w:rPr>
              <w:t>门诊生活垃圾产生量为</w:t>
            </w:r>
            <w:r>
              <w:rPr>
                <w:rFonts w:hint="eastAsia"/>
                <w:color w:val="auto"/>
                <w:sz w:val="24"/>
              </w:rPr>
              <w:t>10.4</w:t>
            </w:r>
            <w:r>
              <w:rPr>
                <w:color w:val="auto"/>
                <w:sz w:val="24"/>
              </w:rPr>
              <w:t>kg/d。</w:t>
            </w:r>
            <w:r>
              <w:rPr>
                <w:rFonts w:hint="eastAsia"/>
                <w:color w:val="auto"/>
                <w:sz w:val="24"/>
              </w:rPr>
              <w:t>现有项目四街卫生院</w:t>
            </w:r>
            <w:r>
              <w:rPr>
                <w:color w:val="auto"/>
                <w:sz w:val="24"/>
              </w:rPr>
              <w:t>门诊</w:t>
            </w:r>
            <w:r>
              <w:rPr>
                <w:rFonts w:hint="eastAsia"/>
                <w:color w:val="auto"/>
                <w:sz w:val="24"/>
              </w:rPr>
              <w:t>人数</w:t>
            </w:r>
            <w:r>
              <w:rPr>
                <w:color w:val="auto"/>
                <w:sz w:val="24"/>
              </w:rPr>
              <w:t>为</w:t>
            </w:r>
            <w:r>
              <w:rPr>
                <w:rFonts w:hint="eastAsia"/>
                <w:color w:val="auto"/>
                <w:sz w:val="24"/>
              </w:rPr>
              <w:t>150</w:t>
            </w:r>
            <w:r>
              <w:rPr>
                <w:color w:val="auto"/>
                <w:sz w:val="24"/>
              </w:rPr>
              <w:t>人·次/d，门诊垃圾按每人次产生0.2kg计，</w:t>
            </w:r>
            <w:r>
              <w:rPr>
                <w:rFonts w:hint="eastAsia"/>
                <w:color w:val="auto"/>
                <w:sz w:val="24"/>
              </w:rPr>
              <w:t>现有项目四街卫生院</w:t>
            </w:r>
            <w:r>
              <w:rPr>
                <w:color w:val="auto"/>
                <w:sz w:val="24"/>
              </w:rPr>
              <w:t>门诊生活垃圾产生量为</w:t>
            </w:r>
            <w:r>
              <w:rPr>
                <w:rFonts w:hint="eastAsia"/>
                <w:color w:val="auto"/>
                <w:sz w:val="24"/>
              </w:rPr>
              <w:t>30</w:t>
            </w:r>
            <w:r>
              <w:rPr>
                <w:color w:val="auto"/>
                <w:sz w:val="24"/>
              </w:rPr>
              <w:t>kg/d。</w:t>
            </w:r>
            <w:r>
              <w:rPr>
                <w:rFonts w:hint="eastAsia"/>
                <w:color w:val="auto"/>
                <w:sz w:val="24"/>
              </w:rPr>
              <w:t>现有项目九龙卫生院</w:t>
            </w:r>
            <w:r>
              <w:rPr>
                <w:color w:val="auto"/>
                <w:sz w:val="24"/>
              </w:rPr>
              <w:t>门诊</w:t>
            </w:r>
            <w:r>
              <w:rPr>
                <w:rFonts w:hint="eastAsia"/>
                <w:color w:val="auto"/>
                <w:sz w:val="24"/>
              </w:rPr>
              <w:t>人数</w:t>
            </w:r>
            <w:r>
              <w:rPr>
                <w:color w:val="auto"/>
                <w:sz w:val="24"/>
              </w:rPr>
              <w:t>为</w:t>
            </w:r>
            <w:r>
              <w:rPr>
                <w:rFonts w:hint="eastAsia"/>
                <w:color w:val="auto"/>
                <w:sz w:val="24"/>
              </w:rPr>
              <w:t>200</w:t>
            </w:r>
            <w:r>
              <w:rPr>
                <w:color w:val="auto"/>
                <w:sz w:val="24"/>
              </w:rPr>
              <w:t>人·次/d，门诊垃圾按每人次产生0.2kg计，</w:t>
            </w:r>
            <w:r>
              <w:rPr>
                <w:rFonts w:hint="eastAsia"/>
                <w:color w:val="auto"/>
                <w:sz w:val="24"/>
              </w:rPr>
              <w:t>现有项目九龙卫生院</w:t>
            </w:r>
            <w:r>
              <w:rPr>
                <w:color w:val="auto"/>
                <w:sz w:val="24"/>
              </w:rPr>
              <w:t>门诊生活垃圾产生量为</w:t>
            </w:r>
            <w:r>
              <w:rPr>
                <w:rFonts w:hint="eastAsia"/>
                <w:color w:val="auto"/>
                <w:sz w:val="24"/>
              </w:rPr>
              <w:t>40</w:t>
            </w:r>
            <w:r>
              <w:rPr>
                <w:color w:val="auto"/>
                <w:sz w:val="24"/>
              </w:rPr>
              <w:t>kg/d。</w:t>
            </w:r>
            <w:r>
              <w:rPr>
                <w:rFonts w:hint="eastAsia"/>
                <w:color w:val="auto"/>
                <w:sz w:val="24"/>
              </w:rPr>
              <w:t>现有项目杨广卫生院</w:t>
            </w:r>
            <w:r>
              <w:rPr>
                <w:color w:val="auto"/>
                <w:sz w:val="24"/>
              </w:rPr>
              <w:t>门诊</w:t>
            </w:r>
            <w:r>
              <w:rPr>
                <w:rFonts w:hint="eastAsia"/>
                <w:color w:val="auto"/>
                <w:sz w:val="24"/>
              </w:rPr>
              <w:t>人数</w:t>
            </w:r>
            <w:r>
              <w:rPr>
                <w:color w:val="auto"/>
                <w:sz w:val="24"/>
              </w:rPr>
              <w:t>为</w:t>
            </w:r>
            <w:r>
              <w:rPr>
                <w:rFonts w:hint="eastAsia"/>
                <w:color w:val="auto"/>
                <w:sz w:val="24"/>
              </w:rPr>
              <w:t>160</w:t>
            </w:r>
            <w:r>
              <w:rPr>
                <w:color w:val="auto"/>
                <w:sz w:val="24"/>
              </w:rPr>
              <w:t>人·次/d，门诊垃圾按每人次产生0.2kg计，</w:t>
            </w:r>
            <w:r>
              <w:rPr>
                <w:rFonts w:hint="eastAsia"/>
                <w:color w:val="auto"/>
                <w:sz w:val="24"/>
              </w:rPr>
              <w:t>现有项目杨广卫生院</w:t>
            </w:r>
            <w:r>
              <w:rPr>
                <w:color w:val="auto"/>
                <w:sz w:val="24"/>
              </w:rPr>
              <w:t>门诊生活垃圾产生量为</w:t>
            </w:r>
            <w:r>
              <w:rPr>
                <w:rFonts w:hint="eastAsia"/>
                <w:color w:val="auto"/>
                <w:sz w:val="24"/>
              </w:rPr>
              <w:t>32</w:t>
            </w:r>
            <w:r>
              <w:rPr>
                <w:color w:val="auto"/>
                <w:sz w:val="24"/>
              </w:rPr>
              <w:t>kg/d。</w:t>
            </w:r>
          </w:p>
          <w:p w14:paraId="08C78E4B">
            <w:pPr>
              <w:widowControl/>
              <w:spacing w:line="360" w:lineRule="auto"/>
              <w:ind w:firstLine="482" w:firstLineChars="200"/>
              <w:jc w:val="left"/>
              <w:rPr>
                <w:b/>
                <w:color w:val="auto"/>
                <w:sz w:val="24"/>
              </w:rPr>
            </w:pPr>
            <w:r>
              <w:rPr>
                <w:rFonts w:hint="eastAsia"/>
                <w:b/>
                <w:color w:val="auto"/>
                <w:sz w:val="24"/>
              </w:rPr>
              <w:t>③卫生院</w:t>
            </w:r>
            <w:r>
              <w:rPr>
                <w:b/>
                <w:color w:val="auto"/>
                <w:sz w:val="24"/>
              </w:rPr>
              <w:t>职工</w:t>
            </w:r>
            <w:r>
              <w:rPr>
                <w:rFonts w:hint="eastAsia"/>
                <w:b/>
                <w:color w:val="auto"/>
                <w:sz w:val="24"/>
              </w:rPr>
              <w:t>生活垃圾</w:t>
            </w:r>
          </w:p>
          <w:p w14:paraId="6AAA83CC">
            <w:pPr>
              <w:widowControl/>
              <w:spacing w:line="360" w:lineRule="auto"/>
              <w:ind w:firstLine="600" w:firstLineChars="250"/>
              <w:jc w:val="left"/>
              <w:rPr>
                <w:color w:val="auto"/>
                <w:sz w:val="24"/>
              </w:rPr>
            </w:pPr>
            <w:r>
              <w:rPr>
                <w:rFonts w:hint="eastAsia"/>
                <w:color w:val="auto"/>
                <w:sz w:val="24"/>
              </w:rPr>
              <w:t>本</w:t>
            </w:r>
            <w:r>
              <w:rPr>
                <w:color w:val="auto"/>
                <w:sz w:val="24"/>
              </w:rPr>
              <w:t>项目涉及4个乡镇卫生院</w:t>
            </w:r>
            <w:r>
              <w:rPr>
                <w:rFonts w:hint="eastAsia"/>
                <w:color w:val="auto"/>
                <w:sz w:val="24"/>
              </w:rPr>
              <w:t>，现有项目纳古卫生院</w:t>
            </w:r>
            <w:r>
              <w:rPr>
                <w:color w:val="auto"/>
                <w:sz w:val="24"/>
              </w:rPr>
              <w:t>有</w:t>
            </w:r>
            <w:r>
              <w:rPr>
                <w:rFonts w:hint="eastAsia"/>
                <w:color w:val="auto"/>
                <w:sz w:val="24"/>
              </w:rPr>
              <w:t>29名</w:t>
            </w:r>
            <w:r>
              <w:rPr>
                <w:color w:val="auto"/>
                <w:sz w:val="24"/>
              </w:rPr>
              <w:t>医护人员，医护人员每人每日产生生活垃圾按</w:t>
            </w:r>
            <w:r>
              <w:rPr>
                <w:rFonts w:hint="eastAsia"/>
                <w:color w:val="auto"/>
                <w:sz w:val="24"/>
              </w:rPr>
              <w:t>0.5</w:t>
            </w:r>
            <w:r>
              <w:rPr>
                <w:color w:val="auto"/>
                <w:sz w:val="24"/>
              </w:rPr>
              <w:t>kg计，则</w:t>
            </w:r>
            <w:r>
              <w:rPr>
                <w:rFonts w:hint="eastAsia"/>
                <w:color w:val="auto"/>
                <w:sz w:val="24"/>
              </w:rPr>
              <w:t>纳古卫生院</w:t>
            </w:r>
            <w:r>
              <w:rPr>
                <w:color w:val="auto"/>
                <w:sz w:val="24"/>
              </w:rPr>
              <w:t>医护人员生活垃圾量为</w:t>
            </w:r>
            <w:r>
              <w:rPr>
                <w:rFonts w:hint="eastAsia"/>
                <w:color w:val="auto"/>
                <w:sz w:val="24"/>
              </w:rPr>
              <w:t>14.5</w:t>
            </w:r>
            <w:r>
              <w:rPr>
                <w:color w:val="auto"/>
                <w:sz w:val="24"/>
              </w:rPr>
              <w:t>kg/d。</w:t>
            </w:r>
            <w:r>
              <w:rPr>
                <w:rFonts w:hint="eastAsia"/>
                <w:color w:val="auto"/>
                <w:sz w:val="24"/>
              </w:rPr>
              <w:t>现有项目四街卫生院</w:t>
            </w:r>
            <w:r>
              <w:rPr>
                <w:color w:val="auto"/>
                <w:sz w:val="24"/>
              </w:rPr>
              <w:t>有</w:t>
            </w:r>
            <w:r>
              <w:rPr>
                <w:rFonts w:hint="eastAsia"/>
                <w:color w:val="auto"/>
                <w:sz w:val="24"/>
              </w:rPr>
              <w:t>54名</w:t>
            </w:r>
            <w:r>
              <w:rPr>
                <w:color w:val="auto"/>
                <w:sz w:val="24"/>
              </w:rPr>
              <w:t>医护人员，医护人员每人每日产生生活垃圾按</w:t>
            </w:r>
            <w:r>
              <w:rPr>
                <w:rFonts w:hint="eastAsia"/>
                <w:color w:val="auto"/>
                <w:sz w:val="24"/>
              </w:rPr>
              <w:t>0.5</w:t>
            </w:r>
            <w:r>
              <w:rPr>
                <w:color w:val="auto"/>
                <w:sz w:val="24"/>
              </w:rPr>
              <w:t>kg计，则</w:t>
            </w:r>
            <w:r>
              <w:rPr>
                <w:rFonts w:hint="eastAsia"/>
                <w:color w:val="auto"/>
                <w:sz w:val="24"/>
              </w:rPr>
              <w:t>四街卫生院</w:t>
            </w:r>
            <w:r>
              <w:rPr>
                <w:color w:val="auto"/>
                <w:sz w:val="24"/>
              </w:rPr>
              <w:t>医护人员生活垃圾量为</w:t>
            </w:r>
            <w:r>
              <w:rPr>
                <w:rFonts w:hint="eastAsia"/>
                <w:color w:val="auto"/>
                <w:sz w:val="24"/>
              </w:rPr>
              <w:t>27</w:t>
            </w:r>
            <w:r>
              <w:rPr>
                <w:color w:val="auto"/>
                <w:sz w:val="24"/>
              </w:rPr>
              <w:t>kg/d。</w:t>
            </w:r>
            <w:r>
              <w:rPr>
                <w:rFonts w:hint="eastAsia"/>
                <w:color w:val="auto"/>
                <w:sz w:val="24"/>
              </w:rPr>
              <w:t>现有项目九龙卫生院</w:t>
            </w:r>
            <w:r>
              <w:rPr>
                <w:color w:val="auto"/>
                <w:sz w:val="24"/>
              </w:rPr>
              <w:t>有</w:t>
            </w:r>
            <w:r>
              <w:rPr>
                <w:rFonts w:hint="eastAsia"/>
                <w:color w:val="auto"/>
                <w:sz w:val="24"/>
              </w:rPr>
              <w:t>34名</w:t>
            </w:r>
            <w:r>
              <w:rPr>
                <w:color w:val="auto"/>
                <w:sz w:val="24"/>
              </w:rPr>
              <w:t>医护人员，医护人员每人每日产生生活垃圾按</w:t>
            </w:r>
            <w:r>
              <w:rPr>
                <w:rFonts w:hint="eastAsia"/>
                <w:color w:val="auto"/>
                <w:sz w:val="24"/>
              </w:rPr>
              <w:t>0.5</w:t>
            </w:r>
            <w:r>
              <w:rPr>
                <w:color w:val="auto"/>
                <w:sz w:val="24"/>
              </w:rPr>
              <w:t>kg计，则</w:t>
            </w:r>
            <w:r>
              <w:rPr>
                <w:rFonts w:hint="eastAsia"/>
                <w:color w:val="auto"/>
                <w:sz w:val="24"/>
              </w:rPr>
              <w:t>九龙卫生院</w:t>
            </w:r>
            <w:r>
              <w:rPr>
                <w:color w:val="auto"/>
                <w:sz w:val="24"/>
              </w:rPr>
              <w:t>医护人员生活垃圾量为</w:t>
            </w:r>
            <w:r>
              <w:rPr>
                <w:rFonts w:hint="eastAsia"/>
                <w:color w:val="auto"/>
                <w:sz w:val="24"/>
              </w:rPr>
              <w:t>17</w:t>
            </w:r>
            <w:r>
              <w:rPr>
                <w:color w:val="auto"/>
                <w:sz w:val="24"/>
              </w:rPr>
              <w:t>kg/d。</w:t>
            </w:r>
            <w:r>
              <w:rPr>
                <w:rFonts w:hint="eastAsia"/>
                <w:color w:val="auto"/>
                <w:sz w:val="24"/>
              </w:rPr>
              <w:t>现有项目杨广卫生院</w:t>
            </w:r>
            <w:r>
              <w:rPr>
                <w:color w:val="auto"/>
                <w:sz w:val="24"/>
              </w:rPr>
              <w:t>有</w:t>
            </w:r>
            <w:r>
              <w:rPr>
                <w:rFonts w:hint="eastAsia"/>
                <w:color w:val="auto"/>
                <w:sz w:val="24"/>
              </w:rPr>
              <w:t>62名</w:t>
            </w:r>
            <w:r>
              <w:rPr>
                <w:color w:val="auto"/>
                <w:sz w:val="24"/>
              </w:rPr>
              <w:t>医护人员，医护人员每人每日产生生活垃圾按</w:t>
            </w:r>
            <w:r>
              <w:rPr>
                <w:rFonts w:hint="eastAsia"/>
                <w:color w:val="auto"/>
                <w:sz w:val="24"/>
              </w:rPr>
              <w:t>0.5</w:t>
            </w:r>
            <w:r>
              <w:rPr>
                <w:color w:val="auto"/>
                <w:sz w:val="24"/>
              </w:rPr>
              <w:t>kg计，则</w:t>
            </w:r>
            <w:r>
              <w:rPr>
                <w:rFonts w:hint="eastAsia"/>
                <w:color w:val="auto"/>
                <w:sz w:val="24"/>
              </w:rPr>
              <w:t>杨广卫生院</w:t>
            </w:r>
            <w:r>
              <w:rPr>
                <w:color w:val="auto"/>
                <w:sz w:val="24"/>
              </w:rPr>
              <w:t>医护人员生活垃圾量为</w:t>
            </w:r>
            <w:r>
              <w:rPr>
                <w:rFonts w:hint="eastAsia"/>
                <w:color w:val="auto"/>
                <w:sz w:val="24"/>
              </w:rPr>
              <w:t>31</w:t>
            </w:r>
            <w:r>
              <w:rPr>
                <w:color w:val="auto"/>
                <w:sz w:val="24"/>
              </w:rPr>
              <w:t>kg/d。</w:t>
            </w:r>
          </w:p>
          <w:p w14:paraId="2A8F1DED">
            <w:pPr>
              <w:spacing w:line="360" w:lineRule="auto"/>
              <w:ind w:firstLine="480" w:firstLineChars="200"/>
              <w:rPr>
                <w:color w:val="auto"/>
                <w:sz w:val="24"/>
              </w:rPr>
            </w:pPr>
            <w:r>
              <w:rPr>
                <w:color w:val="auto"/>
                <w:sz w:val="24"/>
              </w:rPr>
              <w:t>根据生活垃圾产生情况计算，</w:t>
            </w:r>
            <w:r>
              <w:rPr>
                <w:rFonts w:hint="eastAsia"/>
                <w:color w:val="auto"/>
                <w:sz w:val="24"/>
              </w:rPr>
              <w:t>现有项目纳古卫生院</w:t>
            </w:r>
            <w:r>
              <w:rPr>
                <w:color w:val="auto"/>
                <w:sz w:val="24"/>
              </w:rPr>
              <w:t>总的生活垃圾产生量</w:t>
            </w:r>
            <w:r>
              <w:rPr>
                <w:rFonts w:hint="eastAsia"/>
                <w:color w:val="auto"/>
                <w:sz w:val="24"/>
              </w:rPr>
              <w:t>41.7</w:t>
            </w:r>
            <w:r>
              <w:rPr>
                <w:color w:val="auto"/>
                <w:sz w:val="24"/>
              </w:rPr>
              <w:t>kg/d</w:t>
            </w:r>
            <w:r>
              <w:rPr>
                <w:rFonts w:hint="eastAsia"/>
                <w:color w:val="auto"/>
                <w:sz w:val="24"/>
              </w:rPr>
              <w:t>，15.22</w:t>
            </w:r>
            <w:r>
              <w:rPr>
                <w:color w:val="auto"/>
                <w:sz w:val="24"/>
              </w:rPr>
              <w:t>t/a。</w:t>
            </w:r>
            <w:r>
              <w:rPr>
                <w:rFonts w:hint="eastAsia"/>
                <w:color w:val="auto"/>
                <w:sz w:val="24"/>
              </w:rPr>
              <w:t>现有项目四街卫生院</w:t>
            </w:r>
            <w:r>
              <w:rPr>
                <w:color w:val="auto"/>
                <w:sz w:val="24"/>
              </w:rPr>
              <w:t>总的生活垃圾产生量</w:t>
            </w:r>
            <w:r>
              <w:rPr>
                <w:rFonts w:hint="eastAsia"/>
                <w:color w:val="auto"/>
                <w:sz w:val="24"/>
              </w:rPr>
              <w:t>67.5</w:t>
            </w:r>
            <w:r>
              <w:rPr>
                <w:color w:val="auto"/>
                <w:sz w:val="24"/>
              </w:rPr>
              <w:t>kg/d</w:t>
            </w:r>
            <w:r>
              <w:rPr>
                <w:rFonts w:hint="eastAsia"/>
                <w:color w:val="auto"/>
                <w:sz w:val="24"/>
              </w:rPr>
              <w:t>，24.64</w:t>
            </w:r>
            <w:r>
              <w:rPr>
                <w:color w:val="auto"/>
                <w:sz w:val="24"/>
              </w:rPr>
              <w:t>t/a。</w:t>
            </w:r>
            <w:r>
              <w:rPr>
                <w:rFonts w:hint="eastAsia"/>
                <w:color w:val="auto"/>
                <w:sz w:val="24"/>
              </w:rPr>
              <w:t>现有项目九龙卫生院</w:t>
            </w:r>
            <w:r>
              <w:rPr>
                <w:color w:val="auto"/>
                <w:sz w:val="24"/>
              </w:rPr>
              <w:t>总的生活垃圾产生量</w:t>
            </w:r>
            <w:r>
              <w:rPr>
                <w:rFonts w:hint="eastAsia"/>
                <w:color w:val="auto"/>
                <w:sz w:val="24"/>
              </w:rPr>
              <w:t>71</w:t>
            </w:r>
            <w:r>
              <w:rPr>
                <w:color w:val="auto"/>
                <w:sz w:val="24"/>
              </w:rPr>
              <w:t>kg/d</w:t>
            </w:r>
            <w:r>
              <w:rPr>
                <w:rFonts w:hint="eastAsia"/>
                <w:color w:val="auto"/>
                <w:sz w:val="24"/>
              </w:rPr>
              <w:t>，25.92</w:t>
            </w:r>
            <w:r>
              <w:rPr>
                <w:color w:val="auto"/>
                <w:sz w:val="24"/>
              </w:rPr>
              <w:t>t/a。</w:t>
            </w:r>
            <w:r>
              <w:rPr>
                <w:rFonts w:hint="eastAsia"/>
                <w:color w:val="auto"/>
                <w:sz w:val="24"/>
              </w:rPr>
              <w:t>现有项目杨广卫生院</w:t>
            </w:r>
            <w:r>
              <w:rPr>
                <w:color w:val="auto"/>
                <w:sz w:val="24"/>
              </w:rPr>
              <w:t>总的生活垃圾产生量</w:t>
            </w:r>
            <w:r>
              <w:rPr>
                <w:rFonts w:hint="eastAsia"/>
                <w:color w:val="auto"/>
                <w:sz w:val="24"/>
              </w:rPr>
              <w:t>85.4</w:t>
            </w:r>
            <w:r>
              <w:rPr>
                <w:color w:val="auto"/>
                <w:sz w:val="24"/>
              </w:rPr>
              <w:t>kg/d</w:t>
            </w:r>
            <w:r>
              <w:rPr>
                <w:rFonts w:hint="eastAsia"/>
                <w:color w:val="auto"/>
                <w:sz w:val="24"/>
              </w:rPr>
              <w:t>，31.17</w:t>
            </w:r>
            <w:r>
              <w:rPr>
                <w:color w:val="auto"/>
                <w:sz w:val="24"/>
              </w:rPr>
              <w:t>t/a。生活垃圾统一垃圾桶收集后，</w:t>
            </w:r>
            <w:r>
              <w:rPr>
                <w:rFonts w:hint="eastAsia"/>
                <w:color w:val="auto"/>
                <w:sz w:val="24"/>
              </w:rPr>
              <w:t>委托</w:t>
            </w:r>
            <w:r>
              <w:rPr>
                <w:color w:val="auto"/>
                <w:sz w:val="24"/>
              </w:rPr>
              <w:t>当地环卫部门</w:t>
            </w:r>
            <w:r>
              <w:rPr>
                <w:rFonts w:hint="eastAsia"/>
                <w:color w:val="auto"/>
                <w:sz w:val="24"/>
              </w:rPr>
              <w:t>清运</w:t>
            </w:r>
            <w:r>
              <w:rPr>
                <w:color w:val="auto"/>
                <w:sz w:val="24"/>
              </w:rPr>
              <w:t>处置。</w:t>
            </w:r>
          </w:p>
          <w:p w14:paraId="4F7BC764">
            <w:pPr>
              <w:spacing w:line="360" w:lineRule="auto"/>
              <w:ind w:firstLine="482" w:firstLineChars="200"/>
              <w:rPr>
                <w:b/>
                <w:color w:val="auto"/>
                <w:sz w:val="24"/>
              </w:rPr>
            </w:pPr>
            <w:r>
              <w:rPr>
                <w:rFonts w:hint="eastAsia"/>
                <w:b/>
                <w:color w:val="auto"/>
                <w:sz w:val="24"/>
              </w:rPr>
              <w:t>4</w:t>
            </w:r>
            <w:r>
              <w:rPr>
                <w:rFonts w:hAnsi="宋体"/>
                <w:b/>
                <w:color w:val="auto"/>
                <w:sz w:val="24"/>
              </w:rPr>
              <w:t>）</w:t>
            </w:r>
            <w:r>
              <w:rPr>
                <w:rFonts w:hint="eastAsia"/>
                <w:b/>
                <w:color w:val="auto"/>
                <w:sz w:val="24"/>
              </w:rPr>
              <w:t>食堂泔水</w:t>
            </w:r>
          </w:p>
          <w:p w14:paraId="5A9D2D4E">
            <w:pPr>
              <w:spacing w:line="360" w:lineRule="auto"/>
              <w:ind w:firstLine="480" w:firstLineChars="200"/>
              <w:rPr>
                <w:color w:val="auto"/>
                <w:sz w:val="24"/>
              </w:rPr>
            </w:pPr>
            <w:r>
              <w:rPr>
                <w:rFonts w:hint="eastAsia"/>
                <w:color w:val="auto"/>
                <w:sz w:val="24"/>
              </w:rPr>
              <w:t>本</w:t>
            </w:r>
            <w:r>
              <w:rPr>
                <w:color w:val="auto"/>
                <w:sz w:val="24"/>
              </w:rPr>
              <w:t>项目涉及4个乡镇卫生院</w:t>
            </w:r>
            <w:r>
              <w:rPr>
                <w:rFonts w:hint="eastAsia"/>
                <w:color w:val="auto"/>
                <w:sz w:val="24"/>
              </w:rPr>
              <w:t>，现有项目仅纳古卫生院未设置有食堂，其余卫生院均设置有食堂，为部分</w:t>
            </w:r>
            <w:r>
              <w:rPr>
                <w:color w:val="auto"/>
                <w:sz w:val="24"/>
              </w:rPr>
              <w:t>医护人员</w:t>
            </w:r>
            <w:r>
              <w:rPr>
                <w:rFonts w:hint="eastAsia"/>
                <w:color w:val="auto"/>
                <w:sz w:val="24"/>
              </w:rPr>
              <w:t>每天提供中餐，就餐人数为四街卫生院15人/d，九龙卫生院10人/d，杨广卫生院13人/d。</w:t>
            </w:r>
            <w:r>
              <w:rPr>
                <w:bCs/>
                <w:color w:val="auto"/>
                <w:sz w:val="24"/>
              </w:rPr>
              <w:t>泔水产生量为</w:t>
            </w:r>
            <w:r>
              <w:rPr>
                <w:rFonts w:hint="eastAsia"/>
                <w:bCs/>
                <w:color w:val="auto"/>
                <w:sz w:val="24"/>
              </w:rPr>
              <w:t>0.07</w:t>
            </w:r>
            <w:r>
              <w:rPr>
                <w:bCs/>
                <w:color w:val="auto"/>
                <w:sz w:val="24"/>
              </w:rPr>
              <w:t>kg/人•天，则</w:t>
            </w:r>
            <w:r>
              <w:rPr>
                <w:rFonts w:hint="eastAsia"/>
                <w:color w:val="auto"/>
                <w:sz w:val="24"/>
              </w:rPr>
              <w:t>四街卫生院</w:t>
            </w:r>
            <w:r>
              <w:rPr>
                <w:bCs/>
                <w:color w:val="auto"/>
                <w:sz w:val="24"/>
              </w:rPr>
              <w:t>食堂泔水产生量为</w:t>
            </w:r>
            <w:r>
              <w:rPr>
                <w:rFonts w:hint="eastAsia"/>
                <w:bCs/>
                <w:color w:val="auto"/>
                <w:sz w:val="24"/>
              </w:rPr>
              <w:t>1.05</w:t>
            </w:r>
            <w:r>
              <w:rPr>
                <w:bCs/>
                <w:color w:val="auto"/>
                <w:sz w:val="24"/>
              </w:rPr>
              <w:t>kg/d，即</w:t>
            </w:r>
            <w:r>
              <w:rPr>
                <w:rFonts w:hint="eastAsia"/>
                <w:bCs/>
                <w:color w:val="auto"/>
                <w:sz w:val="24"/>
              </w:rPr>
              <w:t>0.38</w:t>
            </w:r>
            <w:r>
              <w:rPr>
                <w:bCs/>
                <w:color w:val="auto"/>
                <w:sz w:val="24"/>
              </w:rPr>
              <w:t>t/a</w:t>
            </w:r>
            <w:r>
              <w:rPr>
                <w:rFonts w:hint="eastAsia"/>
                <w:bCs/>
                <w:color w:val="auto"/>
                <w:sz w:val="24"/>
              </w:rPr>
              <w:t>；</w:t>
            </w:r>
            <w:r>
              <w:rPr>
                <w:rFonts w:hint="eastAsia"/>
                <w:color w:val="auto"/>
                <w:sz w:val="24"/>
              </w:rPr>
              <w:t>九龙卫生院</w:t>
            </w:r>
            <w:r>
              <w:rPr>
                <w:bCs/>
                <w:color w:val="auto"/>
                <w:sz w:val="24"/>
              </w:rPr>
              <w:t>食堂泔水产生量为</w:t>
            </w:r>
            <w:r>
              <w:rPr>
                <w:rFonts w:hint="eastAsia"/>
                <w:bCs/>
                <w:color w:val="auto"/>
                <w:sz w:val="24"/>
              </w:rPr>
              <w:t>0.7</w:t>
            </w:r>
            <w:r>
              <w:rPr>
                <w:bCs/>
                <w:color w:val="auto"/>
                <w:sz w:val="24"/>
              </w:rPr>
              <w:t>kg/d，即</w:t>
            </w:r>
            <w:r>
              <w:rPr>
                <w:rFonts w:hint="eastAsia"/>
                <w:bCs/>
                <w:color w:val="auto"/>
                <w:sz w:val="24"/>
              </w:rPr>
              <w:t>0.26</w:t>
            </w:r>
            <w:r>
              <w:rPr>
                <w:bCs/>
                <w:color w:val="auto"/>
                <w:sz w:val="24"/>
              </w:rPr>
              <w:t>t/a</w:t>
            </w:r>
            <w:r>
              <w:rPr>
                <w:rFonts w:hint="eastAsia"/>
                <w:bCs/>
                <w:color w:val="auto"/>
                <w:sz w:val="24"/>
              </w:rPr>
              <w:t>；</w:t>
            </w:r>
            <w:r>
              <w:rPr>
                <w:rFonts w:hint="eastAsia"/>
                <w:color w:val="auto"/>
                <w:sz w:val="24"/>
              </w:rPr>
              <w:t>杨广卫生院</w:t>
            </w:r>
            <w:r>
              <w:rPr>
                <w:bCs/>
                <w:color w:val="auto"/>
                <w:sz w:val="24"/>
              </w:rPr>
              <w:t>食堂泔水产生量为</w:t>
            </w:r>
            <w:r>
              <w:rPr>
                <w:rFonts w:hint="eastAsia"/>
                <w:bCs/>
                <w:color w:val="auto"/>
                <w:sz w:val="24"/>
              </w:rPr>
              <w:t>0.91</w:t>
            </w:r>
            <w:r>
              <w:rPr>
                <w:bCs/>
                <w:color w:val="auto"/>
                <w:sz w:val="24"/>
              </w:rPr>
              <w:t>kg/d，即</w:t>
            </w:r>
            <w:r>
              <w:rPr>
                <w:rFonts w:hint="eastAsia"/>
                <w:bCs/>
                <w:color w:val="auto"/>
                <w:sz w:val="24"/>
              </w:rPr>
              <w:t>0.33</w:t>
            </w:r>
            <w:r>
              <w:rPr>
                <w:bCs/>
                <w:color w:val="auto"/>
                <w:sz w:val="24"/>
              </w:rPr>
              <w:t>t/a。</w:t>
            </w:r>
            <w:r>
              <w:rPr>
                <w:rFonts w:hint="eastAsia"/>
                <w:color w:val="auto"/>
                <w:sz w:val="24"/>
              </w:rPr>
              <w:t>经现场踏勘，每个</w:t>
            </w:r>
            <w:r>
              <w:rPr>
                <w:bCs/>
                <w:color w:val="auto"/>
                <w:sz w:val="24"/>
              </w:rPr>
              <w:t>食堂泔水经</w:t>
            </w:r>
            <w:r>
              <w:rPr>
                <w:rFonts w:hint="eastAsia"/>
                <w:bCs/>
                <w:color w:val="auto"/>
                <w:sz w:val="24"/>
              </w:rPr>
              <w:t>已有的</w:t>
            </w:r>
            <w:r>
              <w:rPr>
                <w:color w:val="auto"/>
                <w:sz w:val="24"/>
              </w:rPr>
              <w:t>1个泔水收集桶收集后</w:t>
            </w:r>
            <w:r>
              <w:rPr>
                <w:rFonts w:hint="eastAsia"/>
                <w:color w:val="auto"/>
                <w:sz w:val="24"/>
              </w:rPr>
              <w:t>由附近农户带走喂猪。</w:t>
            </w:r>
          </w:p>
          <w:p w14:paraId="5ADFEB57">
            <w:pPr>
              <w:spacing w:line="360" w:lineRule="auto"/>
              <w:ind w:firstLine="482" w:firstLineChars="200"/>
              <w:rPr>
                <w:b/>
                <w:color w:val="auto"/>
                <w:sz w:val="24"/>
              </w:rPr>
            </w:pPr>
            <w:r>
              <w:rPr>
                <w:rFonts w:hint="eastAsia"/>
                <w:b/>
                <w:color w:val="auto"/>
                <w:sz w:val="24"/>
              </w:rPr>
              <w:t>5）隔油池废油脂</w:t>
            </w:r>
          </w:p>
          <w:p w14:paraId="5B5458EC">
            <w:pPr>
              <w:adjustRightInd w:val="0"/>
              <w:snapToGrid w:val="0"/>
              <w:spacing w:line="360" w:lineRule="auto"/>
              <w:ind w:firstLine="480" w:firstLineChars="200"/>
              <w:rPr>
                <w:color w:val="auto"/>
                <w:sz w:val="24"/>
              </w:rPr>
            </w:pPr>
            <w:r>
              <w:rPr>
                <w:rFonts w:hint="eastAsia"/>
                <w:color w:val="auto"/>
                <w:sz w:val="24"/>
              </w:rPr>
              <w:t>现有项目四街卫生院</w:t>
            </w:r>
            <w:r>
              <w:rPr>
                <w:color w:val="auto"/>
                <w:sz w:val="24"/>
              </w:rPr>
              <w:t>食用油量为</w:t>
            </w:r>
            <w:r>
              <w:rPr>
                <w:rFonts w:hint="eastAsia"/>
                <w:color w:val="auto"/>
                <w:sz w:val="24"/>
              </w:rPr>
              <w:t>0.15</w:t>
            </w:r>
            <w:r>
              <w:rPr>
                <w:color w:val="auto"/>
                <w:sz w:val="24"/>
              </w:rPr>
              <w:t>kg/d，即</w:t>
            </w:r>
            <w:r>
              <w:rPr>
                <w:rFonts w:hint="eastAsia"/>
                <w:color w:val="auto"/>
                <w:sz w:val="24"/>
              </w:rPr>
              <w:t>54.75</w:t>
            </w:r>
            <w:r>
              <w:rPr>
                <w:color w:val="auto"/>
                <w:sz w:val="24"/>
              </w:rPr>
              <w:t>kg</w:t>
            </w:r>
            <w:r>
              <w:rPr>
                <w:rFonts w:hint="eastAsia"/>
                <w:color w:val="auto"/>
                <w:sz w:val="24"/>
              </w:rPr>
              <w:t>/</w:t>
            </w:r>
            <w:r>
              <w:rPr>
                <w:color w:val="auto"/>
                <w:sz w:val="24"/>
              </w:rPr>
              <w:t>a</w:t>
            </w:r>
            <w:r>
              <w:rPr>
                <w:rFonts w:hint="eastAsia"/>
                <w:color w:val="auto"/>
                <w:sz w:val="24"/>
              </w:rPr>
              <w:t>。</w:t>
            </w:r>
            <w:r>
              <w:rPr>
                <w:color w:val="auto"/>
                <w:sz w:val="24"/>
              </w:rPr>
              <w:t>废油脂产生量按用油量的10%计算，则产生量为</w:t>
            </w:r>
            <w:r>
              <w:rPr>
                <w:rFonts w:hint="eastAsia"/>
                <w:color w:val="auto"/>
                <w:sz w:val="24"/>
              </w:rPr>
              <w:t>5.475</w:t>
            </w:r>
            <w:r>
              <w:rPr>
                <w:color w:val="auto"/>
                <w:sz w:val="24"/>
              </w:rPr>
              <w:t>kg</w:t>
            </w:r>
            <w:r>
              <w:rPr>
                <w:rFonts w:hint="eastAsia"/>
                <w:color w:val="auto"/>
                <w:sz w:val="24"/>
              </w:rPr>
              <w:t>/</w:t>
            </w:r>
            <w:r>
              <w:rPr>
                <w:color w:val="auto"/>
                <w:sz w:val="24"/>
              </w:rPr>
              <w:t>a，</w:t>
            </w:r>
            <w:r>
              <w:rPr>
                <w:rFonts w:hint="eastAsia"/>
                <w:color w:val="auto"/>
                <w:sz w:val="24"/>
              </w:rPr>
              <w:t>经现场踏勘，</w:t>
            </w:r>
            <w:r>
              <w:rPr>
                <w:color w:val="auto"/>
                <w:sz w:val="24"/>
              </w:rPr>
              <w:t>废油脂</w:t>
            </w:r>
            <w:r>
              <w:rPr>
                <w:rFonts w:hint="eastAsia"/>
                <w:color w:val="auto"/>
                <w:sz w:val="24"/>
              </w:rPr>
              <w:t>经已有的</w:t>
            </w:r>
            <w:r>
              <w:rPr>
                <w:color w:val="auto"/>
                <w:sz w:val="24"/>
              </w:rPr>
              <w:t>1个泔水收集桶与</w:t>
            </w:r>
            <w:r>
              <w:rPr>
                <w:rFonts w:hint="eastAsia"/>
                <w:color w:val="auto"/>
                <w:sz w:val="24"/>
              </w:rPr>
              <w:t>食堂</w:t>
            </w:r>
            <w:r>
              <w:rPr>
                <w:color w:val="auto"/>
                <w:sz w:val="24"/>
              </w:rPr>
              <w:t>泔水一起收集后</w:t>
            </w:r>
            <w:r>
              <w:rPr>
                <w:rFonts w:hint="eastAsia"/>
                <w:color w:val="auto"/>
                <w:sz w:val="24"/>
              </w:rPr>
              <w:t>交由有资质的单位处理。现有项目九龙卫生院</w:t>
            </w:r>
            <w:r>
              <w:rPr>
                <w:color w:val="auto"/>
                <w:sz w:val="24"/>
              </w:rPr>
              <w:t>食用油量为</w:t>
            </w:r>
            <w:r>
              <w:rPr>
                <w:rFonts w:hint="eastAsia"/>
                <w:color w:val="auto"/>
                <w:sz w:val="24"/>
              </w:rPr>
              <w:t>0.1</w:t>
            </w:r>
            <w:r>
              <w:rPr>
                <w:color w:val="auto"/>
                <w:sz w:val="24"/>
              </w:rPr>
              <w:t>kg/d，即</w:t>
            </w:r>
            <w:r>
              <w:rPr>
                <w:rFonts w:hint="eastAsia"/>
                <w:color w:val="auto"/>
                <w:sz w:val="24"/>
              </w:rPr>
              <w:t>36.5</w:t>
            </w:r>
            <w:r>
              <w:rPr>
                <w:color w:val="auto"/>
                <w:sz w:val="24"/>
              </w:rPr>
              <w:t>kg</w:t>
            </w:r>
            <w:r>
              <w:rPr>
                <w:rFonts w:hint="eastAsia"/>
                <w:color w:val="auto"/>
                <w:sz w:val="24"/>
              </w:rPr>
              <w:t>/</w:t>
            </w:r>
            <w:r>
              <w:rPr>
                <w:color w:val="auto"/>
                <w:sz w:val="24"/>
              </w:rPr>
              <w:t>a</w:t>
            </w:r>
            <w:r>
              <w:rPr>
                <w:rFonts w:hint="eastAsia"/>
                <w:color w:val="auto"/>
                <w:sz w:val="24"/>
              </w:rPr>
              <w:t>。</w:t>
            </w:r>
            <w:r>
              <w:rPr>
                <w:color w:val="auto"/>
                <w:sz w:val="24"/>
              </w:rPr>
              <w:t>废油脂产生量按用油量的10%计算，则产生量为</w:t>
            </w:r>
            <w:r>
              <w:rPr>
                <w:rFonts w:hint="eastAsia"/>
                <w:color w:val="auto"/>
                <w:sz w:val="24"/>
              </w:rPr>
              <w:t>3.65</w:t>
            </w:r>
            <w:r>
              <w:rPr>
                <w:color w:val="auto"/>
                <w:sz w:val="24"/>
              </w:rPr>
              <w:t>kg</w:t>
            </w:r>
            <w:r>
              <w:rPr>
                <w:rFonts w:hint="eastAsia"/>
                <w:color w:val="auto"/>
                <w:sz w:val="24"/>
              </w:rPr>
              <w:t>/</w:t>
            </w:r>
            <w:r>
              <w:rPr>
                <w:color w:val="auto"/>
                <w:sz w:val="24"/>
              </w:rPr>
              <w:t>a，</w:t>
            </w:r>
            <w:r>
              <w:rPr>
                <w:rFonts w:hint="eastAsia"/>
                <w:color w:val="auto"/>
                <w:sz w:val="24"/>
              </w:rPr>
              <w:t>经现场踏勘，</w:t>
            </w:r>
            <w:r>
              <w:rPr>
                <w:color w:val="auto"/>
                <w:sz w:val="24"/>
              </w:rPr>
              <w:t>废油脂</w:t>
            </w:r>
            <w:r>
              <w:rPr>
                <w:rFonts w:hint="eastAsia"/>
                <w:color w:val="auto"/>
                <w:sz w:val="24"/>
              </w:rPr>
              <w:t>经已有的</w:t>
            </w:r>
            <w:r>
              <w:rPr>
                <w:color w:val="auto"/>
                <w:sz w:val="24"/>
              </w:rPr>
              <w:t>1个泔水收集桶与</w:t>
            </w:r>
            <w:r>
              <w:rPr>
                <w:rFonts w:hint="eastAsia"/>
                <w:color w:val="auto"/>
                <w:sz w:val="24"/>
              </w:rPr>
              <w:t>食堂</w:t>
            </w:r>
            <w:r>
              <w:rPr>
                <w:color w:val="auto"/>
                <w:sz w:val="24"/>
              </w:rPr>
              <w:t>泔水一起收集后</w:t>
            </w:r>
            <w:r>
              <w:rPr>
                <w:rFonts w:hint="eastAsia"/>
                <w:color w:val="auto"/>
                <w:sz w:val="24"/>
              </w:rPr>
              <w:t>交由有资质的单位处理。现有项目杨广卫生院</w:t>
            </w:r>
            <w:r>
              <w:rPr>
                <w:color w:val="auto"/>
                <w:sz w:val="24"/>
              </w:rPr>
              <w:t>食用油量为</w:t>
            </w:r>
            <w:r>
              <w:rPr>
                <w:rFonts w:hint="eastAsia"/>
                <w:color w:val="auto"/>
                <w:sz w:val="24"/>
              </w:rPr>
              <w:t>0.13</w:t>
            </w:r>
            <w:r>
              <w:rPr>
                <w:color w:val="auto"/>
                <w:sz w:val="24"/>
              </w:rPr>
              <w:t>kg/d，即</w:t>
            </w:r>
            <w:r>
              <w:rPr>
                <w:rFonts w:hint="eastAsia"/>
                <w:color w:val="auto"/>
                <w:sz w:val="24"/>
              </w:rPr>
              <w:t>47.45</w:t>
            </w:r>
            <w:r>
              <w:rPr>
                <w:color w:val="auto"/>
                <w:sz w:val="24"/>
              </w:rPr>
              <w:t>kg</w:t>
            </w:r>
            <w:r>
              <w:rPr>
                <w:rFonts w:hint="eastAsia"/>
                <w:color w:val="auto"/>
                <w:sz w:val="24"/>
              </w:rPr>
              <w:t>/</w:t>
            </w:r>
            <w:r>
              <w:rPr>
                <w:color w:val="auto"/>
                <w:sz w:val="24"/>
              </w:rPr>
              <w:t>a</w:t>
            </w:r>
            <w:r>
              <w:rPr>
                <w:rFonts w:hint="eastAsia"/>
                <w:color w:val="auto"/>
                <w:sz w:val="24"/>
              </w:rPr>
              <w:t>。</w:t>
            </w:r>
            <w:r>
              <w:rPr>
                <w:color w:val="auto"/>
                <w:sz w:val="24"/>
              </w:rPr>
              <w:t>废油脂产生量按用油量的10%计算，则产生量为</w:t>
            </w:r>
            <w:r>
              <w:rPr>
                <w:rFonts w:hint="eastAsia"/>
                <w:color w:val="auto"/>
                <w:sz w:val="24"/>
              </w:rPr>
              <w:t>4.75</w:t>
            </w:r>
            <w:r>
              <w:rPr>
                <w:color w:val="auto"/>
                <w:sz w:val="24"/>
              </w:rPr>
              <w:t>kg</w:t>
            </w:r>
            <w:r>
              <w:rPr>
                <w:rFonts w:hint="eastAsia"/>
                <w:color w:val="auto"/>
                <w:sz w:val="24"/>
              </w:rPr>
              <w:t>/</w:t>
            </w:r>
            <w:r>
              <w:rPr>
                <w:color w:val="auto"/>
                <w:sz w:val="24"/>
              </w:rPr>
              <w:t>a，</w:t>
            </w:r>
            <w:r>
              <w:rPr>
                <w:rFonts w:hint="eastAsia"/>
                <w:color w:val="auto"/>
                <w:sz w:val="24"/>
              </w:rPr>
              <w:t>经现场踏勘，</w:t>
            </w:r>
            <w:r>
              <w:rPr>
                <w:color w:val="auto"/>
                <w:sz w:val="24"/>
              </w:rPr>
              <w:t>废油脂</w:t>
            </w:r>
            <w:r>
              <w:rPr>
                <w:rFonts w:hint="eastAsia"/>
                <w:color w:val="auto"/>
                <w:sz w:val="24"/>
              </w:rPr>
              <w:t>经已有的</w:t>
            </w:r>
            <w:r>
              <w:rPr>
                <w:color w:val="auto"/>
                <w:sz w:val="24"/>
              </w:rPr>
              <w:t>1个泔水收集桶与</w:t>
            </w:r>
            <w:r>
              <w:rPr>
                <w:rFonts w:hint="eastAsia"/>
                <w:color w:val="auto"/>
                <w:sz w:val="24"/>
              </w:rPr>
              <w:t>食堂</w:t>
            </w:r>
            <w:r>
              <w:rPr>
                <w:color w:val="auto"/>
                <w:sz w:val="24"/>
              </w:rPr>
              <w:t>泔水一起收集后</w:t>
            </w:r>
            <w:r>
              <w:rPr>
                <w:rFonts w:hint="eastAsia"/>
                <w:color w:val="auto"/>
                <w:sz w:val="24"/>
              </w:rPr>
              <w:t>由附近农户带走喂猪。</w:t>
            </w:r>
          </w:p>
          <w:p w14:paraId="4DE43A4A">
            <w:pPr>
              <w:pStyle w:val="56"/>
              <w:ind w:firstLine="470"/>
              <w:jc w:val="left"/>
              <w:rPr>
                <w:rFonts w:hint="eastAsia" w:ascii="宋体" w:hAnsi="宋体" w:eastAsia="宋体" w:cs="宋体"/>
                <w:color w:val="auto"/>
                <w:sz w:val="24"/>
                <w:szCs w:val="24"/>
              </w:rPr>
            </w:pPr>
            <w:r>
              <w:rPr>
                <w:rFonts w:hint="eastAsia" w:ascii="宋体" w:hAnsi="宋体" w:eastAsia="宋体" w:cs="宋体"/>
                <w:color w:val="auto"/>
                <w:sz w:val="24"/>
                <w:szCs w:val="24"/>
              </w:rPr>
              <w:t>现有项目运营期污染物产排情况汇总详见下表：</w:t>
            </w:r>
          </w:p>
          <w:p w14:paraId="479CF995">
            <w:pPr>
              <w:jc w:val="center"/>
              <w:rPr>
                <w:rFonts w:hint="eastAsia" w:hAnsi="宋体"/>
                <w:b/>
                <w:color w:val="auto"/>
                <w:sz w:val="24"/>
              </w:rPr>
            </w:pPr>
            <w:r>
              <w:rPr>
                <w:rFonts w:hAnsi="宋体"/>
                <w:b/>
                <w:color w:val="auto"/>
                <w:sz w:val="24"/>
              </w:rPr>
              <w:t>表</w:t>
            </w:r>
            <w:r>
              <w:rPr>
                <w:rFonts w:hint="eastAsia"/>
                <w:b/>
                <w:color w:val="auto"/>
                <w:sz w:val="24"/>
              </w:rPr>
              <w:t>2</w:t>
            </w:r>
            <w:r>
              <w:rPr>
                <w:b/>
                <w:color w:val="auto"/>
                <w:sz w:val="24"/>
              </w:rPr>
              <w:t>-</w:t>
            </w:r>
            <w:r>
              <w:rPr>
                <w:rFonts w:hint="eastAsia"/>
                <w:b/>
                <w:color w:val="auto"/>
                <w:sz w:val="24"/>
              </w:rPr>
              <w:t>34</w:t>
            </w:r>
            <w:r>
              <w:rPr>
                <w:b/>
                <w:color w:val="auto"/>
                <w:sz w:val="24"/>
              </w:rPr>
              <w:t xml:space="preserve">  </w:t>
            </w:r>
            <w:r>
              <w:rPr>
                <w:rFonts w:hint="eastAsia" w:hAnsi="宋体"/>
                <w:b/>
                <w:color w:val="auto"/>
                <w:sz w:val="24"/>
              </w:rPr>
              <w:t>现有项目</w:t>
            </w:r>
            <w:r>
              <w:rPr>
                <w:rFonts w:hAnsi="宋体"/>
                <w:b/>
                <w:color w:val="auto"/>
                <w:sz w:val="24"/>
              </w:rPr>
              <w:t>污染物产排情况汇总表</w:t>
            </w:r>
          </w:p>
          <w:tbl>
            <w:tblPr>
              <w:tblStyle w:val="33"/>
              <w:tblW w:w="807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07"/>
              <w:gridCol w:w="2125"/>
              <w:gridCol w:w="1062"/>
              <w:gridCol w:w="271"/>
              <w:gridCol w:w="792"/>
              <w:gridCol w:w="1443"/>
              <w:gridCol w:w="1479"/>
            </w:tblGrid>
            <w:tr w14:paraId="6DE45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1" w:hRule="atLeast"/>
                <w:jc w:val="center"/>
              </w:trPr>
              <w:tc>
                <w:tcPr>
                  <w:tcW w:w="907" w:type="dxa"/>
                  <w:vAlign w:val="center"/>
                </w:tcPr>
                <w:p w14:paraId="6C1F94A7">
                  <w:pPr>
                    <w:snapToGrid w:val="0"/>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rPr>
                    <w:t>类别</w:t>
                  </w:r>
                </w:p>
              </w:tc>
              <w:tc>
                <w:tcPr>
                  <w:tcW w:w="2125" w:type="dxa"/>
                  <w:vAlign w:val="center"/>
                </w:tcPr>
                <w:p w14:paraId="1296CE78">
                  <w:pPr>
                    <w:snapToGrid w:val="0"/>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rPr>
                    <w:t>分区</w:t>
                  </w:r>
                </w:p>
              </w:tc>
              <w:tc>
                <w:tcPr>
                  <w:tcW w:w="2125" w:type="dxa"/>
                  <w:gridSpan w:val="3"/>
                  <w:vAlign w:val="center"/>
                </w:tcPr>
                <w:p w14:paraId="3E7B988D">
                  <w:pPr>
                    <w:snapToGrid w:val="0"/>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rPr>
                    <w:t>污染物</w:t>
                  </w:r>
                </w:p>
              </w:tc>
              <w:tc>
                <w:tcPr>
                  <w:tcW w:w="1443" w:type="dxa"/>
                  <w:vAlign w:val="center"/>
                </w:tcPr>
                <w:p w14:paraId="26983397">
                  <w:pPr>
                    <w:snapToGrid w:val="0"/>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rPr>
                    <w:t>产生量</w:t>
                  </w:r>
                </w:p>
              </w:tc>
              <w:tc>
                <w:tcPr>
                  <w:tcW w:w="1479" w:type="dxa"/>
                  <w:vAlign w:val="center"/>
                </w:tcPr>
                <w:p w14:paraId="37FFDD94">
                  <w:pPr>
                    <w:snapToGrid w:val="0"/>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rPr>
                    <w:t>排放量</w:t>
                  </w:r>
                </w:p>
              </w:tc>
            </w:tr>
            <w:tr w14:paraId="3FC6C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3" w:hRule="atLeast"/>
                <w:jc w:val="center"/>
              </w:trPr>
              <w:tc>
                <w:tcPr>
                  <w:tcW w:w="907" w:type="dxa"/>
                  <w:vMerge w:val="restart"/>
                  <w:vAlign w:val="center"/>
                </w:tcPr>
                <w:p w14:paraId="6C50EC54">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废气</w:t>
                  </w:r>
                </w:p>
              </w:tc>
              <w:tc>
                <w:tcPr>
                  <w:tcW w:w="2125" w:type="dxa"/>
                  <w:vMerge w:val="restart"/>
                  <w:vAlign w:val="center"/>
                </w:tcPr>
                <w:p w14:paraId="7787526A">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纳古卫生院</w:t>
                  </w:r>
                </w:p>
              </w:tc>
              <w:tc>
                <w:tcPr>
                  <w:tcW w:w="1062" w:type="dxa"/>
                  <w:vMerge w:val="restart"/>
                  <w:vAlign w:val="center"/>
                </w:tcPr>
                <w:p w14:paraId="1D71AF1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恶臭</w:t>
                  </w:r>
                </w:p>
              </w:tc>
              <w:tc>
                <w:tcPr>
                  <w:tcW w:w="1063" w:type="dxa"/>
                  <w:gridSpan w:val="2"/>
                  <w:vAlign w:val="center"/>
                </w:tcPr>
                <w:p w14:paraId="2D578FBA">
                  <w:pPr>
                    <w:snapToGrid w:val="0"/>
                    <w:jc w:val="center"/>
                    <w:rPr>
                      <w:rFonts w:hint="eastAsia" w:ascii="宋体" w:hAnsi="宋体" w:cs="宋体"/>
                      <w:snapToGrid w:val="0"/>
                      <w:color w:val="auto"/>
                      <w:kern w:val="0"/>
                      <w:szCs w:val="21"/>
                    </w:rPr>
                  </w:pPr>
                  <w:r>
                    <w:rPr>
                      <w:color w:val="auto"/>
                      <w:szCs w:val="21"/>
                    </w:rPr>
                    <w:t>NH</w:t>
                  </w:r>
                  <w:r>
                    <w:rPr>
                      <w:color w:val="auto"/>
                      <w:szCs w:val="21"/>
                      <w:vertAlign w:val="subscript"/>
                    </w:rPr>
                    <w:t>3</w:t>
                  </w:r>
                </w:p>
              </w:tc>
              <w:tc>
                <w:tcPr>
                  <w:tcW w:w="1443" w:type="dxa"/>
                  <w:vAlign w:val="center"/>
                </w:tcPr>
                <w:p w14:paraId="1331A226">
                  <w:pPr>
                    <w:jc w:val="center"/>
                    <w:rPr>
                      <w:rFonts w:hint="eastAsia" w:ascii="宋体" w:hAnsi="宋体" w:cs="宋体"/>
                      <w:snapToGrid w:val="0"/>
                      <w:color w:val="auto"/>
                      <w:kern w:val="0"/>
                      <w:szCs w:val="21"/>
                    </w:rPr>
                  </w:pPr>
                  <w:r>
                    <w:rPr>
                      <w:rFonts w:hint="eastAsia"/>
                      <w:color w:val="auto"/>
                      <w:szCs w:val="21"/>
                    </w:rPr>
                    <w:t>0.0012</w:t>
                  </w:r>
                </w:p>
              </w:tc>
              <w:tc>
                <w:tcPr>
                  <w:tcW w:w="1479" w:type="dxa"/>
                  <w:vAlign w:val="center"/>
                </w:tcPr>
                <w:p w14:paraId="72263B88">
                  <w:pPr>
                    <w:jc w:val="center"/>
                    <w:rPr>
                      <w:rFonts w:hint="eastAsia" w:ascii="宋体" w:hAnsi="宋体" w:cs="宋体"/>
                      <w:snapToGrid w:val="0"/>
                      <w:color w:val="auto"/>
                      <w:kern w:val="0"/>
                      <w:szCs w:val="21"/>
                    </w:rPr>
                  </w:pPr>
                  <w:r>
                    <w:rPr>
                      <w:rFonts w:hint="eastAsia"/>
                      <w:color w:val="auto"/>
                      <w:szCs w:val="21"/>
                    </w:rPr>
                    <w:t>0.00048</w:t>
                  </w:r>
                </w:p>
              </w:tc>
            </w:tr>
            <w:tr w14:paraId="73606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3" w:hRule="atLeast"/>
                <w:jc w:val="center"/>
              </w:trPr>
              <w:tc>
                <w:tcPr>
                  <w:tcW w:w="907" w:type="dxa"/>
                  <w:vMerge w:val="continue"/>
                  <w:vAlign w:val="center"/>
                </w:tcPr>
                <w:p w14:paraId="478BB5DF">
                  <w:pPr>
                    <w:snapToGrid w:val="0"/>
                    <w:jc w:val="center"/>
                    <w:rPr>
                      <w:color w:val="auto"/>
                    </w:rPr>
                  </w:pPr>
                </w:p>
              </w:tc>
              <w:tc>
                <w:tcPr>
                  <w:tcW w:w="2125" w:type="dxa"/>
                  <w:vMerge w:val="continue"/>
                  <w:vAlign w:val="center"/>
                </w:tcPr>
                <w:p w14:paraId="55CD0DDE">
                  <w:pPr>
                    <w:snapToGrid w:val="0"/>
                    <w:jc w:val="center"/>
                    <w:rPr>
                      <w:color w:val="auto"/>
                    </w:rPr>
                  </w:pPr>
                </w:p>
              </w:tc>
              <w:tc>
                <w:tcPr>
                  <w:tcW w:w="1062" w:type="dxa"/>
                  <w:vMerge w:val="continue"/>
                  <w:vAlign w:val="center"/>
                </w:tcPr>
                <w:p w14:paraId="3699E008">
                  <w:pPr>
                    <w:snapToGrid w:val="0"/>
                    <w:jc w:val="center"/>
                    <w:rPr>
                      <w:color w:val="auto"/>
                    </w:rPr>
                  </w:pPr>
                </w:p>
              </w:tc>
              <w:tc>
                <w:tcPr>
                  <w:tcW w:w="1063" w:type="dxa"/>
                  <w:gridSpan w:val="2"/>
                  <w:vAlign w:val="center"/>
                </w:tcPr>
                <w:p w14:paraId="48345957">
                  <w:pPr>
                    <w:snapToGrid w:val="0"/>
                    <w:jc w:val="center"/>
                    <w:rPr>
                      <w:rFonts w:hint="eastAsia" w:ascii="宋体" w:hAnsi="宋体" w:cs="宋体"/>
                      <w:snapToGrid w:val="0"/>
                      <w:color w:val="auto"/>
                      <w:kern w:val="0"/>
                      <w:szCs w:val="21"/>
                    </w:rPr>
                  </w:pPr>
                  <w:r>
                    <w:rPr>
                      <w:color w:val="auto"/>
                      <w:szCs w:val="21"/>
                    </w:rPr>
                    <w:t>H</w:t>
                  </w:r>
                  <w:r>
                    <w:rPr>
                      <w:color w:val="auto"/>
                      <w:szCs w:val="21"/>
                      <w:vertAlign w:val="subscript"/>
                    </w:rPr>
                    <w:t>2</w:t>
                  </w:r>
                  <w:r>
                    <w:rPr>
                      <w:color w:val="auto"/>
                      <w:szCs w:val="21"/>
                    </w:rPr>
                    <w:t>S</w:t>
                  </w:r>
                </w:p>
              </w:tc>
              <w:tc>
                <w:tcPr>
                  <w:tcW w:w="1443" w:type="dxa"/>
                  <w:vAlign w:val="center"/>
                </w:tcPr>
                <w:p w14:paraId="1B542E8E">
                  <w:pPr>
                    <w:jc w:val="center"/>
                    <w:rPr>
                      <w:rFonts w:hint="eastAsia" w:ascii="宋体" w:hAnsi="宋体" w:cs="宋体"/>
                      <w:snapToGrid w:val="0"/>
                      <w:color w:val="auto"/>
                      <w:kern w:val="0"/>
                      <w:szCs w:val="21"/>
                    </w:rPr>
                  </w:pPr>
                  <w:r>
                    <w:rPr>
                      <w:rFonts w:hint="eastAsia"/>
                      <w:color w:val="auto"/>
                      <w:szCs w:val="21"/>
                    </w:rPr>
                    <w:t>0.000046</w:t>
                  </w:r>
                </w:p>
              </w:tc>
              <w:tc>
                <w:tcPr>
                  <w:tcW w:w="1479" w:type="dxa"/>
                  <w:vAlign w:val="center"/>
                </w:tcPr>
                <w:p w14:paraId="078AD029">
                  <w:pPr>
                    <w:jc w:val="center"/>
                    <w:rPr>
                      <w:rFonts w:hint="eastAsia" w:ascii="宋体" w:hAnsi="宋体" w:cs="宋体"/>
                      <w:snapToGrid w:val="0"/>
                      <w:color w:val="auto"/>
                      <w:kern w:val="0"/>
                      <w:szCs w:val="21"/>
                    </w:rPr>
                  </w:pPr>
                  <w:r>
                    <w:rPr>
                      <w:rFonts w:hint="eastAsia"/>
                      <w:color w:val="auto"/>
                      <w:szCs w:val="21"/>
                    </w:rPr>
                    <w:t>0.000018</w:t>
                  </w:r>
                </w:p>
              </w:tc>
            </w:tr>
            <w:tr w14:paraId="0B60D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55880B0F">
                  <w:pPr>
                    <w:snapToGrid w:val="0"/>
                    <w:jc w:val="center"/>
                    <w:rPr>
                      <w:rFonts w:hint="eastAsia" w:ascii="宋体" w:hAnsi="宋体" w:cs="宋体"/>
                      <w:snapToGrid w:val="0"/>
                      <w:color w:val="auto"/>
                      <w:kern w:val="0"/>
                      <w:szCs w:val="21"/>
                    </w:rPr>
                  </w:pPr>
                </w:p>
              </w:tc>
              <w:tc>
                <w:tcPr>
                  <w:tcW w:w="2125" w:type="dxa"/>
                  <w:vMerge w:val="continue"/>
                  <w:vAlign w:val="center"/>
                </w:tcPr>
                <w:p w14:paraId="5F1D350F">
                  <w:pPr>
                    <w:snapToGrid w:val="0"/>
                    <w:jc w:val="center"/>
                    <w:rPr>
                      <w:rFonts w:hint="eastAsia" w:ascii="宋体" w:hAnsi="宋体" w:cs="宋体"/>
                      <w:snapToGrid w:val="0"/>
                      <w:color w:val="auto"/>
                      <w:kern w:val="0"/>
                      <w:szCs w:val="21"/>
                    </w:rPr>
                  </w:pPr>
                </w:p>
              </w:tc>
              <w:tc>
                <w:tcPr>
                  <w:tcW w:w="2125" w:type="dxa"/>
                  <w:gridSpan w:val="3"/>
                  <w:vAlign w:val="center"/>
                </w:tcPr>
                <w:p w14:paraId="7E896EE4">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汽车尾气</w:t>
                  </w:r>
                </w:p>
              </w:tc>
              <w:tc>
                <w:tcPr>
                  <w:tcW w:w="1443" w:type="dxa"/>
                  <w:vAlign w:val="center"/>
                </w:tcPr>
                <w:p w14:paraId="797016F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5C2ED2F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62BA6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1D1B6F59">
                  <w:pPr>
                    <w:snapToGrid w:val="0"/>
                    <w:jc w:val="center"/>
                    <w:rPr>
                      <w:rFonts w:hint="eastAsia" w:ascii="宋体" w:hAnsi="宋体" w:cs="宋体"/>
                      <w:snapToGrid w:val="0"/>
                      <w:color w:val="auto"/>
                      <w:kern w:val="0"/>
                      <w:szCs w:val="21"/>
                    </w:rPr>
                  </w:pPr>
                </w:p>
              </w:tc>
              <w:tc>
                <w:tcPr>
                  <w:tcW w:w="2125" w:type="dxa"/>
                  <w:vMerge w:val="continue"/>
                  <w:vAlign w:val="center"/>
                </w:tcPr>
                <w:p w14:paraId="408B7CE1">
                  <w:pPr>
                    <w:snapToGrid w:val="0"/>
                    <w:jc w:val="center"/>
                    <w:rPr>
                      <w:rFonts w:hint="eastAsia" w:ascii="宋体" w:hAnsi="宋体" w:cs="宋体"/>
                      <w:snapToGrid w:val="0"/>
                      <w:color w:val="auto"/>
                      <w:kern w:val="0"/>
                      <w:szCs w:val="21"/>
                    </w:rPr>
                  </w:pPr>
                </w:p>
              </w:tc>
              <w:tc>
                <w:tcPr>
                  <w:tcW w:w="2125" w:type="dxa"/>
                  <w:gridSpan w:val="3"/>
                  <w:vAlign w:val="center"/>
                </w:tcPr>
                <w:p w14:paraId="42428B8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备用柴油发电机废气</w:t>
                  </w:r>
                </w:p>
              </w:tc>
              <w:tc>
                <w:tcPr>
                  <w:tcW w:w="1443" w:type="dxa"/>
                  <w:vAlign w:val="center"/>
                </w:tcPr>
                <w:p w14:paraId="0DEF479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2F9ADA6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3CA5A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2532C09A">
                  <w:pPr>
                    <w:snapToGrid w:val="0"/>
                    <w:jc w:val="center"/>
                    <w:rPr>
                      <w:rFonts w:hint="eastAsia" w:ascii="宋体" w:hAnsi="宋体" w:cs="宋体"/>
                      <w:snapToGrid w:val="0"/>
                      <w:color w:val="auto"/>
                      <w:kern w:val="0"/>
                      <w:szCs w:val="21"/>
                    </w:rPr>
                  </w:pPr>
                </w:p>
              </w:tc>
              <w:tc>
                <w:tcPr>
                  <w:tcW w:w="2125" w:type="dxa"/>
                  <w:vMerge w:val="restart"/>
                  <w:vAlign w:val="center"/>
                </w:tcPr>
                <w:p w14:paraId="27138A9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四街卫生院</w:t>
                  </w:r>
                </w:p>
              </w:tc>
              <w:tc>
                <w:tcPr>
                  <w:tcW w:w="2125" w:type="dxa"/>
                  <w:gridSpan w:val="3"/>
                  <w:vAlign w:val="center"/>
                </w:tcPr>
                <w:p w14:paraId="33B7C67A">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恶臭</w:t>
                  </w:r>
                </w:p>
              </w:tc>
              <w:tc>
                <w:tcPr>
                  <w:tcW w:w="1443" w:type="dxa"/>
                  <w:vAlign w:val="center"/>
                </w:tcPr>
                <w:p w14:paraId="2C45FC1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13E4693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544AC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A129E0F">
                  <w:pPr>
                    <w:snapToGrid w:val="0"/>
                    <w:jc w:val="center"/>
                    <w:rPr>
                      <w:rFonts w:hint="eastAsia" w:ascii="宋体" w:hAnsi="宋体" w:cs="宋体"/>
                      <w:snapToGrid w:val="0"/>
                      <w:color w:val="auto"/>
                      <w:kern w:val="0"/>
                      <w:szCs w:val="21"/>
                    </w:rPr>
                  </w:pPr>
                </w:p>
              </w:tc>
              <w:tc>
                <w:tcPr>
                  <w:tcW w:w="2125" w:type="dxa"/>
                  <w:vMerge w:val="continue"/>
                  <w:vAlign w:val="center"/>
                </w:tcPr>
                <w:p w14:paraId="77468847">
                  <w:pPr>
                    <w:snapToGrid w:val="0"/>
                    <w:jc w:val="center"/>
                    <w:rPr>
                      <w:rFonts w:hint="eastAsia" w:ascii="宋体" w:hAnsi="宋体" w:cs="宋体"/>
                      <w:snapToGrid w:val="0"/>
                      <w:color w:val="auto"/>
                      <w:kern w:val="0"/>
                      <w:szCs w:val="21"/>
                    </w:rPr>
                  </w:pPr>
                </w:p>
              </w:tc>
              <w:tc>
                <w:tcPr>
                  <w:tcW w:w="2125" w:type="dxa"/>
                  <w:gridSpan w:val="3"/>
                  <w:vAlign w:val="center"/>
                </w:tcPr>
                <w:p w14:paraId="67E6FC09">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食堂油烟</w:t>
                  </w:r>
                </w:p>
              </w:tc>
              <w:tc>
                <w:tcPr>
                  <w:tcW w:w="1443" w:type="dxa"/>
                  <w:vAlign w:val="center"/>
                </w:tcPr>
                <w:p w14:paraId="235FC30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1.46</w:t>
                  </w:r>
                  <w:r>
                    <w:rPr>
                      <w:rFonts w:hint="eastAsia" w:ascii="宋体" w:hAnsi="宋体" w:cs="宋体"/>
                      <w:color w:val="auto"/>
                      <w:szCs w:val="21"/>
                    </w:rPr>
                    <w:t>kg/a</w:t>
                  </w:r>
                </w:p>
              </w:tc>
              <w:tc>
                <w:tcPr>
                  <w:tcW w:w="1479" w:type="dxa"/>
                  <w:vAlign w:val="center"/>
                </w:tcPr>
                <w:p w14:paraId="2BC8E01F">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0.51kg/a</w:t>
                  </w:r>
                </w:p>
              </w:tc>
            </w:tr>
            <w:tr w14:paraId="1AA91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53EE21B1">
                  <w:pPr>
                    <w:snapToGrid w:val="0"/>
                    <w:jc w:val="center"/>
                    <w:rPr>
                      <w:rFonts w:hint="eastAsia" w:ascii="宋体" w:hAnsi="宋体" w:cs="宋体"/>
                      <w:snapToGrid w:val="0"/>
                      <w:color w:val="auto"/>
                      <w:kern w:val="0"/>
                      <w:szCs w:val="21"/>
                    </w:rPr>
                  </w:pPr>
                </w:p>
              </w:tc>
              <w:tc>
                <w:tcPr>
                  <w:tcW w:w="2125" w:type="dxa"/>
                  <w:vMerge w:val="continue"/>
                  <w:vAlign w:val="center"/>
                </w:tcPr>
                <w:p w14:paraId="718F57BE">
                  <w:pPr>
                    <w:snapToGrid w:val="0"/>
                    <w:jc w:val="center"/>
                    <w:rPr>
                      <w:rFonts w:hint="eastAsia" w:ascii="宋体" w:hAnsi="宋体" w:cs="宋体"/>
                      <w:snapToGrid w:val="0"/>
                      <w:color w:val="auto"/>
                      <w:kern w:val="0"/>
                      <w:szCs w:val="21"/>
                    </w:rPr>
                  </w:pPr>
                </w:p>
              </w:tc>
              <w:tc>
                <w:tcPr>
                  <w:tcW w:w="2125" w:type="dxa"/>
                  <w:gridSpan w:val="3"/>
                  <w:vAlign w:val="center"/>
                </w:tcPr>
                <w:p w14:paraId="23260910">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汽车尾气</w:t>
                  </w:r>
                </w:p>
              </w:tc>
              <w:tc>
                <w:tcPr>
                  <w:tcW w:w="1443" w:type="dxa"/>
                  <w:vAlign w:val="center"/>
                </w:tcPr>
                <w:p w14:paraId="05367A2A">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15F95E73">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39826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63C96E79">
                  <w:pPr>
                    <w:snapToGrid w:val="0"/>
                    <w:jc w:val="center"/>
                    <w:rPr>
                      <w:rFonts w:hint="eastAsia" w:ascii="宋体" w:hAnsi="宋体" w:cs="宋体"/>
                      <w:snapToGrid w:val="0"/>
                      <w:color w:val="auto"/>
                      <w:kern w:val="0"/>
                      <w:szCs w:val="21"/>
                    </w:rPr>
                  </w:pPr>
                </w:p>
              </w:tc>
              <w:tc>
                <w:tcPr>
                  <w:tcW w:w="2125" w:type="dxa"/>
                  <w:vMerge w:val="continue"/>
                  <w:vAlign w:val="center"/>
                </w:tcPr>
                <w:p w14:paraId="41A00461">
                  <w:pPr>
                    <w:snapToGrid w:val="0"/>
                    <w:jc w:val="center"/>
                    <w:rPr>
                      <w:rFonts w:hint="eastAsia" w:ascii="宋体" w:hAnsi="宋体" w:cs="宋体"/>
                      <w:snapToGrid w:val="0"/>
                      <w:color w:val="auto"/>
                      <w:kern w:val="0"/>
                      <w:szCs w:val="21"/>
                    </w:rPr>
                  </w:pPr>
                </w:p>
              </w:tc>
              <w:tc>
                <w:tcPr>
                  <w:tcW w:w="2125" w:type="dxa"/>
                  <w:gridSpan w:val="3"/>
                  <w:vAlign w:val="center"/>
                </w:tcPr>
                <w:p w14:paraId="32D4D0B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备用柴油发电机废气</w:t>
                  </w:r>
                </w:p>
              </w:tc>
              <w:tc>
                <w:tcPr>
                  <w:tcW w:w="1443" w:type="dxa"/>
                  <w:vAlign w:val="center"/>
                </w:tcPr>
                <w:p w14:paraId="295796EF">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204606DF">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78A05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5BB96FA9">
                  <w:pPr>
                    <w:snapToGrid w:val="0"/>
                    <w:jc w:val="center"/>
                    <w:rPr>
                      <w:rFonts w:hint="eastAsia" w:ascii="宋体" w:hAnsi="宋体" w:cs="宋体"/>
                      <w:snapToGrid w:val="0"/>
                      <w:color w:val="auto"/>
                      <w:kern w:val="0"/>
                      <w:szCs w:val="21"/>
                    </w:rPr>
                  </w:pPr>
                </w:p>
              </w:tc>
              <w:tc>
                <w:tcPr>
                  <w:tcW w:w="2125" w:type="dxa"/>
                  <w:vMerge w:val="restart"/>
                  <w:vAlign w:val="center"/>
                </w:tcPr>
                <w:p w14:paraId="73FD8B78">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九龙卫生院</w:t>
                  </w:r>
                </w:p>
              </w:tc>
              <w:tc>
                <w:tcPr>
                  <w:tcW w:w="2125" w:type="dxa"/>
                  <w:gridSpan w:val="3"/>
                  <w:vAlign w:val="center"/>
                </w:tcPr>
                <w:p w14:paraId="60DC7C11">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恶臭</w:t>
                  </w:r>
                </w:p>
              </w:tc>
              <w:tc>
                <w:tcPr>
                  <w:tcW w:w="1443" w:type="dxa"/>
                  <w:vAlign w:val="center"/>
                </w:tcPr>
                <w:p w14:paraId="0590939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167A9B31">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100BF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9EAF085">
                  <w:pPr>
                    <w:snapToGrid w:val="0"/>
                    <w:jc w:val="center"/>
                    <w:rPr>
                      <w:rFonts w:hint="eastAsia" w:ascii="宋体" w:hAnsi="宋体" w:cs="宋体"/>
                      <w:snapToGrid w:val="0"/>
                      <w:color w:val="auto"/>
                      <w:kern w:val="0"/>
                      <w:szCs w:val="21"/>
                    </w:rPr>
                  </w:pPr>
                </w:p>
              </w:tc>
              <w:tc>
                <w:tcPr>
                  <w:tcW w:w="2125" w:type="dxa"/>
                  <w:vMerge w:val="continue"/>
                  <w:vAlign w:val="center"/>
                </w:tcPr>
                <w:p w14:paraId="0519E547">
                  <w:pPr>
                    <w:snapToGrid w:val="0"/>
                    <w:jc w:val="center"/>
                    <w:rPr>
                      <w:rFonts w:hint="eastAsia" w:ascii="宋体" w:hAnsi="宋体" w:cs="宋体"/>
                      <w:snapToGrid w:val="0"/>
                      <w:color w:val="auto"/>
                      <w:kern w:val="0"/>
                      <w:szCs w:val="21"/>
                    </w:rPr>
                  </w:pPr>
                </w:p>
              </w:tc>
              <w:tc>
                <w:tcPr>
                  <w:tcW w:w="2125" w:type="dxa"/>
                  <w:gridSpan w:val="3"/>
                  <w:vAlign w:val="center"/>
                </w:tcPr>
                <w:p w14:paraId="4D7D88C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食堂油烟</w:t>
                  </w:r>
                </w:p>
              </w:tc>
              <w:tc>
                <w:tcPr>
                  <w:tcW w:w="1443" w:type="dxa"/>
                  <w:vAlign w:val="center"/>
                </w:tcPr>
                <w:p w14:paraId="63F5AFD5">
                  <w:pPr>
                    <w:snapToGrid w:val="0"/>
                    <w:jc w:val="center"/>
                    <w:rPr>
                      <w:rFonts w:hint="eastAsia" w:ascii="宋体" w:hAnsi="宋体" w:cs="宋体"/>
                      <w:snapToGrid w:val="0"/>
                      <w:color w:val="auto"/>
                      <w:kern w:val="0"/>
                      <w:szCs w:val="21"/>
                    </w:rPr>
                  </w:pPr>
                  <w:r>
                    <w:rPr>
                      <w:rFonts w:hint="eastAsia" w:ascii="宋体" w:hAnsi="宋体" w:cs="宋体"/>
                      <w:color w:val="auto"/>
                      <w:szCs w:val="21"/>
                    </w:rPr>
                    <w:t>1.095kg/a</w:t>
                  </w:r>
                </w:p>
              </w:tc>
              <w:tc>
                <w:tcPr>
                  <w:tcW w:w="1479" w:type="dxa"/>
                  <w:vAlign w:val="center"/>
                </w:tcPr>
                <w:p w14:paraId="63676148">
                  <w:pPr>
                    <w:snapToGrid w:val="0"/>
                    <w:jc w:val="center"/>
                    <w:rPr>
                      <w:rFonts w:hint="eastAsia" w:ascii="宋体" w:hAnsi="宋体" w:cs="宋体"/>
                      <w:snapToGrid w:val="0"/>
                      <w:color w:val="auto"/>
                      <w:kern w:val="0"/>
                      <w:szCs w:val="21"/>
                    </w:rPr>
                  </w:pPr>
                  <w:r>
                    <w:rPr>
                      <w:rFonts w:hint="eastAsia" w:ascii="宋体" w:hAnsi="宋体" w:cs="宋体"/>
                      <w:color w:val="auto"/>
                      <w:szCs w:val="21"/>
                    </w:rPr>
                    <w:t>0.38kg/a</w:t>
                  </w:r>
                </w:p>
              </w:tc>
            </w:tr>
            <w:tr w14:paraId="740C6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72A359D">
                  <w:pPr>
                    <w:snapToGrid w:val="0"/>
                    <w:jc w:val="center"/>
                    <w:rPr>
                      <w:rFonts w:hint="eastAsia" w:ascii="宋体" w:hAnsi="宋体" w:cs="宋体"/>
                      <w:snapToGrid w:val="0"/>
                      <w:color w:val="auto"/>
                      <w:kern w:val="0"/>
                      <w:szCs w:val="21"/>
                    </w:rPr>
                  </w:pPr>
                </w:p>
              </w:tc>
              <w:tc>
                <w:tcPr>
                  <w:tcW w:w="2125" w:type="dxa"/>
                  <w:vMerge w:val="continue"/>
                  <w:vAlign w:val="center"/>
                </w:tcPr>
                <w:p w14:paraId="69579D3A">
                  <w:pPr>
                    <w:snapToGrid w:val="0"/>
                    <w:jc w:val="center"/>
                    <w:rPr>
                      <w:rFonts w:hint="eastAsia" w:ascii="宋体" w:hAnsi="宋体" w:cs="宋体"/>
                      <w:snapToGrid w:val="0"/>
                      <w:color w:val="auto"/>
                      <w:kern w:val="0"/>
                      <w:szCs w:val="21"/>
                    </w:rPr>
                  </w:pPr>
                </w:p>
              </w:tc>
              <w:tc>
                <w:tcPr>
                  <w:tcW w:w="2125" w:type="dxa"/>
                  <w:gridSpan w:val="3"/>
                  <w:vAlign w:val="center"/>
                </w:tcPr>
                <w:p w14:paraId="6137A810">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汽车尾气</w:t>
                  </w:r>
                </w:p>
              </w:tc>
              <w:tc>
                <w:tcPr>
                  <w:tcW w:w="1443" w:type="dxa"/>
                  <w:vAlign w:val="center"/>
                </w:tcPr>
                <w:p w14:paraId="2F376087">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7A7EF86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4DD3D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1BD91D42">
                  <w:pPr>
                    <w:snapToGrid w:val="0"/>
                    <w:jc w:val="center"/>
                    <w:rPr>
                      <w:rFonts w:hint="eastAsia" w:ascii="宋体" w:hAnsi="宋体" w:cs="宋体"/>
                      <w:snapToGrid w:val="0"/>
                      <w:color w:val="auto"/>
                      <w:kern w:val="0"/>
                      <w:szCs w:val="21"/>
                    </w:rPr>
                  </w:pPr>
                </w:p>
              </w:tc>
              <w:tc>
                <w:tcPr>
                  <w:tcW w:w="2125" w:type="dxa"/>
                  <w:vMerge w:val="continue"/>
                  <w:vAlign w:val="center"/>
                </w:tcPr>
                <w:p w14:paraId="73442D7D">
                  <w:pPr>
                    <w:snapToGrid w:val="0"/>
                    <w:jc w:val="center"/>
                    <w:rPr>
                      <w:rFonts w:hint="eastAsia" w:ascii="宋体" w:hAnsi="宋体" w:cs="宋体"/>
                      <w:snapToGrid w:val="0"/>
                      <w:color w:val="auto"/>
                      <w:kern w:val="0"/>
                      <w:szCs w:val="21"/>
                    </w:rPr>
                  </w:pPr>
                </w:p>
              </w:tc>
              <w:tc>
                <w:tcPr>
                  <w:tcW w:w="2125" w:type="dxa"/>
                  <w:gridSpan w:val="3"/>
                  <w:vAlign w:val="center"/>
                </w:tcPr>
                <w:p w14:paraId="1991FD50">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备用柴油发电机废气</w:t>
                  </w:r>
                </w:p>
              </w:tc>
              <w:tc>
                <w:tcPr>
                  <w:tcW w:w="1443" w:type="dxa"/>
                  <w:vAlign w:val="center"/>
                </w:tcPr>
                <w:p w14:paraId="10AFA4E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3D57012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5BF5A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3" w:hRule="atLeast"/>
                <w:jc w:val="center"/>
              </w:trPr>
              <w:tc>
                <w:tcPr>
                  <w:tcW w:w="907" w:type="dxa"/>
                  <w:vMerge w:val="continue"/>
                  <w:vAlign w:val="center"/>
                </w:tcPr>
                <w:p w14:paraId="539CAA1D">
                  <w:pPr>
                    <w:snapToGrid w:val="0"/>
                    <w:jc w:val="center"/>
                    <w:rPr>
                      <w:rFonts w:hint="eastAsia" w:ascii="宋体" w:hAnsi="宋体" w:cs="宋体"/>
                      <w:snapToGrid w:val="0"/>
                      <w:color w:val="auto"/>
                      <w:kern w:val="0"/>
                      <w:szCs w:val="21"/>
                    </w:rPr>
                  </w:pPr>
                </w:p>
              </w:tc>
              <w:tc>
                <w:tcPr>
                  <w:tcW w:w="2125" w:type="dxa"/>
                  <w:vMerge w:val="restart"/>
                  <w:vAlign w:val="center"/>
                </w:tcPr>
                <w:p w14:paraId="3C370E73">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杨广卫生院</w:t>
                  </w:r>
                </w:p>
              </w:tc>
              <w:tc>
                <w:tcPr>
                  <w:tcW w:w="1062" w:type="dxa"/>
                  <w:vMerge w:val="restart"/>
                  <w:vAlign w:val="center"/>
                </w:tcPr>
                <w:p w14:paraId="27322B8B">
                  <w:pPr>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恶臭</w:t>
                  </w:r>
                </w:p>
              </w:tc>
              <w:tc>
                <w:tcPr>
                  <w:tcW w:w="1063" w:type="dxa"/>
                  <w:gridSpan w:val="2"/>
                  <w:vAlign w:val="center"/>
                </w:tcPr>
                <w:p w14:paraId="4ABD3E33">
                  <w:pPr>
                    <w:snapToGrid w:val="0"/>
                    <w:jc w:val="center"/>
                    <w:rPr>
                      <w:rFonts w:hint="eastAsia" w:ascii="宋体" w:hAnsi="宋体" w:cs="宋体"/>
                      <w:snapToGrid w:val="0"/>
                      <w:color w:val="auto"/>
                      <w:kern w:val="0"/>
                      <w:szCs w:val="21"/>
                    </w:rPr>
                  </w:pPr>
                  <w:r>
                    <w:rPr>
                      <w:color w:val="auto"/>
                      <w:szCs w:val="21"/>
                    </w:rPr>
                    <w:t>NH</w:t>
                  </w:r>
                  <w:r>
                    <w:rPr>
                      <w:color w:val="auto"/>
                      <w:szCs w:val="21"/>
                      <w:vertAlign w:val="subscript"/>
                    </w:rPr>
                    <w:t>3</w:t>
                  </w:r>
                </w:p>
              </w:tc>
              <w:tc>
                <w:tcPr>
                  <w:tcW w:w="1443" w:type="dxa"/>
                  <w:vAlign w:val="center"/>
                </w:tcPr>
                <w:p w14:paraId="59080809">
                  <w:pPr>
                    <w:jc w:val="center"/>
                    <w:rPr>
                      <w:rFonts w:hint="eastAsia" w:ascii="宋体" w:hAnsi="宋体" w:cs="宋体"/>
                      <w:snapToGrid w:val="0"/>
                      <w:color w:val="auto"/>
                      <w:kern w:val="0"/>
                      <w:szCs w:val="21"/>
                    </w:rPr>
                  </w:pPr>
                  <w:r>
                    <w:rPr>
                      <w:rFonts w:hint="eastAsia"/>
                      <w:color w:val="auto"/>
                      <w:szCs w:val="21"/>
                    </w:rPr>
                    <w:t>0.00104</w:t>
                  </w:r>
                </w:p>
              </w:tc>
              <w:tc>
                <w:tcPr>
                  <w:tcW w:w="1479" w:type="dxa"/>
                  <w:vAlign w:val="center"/>
                </w:tcPr>
                <w:p w14:paraId="2429357C">
                  <w:pPr>
                    <w:jc w:val="center"/>
                    <w:rPr>
                      <w:rFonts w:hint="eastAsia" w:ascii="宋体" w:hAnsi="宋体" w:cs="宋体"/>
                      <w:snapToGrid w:val="0"/>
                      <w:color w:val="auto"/>
                      <w:kern w:val="0"/>
                      <w:szCs w:val="21"/>
                    </w:rPr>
                  </w:pPr>
                  <w:r>
                    <w:rPr>
                      <w:rFonts w:hint="eastAsia"/>
                      <w:color w:val="auto"/>
                      <w:szCs w:val="21"/>
                    </w:rPr>
                    <w:t>0.00042</w:t>
                  </w:r>
                </w:p>
              </w:tc>
            </w:tr>
            <w:tr w14:paraId="2B3C6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3" w:hRule="atLeast"/>
                <w:jc w:val="center"/>
              </w:trPr>
              <w:tc>
                <w:tcPr>
                  <w:tcW w:w="907" w:type="dxa"/>
                  <w:vMerge w:val="continue"/>
                  <w:vAlign w:val="center"/>
                </w:tcPr>
                <w:p w14:paraId="79D41B5E">
                  <w:pPr>
                    <w:jc w:val="center"/>
                    <w:rPr>
                      <w:color w:val="auto"/>
                    </w:rPr>
                  </w:pPr>
                </w:p>
              </w:tc>
              <w:tc>
                <w:tcPr>
                  <w:tcW w:w="2125" w:type="dxa"/>
                  <w:vMerge w:val="continue"/>
                  <w:vAlign w:val="center"/>
                </w:tcPr>
                <w:p w14:paraId="592AEA85">
                  <w:pPr>
                    <w:jc w:val="center"/>
                    <w:rPr>
                      <w:color w:val="auto"/>
                    </w:rPr>
                  </w:pPr>
                </w:p>
              </w:tc>
              <w:tc>
                <w:tcPr>
                  <w:tcW w:w="1062" w:type="dxa"/>
                  <w:vMerge w:val="continue"/>
                  <w:vAlign w:val="center"/>
                </w:tcPr>
                <w:p w14:paraId="5E73D671">
                  <w:pPr>
                    <w:jc w:val="center"/>
                    <w:rPr>
                      <w:color w:val="auto"/>
                    </w:rPr>
                  </w:pPr>
                </w:p>
              </w:tc>
              <w:tc>
                <w:tcPr>
                  <w:tcW w:w="1063" w:type="dxa"/>
                  <w:gridSpan w:val="2"/>
                  <w:vAlign w:val="center"/>
                </w:tcPr>
                <w:p w14:paraId="1CF69CFF">
                  <w:pPr>
                    <w:snapToGrid w:val="0"/>
                    <w:jc w:val="center"/>
                    <w:rPr>
                      <w:rFonts w:hint="eastAsia" w:ascii="宋体" w:hAnsi="宋体" w:cs="宋体"/>
                      <w:snapToGrid w:val="0"/>
                      <w:color w:val="auto"/>
                      <w:kern w:val="0"/>
                      <w:szCs w:val="21"/>
                    </w:rPr>
                  </w:pPr>
                  <w:r>
                    <w:rPr>
                      <w:color w:val="auto"/>
                      <w:szCs w:val="21"/>
                    </w:rPr>
                    <w:t>H</w:t>
                  </w:r>
                  <w:r>
                    <w:rPr>
                      <w:color w:val="auto"/>
                      <w:szCs w:val="21"/>
                      <w:vertAlign w:val="subscript"/>
                    </w:rPr>
                    <w:t>2</w:t>
                  </w:r>
                  <w:r>
                    <w:rPr>
                      <w:color w:val="auto"/>
                      <w:szCs w:val="21"/>
                    </w:rPr>
                    <w:t>S</w:t>
                  </w:r>
                </w:p>
              </w:tc>
              <w:tc>
                <w:tcPr>
                  <w:tcW w:w="1443" w:type="dxa"/>
                  <w:vAlign w:val="center"/>
                </w:tcPr>
                <w:p w14:paraId="3BF1A459">
                  <w:pPr>
                    <w:jc w:val="center"/>
                    <w:rPr>
                      <w:rFonts w:hint="eastAsia" w:ascii="宋体" w:hAnsi="宋体" w:cs="宋体"/>
                      <w:snapToGrid w:val="0"/>
                      <w:color w:val="auto"/>
                      <w:kern w:val="0"/>
                      <w:szCs w:val="21"/>
                    </w:rPr>
                  </w:pPr>
                  <w:r>
                    <w:rPr>
                      <w:rFonts w:hint="eastAsia"/>
                      <w:color w:val="auto"/>
                      <w:szCs w:val="21"/>
                    </w:rPr>
                    <w:t>0.00004</w:t>
                  </w:r>
                </w:p>
              </w:tc>
              <w:tc>
                <w:tcPr>
                  <w:tcW w:w="1479" w:type="dxa"/>
                  <w:vAlign w:val="center"/>
                </w:tcPr>
                <w:p w14:paraId="403ACFA3">
                  <w:pPr>
                    <w:jc w:val="center"/>
                    <w:rPr>
                      <w:rFonts w:hint="eastAsia" w:ascii="宋体" w:hAnsi="宋体" w:cs="宋体"/>
                      <w:snapToGrid w:val="0"/>
                      <w:color w:val="auto"/>
                      <w:kern w:val="0"/>
                      <w:szCs w:val="21"/>
                    </w:rPr>
                  </w:pPr>
                  <w:r>
                    <w:rPr>
                      <w:rFonts w:hint="eastAsia"/>
                      <w:color w:val="auto"/>
                      <w:szCs w:val="21"/>
                    </w:rPr>
                    <w:t>0.000016</w:t>
                  </w:r>
                </w:p>
              </w:tc>
            </w:tr>
            <w:tr w14:paraId="3FAA3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47B658B1">
                  <w:pPr>
                    <w:snapToGrid w:val="0"/>
                    <w:jc w:val="center"/>
                    <w:rPr>
                      <w:rFonts w:hint="eastAsia" w:ascii="宋体" w:hAnsi="宋体" w:cs="宋体"/>
                      <w:snapToGrid w:val="0"/>
                      <w:color w:val="auto"/>
                      <w:kern w:val="0"/>
                      <w:szCs w:val="21"/>
                    </w:rPr>
                  </w:pPr>
                </w:p>
              </w:tc>
              <w:tc>
                <w:tcPr>
                  <w:tcW w:w="2125" w:type="dxa"/>
                  <w:vMerge w:val="continue"/>
                  <w:vAlign w:val="center"/>
                </w:tcPr>
                <w:p w14:paraId="39755F7C">
                  <w:pPr>
                    <w:snapToGrid w:val="0"/>
                    <w:jc w:val="center"/>
                    <w:rPr>
                      <w:rFonts w:hint="eastAsia" w:ascii="宋体" w:hAnsi="宋体" w:cs="宋体"/>
                      <w:snapToGrid w:val="0"/>
                      <w:color w:val="auto"/>
                      <w:kern w:val="0"/>
                      <w:szCs w:val="21"/>
                    </w:rPr>
                  </w:pPr>
                </w:p>
              </w:tc>
              <w:tc>
                <w:tcPr>
                  <w:tcW w:w="2125" w:type="dxa"/>
                  <w:gridSpan w:val="3"/>
                  <w:vAlign w:val="center"/>
                </w:tcPr>
                <w:p w14:paraId="66DCE213">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食堂油烟</w:t>
                  </w:r>
                </w:p>
              </w:tc>
              <w:tc>
                <w:tcPr>
                  <w:tcW w:w="1443" w:type="dxa"/>
                  <w:vAlign w:val="center"/>
                </w:tcPr>
                <w:p w14:paraId="42D9DE6D">
                  <w:pPr>
                    <w:snapToGrid w:val="0"/>
                    <w:jc w:val="center"/>
                    <w:rPr>
                      <w:rFonts w:hint="eastAsia" w:ascii="宋体" w:hAnsi="宋体" w:cs="宋体"/>
                      <w:snapToGrid w:val="0"/>
                      <w:color w:val="auto"/>
                      <w:kern w:val="0"/>
                      <w:szCs w:val="21"/>
                    </w:rPr>
                  </w:pPr>
                  <w:r>
                    <w:rPr>
                      <w:rFonts w:hint="eastAsia" w:ascii="宋体" w:hAnsi="宋体" w:cs="宋体"/>
                      <w:color w:val="auto"/>
                      <w:szCs w:val="21"/>
                    </w:rPr>
                    <w:t>1.351kg/a</w:t>
                  </w:r>
                </w:p>
              </w:tc>
              <w:tc>
                <w:tcPr>
                  <w:tcW w:w="1479" w:type="dxa"/>
                  <w:vAlign w:val="center"/>
                </w:tcPr>
                <w:p w14:paraId="3B36C82D">
                  <w:pPr>
                    <w:snapToGrid w:val="0"/>
                    <w:jc w:val="center"/>
                    <w:rPr>
                      <w:rFonts w:hint="eastAsia" w:ascii="宋体" w:hAnsi="宋体" w:cs="宋体"/>
                      <w:snapToGrid w:val="0"/>
                      <w:color w:val="auto"/>
                      <w:kern w:val="0"/>
                      <w:szCs w:val="21"/>
                    </w:rPr>
                  </w:pPr>
                  <w:r>
                    <w:rPr>
                      <w:rFonts w:hint="eastAsia" w:ascii="宋体" w:hAnsi="宋体" w:cs="宋体"/>
                      <w:color w:val="auto"/>
                      <w:szCs w:val="21"/>
                    </w:rPr>
                    <w:t>0.47kg/a</w:t>
                  </w:r>
                </w:p>
              </w:tc>
            </w:tr>
            <w:tr w14:paraId="66C30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7F569B29">
                  <w:pPr>
                    <w:snapToGrid w:val="0"/>
                    <w:jc w:val="center"/>
                    <w:rPr>
                      <w:rFonts w:hint="eastAsia" w:ascii="宋体" w:hAnsi="宋体" w:cs="宋体"/>
                      <w:snapToGrid w:val="0"/>
                      <w:color w:val="auto"/>
                      <w:kern w:val="0"/>
                      <w:szCs w:val="21"/>
                    </w:rPr>
                  </w:pPr>
                </w:p>
              </w:tc>
              <w:tc>
                <w:tcPr>
                  <w:tcW w:w="2125" w:type="dxa"/>
                  <w:vMerge w:val="continue"/>
                  <w:vAlign w:val="center"/>
                </w:tcPr>
                <w:p w14:paraId="388B72E6">
                  <w:pPr>
                    <w:snapToGrid w:val="0"/>
                    <w:jc w:val="center"/>
                    <w:rPr>
                      <w:rFonts w:hint="eastAsia" w:ascii="宋体" w:hAnsi="宋体" w:cs="宋体"/>
                      <w:snapToGrid w:val="0"/>
                      <w:color w:val="auto"/>
                      <w:kern w:val="0"/>
                      <w:szCs w:val="21"/>
                    </w:rPr>
                  </w:pPr>
                </w:p>
              </w:tc>
              <w:tc>
                <w:tcPr>
                  <w:tcW w:w="2125" w:type="dxa"/>
                  <w:gridSpan w:val="3"/>
                  <w:vAlign w:val="center"/>
                </w:tcPr>
                <w:p w14:paraId="58C3B6E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汽车尾气</w:t>
                  </w:r>
                </w:p>
              </w:tc>
              <w:tc>
                <w:tcPr>
                  <w:tcW w:w="1443" w:type="dxa"/>
                  <w:vAlign w:val="center"/>
                </w:tcPr>
                <w:p w14:paraId="674C6B1F">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79B66EB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6B87E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61F37503">
                  <w:pPr>
                    <w:snapToGrid w:val="0"/>
                    <w:jc w:val="center"/>
                    <w:rPr>
                      <w:rFonts w:hint="eastAsia" w:ascii="宋体" w:hAnsi="宋体" w:cs="宋体"/>
                      <w:snapToGrid w:val="0"/>
                      <w:color w:val="auto"/>
                      <w:kern w:val="0"/>
                      <w:szCs w:val="21"/>
                    </w:rPr>
                  </w:pPr>
                </w:p>
              </w:tc>
              <w:tc>
                <w:tcPr>
                  <w:tcW w:w="2125" w:type="dxa"/>
                  <w:vMerge w:val="continue"/>
                  <w:vAlign w:val="center"/>
                </w:tcPr>
                <w:p w14:paraId="53DCEF1F">
                  <w:pPr>
                    <w:snapToGrid w:val="0"/>
                    <w:jc w:val="center"/>
                    <w:rPr>
                      <w:rFonts w:hint="eastAsia" w:ascii="宋体" w:hAnsi="宋体" w:cs="宋体"/>
                      <w:snapToGrid w:val="0"/>
                      <w:color w:val="auto"/>
                      <w:kern w:val="0"/>
                      <w:szCs w:val="21"/>
                    </w:rPr>
                  </w:pPr>
                </w:p>
              </w:tc>
              <w:tc>
                <w:tcPr>
                  <w:tcW w:w="2125" w:type="dxa"/>
                  <w:gridSpan w:val="3"/>
                  <w:vAlign w:val="center"/>
                </w:tcPr>
                <w:p w14:paraId="5DCE5BD7">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备用柴油发电机废气</w:t>
                  </w:r>
                </w:p>
              </w:tc>
              <w:tc>
                <w:tcPr>
                  <w:tcW w:w="1443" w:type="dxa"/>
                  <w:vAlign w:val="center"/>
                </w:tcPr>
                <w:p w14:paraId="50A6304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1297FB14">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1D788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restart"/>
                  <w:vAlign w:val="center"/>
                </w:tcPr>
                <w:p w14:paraId="56BB29E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废水</w:t>
                  </w:r>
                </w:p>
              </w:tc>
              <w:tc>
                <w:tcPr>
                  <w:tcW w:w="2125" w:type="dxa"/>
                  <w:vMerge w:val="restart"/>
                  <w:vAlign w:val="center"/>
                </w:tcPr>
                <w:p w14:paraId="654308F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纳古卫生院</w:t>
                  </w:r>
                </w:p>
              </w:tc>
              <w:tc>
                <w:tcPr>
                  <w:tcW w:w="2125" w:type="dxa"/>
                  <w:gridSpan w:val="3"/>
                  <w:vAlign w:val="center"/>
                </w:tcPr>
                <w:p w14:paraId="57BCA0B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废水量</w:t>
                  </w:r>
                </w:p>
              </w:tc>
              <w:tc>
                <w:tcPr>
                  <w:tcW w:w="1443" w:type="dxa"/>
                  <w:vAlign w:val="center"/>
                </w:tcPr>
                <w:p w14:paraId="7A6F296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2774</w:t>
                  </w:r>
                  <w:r>
                    <w:rPr>
                      <w:rFonts w:hint="eastAsia" w:ascii="宋体" w:hAnsi="宋体" w:cs="宋体"/>
                      <w:color w:val="auto"/>
                      <w:szCs w:val="21"/>
                    </w:rPr>
                    <w:t>t/a</w:t>
                  </w:r>
                </w:p>
              </w:tc>
              <w:tc>
                <w:tcPr>
                  <w:tcW w:w="1479" w:type="dxa"/>
                  <w:vAlign w:val="center"/>
                </w:tcPr>
                <w:p w14:paraId="159558B3">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2774</w:t>
                  </w:r>
                  <w:r>
                    <w:rPr>
                      <w:rFonts w:hint="eastAsia" w:ascii="宋体" w:hAnsi="宋体" w:cs="宋体"/>
                      <w:color w:val="auto"/>
                      <w:szCs w:val="21"/>
                    </w:rPr>
                    <w:t>t/a</w:t>
                  </w:r>
                </w:p>
              </w:tc>
            </w:tr>
            <w:tr w14:paraId="5B6B4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420DAF3">
                  <w:pPr>
                    <w:snapToGrid w:val="0"/>
                    <w:jc w:val="center"/>
                    <w:rPr>
                      <w:rFonts w:hint="eastAsia" w:ascii="宋体" w:hAnsi="宋体" w:cs="宋体"/>
                      <w:snapToGrid w:val="0"/>
                      <w:color w:val="auto"/>
                      <w:kern w:val="0"/>
                      <w:szCs w:val="21"/>
                    </w:rPr>
                  </w:pPr>
                </w:p>
              </w:tc>
              <w:tc>
                <w:tcPr>
                  <w:tcW w:w="2125" w:type="dxa"/>
                  <w:vMerge w:val="continue"/>
                  <w:vAlign w:val="center"/>
                </w:tcPr>
                <w:p w14:paraId="6B7C5E49">
                  <w:pPr>
                    <w:snapToGrid w:val="0"/>
                    <w:jc w:val="center"/>
                    <w:rPr>
                      <w:rFonts w:hint="eastAsia" w:ascii="宋体" w:hAnsi="宋体" w:cs="宋体"/>
                      <w:snapToGrid w:val="0"/>
                      <w:color w:val="auto"/>
                      <w:kern w:val="0"/>
                      <w:szCs w:val="21"/>
                    </w:rPr>
                  </w:pPr>
                </w:p>
              </w:tc>
              <w:tc>
                <w:tcPr>
                  <w:tcW w:w="2125" w:type="dxa"/>
                  <w:gridSpan w:val="3"/>
                  <w:vAlign w:val="center"/>
                </w:tcPr>
                <w:p w14:paraId="1D3A17B3">
                  <w:pPr>
                    <w:snapToGrid w:val="0"/>
                    <w:jc w:val="center"/>
                    <w:rPr>
                      <w:rFonts w:hint="eastAsia" w:ascii="宋体" w:hAnsi="宋体" w:cs="宋体"/>
                      <w:snapToGrid w:val="0"/>
                      <w:color w:val="auto"/>
                      <w:kern w:val="0"/>
                      <w:szCs w:val="21"/>
                    </w:rPr>
                  </w:pPr>
                  <w:r>
                    <w:rPr>
                      <w:snapToGrid w:val="0"/>
                      <w:color w:val="auto"/>
                      <w:kern w:val="0"/>
                      <w:szCs w:val="21"/>
                    </w:rPr>
                    <w:t>CODcr</w:t>
                  </w:r>
                </w:p>
              </w:tc>
              <w:tc>
                <w:tcPr>
                  <w:tcW w:w="1443" w:type="dxa"/>
                  <w:vAlign w:val="center"/>
                </w:tcPr>
                <w:p w14:paraId="58ABE73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0.915</w:t>
                  </w:r>
                  <w:r>
                    <w:rPr>
                      <w:rFonts w:hint="eastAsia" w:ascii="宋体" w:hAnsi="宋体" w:cs="宋体"/>
                      <w:color w:val="auto"/>
                      <w:szCs w:val="21"/>
                    </w:rPr>
                    <w:t>t/a</w:t>
                  </w:r>
                </w:p>
              </w:tc>
              <w:tc>
                <w:tcPr>
                  <w:tcW w:w="1479" w:type="dxa"/>
                  <w:vAlign w:val="center"/>
                </w:tcPr>
                <w:p w14:paraId="55D159B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0.061</w:t>
                  </w:r>
                  <w:r>
                    <w:rPr>
                      <w:rFonts w:hint="eastAsia" w:ascii="宋体" w:hAnsi="宋体" w:cs="宋体"/>
                      <w:color w:val="auto"/>
                      <w:szCs w:val="21"/>
                    </w:rPr>
                    <w:t>t/a</w:t>
                  </w:r>
                </w:p>
              </w:tc>
            </w:tr>
            <w:tr w14:paraId="78D5A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DB03A88">
                  <w:pPr>
                    <w:snapToGrid w:val="0"/>
                    <w:jc w:val="center"/>
                    <w:rPr>
                      <w:rFonts w:hint="eastAsia" w:ascii="宋体" w:hAnsi="宋体" w:cs="宋体"/>
                      <w:snapToGrid w:val="0"/>
                      <w:color w:val="auto"/>
                      <w:kern w:val="0"/>
                      <w:szCs w:val="21"/>
                    </w:rPr>
                  </w:pPr>
                </w:p>
              </w:tc>
              <w:tc>
                <w:tcPr>
                  <w:tcW w:w="2125" w:type="dxa"/>
                  <w:vMerge w:val="continue"/>
                  <w:vAlign w:val="center"/>
                </w:tcPr>
                <w:p w14:paraId="2CC2400F">
                  <w:pPr>
                    <w:snapToGrid w:val="0"/>
                    <w:jc w:val="center"/>
                    <w:rPr>
                      <w:rFonts w:hint="eastAsia" w:ascii="宋体" w:hAnsi="宋体" w:cs="宋体"/>
                      <w:snapToGrid w:val="0"/>
                      <w:color w:val="auto"/>
                      <w:kern w:val="0"/>
                      <w:szCs w:val="21"/>
                    </w:rPr>
                  </w:pPr>
                </w:p>
              </w:tc>
              <w:tc>
                <w:tcPr>
                  <w:tcW w:w="2125" w:type="dxa"/>
                  <w:gridSpan w:val="3"/>
                  <w:vAlign w:val="center"/>
                </w:tcPr>
                <w:p w14:paraId="33205252">
                  <w:pPr>
                    <w:snapToGrid w:val="0"/>
                    <w:jc w:val="center"/>
                    <w:rPr>
                      <w:rFonts w:hint="eastAsia" w:ascii="宋体" w:hAnsi="宋体" w:cs="宋体"/>
                      <w:snapToGrid w:val="0"/>
                      <w:color w:val="auto"/>
                      <w:kern w:val="0"/>
                      <w:szCs w:val="21"/>
                    </w:rPr>
                  </w:pPr>
                  <w:r>
                    <w:rPr>
                      <w:snapToGrid w:val="0"/>
                      <w:color w:val="auto"/>
                      <w:kern w:val="0"/>
                      <w:szCs w:val="21"/>
                    </w:rPr>
                    <w:t>BOD</w:t>
                  </w:r>
                  <w:r>
                    <w:rPr>
                      <w:snapToGrid w:val="0"/>
                      <w:color w:val="auto"/>
                      <w:kern w:val="0"/>
                      <w:szCs w:val="21"/>
                      <w:vertAlign w:val="subscript"/>
                    </w:rPr>
                    <w:t>5</w:t>
                  </w:r>
                </w:p>
              </w:tc>
              <w:tc>
                <w:tcPr>
                  <w:tcW w:w="1443" w:type="dxa"/>
                  <w:vAlign w:val="center"/>
                </w:tcPr>
                <w:p w14:paraId="7A02E994">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0.416</w:t>
                  </w:r>
                  <w:r>
                    <w:rPr>
                      <w:rFonts w:hint="eastAsia" w:ascii="宋体" w:hAnsi="宋体" w:cs="宋体"/>
                      <w:color w:val="auto"/>
                      <w:szCs w:val="21"/>
                    </w:rPr>
                    <w:t>t/a</w:t>
                  </w:r>
                </w:p>
              </w:tc>
              <w:tc>
                <w:tcPr>
                  <w:tcW w:w="1479" w:type="dxa"/>
                  <w:vAlign w:val="center"/>
                </w:tcPr>
                <w:p w14:paraId="5CC7D224">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0.012</w:t>
                  </w:r>
                  <w:r>
                    <w:rPr>
                      <w:rFonts w:hint="eastAsia" w:ascii="宋体" w:hAnsi="宋体" w:cs="宋体"/>
                      <w:color w:val="auto"/>
                      <w:szCs w:val="21"/>
                    </w:rPr>
                    <w:t>t/a</w:t>
                  </w:r>
                </w:p>
              </w:tc>
            </w:tr>
            <w:tr w14:paraId="28044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77BBCCC">
                  <w:pPr>
                    <w:snapToGrid w:val="0"/>
                    <w:jc w:val="center"/>
                    <w:rPr>
                      <w:rFonts w:hint="eastAsia" w:ascii="宋体" w:hAnsi="宋体" w:cs="宋体"/>
                      <w:snapToGrid w:val="0"/>
                      <w:color w:val="auto"/>
                      <w:kern w:val="0"/>
                      <w:szCs w:val="21"/>
                    </w:rPr>
                  </w:pPr>
                </w:p>
              </w:tc>
              <w:tc>
                <w:tcPr>
                  <w:tcW w:w="2125" w:type="dxa"/>
                  <w:vMerge w:val="continue"/>
                  <w:vAlign w:val="center"/>
                </w:tcPr>
                <w:p w14:paraId="2106A85E">
                  <w:pPr>
                    <w:snapToGrid w:val="0"/>
                    <w:jc w:val="center"/>
                    <w:rPr>
                      <w:rFonts w:hint="eastAsia" w:ascii="宋体" w:hAnsi="宋体" w:cs="宋体"/>
                      <w:snapToGrid w:val="0"/>
                      <w:color w:val="auto"/>
                      <w:kern w:val="0"/>
                      <w:szCs w:val="21"/>
                    </w:rPr>
                  </w:pPr>
                </w:p>
              </w:tc>
              <w:tc>
                <w:tcPr>
                  <w:tcW w:w="2125" w:type="dxa"/>
                  <w:gridSpan w:val="3"/>
                  <w:vAlign w:val="center"/>
                </w:tcPr>
                <w:p w14:paraId="1775D1DA">
                  <w:pPr>
                    <w:snapToGrid w:val="0"/>
                    <w:jc w:val="center"/>
                    <w:rPr>
                      <w:rFonts w:hint="eastAsia" w:ascii="宋体" w:hAnsi="宋体" w:cs="宋体"/>
                      <w:snapToGrid w:val="0"/>
                      <w:color w:val="auto"/>
                      <w:kern w:val="0"/>
                      <w:szCs w:val="21"/>
                    </w:rPr>
                  </w:pPr>
                  <w:r>
                    <w:rPr>
                      <w:color w:val="auto"/>
                      <w:szCs w:val="21"/>
                    </w:rPr>
                    <w:t>SS</w:t>
                  </w:r>
                </w:p>
              </w:tc>
              <w:tc>
                <w:tcPr>
                  <w:tcW w:w="1443" w:type="dxa"/>
                  <w:vAlign w:val="center"/>
                </w:tcPr>
                <w:p w14:paraId="1E005869">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0.332</w:t>
                  </w:r>
                  <w:r>
                    <w:rPr>
                      <w:rFonts w:hint="eastAsia" w:ascii="宋体" w:hAnsi="宋体" w:cs="宋体"/>
                      <w:color w:val="auto"/>
                      <w:szCs w:val="21"/>
                    </w:rPr>
                    <w:t>t/a</w:t>
                  </w:r>
                </w:p>
              </w:tc>
              <w:tc>
                <w:tcPr>
                  <w:tcW w:w="1479" w:type="dxa"/>
                  <w:vAlign w:val="center"/>
                </w:tcPr>
                <w:p w14:paraId="0E4C812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0.025</w:t>
                  </w:r>
                  <w:r>
                    <w:rPr>
                      <w:rFonts w:hint="eastAsia" w:ascii="宋体" w:hAnsi="宋体" w:cs="宋体"/>
                      <w:color w:val="auto"/>
                      <w:szCs w:val="21"/>
                    </w:rPr>
                    <w:t>t/a</w:t>
                  </w:r>
                </w:p>
              </w:tc>
            </w:tr>
            <w:tr w14:paraId="5C901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46BE586E">
                  <w:pPr>
                    <w:snapToGrid w:val="0"/>
                    <w:jc w:val="center"/>
                    <w:rPr>
                      <w:rFonts w:hint="eastAsia" w:ascii="宋体" w:hAnsi="宋体" w:cs="宋体"/>
                      <w:snapToGrid w:val="0"/>
                      <w:color w:val="auto"/>
                      <w:kern w:val="0"/>
                      <w:szCs w:val="21"/>
                    </w:rPr>
                  </w:pPr>
                </w:p>
              </w:tc>
              <w:tc>
                <w:tcPr>
                  <w:tcW w:w="2125" w:type="dxa"/>
                  <w:vMerge w:val="continue"/>
                  <w:vAlign w:val="center"/>
                </w:tcPr>
                <w:p w14:paraId="0F534EDA">
                  <w:pPr>
                    <w:snapToGrid w:val="0"/>
                    <w:jc w:val="center"/>
                    <w:rPr>
                      <w:rFonts w:hint="eastAsia" w:ascii="宋体" w:hAnsi="宋体" w:cs="宋体"/>
                      <w:snapToGrid w:val="0"/>
                      <w:color w:val="auto"/>
                      <w:kern w:val="0"/>
                      <w:szCs w:val="21"/>
                    </w:rPr>
                  </w:pPr>
                </w:p>
              </w:tc>
              <w:tc>
                <w:tcPr>
                  <w:tcW w:w="2125" w:type="dxa"/>
                  <w:gridSpan w:val="3"/>
                  <w:vAlign w:val="center"/>
                </w:tcPr>
                <w:p w14:paraId="0A04C156">
                  <w:pPr>
                    <w:snapToGrid w:val="0"/>
                    <w:jc w:val="center"/>
                    <w:rPr>
                      <w:rFonts w:hint="eastAsia" w:ascii="宋体" w:hAnsi="宋体" w:cs="宋体"/>
                      <w:snapToGrid w:val="0"/>
                      <w:color w:val="auto"/>
                      <w:kern w:val="0"/>
                      <w:szCs w:val="21"/>
                    </w:rPr>
                  </w:pPr>
                  <w:r>
                    <w:rPr>
                      <w:color w:val="auto"/>
                      <w:szCs w:val="21"/>
                    </w:rPr>
                    <w:t>NH</w:t>
                  </w:r>
                  <w:r>
                    <w:rPr>
                      <w:color w:val="auto"/>
                      <w:szCs w:val="21"/>
                      <w:vertAlign w:val="subscript"/>
                    </w:rPr>
                    <w:t>3</w:t>
                  </w:r>
                  <w:r>
                    <w:rPr>
                      <w:color w:val="auto"/>
                      <w:szCs w:val="21"/>
                    </w:rPr>
                    <w:t>-N</w:t>
                  </w:r>
                </w:p>
              </w:tc>
              <w:tc>
                <w:tcPr>
                  <w:tcW w:w="1443" w:type="dxa"/>
                  <w:vAlign w:val="center"/>
                </w:tcPr>
                <w:p w14:paraId="7379C64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0.177</w:t>
                  </w:r>
                  <w:r>
                    <w:rPr>
                      <w:rFonts w:hint="eastAsia" w:ascii="宋体" w:hAnsi="宋体" w:cs="宋体"/>
                      <w:color w:val="auto"/>
                      <w:szCs w:val="21"/>
                    </w:rPr>
                    <w:t>t/a</w:t>
                  </w:r>
                </w:p>
              </w:tc>
              <w:tc>
                <w:tcPr>
                  <w:tcW w:w="1479" w:type="dxa"/>
                  <w:vAlign w:val="center"/>
                </w:tcPr>
                <w:p w14:paraId="21B94B7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0.115</w:t>
                  </w:r>
                  <w:r>
                    <w:rPr>
                      <w:rFonts w:hint="eastAsia" w:ascii="宋体" w:hAnsi="宋体" w:cs="宋体"/>
                      <w:color w:val="auto"/>
                      <w:szCs w:val="21"/>
                    </w:rPr>
                    <w:t>t/a</w:t>
                  </w:r>
                </w:p>
              </w:tc>
            </w:tr>
            <w:tr w14:paraId="10582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907" w:type="dxa"/>
                  <w:vMerge w:val="continue"/>
                  <w:vAlign w:val="center"/>
                </w:tcPr>
                <w:p w14:paraId="1E90F039">
                  <w:pPr>
                    <w:snapToGrid w:val="0"/>
                    <w:jc w:val="center"/>
                    <w:rPr>
                      <w:rFonts w:hint="eastAsia" w:ascii="宋体" w:hAnsi="宋体" w:cs="宋体"/>
                      <w:snapToGrid w:val="0"/>
                      <w:color w:val="auto"/>
                      <w:kern w:val="0"/>
                      <w:szCs w:val="21"/>
                    </w:rPr>
                  </w:pPr>
                </w:p>
              </w:tc>
              <w:tc>
                <w:tcPr>
                  <w:tcW w:w="2125" w:type="dxa"/>
                  <w:vMerge w:val="restart"/>
                  <w:vAlign w:val="center"/>
                </w:tcPr>
                <w:p w14:paraId="395C873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四街卫生院</w:t>
                  </w:r>
                </w:p>
              </w:tc>
              <w:tc>
                <w:tcPr>
                  <w:tcW w:w="2125" w:type="dxa"/>
                  <w:gridSpan w:val="3"/>
                  <w:vAlign w:val="center"/>
                </w:tcPr>
                <w:p w14:paraId="2DBBE78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废水量</w:t>
                  </w:r>
                </w:p>
              </w:tc>
              <w:tc>
                <w:tcPr>
                  <w:tcW w:w="1443" w:type="dxa"/>
                  <w:vAlign w:val="center"/>
                </w:tcPr>
                <w:p w14:paraId="1CAEEA43">
                  <w:pPr>
                    <w:snapToGrid w:val="0"/>
                    <w:jc w:val="center"/>
                    <w:rPr>
                      <w:rFonts w:hint="eastAsia" w:ascii="宋体" w:hAnsi="宋体" w:cs="宋体"/>
                      <w:snapToGrid w:val="0"/>
                      <w:color w:val="auto"/>
                      <w:kern w:val="0"/>
                      <w:szCs w:val="21"/>
                    </w:rPr>
                  </w:pPr>
                  <w:r>
                    <w:rPr>
                      <w:rFonts w:hint="eastAsia" w:ascii="宋体" w:hAnsi="宋体" w:cs="宋体"/>
                      <w:color w:val="auto"/>
                      <w:szCs w:val="21"/>
                    </w:rPr>
                    <w:t>2764.51t/a</w:t>
                  </w:r>
                </w:p>
              </w:tc>
              <w:tc>
                <w:tcPr>
                  <w:tcW w:w="1479" w:type="dxa"/>
                  <w:vAlign w:val="center"/>
                </w:tcPr>
                <w:p w14:paraId="7D5DBE3D">
                  <w:pPr>
                    <w:snapToGrid w:val="0"/>
                    <w:jc w:val="center"/>
                    <w:rPr>
                      <w:rFonts w:hint="eastAsia" w:ascii="宋体" w:hAnsi="宋体" w:cs="宋体"/>
                      <w:snapToGrid w:val="0"/>
                      <w:color w:val="auto"/>
                      <w:kern w:val="0"/>
                      <w:szCs w:val="21"/>
                    </w:rPr>
                  </w:pPr>
                  <w:r>
                    <w:rPr>
                      <w:rFonts w:hint="eastAsia" w:ascii="宋体" w:hAnsi="宋体" w:cs="宋体"/>
                      <w:color w:val="auto"/>
                      <w:szCs w:val="21"/>
                    </w:rPr>
                    <w:t>2764.51t/a</w:t>
                  </w:r>
                </w:p>
              </w:tc>
            </w:tr>
            <w:tr w14:paraId="126F7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2135C558">
                  <w:pPr>
                    <w:snapToGrid w:val="0"/>
                    <w:jc w:val="center"/>
                    <w:rPr>
                      <w:rFonts w:hint="eastAsia" w:ascii="宋体" w:hAnsi="宋体" w:cs="宋体"/>
                      <w:snapToGrid w:val="0"/>
                      <w:color w:val="auto"/>
                      <w:kern w:val="0"/>
                      <w:szCs w:val="21"/>
                    </w:rPr>
                  </w:pPr>
                </w:p>
              </w:tc>
              <w:tc>
                <w:tcPr>
                  <w:tcW w:w="2125" w:type="dxa"/>
                  <w:vMerge w:val="continue"/>
                  <w:vAlign w:val="center"/>
                </w:tcPr>
                <w:p w14:paraId="26E08E4C">
                  <w:pPr>
                    <w:snapToGrid w:val="0"/>
                    <w:jc w:val="center"/>
                    <w:rPr>
                      <w:rFonts w:hint="eastAsia" w:ascii="宋体" w:hAnsi="宋体" w:cs="宋体"/>
                      <w:snapToGrid w:val="0"/>
                      <w:color w:val="auto"/>
                      <w:kern w:val="0"/>
                      <w:szCs w:val="21"/>
                    </w:rPr>
                  </w:pPr>
                </w:p>
              </w:tc>
              <w:tc>
                <w:tcPr>
                  <w:tcW w:w="2125" w:type="dxa"/>
                  <w:gridSpan w:val="3"/>
                  <w:vAlign w:val="center"/>
                </w:tcPr>
                <w:p w14:paraId="0FBFBE79">
                  <w:pPr>
                    <w:snapToGrid w:val="0"/>
                    <w:jc w:val="center"/>
                    <w:rPr>
                      <w:rFonts w:hint="eastAsia" w:ascii="宋体" w:hAnsi="宋体" w:cs="宋体"/>
                      <w:snapToGrid w:val="0"/>
                      <w:color w:val="auto"/>
                      <w:kern w:val="0"/>
                      <w:szCs w:val="21"/>
                    </w:rPr>
                  </w:pPr>
                  <w:r>
                    <w:rPr>
                      <w:snapToGrid w:val="0"/>
                      <w:color w:val="auto"/>
                      <w:kern w:val="0"/>
                      <w:szCs w:val="21"/>
                    </w:rPr>
                    <w:t>CODcr</w:t>
                  </w:r>
                </w:p>
              </w:tc>
              <w:tc>
                <w:tcPr>
                  <w:tcW w:w="1443" w:type="dxa"/>
                  <w:vAlign w:val="center"/>
                </w:tcPr>
                <w:p w14:paraId="49FAD8A9">
                  <w:pPr>
                    <w:snapToGrid w:val="0"/>
                    <w:jc w:val="center"/>
                    <w:rPr>
                      <w:rFonts w:hint="eastAsia" w:ascii="宋体" w:hAnsi="宋体" w:cs="宋体"/>
                      <w:color w:val="auto"/>
                      <w:szCs w:val="21"/>
                    </w:rPr>
                  </w:pPr>
                  <w:r>
                    <w:rPr>
                      <w:rFonts w:hint="eastAsia" w:ascii="宋体" w:hAnsi="宋体" w:cs="宋体"/>
                      <w:color w:val="auto"/>
                      <w:szCs w:val="21"/>
                    </w:rPr>
                    <w:t>0.912t/a</w:t>
                  </w:r>
                </w:p>
              </w:tc>
              <w:tc>
                <w:tcPr>
                  <w:tcW w:w="1479" w:type="dxa"/>
                  <w:vAlign w:val="center"/>
                </w:tcPr>
                <w:p w14:paraId="3756A7C8">
                  <w:pPr>
                    <w:snapToGrid w:val="0"/>
                    <w:jc w:val="center"/>
                    <w:rPr>
                      <w:rFonts w:hint="eastAsia" w:ascii="宋体" w:hAnsi="宋体" w:cs="宋体"/>
                      <w:color w:val="auto"/>
                      <w:szCs w:val="21"/>
                    </w:rPr>
                  </w:pPr>
                  <w:r>
                    <w:rPr>
                      <w:rFonts w:hint="eastAsia" w:ascii="宋体" w:hAnsi="宋体" w:cs="宋体"/>
                      <w:color w:val="auto"/>
                      <w:szCs w:val="21"/>
                    </w:rPr>
                    <w:t>0.901t/a</w:t>
                  </w:r>
                </w:p>
              </w:tc>
            </w:tr>
            <w:tr w14:paraId="531E3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59F7A544">
                  <w:pPr>
                    <w:snapToGrid w:val="0"/>
                    <w:jc w:val="center"/>
                    <w:rPr>
                      <w:rFonts w:hint="eastAsia" w:ascii="宋体" w:hAnsi="宋体" w:cs="宋体"/>
                      <w:snapToGrid w:val="0"/>
                      <w:color w:val="auto"/>
                      <w:kern w:val="0"/>
                      <w:szCs w:val="21"/>
                    </w:rPr>
                  </w:pPr>
                </w:p>
              </w:tc>
              <w:tc>
                <w:tcPr>
                  <w:tcW w:w="2125" w:type="dxa"/>
                  <w:vMerge w:val="continue"/>
                  <w:vAlign w:val="center"/>
                </w:tcPr>
                <w:p w14:paraId="0C8BFCAB">
                  <w:pPr>
                    <w:snapToGrid w:val="0"/>
                    <w:jc w:val="center"/>
                    <w:rPr>
                      <w:rFonts w:hint="eastAsia" w:ascii="宋体" w:hAnsi="宋体" w:cs="宋体"/>
                      <w:snapToGrid w:val="0"/>
                      <w:color w:val="auto"/>
                      <w:kern w:val="0"/>
                      <w:szCs w:val="21"/>
                    </w:rPr>
                  </w:pPr>
                </w:p>
              </w:tc>
              <w:tc>
                <w:tcPr>
                  <w:tcW w:w="2125" w:type="dxa"/>
                  <w:gridSpan w:val="3"/>
                  <w:vAlign w:val="center"/>
                </w:tcPr>
                <w:p w14:paraId="7168F33A">
                  <w:pPr>
                    <w:snapToGrid w:val="0"/>
                    <w:jc w:val="center"/>
                    <w:rPr>
                      <w:rFonts w:hint="eastAsia" w:ascii="宋体" w:hAnsi="宋体" w:cs="宋体"/>
                      <w:snapToGrid w:val="0"/>
                      <w:color w:val="auto"/>
                      <w:kern w:val="0"/>
                      <w:szCs w:val="21"/>
                    </w:rPr>
                  </w:pPr>
                  <w:r>
                    <w:rPr>
                      <w:snapToGrid w:val="0"/>
                      <w:color w:val="auto"/>
                      <w:kern w:val="0"/>
                      <w:szCs w:val="21"/>
                    </w:rPr>
                    <w:t>BOD</w:t>
                  </w:r>
                  <w:r>
                    <w:rPr>
                      <w:snapToGrid w:val="0"/>
                      <w:color w:val="auto"/>
                      <w:kern w:val="0"/>
                      <w:szCs w:val="21"/>
                      <w:vertAlign w:val="subscript"/>
                    </w:rPr>
                    <w:t>5</w:t>
                  </w:r>
                </w:p>
              </w:tc>
              <w:tc>
                <w:tcPr>
                  <w:tcW w:w="1443" w:type="dxa"/>
                  <w:vAlign w:val="center"/>
                </w:tcPr>
                <w:p w14:paraId="6247E05E">
                  <w:pPr>
                    <w:snapToGrid w:val="0"/>
                    <w:jc w:val="center"/>
                    <w:rPr>
                      <w:rFonts w:hint="eastAsia" w:ascii="宋体" w:hAnsi="宋体" w:cs="宋体"/>
                      <w:color w:val="auto"/>
                      <w:szCs w:val="21"/>
                    </w:rPr>
                  </w:pPr>
                  <w:r>
                    <w:rPr>
                      <w:rFonts w:hint="eastAsia" w:ascii="宋体" w:hAnsi="宋体" w:cs="宋体"/>
                      <w:color w:val="auto"/>
                      <w:szCs w:val="21"/>
                    </w:rPr>
                    <w:t>0.415t/a</w:t>
                  </w:r>
                </w:p>
              </w:tc>
              <w:tc>
                <w:tcPr>
                  <w:tcW w:w="1479" w:type="dxa"/>
                  <w:vAlign w:val="center"/>
                </w:tcPr>
                <w:p w14:paraId="7A77705A">
                  <w:pPr>
                    <w:snapToGrid w:val="0"/>
                    <w:jc w:val="center"/>
                    <w:rPr>
                      <w:rFonts w:hint="eastAsia" w:ascii="宋体" w:hAnsi="宋体" w:cs="宋体"/>
                      <w:color w:val="auto"/>
                      <w:szCs w:val="21"/>
                    </w:rPr>
                  </w:pPr>
                  <w:r>
                    <w:rPr>
                      <w:rFonts w:hint="eastAsia" w:ascii="宋体" w:hAnsi="宋体" w:cs="宋体"/>
                      <w:color w:val="auto"/>
                      <w:szCs w:val="21"/>
                    </w:rPr>
                    <w:t>0.395t/a</w:t>
                  </w:r>
                </w:p>
              </w:tc>
            </w:tr>
            <w:tr w14:paraId="76292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4925D46F">
                  <w:pPr>
                    <w:snapToGrid w:val="0"/>
                    <w:jc w:val="center"/>
                    <w:rPr>
                      <w:rFonts w:hint="eastAsia" w:ascii="宋体" w:hAnsi="宋体" w:cs="宋体"/>
                      <w:snapToGrid w:val="0"/>
                      <w:color w:val="auto"/>
                      <w:kern w:val="0"/>
                      <w:szCs w:val="21"/>
                    </w:rPr>
                  </w:pPr>
                </w:p>
              </w:tc>
              <w:tc>
                <w:tcPr>
                  <w:tcW w:w="2125" w:type="dxa"/>
                  <w:vMerge w:val="continue"/>
                  <w:vAlign w:val="center"/>
                </w:tcPr>
                <w:p w14:paraId="4B538AE1">
                  <w:pPr>
                    <w:snapToGrid w:val="0"/>
                    <w:jc w:val="center"/>
                    <w:rPr>
                      <w:rFonts w:hint="eastAsia" w:ascii="宋体" w:hAnsi="宋体" w:cs="宋体"/>
                      <w:snapToGrid w:val="0"/>
                      <w:color w:val="auto"/>
                      <w:kern w:val="0"/>
                      <w:szCs w:val="21"/>
                    </w:rPr>
                  </w:pPr>
                </w:p>
              </w:tc>
              <w:tc>
                <w:tcPr>
                  <w:tcW w:w="2125" w:type="dxa"/>
                  <w:gridSpan w:val="3"/>
                  <w:vAlign w:val="center"/>
                </w:tcPr>
                <w:p w14:paraId="5F03AA6F">
                  <w:pPr>
                    <w:snapToGrid w:val="0"/>
                    <w:jc w:val="center"/>
                    <w:rPr>
                      <w:rFonts w:hint="eastAsia" w:ascii="宋体" w:hAnsi="宋体" w:cs="宋体"/>
                      <w:snapToGrid w:val="0"/>
                      <w:color w:val="auto"/>
                      <w:kern w:val="0"/>
                      <w:szCs w:val="21"/>
                    </w:rPr>
                  </w:pPr>
                  <w:r>
                    <w:rPr>
                      <w:color w:val="auto"/>
                      <w:szCs w:val="21"/>
                    </w:rPr>
                    <w:t>SS</w:t>
                  </w:r>
                </w:p>
              </w:tc>
              <w:tc>
                <w:tcPr>
                  <w:tcW w:w="1443" w:type="dxa"/>
                  <w:vAlign w:val="center"/>
                </w:tcPr>
                <w:p w14:paraId="2AAE5638">
                  <w:pPr>
                    <w:snapToGrid w:val="0"/>
                    <w:jc w:val="center"/>
                    <w:rPr>
                      <w:rFonts w:hint="eastAsia" w:ascii="宋体" w:hAnsi="宋体" w:cs="宋体"/>
                      <w:color w:val="auto"/>
                      <w:szCs w:val="21"/>
                    </w:rPr>
                  </w:pPr>
                  <w:r>
                    <w:rPr>
                      <w:rFonts w:hint="eastAsia" w:ascii="宋体" w:hAnsi="宋体" w:cs="宋体"/>
                      <w:color w:val="auto"/>
                      <w:szCs w:val="21"/>
                    </w:rPr>
                    <w:t>0.332t/a</w:t>
                  </w:r>
                </w:p>
              </w:tc>
              <w:tc>
                <w:tcPr>
                  <w:tcW w:w="1479" w:type="dxa"/>
                  <w:vAlign w:val="center"/>
                </w:tcPr>
                <w:p w14:paraId="7D2E596A">
                  <w:pPr>
                    <w:snapToGrid w:val="0"/>
                    <w:jc w:val="center"/>
                    <w:rPr>
                      <w:rFonts w:hint="eastAsia" w:ascii="宋体" w:hAnsi="宋体" w:cs="宋体"/>
                      <w:color w:val="auto"/>
                      <w:szCs w:val="21"/>
                    </w:rPr>
                  </w:pPr>
                  <w:r>
                    <w:rPr>
                      <w:rFonts w:hint="eastAsia" w:ascii="宋体" w:hAnsi="宋体" w:cs="宋体"/>
                      <w:color w:val="auto"/>
                      <w:szCs w:val="21"/>
                    </w:rPr>
                    <w:t>0.202t/a</w:t>
                  </w:r>
                </w:p>
              </w:tc>
            </w:tr>
            <w:tr w14:paraId="2096C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2373D3A9">
                  <w:pPr>
                    <w:snapToGrid w:val="0"/>
                    <w:jc w:val="center"/>
                    <w:rPr>
                      <w:rFonts w:hint="eastAsia" w:ascii="宋体" w:hAnsi="宋体" w:cs="宋体"/>
                      <w:snapToGrid w:val="0"/>
                      <w:color w:val="auto"/>
                      <w:kern w:val="0"/>
                      <w:szCs w:val="21"/>
                    </w:rPr>
                  </w:pPr>
                </w:p>
              </w:tc>
              <w:tc>
                <w:tcPr>
                  <w:tcW w:w="2125" w:type="dxa"/>
                  <w:vMerge w:val="continue"/>
                  <w:vAlign w:val="center"/>
                </w:tcPr>
                <w:p w14:paraId="2D8BC241">
                  <w:pPr>
                    <w:snapToGrid w:val="0"/>
                    <w:jc w:val="center"/>
                    <w:rPr>
                      <w:rFonts w:hint="eastAsia" w:ascii="宋体" w:hAnsi="宋体" w:cs="宋体"/>
                      <w:snapToGrid w:val="0"/>
                      <w:color w:val="auto"/>
                      <w:kern w:val="0"/>
                      <w:szCs w:val="21"/>
                    </w:rPr>
                  </w:pPr>
                </w:p>
              </w:tc>
              <w:tc>
                <w:tcPr>
                  <w:tcW w:w="2125" w:type="dxa"/>
                  <w:gridSpan w:val="3"/>
                  <w:vAlign w:val="center"/>
                </w:tcPr>
                <w:p w14:paraId="65A7F281">
                  <w:pPr>
                    <w:snapToGrid w:val="0"/>
                    <w:jc w:val="center"/>
                    <w:rPr>
                      <w:rFonts w:hint="eastAsia" w:ascii="宋体" w:hAnsi="宋体" w:cs="宋体"/>
                      <w:snapToGrid w:val="0"/>
                      <w:color w:val="auto"/>
                      <w:kern w:val="0"/>
                      <w:szCs w:val="21"/>
                    </w:rPr>
                  </w:pPr>
                  <w:r>
                    <w:rPr>
                      <w:color w:val="auto"/>
                      <w:szCs w:val="21"/>
                    </w:rPr>
                    <w:t>NH</w:t>
                  </w:r>
                  <w:r>
                    <w:rPr>
                      <w:color w:val="auto"/>
                      <w:szCs w:val="21"/>
                      <w:vertAlign w:val="subscript"/>
                    </w:rPr>
                    <w:t>3</w:t>
                  </w:r>
                  <w:r>
                    <w:rPr>
                      <w:color w:val="auto"/>
                      <w:szCs w:val="21"/>
                    </w:rPr>
                    <w:t>-N</w:t>
                  </w:r>
                </w:p>
              </w:tc>
              <w:tc>
                <w:tcPr>
                  <w:tcW w:w="1443" w:type="dxa"/>
                  <w:vAlign w:val="center"/>
                </w:tcPr>
                <w:p w14:paraId="770F3639">
                  <w:pPr>
                    <w:snapToGrid w:val="0"/>
                    <w:jc w:val="center"/>
                    <w:rPr>
                      <w:rFonts w:hint="eastAsia" w:ascii="宋体" w:hAnsi="宋体" w:cs="宋体"/>
                      <w:color w:val="auto"/>
                      <w:szCs w:val="21"/>
                    </w:rPr>
                  </w:pPr>
                  <w:r>
                    <w:rPr>
                      <w:rFonts w:hint="eastAsia" w:ascii="宋体" w:hAnsi="宋体" w:cs="宋体"/>
                      <w:color w:val="auto"/>
                      <w:szCs w:val="21"/>
                    </w:rPr>
                    <w:t>0.177t/a</w:t>
                  </w:r>
                </w:p>
              </w:tc>
              <w:tc>
                <w:tcPr>
                  <w:tcW w:w="1479" w:type="dxa"/>
                  <w:vAlign w:val="center"/>
                </w:tcPr>
                <w:p w14:paraId="1DA0101C">
                  <w:pPr>
                    <w:snapToGrid w:val="0"/>
                    <w:jc w:val="center"/>
                    <w:rPr>
                      <w:rFonts w:hint="eastAsia" w:ascii="宋体" w:hAnsi="宋体" w:cs="宋体"/>
                      <w:color w:val="auto"/>
                      <w:szCs w:val="21"/>
                    </w:rPr>
                  </w:pPr>
                  <w:r>
                    <w:rPr>
                      <w:rFonts w:hint="eastAsia" w:ascii="宋体" w:hAnsi="宋体" w:cs="宋体"/>
                      <w:color w:val="auto"/>
                      <w:szCs w:val="21"/>
                    </w:rPr>
                    <w:t>0.168t/a</w:t>
                  </w:r>
                </w:p>
              </w:tc>
            </w:tr>
            <w:tr w14:paraId="6CEED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5494C701">
                  <w:pPr>
                    <w:snapToGrid w:val="0"/>
                    <w:jc w:val="center"/>
                    <w:rPr>
                      <w:rFonts w:hint="eastAsia" w:ascii="宋体" w:hAnsi="宋体" w:cs="宋体"/>
                      <w:snapToGrid w:val="0"/>
                      <w:color w:val="auto"/>
                      <w:kern w:val="0"/>
                      <w:szCs w:val="21"/>
                    </w:rPr>
                  </w:pPr>
                </w:p>
              </w:tc>
              <w:tc>
                <w:tcPr>
                  <w:tcW w:w="2125" w:type="dxa"/>
                  <w:vMerge w:val="restart"/>
                  <w:vAlign w:val="center"/>
                </w:tcPr>
                <w:p w14:paraId="6AA35D08">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九龙卫生院</w:t>
                  </w:r>
                </w:p>
              </w:tc>
              <w:tc>
                <w:tcPr>
                  <w:tcW w:w="2125" w:type="dxa"/>
                  <w:gridSpan w:val="3"/>
                  <w:vAlign w:val="center"/>
                </w:tcPr>
                <w:p w14:paraId="1834FCC9">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废水量</w:t>
                  </w:r>
                </w:p>
              </w:tc>
              <w:tc>
                <w:tcPr>
                  <w:tcW w:w="1443" w:type="dxa"/>
                  <w:vAlign w:val="center"/>
                </w:tcPr>
                <w:p w14:paraId="43D26EAE">
                  <w:pPr>
                    <w:snapToGrid w:val="0"/>
                    <w:jc w:val="center"/>
                    <w:rPr>
                      <w:rFonts w:hint="eastAsia" w:ascii="宋体" w:hAnsi="宋体" w:cs="宋体"/>
                      <w:snapToGrid w:val="0"/>
                      <w:color w:val="auto"/>
                      <w:kern w:val="0"/>
                      <w:szCs w:val="21"/>
                    </w:rPr>
                  </w:pPr>
                  <w:r>
                    <w:rPr>
                      <w:rFonts w:hint="eastAsia" w:ascii="宋体" w:hAnsi="宋体" w:cs="宋体"/>
                      <w:color w:val="auto"/>
                      <w:szCs w:val="21"/>
                    </w:rPr>
                    <w:t>4206.99t/a</w:t>
                  </w:r>
                </w:p>
              </w:tc>
              <w:tc>
                <w:tcPr>
                  <w:tcW w:w="1479" w:type="dxa"/>
                  <w:vAlign w:val="center"/>
                </w:tcPr>
                <w:p w14:paraId="7AECE3DF">
                  <w:pPr>
                    <w:snapToGrid w:val="0"/>
                    <w:jc w:val="center"/>
                    <w:rPr>
                      <w:rFonts w:hint="eastAsia" w:ascii="宋体" w:hAnsi="宋体" w:cs="宋体"/>
                      <w:snapToGrid w:val="0"/>
                      <w:color w:val="auto"/>
                      <w:kern w:val="0"/>
                      <w:szCs w:val="21"/>
                    </w:rPr>
                  </w:pPr>
                  <w:r>
                    <w:rPr>
                      <w:rFonts w:hint="eastAsia" w:ascii="宋体" w:hAnsi="宋体" w:cs="宋体"/>
                      <w:color w:val="auto"/>
                      <w:szCs w:val="21"/>
                    </w:rPr>
                    <w:t>4206.99t/a</w:t>
                  </w:r>
                </w:p>
              </w:tc>
            </w:tr>
            <w:tr w14:paraId="2DA35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222CF7F5">
                  <w:pPr>
                    <w:snapToGrid w:val="0"/>
                    <w:jc w:val="center"/>
                    <w:rPr>
                      <w:rFonts w:hint="eastAsia" w:ascii="宋体" w:hAnsi="宋体" w:cs="宋体"/>
                      <w:snapToGrid w:val="0"/>
                      <w:color w:val="auto"/>
                      <w:kern w:val="0"/>
                      <w:szCs w:val="21"/>
                    </w:rPr>
                  </w:pPr>
                </w:p>
              </w:tc>
              <w:tc>
                <w:tcPr>
                  <w:tcW w:w="2125" w:type="dxa"/>
                  <w:vMerge w:val="continue"/>
                  <w:vAlign w:val="center"/>
                </w:tcPr>
                <w:p w14:paraId="32312508">
                  <w:pPr>
                    <w:snapToGrid w:val="0"/>
                    <w:jc w:val="center"/>
                    <w:rPr>
                      <w:rFonts w:hint="eastAsia" w:ascii="宋体" w:hAnsi="宋体" w:cs="宋体"/>
                      <w:snapToGrid w:val="0"/>
                      <w:color w:val="auto"/>
                      <w:kern w:val="0"/>
                      <w:szCs w:val="21"/>
                    </w:rPr>
                  </w:pPr>
                </w:p>
              </w:tc>
              <w:tc>
                <w:tcPr>
                  <w:tcW w:w="2125" w:type="dxa"/>
                  <w:gridSpan w:val="3"/>
                  <w:vAlign w:val="center"/>
                </w:tcPr>
                <w:p w14:paraId="22667222">
                  <w:pPr>
                    <w:snapToGrid w:val="0"/>
                    <w:jc w:val="center"/>
                    <w:rPr>
                      <w:rFonts w:hint="eastAsia" w:ascii="宋体" w:hAnsi="宋体" w:cs="宋体"/>
                      <w:snapToGrid w:val="0"/>
                      <w:color w:val="auto"/>
                      <w:kern w:val="0"/>
                      <w:szCs w:val="21"/>
                    </w:rPr>
                  </w:pPr>
                  <w:r>
                    <w:rPr>
                      <w:snapToGrid w:val="0"/>
                      <w:color w:val="auto"/>
                      <w:kern w:val="0"/>
                      <w:szCs w:val="21"/>
                    </w:rPr>
                    <w:t>CODcr</w:t>
                  </w:r>
                </w:p>
              </w:tc>
              <w:tc>
                <w:tcPr>
                  <w:tcW w:w="1443" w:type="dxa"/>
                  <w:vAlign w:val="center"/>
                </w:tcPr>
                <w:p w14:paraId="4F354E1A">
                  <w:pPr>
                    <w:snapToGrid w:val="0"/>
                    <w:jc w:val="center"/>
                    <w:rPr>
                      <w:rFonts w:hint="eastAsia" w:ascii="宋体" w:hAnsi="宋体" w:cs="宋体"/>
                      <w:color w:val="auto"/>
                      <w:szCs w:val="21"/>
                    </w:rPr>
                  </w:pPr>
                  <w:r>
                    <w:rPr>
                      <w:rFonts w:hint="eastAsia" w:ascii="宋体" w:hAnsi="宋体" w:cs="宋体"/>
                      <w:color w:val="auto"/>
                      <w:szCs w:val="21"/>
                    </w:rPr>
                    <w:t>1.388t/a</w:t>
                  </w:r>
                </w:p>
              </w:tc>
              <w:tc>
                <w:tcPr>
                  <w:tcW w:w="1479" w:type="dxa"/>
                  <w:vAlign w:val="center"/>
                </w:tcPr>
                <w:p w14:paraId="4B022DC9">
                  <w:pPr>
                    <w:snapToGrid w:val="0"/>
                    <w:jc w:val="center"/>
                    <w:rPr>
                      <w:rFonts w:hint="eastAsia" w:ascii="宋体" w:hAnsi="宋体" w:cs="宋体"/>
                      <w:color w:val="auto"/>
                      <w:szCs w:val="21"/>
                    </w:rPr>
                  </w:pPr>
                  <w:r>
                    <w:rPr>
                      <w:rFonts w:hint="eastAsia" w:ascii="宋体" w:hAnsi="宋体" w:cs="宋体"/>
                      <w:color w:val="auto"/>
                      <w:szCs w:val="21"/>
                    </w:rPr>
                    <w:t>1.182t/a</w:t>
                  </w:r>
                </w:p>
              </w:tc>
            </w:tr>
            <w:tr w14:paraId="5F7FA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6E966A6F">
                  <w:pPr>
                    <w:snapToGrid w:val="0"/>
                    <w:jc w:val="center"/>
                    <w:rPr>
                      <w:rFonts w:hint="eastAsia" w:ascii="宋体" w:hAnsi="宋体" w:cs="宋体"/>
                      <w:snapToGrid w:val="0"/>
                      <w:color w:val="auto"/>
                      <w:kern w:val="0"/>
                      <w:szCs w:val="21"/>
                    </w:rPr>
                  </w:pPr>
                </w:p>
              </w:tc>
              <w:tc>
                <w:tcPr>
                  <w:tcW w:w="2125" w:type="dxa"/>
                  <w:vMerge w:val="continue"/>
                  <w:vAlign w:val="center"/>
                </w:tcPr>
                <w:p w14:paraId="1B7E2055">
                  <w:pPr>
                    <w:snapToGrid w:val="0"/>
                    <w:jc w:val="center"/>
                    <w:rPr>
                      <w:rFonts w:hint="eastAsia" w:ascii="宋体" w:hAnsi="宋体" w:cs="宋体"/>
                      <w:snapToGrid w:val="0"/>
                      <w:color w:val="auto"/>
                      <w:kern w:val="0"/>
                      <w:szCs w:val="21"/>
                    </w:rPr>
                  </w:pPr>
                </w:p>
              </w:tc>
              <w:tc>
                <w:tcPr>
                  <w:tcW w:w="2125" w:type="dxa"/>
                  <w:gridSpan w:val="3"/>
                  <w:vAlign w:val="center"/>
                </w:tcPr>
                <w:p w14:paraId="50AB2808">
                  <w:pPr>
                    <w:snapToGrid w:val="0"/>
                    <w:jc w:val="center"/>
                    <w:rPr>
                      <w:rFonts w:hint="eastAsia" w:ascii="宋体" w:hAnsi="宋体" w:cs="宋体"/>
                      <w:snapToGrid w:val="0"/>
                      <w:color w:val="auto"/>
                      <w:kern w:val="0"/>
                      <w:szCs w:val="21"/>
                    </w:rPr>
                  </w:pPr>
                  <w:r>
                    <w:rPr>
                      <w:snapToGrid w:val="0"/>
                      <w:color w:val="auto"/>
                      <w:kern w:val="0"/>
                      <w:szCs w:val="21"/>
                    </w:rPr>
                    <w:t>BOD</w:t>
                  </w:r>
                  <w:r>
                    <w:rPr>
                      <w:snapToGrid w:val="0"/>
                      <w:color w:val="auto"/>
                      <w:kern w:val="0"/>
                      <w:szCs w:val="21"/>
                      <w:vertAlign w:val="subscript"/>
                    </w:rPr>
                    <w:t>5</w:t>
                  </w:r>
                </w:p>
              </w:tc>
              <w:tc>
                <w:tcPr>
                  <w:tcW w:w="1443" w:type="dxa"/>
                  <w:vAlign w:val="center"/>
                </w:tcPr>
                <w:p w14:paraId="512B9BDD">
                  <w:pPr>
                    <w:snapToGrid w:val="0"/>
                    <w:jc w:val="center"/>
                    <w:rPr>
                      <w:rFonts w:hint="eastAsia" w:ascii="宋体" w:hAnsi="宋体" w:cs="宋体"/>
                      <w:color w:val="auto"/>
                      <w:szCs w:val="21"/>
                    </w:rPr>
                  </w:pPr>
                  <w:r>
                    <w:rPr>
                      <w:rFonts w:hint="eastAsia" w:ascii="宋体" w:hAnsi="宋体" w:cs="宋体"/>
                      <w:color w:val="auto"/>
                      <w:szCs w:val="21"/>
                    </w:rPr>
                    <w:t>0.631t/a</w:t>
                  </w:r>
                </w:p>
              </w:tc>
              <w:tc>
                <w:tcPr>
                  <w:tcW w:w="1479" w:type="dxa"/>
                  <w:vAlign w:val="center"/>
                </w:tcPr>
                <w:p w14:paraId="110748C7">
                  <w:pPr>
                    <w:snapToGrid w:val="0"/>
                    <w:jc w:val="center"/>
                    <w:rPr>
                      <w:rFonts w:hint="eastAsia" w:ascii="宋体" w:hAnsi="宋体" w:cs="宋体"/>
                      <w:color w:val="auto"/>
                      <w:szCs w:val="21"/>
                    </w:rPr>
                  </w:pPr>
                  <w:r>
                    <w:rPr>
                      <w:rFonts w:hint="eastAsia" w:ascii="宋体" w:hAnsi="宋体" w:cs="宋体"/>
                      <w:color w:val="auto"/>
                      <w:szCs w:val="21"/>
                    </w:rPr>
                    <w:t>0.526t/a</w:t>
                  </w:r>
                </w:p>
              </w:tc>
            </w:tr>
            <w:tr w14:paraId="21D4B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EFB1E98">
                  <w:pPr>
                    <w:snapToGrid w:val="0"/>
                    <w:jc w:val="center"/>
                    <w:rPr>
                      <w:rFonts w:hint="eastAsia" w:ascii="宋体" w:hAnsi="宋体" w:cs="宋体"/>
                      <w:snapToGrid w:val="0"/>
                      <w:color w:val="auto"/>
                      <w:kern w:val="0"/>
                      <w:szCs w:val="21"/>
                    </w:rPr>
                  </w:pPr>
                </w:p>
              </w:tc>
              <w:tc>
                <w:tcPr>
                  <w:tcW w:w="2125" w:type="dxa"/>
                  <w:vMerge w:val="continue"/>
                  <w:vAlign w:val="center"/>
                </w:tcPr>
                <w:p w14:paraId="42D183B0">
                  <w:pPr>
                    <w:snapToGrid w:val="0"/>
                    <w:jc w:val="center"/>
                    <w:rPr>
                      <w:rFonts w:hint="eastAsia" w:ascii="宋体" w:hAnsi="宋体" w:cs="宋体"/>
                      <w:snapToGrid w:val="0"/>
                      <w:color w:val="auto"/>
                      <w:kern w:val="0"/>
                      <w:szCs w:val="21"/>
                    </w:rPr>
                  </w:pPr>
                </w:p>
              </w:tc>
              <w:tc>
                <w:tcPr>
                  <w:tcW w:w="2125" w:type="dxa"/>
                  <w:gridSpan w:val="3"/>
                  <w:vAlign w:val="center"/>
                </w:tcPr>
                <w:p w14:paraId="7AB5C1F0">
                  <w:pPr>
                    <w:snapToGrid w:val="0"/>
                    <w:jc w:val="center"/>
                    <w:rPr>
                      <w:rFonts w:hint="eastAsia" w:ascii="宋体" w:hAnsi="宋体" w:cs="宋体"/>
                      <w:snapToGrid w:val="0"/>
                      <w:color w:val="auto"/>
                      <w:kern w:val="0"/>
                      <w:szCs w:val="21"/>
                    </w:rPr>
                  </w:pPr>
                  <w:r>
                    <w:rPr>
                      <w:color w:val="auto"/>
                      <w:szCs w:val="21"/>
                    </w:rPr>
                    <w:t>SS</w:t>
                  </w:r>
                </w:p>
              </w:tc>
              <w:tc>
                <w:tcPr>
                  <w:tcW w:w="1443" w:type="dxa"/>
                  <w:vAlign w:val="center"/>
                </w:tcPr>
                <w:p w14:paraId="29DE0D93">
                  <w:pPr>
                    <w:snapToGrid w:val="0"/>
                    <w:jc w:val="center"/>
                    <w:rPr>
                      <w:rFonts w:hint="eastAsia" w:ascii="宋体" w:hAnsi="宋体" w:cs="宋体"/>
                      <w:color w:val="auto"/>
                      <w:szCs w:val="21"/>
                    </w:rPr>
                  </w:pPr>
                  <w:r>
                    <w:rPr>
                      <w:rFonts w:hint="eastAsia" w:ascii="宋体" w:hAnsi="宋体" w:cs="宋体"/>
                      <w:color w:val="auto"/>
                      <w:szCs w:val="21"/>
                    </w:rPr>
                    <w:t>0.505t/a</w:t>
                  </w:r>
                </w:p>
              </w:tc>
              <w:tc>
                <w:tcPr>
                  <w:tcW w:w="1479" w:type="dxa"/>
                  <w:vAlign w:val="center"/>
                </w:tcPr>
                <w:p w14:paraId="46BB7DC5">
                  <w:pPr>
                    <w:snapToGrid w:val="0"/>
                    <w:jc w:val="center"/>
                    <w:rPr>
                      <w:rFonts w:hint="eastAsia" w:ascii="宋体" w:hAnsi="宋体" w:cs="宋体"/>
                      <w:color w:val="auto"/>
                      <w:szCs w:val="21"/>
                    </w:rPr>
                  </w:pPr>
                  <w:r>
                    <w:rPr>
                      <w:rFonts w:hint="eastAsia" w:ascii="宋体" w:hAnsi="宋体" w:cs="宋体"/>
                      <w:color w:val="auto"/>
                      <w:szCs w:val="21"/>
                    </w:rPr>
                    <w:t>0.362t/a</w:t>
                  </w:r>
                </w:p>
              </w:tc>
            </w:tr>
            <w:tr w14:paraId="1BEEB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79BD3F19">
                  <w:pPr>
                    <w:snapToGrid w:val="0"/>
                    <w:jc w:val="center"/>
                    <w:rPr>
                      <w:rFonts w:hint="eastAsia" w:ascii="宋体" w:hAnsi="宋体" w:cs="宋体"/>
                      <w:snapToGrid w:val="0"/>
                      <w:color w:val="auto"/>
                      <w:kern w:val="0"/>
                      <w:szCs w:val="21"/>
                    </w:rPr>
                  </w:pPr>
                </w:p>
              </w:tc>
              <w:tc>
                <w:tcPr>
                  <w:tcW w:w="2125" w:type="dxa"/>
                  <w:vMerge w:val="continue"/>
                  <w:vAlign w:val="center"/>
                </w:tcPr>
                <w:p w14:paraId="6C2AA1C2">
                  <w:pPr>
                    <w:snapToGrid w:val="0"/>
                    <w:jc w:val="center"/>
                    <w:rPr>
                      <w:rFonts w:hint="eastAsia" w:ascii="宋体" w:hAnsi="宋体" w:cs="宋体"/>
                      <w:snapToGrid w:val="0"/>
                      <w:color w:val="auto"/>
                      <w:kern w:val="0"/>
                      <w:szCs w:val="21"/>
                    </w:rPr>
                  </w:pPr>
                </w:p>
              </w:tc>
              <w:tc>
                <w:tcPr>
                  <w:tcW w:w="2125" w:type="dxa"/>
                  <w:gridSpan w:val="3"/>
                  <w:vAlign w:val="center"/>
                </w:tcPr>
                <w:p w14:paraId="3A8C7D19">
                  <w:pPr>
                    <w:snapToGrid w:val="0"/>
                    <w:jc w:val="center"/>
                    <w:rPr>
                      <w:rFonts w:hint="eastAsia" w:ascii="宋体" w:hAnsi="宋体" w:cs="宋体"/>
                      <w:snapToGrid w:val="0"/>
                      <w:color w:val="auto"/>
                      <w:kern w:val="0"/>
                      <w:szCs w:val="21"/>
                    </w:rPr>
                  </w:pPr>
                  <w:r>
                    <w:rPr>
                      <w:color w:val="auto"/>
                      <w:szCs w:val="21"/>
                    </w:rPr>
                    <w:t>NH</w:t>
                  </w:r>
                  <w:r>
                    <w:rPr>
                      <w:color w:val="auto"/>
                      <w:szCs w:val="21"/>
                      <w:vertAlign w:val="subscript"/>
                    </w:rPr>
                    <w:t>3</w:t>
                  </w:r>
                  <w:r>
                    <w:rPr>
                      <w:color w:val="auto"/>
                      <w:szCs w:val="21"/>
                    </w:rPr>
                    <w:t>-N</w:t>
                  </w:r>
                </w:p>
              </w:tc>
              <w:tc>
                <w:tcPr>
                  <w:tcW w:w="1443" w:type="dxa"/>
                  <w:vAlign w:val="center"/>
                </w:tcPr>
                <w:p w14:paraId="3AA7F808">
                  <w:pPr>
                    <w:snapToGrid w:val="0"/>
                    <w:jc w:val="center"/>
                    <w:rPr>
                      <w:rFonts w:hint="eastAsia" w:ascii="宋体" w:hAnsi="宋体" w:cs="宋体"/>
                      <w:color w:val="auto"/>
                      <w:szCs w:val="21"/>
                    </w:rPr>
                  </w:pPr>
                  <w:r>
                    <w:rPr>
                      <w:rFonts w:hint="eastAsia" w:ascii="宋体" w:hAnsi="宋体" w:cs="宋体"/>
                      <w:color w:val="auto"/>
                      <w:szCs w:val="21"/>
                    </w:rPr>
                    <w:t>0.168t/a</w:t>
                  </w:r>
                </w:p>
              </w:tc>
              <w:tc>
                <w:tcPr>
                  <w:tcW w:w="1479" w:type="dxa"/>
                  <w:vAlign w:val="center"/>
                </w:tcPr>
                <w:p w14:paraId="58E31D7A">
                  <w:pPr>
                    <w:snapToGrid w:val="0"/>
                    <w:jc w:val="center"/>
                    <w:rPr>
                      <w:rFonts w:hint="eastAsia" w:ascii="宋体" w:hAnsi="宋体" w:cs="宋体"/>
                      <w:color w:val="auto"/>
                      <w:szCs w:val="21"/>
                    </w:rPr>
                  </w:pPr>
                  <w:r>
                    <w:rPr>
                      <w:rFonts w:hint="eastAsia" w:ascii="宋体" w:hAnsi="宋体" w:cs="宋体"/>
                      <w:color w:val="auto"/>
                      <w:szCs w:val="21"/>
                    </w:rPr>
                    <w:t>0.208t/a</w:t>
                  </w:r>
                </w:p>
              </w:tc>
            </w:tr>
            <w:tr w14:paraId="427B7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2F204A72">
                  <w:pPr>
                    <w:snapToGrid w:val="0"/>
                    <w:jc w:val="center"/>
                    <w:rPr>
                      <w:rFonts w:hint="eastAsia" w:ascii="宋体" w:hAnsi="宋体" w:cs="宋体"/>
                      <w:snapToGrid w:val="0"/>
                      <w:color w:val="auto"/>
                      <w:kern w:val="0"/>
                      <w:szCs w:val="21"/>
                    </w:rPr>
                  </w:pPr>
                </w:p>
              </w:tc>
              <w:tc>
                <w:tcPr>
                  <w:tcW w:w="2125" w:type="dxa"/>
                  <w:vMerge w:val="restart"/>
                  <w:vAlign w:val="center"/>
                </w:tcPr>
                <w:p w14:paraId="04D4C7A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杨广卫生院</w:t>
                  </w:r>
                </w:p>
              </w:tc>
              <w:tc>
                <w:tcPr>
                  <w:tcW w:w="2125" w:type="dxa"/>
                  <w:gridSpan w:val="3"/>
                  <w:vAlign w:val="center"/>
                </w:tcPr>
                <w:p w14:paraId="71FC8CD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废水量</w:t>
                  </w:r>
                </w:p>
              </w:tc>
              <w:tc>
                <w:tcPr>
                  <w:tcW w:w="1443" w:type="dxa"/>
                  <w:vAlign w:val="center"/>
                </w:tcPr>
                <w:p w14:paraId="00B3E3E9">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3533.93t/a</w:t>
                  </w:r>
                </w:p>
              </w:tc>
              <w:tc>
                <w:tcPr>
                  <w:tcW w:w="1479" w:type="dxa"/>
                  <w:vAlign w:val="center"/>
                </w:tcPr>
                <w:p w14:paraId="103AFFFE">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3533.93t/a</w:t>
                  </w:r>
                </w:p>
              </w:tc>
            </w:tr>
            <w:tr w14:paraId="2E2A8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16606B8D">
                  <w:pPr>
                    <w:snapToGrid w:val="0"/>
                    <w:jc w:val="center"/>
                    <w:rPr>
                      <w:rFonts w:hint="eastAsia" w:ascii="宋体" w:hAnsi="宋体" w:cs="宋体"/>
                      <w:snapToGrid w:val="0"/>
                      <w:color w:val="auto"/>
                      <w:kern w:val="0"/>
                      <w:szCs w:val="21"/>
                    </w:rPr>
                  </w:pPr>
                </w:p>
              </w:tc>
              <w:tc>
                <w:tcPr>
                  <w:tcW w:w="2125" w:type="dxa"/>
                  <w:vMerge w:val="continue"/>
                  <w:vAlign w:val="center"/>
                </w:tcPr>
                <w:p w14:paraId="0C0AC037">
                  <w:pPr>
                    <w:snapToGrid w:val="0"/>
                    <w:jc w:val="center"/>
                    <w:rPr>
                      <w:rFonts w:hint="eastAsia" w:ascii="宋体" w:hAnsi="宋体" w:cs="宋体"/>
                      <w:snapToGrid w:val="0"/>
                      <w:color w:val="auto"/>
                      <w:kern w:val="0"/>
                      <w:szCs w:val="21"/>
                    </w:rPr>
                  </w:pPr>
                </w:p>
              </w:tc>
              <w:tc>
                <w:tcPr>
                  <w:tcW w:w="2125" w:type="dxa"/>
                  <w:gridSpan w:val="3"/>
                  <w:vAlign w:val="center"/>
                </w:tcPr>
                <w:p w14:paraId="137CB61B">
                  <w:pPr>
                    <w:snapToGrid w:val="0"/>
                    <w:jc w:val="center"/>
                    <w:rPr>
                      <w:snapToGrid w:val="0"/>
                      <w:color w:val="auto"/>
                      <w:kern w:val="0"/>
                      <w:szCs w:val="21"/>
                    </w:rPr>
                  </w:pPr>
                  <w:r>
                    <w:rPr>
                      <w:snapToGrid w:val="0"/>
                      <w:color w:val="auto"/>
                      <w:kern w:val="0"/>
                      <w:szCs w:val="21"/>
                    </w:rPr>
                    <w:t>CODcr</w:t>
                  </w:r>
                </w:p>
              </w:tc>
              <w:tc>
                <w:tcPr>
                  <w:tcW w:w="1443" w:type="dxa"/>
                  <w:vAlign w:val="center"/>
                </w:tcPr>
                <w:p w14:paraId="3262DF29">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1.166t/a</w:t>
                  </w:r>
                </w:p>
              </w:tc>
              <w:tc>
                <w:tcPr>
                  <w:tcW w:w="1479" w:type="dxa"/>
                  <w:vAlign w:val="center"/>
                </w:tcPr>
                <w:p w14:paraId="1617E7F6">
                  <w:pPr>
                    <w:jc w:val="center"/>
                    <w:rPr>
                      <w:rFonts w:hint="eastAsia" w:ascii="宋体" w:hAnsi="宋体" w:cs="宋体"/>
                      <w:color w:val="auto"/>
                      <w:szCs w:val="21"/>
                    </w:rPr>
                  </w:pPr>
                  <w:r>
                    <w:rPr>
                      <w:rFonts w:hint="eastAsia" w:ascii="宋体" w:hAnsi="宋体" w:cs="宋体"/>
                      <w:color w:val="auto"/>
                      <w:szCs w:val="21"/>
                    </w:rPr>
                    <w:t>0.451t/a</w:t>
                  </w:r>
                </w:p>
              </w:tc>
            </w:tr>
            <w:tr w14:paraId="2F60F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09B6B19">
                  <w:pPr>
                    <w:snapToGrid w:val="0"/>
                    <w:jc w:val="center"/>
                    <w:rPr>
                      <w:rFonts w:hint="eastAsia" w:ascii="宋体" w:hAnsi="宋体" w:cs="宋体"/>
                      <w:snapToGrid w:val="0"/>
                      <w:color w:val="auto"/>
                      <w:kern w:val="0"/>
                      <w:szCs w:val="21"/>
                    </w:rPr>
                  </w:pPr>
                </w:p>
              </w:tc>
              <w:tc>
                <w:tcPr>
                  <w:tcW w:w="2125" w:type="dxa"/>
                  <w:vMerge w:val="continue"/>
                  <w:vAlign w:val="center"/>
                </w:tcPr>
                <w:p w14:paraId="55685E85">
                  <w:pPr>
                    <w:snapToGrid w:val="0"/>
                    <w:jc w:val="center"/>
                    <w:rPr>
                      <w:rFonts w:hint="eastAsia" w:ascii="宋体" w:hAnsi="宋体" w:cs="宋体"/>
                      <w:snapToGrid w:val="0"/>
                      <w:color w:val="auto"/>
                      <w:kern w:val="0"/>
                      <w:szCs w:val="21"/>
                    </w:rPr>
                  </w:pPr>
                </w:p>
              </w:tc>
              <w:tc>
                <w:tcPr>
                  <w:tcW w:w="2125" w:type="dxa"/>
                  <w:gridSpan w:val="3"/>
                  <w:vAlign w:val="center"/>
                </w:tcPr>
                <w:p w14:paraId="1FFEF640">
                  <w:pPr>
                    <w:snapToGrid w:val="0"/>
                    <w:jc w:val="center"/>
                    <w:rPr>
                      <w:snapToGrid w:val="0"/>
                      <w:color w:val="auto"/>
                      <w:kern w:val="0"/>
                      <w:szCs w:val="21"/>
                    </w:rPr>
                  </w:pPr>
                  <w:r>
                    <w:rPr>
                      <w:snapToGrid w:val="0"/>
                      <w:color w:val="auto"/>
                      <w:kern w:val="0"/>
                      <w:szCs w:val="21"/>
                    </w:rPr>
                    <w:t>BOD</w:t>
                  </w:r>
                  <w:r>
                    <w:rPr>
                      <w:snapToGrid w:val="0"/>
                      <w:color w:val="auto"/>
                      <w:kern w:val="0"/>
                      <w:szCs w:val="21"/>
                      <w:vertAlign w:val="subscript"/>
                    </w:rPr>
                    <w:t>5</w:t>
                  </w:r>
                </w:p>
              </w:tc>
              <w:tc>
                <w:tcPr>
                  <w:tcW w:w="1443" w:type="dxa"/>
                  <w:vAlign w:val="center"/>
                </w:tcPr>
                <w:p w14:paraId="1339B83D">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0.530t/a</w:t>
                  </w:r>
                </w:p>
              </w:tc>
              <w:tc>
                <w:tcPr>
                  <w:tcW w:w="1479" w:type="dxa"/>
                  <w:vAlign w:val="center"/>
                </w:tcPr>
                <w:p w14:paraId="285DBE79">
                  <w:pPr>
                    <w:snapToGrid w:val="0"/>
                    <w:jc w:val="center"/>
                    <w:rPr>
                      <w:rFonts w:hint="eastAsia" w:ascii="宋体" w:hAnsi="宋体" w:cs="宋体"/>
                      <w:snapToGrid w:val="0"/>
                      <w:color w:val="auto"/>
                      <w:kern w:val="0"/>
                      <w:szCs w:val="21"/>
                    </w:rPr>
                  </w:pPr>
                  <w:r>
                    <w:rPr>
                      <w:rFonts w:hint="eastAsia" w:ascii="宋体" w:hAnsi="宋体" w:cs="宋体"/>
                      <w:color w:val="auto"/>
                      <w:szCs w:val="21"/>
                    </w:rPr>
                    <w:t>0.168t/a</w:t>
                  </w:r>
                </w:p>
              </w:tc>
            </w:tr>
            <w:tr w14:paraId="0D72A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621B135">
                  <w:pPr>
                    <w:snapToGrid w:val="0"/>
                    <w:jc w:val="center"/>
                    <w:rPr>
                      <w:rFonts w:hint="eastAsia" w:ascii="宋体" w:hAnsi="宋体" w:cs="宋体"/>
                      <w:snapToGrid w:val="0"/>
                      <w:color w:val="auto"/>
                      <w:kern w:val="0"/>
                      <w:szCs w:val="21"/>
                    </w:rPr>
                  </w:pPr>
                </w:p>
              </w:tc>
              <w:tc>
                <w:tcPr>
                  <w:tcW w:w="2125" w:type="dxa"/>
                  <w:vMerge w:val="continue"/>
                  <w:vAlign w:val="center"/>
                </w:tcPr>
                <w:p w14:paraId="459809EE">
                  <w:pPr>
                    <w:snapToGrid w:val="0"/>
                    <w:jc w:val="center"/>
                    <w:rPr>
                      <w:rFonts w:hint="eastAsia" w:ascii="宋体" w:hAnsi="宋体" w:cs="宋体"/>
                      <w:color w:val="auto"/>
                      <w:szCs w:val="21"/>
                    </w:rPr>
                  </w:pPr>
                </w:p>
              </w:tc>
              <w:tc>
                <w:tcPr>
                  <w:tcW w:w="2125" w:type="dxa"/>
                  <w:gridSpan w:val="3"/>
                  <w:vAlign w:val="center"/>
                </w:tcPr>
                <w:p w14:paraId="74C1DAD5">
                  <w:pPr>
                    <w:snapToGrid w:val="0"/>
                    <w:jc w:val="center"/>
                    <w:rPr>
                      <w:snapToGrid w:val="0"/>
                      <w:color w:val="auto"/>
                      <w:kern w:val="0"/>
                      <w:szCs w:val="21"/>
                      <w:highlight w:val="yellow"/>
                    </w:rPr>
                  </w:pPr>
                  <w:r>
                    <w:rPr>
                      <w:color w:val="auto"/>
                      <w:szCs w:val="21"/>
                    </w:rPr>
                    <w:t>SS</w:t>
                  </w:r>
                </w:p>
              </w:tc>
              <w:tc>
                <w:tcPr>
                  <w:tcW w:w="1443" w:type="dxa"/>
                  <w:vAlign w:val="center"/>
                </w:tcPr>
                <w:p w14:paraId="4BF50262">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0.424t/a</w:t>
                  </w:r>
                </w:p>
              </w:tc>
              <w:tc>
                <w:tcPr>
                  <w:tcW w:w="1479" w:type="dxa"/>
                  <w:vAlign w:val="center"/>
                </w:tcPr>
                <w:p w14:paraId="11693DC0">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0.119t/a</w:t>
                  </w:r>
                </w:p>
              </w:tc>
            </w:tr>
            <w:tr w14:paraId="0AAF1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01AC7DE9">
                  <w:pPr>
                    <w:snapToGrid w:val="0"/>
                    <w:jc w:val="center"/>
                    <w:rPr>
                      <w:rFonts w:hint="eastAsia" w:ascii="宋体" w:hAnsi="宋体" w:cs="宋体"/>
                      <w:snapToGrid w:val="0"/>
                      <w:color w:val="auto"/>
                      <w:kern w:val="0"/>
                      <w:szCs w:val="21"/>
                    </w:rPr>
                  </w:pPr>
                </w:p>
              </w:tc>
              <w:tc>
                <w:tcPr>
                  <w:tcW w:w="2125" w:type="dxa"/>
                  <w:vMerge w:val="continue"/>
                  <w:vAlign w:val="center"/>
                </w:tcPr>
                <w:p w14:paraId="51670565">
                  <w:pPr>
                    <w:snapToGrid w:val="0"/>
                    <w:jc w:val="center"/>
                    <w:rPr>
                      <w:rFonts w:hint="eastAsia" w:ascii="宋体" w:hAnsi="宋体" w:cs="宋体"/>
                      <w:color w:val="auto"/>
                      <w:szCs w:val="21"/>
                    </w:rPr>
                  </w:pPr>
                </w:p>
              </w:tc>
              <w:tc>
                <w:tcPr>
                  <w:tcW w:w="2125" w:type="dxa"/>
                  <w:gridSpan w:val="3"/>
                  <w:vAlign w:val="center"/>
                </w:tcPr>
                <w:p w14:paraId="7846E4E8">
                  <w:pPr>
                    <w:snapToGrid w:val="0"/>
                    <w:jc w:val="center"/>
                    <w:rPr>
                      <w:snapToGrid w:val="0"/>
                      <w:color w:val="auto"/>
                      <w:kern w:val="0"/>
                      <w:szCs w:val="21"/>
                      <w:highlight w:val="yellow"/>
                    </w:rPr>
                  </w:pPr>
                  <w:r>
                    <w:rPr>
                      <w:color w:val="auto"/>
                      <w:szCs w:val="21"/>
                    </w:rPr>
                    <w:t>NH</w:t>
                  </w:r>
                  <w:r>
                    <w:rPr>
                      <w:color w:val="auto"/>
                      <w:szCs w:val="21"/>
                      <w:vertAlign w:val="subscript"/>
                    </w:rPr>
                    <w:t>3</w:t>
                  </w:r>
                  <w:r>
                    <w:rPr>
                      <w:color w:val="auto"/>
                      <w:szCs w:val="21"/>
                    </w:rPr>
                    <w:t>-N</w:t>
                  </w:r>
                </w:p>
              </w:tc>
              <w:tc>
                <w:tcPr>
                  <w:tcW w:w="1443" w:type="dxa"/>
                  <w:vAlign w:val="center"/>
                </w:tcPr>
                <w:p w14:paraId="52C89ABB">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0.226t/a</w:t>
                  </w:r>
                </w:p>
              </w:tc>
              <w:tc>
                <w:tcPr>
                  <w:tcW w:w="1479" w:type="dxa"/>
                  <w:vAlign w:val="center"/>
                </w:tcPr>
                <w:p w14:paraId="74E4DAE9">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0.0097t/a</w:t>
                  </w:r>
                </w:p>
              </w:tc>
            </w:tr>
            <w:tr w14:paraId="28D35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6" w:hRule="atLeast"/>
                <w:jc w:val="center"/>
              </w:trPr>
              <w:tc>
                <w:tcPr>
                  <w:tcW w:w="907" w:type="dxa"/>
                  <w:vMerge w:val="restart"/>
                  <w:vAlign w:val="center"/>
                </w:tcPr>
                <w:p w14:paraId="7AA4E5F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固废</w:t>
                  </w:r>
                </w:p>
              </w:tc>
              <w:tc>
                <w:tcPr>
                  <w:tcW w:w="2125" w:type="dxa"/>
                  <w:vMerge w:val="restart"/>
                  <w:vAlign w:val="center"/>
                </w:tcPr>
                <w:p w14:paraId="23183D3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纳古卫生院</w:t>
                  </w:r>
                </w:p>
              </w:tc>
              <w:tc>
                <w:tcPr>
                  <w:tcW w:w="1333" w:type="dxa"/>
                  <w:gridSpan w:val="2"/>
                  <w:vAlign w:val="center"/>
                </w:tcPr>
                <w:p w14:paraId="73F0DE83">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生活垃圾</w:t>
                  </w:r>
                </w:p>
              </w:tc>
              <w:tc>
                <w:tcPr>
                  <w:tcW w:w="792" w:type="dxa"/>
                  <w:vAlign w:val="center"/>
                </w:tcPr>
                <w:p w14:paraId="7A9533A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一般</w:t>
                  </w:r>
                </w:p>
                <w:p w14:paraId="48EACB5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固废</w:t>
                  </w:r>
                </w:p>
              </w:tc>
              <w:tc>
                <w:tcPr>
                  <w:tcW w:w="1443" w:type="dxa"/>
                  <w:vAlign w:val="center"/>
                </w:tcPr>
                <w:p w14:paraId="7288457C">
                  <w:pPr>
                    <w:autoSpaceDE w:val="0"/>
                    <w:autoSpaceDN w:val="0"/>
                    <w:adjustRightInd w:val="0"/>
                    <w:snapToGrid w:val="0"/>
                    <w:jc w:val="center"/>
                    <w:rPr>
                      <w:rFonts w:hint="eastAsia" w:ascii="宋体" w:hAnsi="宋体" w:cs="宋体"/>
                      <w:color w:val="auto"/>
                      <w:szCs w:val="21"/>
                      <w:highlight w:val="yellow"/>
                    </w:rPr>
                  </w:pPr>
                  <w:r>
                    <w:rPr>
                      <w:rFonts w:hint="eastAsia" w:ascii="宋体" w:hAnsi="宋体" w:cs="宋体"/>
                      <w:color w:val="auto"/>
                      <w:szCs w:val="21"/>
                    </w:rPr>
                    <w:t>15.22t/a</w:t>
                  </w:r>
                </w:p>
              </w:tc>
              <w:tc>
                <w:tcPr>
                  <w:tcW w:w="1479" w:type="dxa"/>
                  <w:vAlign w:val="center"/>
                </w:tcPr>
                <w:p w14:paraId="70DEA7A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3765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4E61F0DD">
                  <w:pPr>
                    <w:snapToGrid w:val="0"/>
                    <w:jc w:val="center"/>
                    <w:rPr>
                      <w:rFonts w:hint="eastAsia" w:ascii="宋体" w:hAnsi="宋体" w:cs="宋体"/>
                      <w:snapToGrid w:val="0"/>
                      <w:color w:val="auto"/>
                      <w:kern w:val="0"/>
                      <w:szCs w:val="21"/>
                    </w:rPr>
                  </w:pPr>
                </w:p>
              </w:tc>
              <w:tc>
                <w:tcPr>
                  <w:tcW w:w="2125" w:type="dxa"/>
                  <w:vMerge w:val="continue"/>
                  <w:vAlign w:val="center"/>
                </w:tcPr>
                <w:p w14:paraId="1E62225B">
                  <w:pPr>
                    <w:snapToGrid w:val="0"/>
                    <w:jc w:val="center"/>
                    <w:rPr>
                      <w:rFonts w:hint="eastAsia" w:ascii="宋体" w:hAnsi="宋体" w:cs="宋体"/>
                      <w:snapToGrid w:val="0"/>
                      <w:color w:val="auto"/>
                      <w:kern w:val="0"/>
                      <w:szCs w:val="21"/>
                    </w:rPr>
                  </w:pPr>
                </w:p>
              </w:tc>
              <w:tc>
                <w:tcPr>
                  <w:tcW w:w="1333" w:type="dxa"/>
                  <w:gridSpan w:val="2"/>
                  <w:vAlign w:val="center"/>
                </w:tcPr>
                <w:p w14:paraId="35CCCF4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医疗废物</w:t>
                  </w:r>
                </w:p>
              </w:tc>
              <w:tc>
                <w:tcPr>
                  <w:tcW w:w="792" w:type="dxa"/>
                  <w:vMerge w:val="restart"/>
                  <w:vAlign w:val="center"/>
                </w:tcPr>
                <w:p w14:paraId="0D37D46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危险</w:t>
                  </w:r>
                </w:p>
                <w:p w14:paraId="31DCE49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废物</w:t>
                  </w:r>
                </w:p>
              </w:tc>
              <w:tc>
                <w:tcPr>
                  <w:tcW w:w="1443" w:type="dxa"/>
                  <w:vAlign w:val="center"/>
                </w:tcPr>
                <w:p w14:paraId="023B296A">
                  <w:pPr>
                    <w:autoSpaceDE w:val="0"/>
                    <w:autoSpaceDN w:val="0"/>
                    <w:adjustRightInd w:val="0"/>
                    <w:snapToGrid w:val="0"/>
                    <w:jc w:val="center"/>
                    <w:rPr>
                      <w:rFonts w:hint="eastAsia" w:ascii="宋体" w:hAnsi="宋体" w:cs="宋体"/>
                      <w:color w:val="auto"/>
                      <w:szCs w:val="21"/>
                      <w:highlight w:val="yellow"/>
                    </w:rPr>
                  </w:pPr>
                  <w:r>
                    <w:rPr>
                      <w:rFonts w:hint="eastAsia" w:ascii="宋体" w:hAnsi="宋体" w:cs="宋体"/>
                      <w:color w:val="auto"/>
                      <w:szCs w:val="21"/>
                    </w:rPr>
                    <w:t>1.333t/a</w:t>
                  </w:r>
                </w:p>
              </w:tc>
              <w:tc>
                <w:tcPr>
                  <w:tcW w:w="1479" w:type="dxa"/>
                  <w:vAlign w:val="center"/>
                </w:tcPr>
                <w:p w14:paraId="32B07AD6">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65916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3EA86BF5">
                  <w:pPr>
                    <w:snapToGrid w:val="0"/>
                    <w:jc w:val="center"/>
                    <w:rPr>
                      <w:rFonts w:hint="eastAsia" w:ascii="宋体" w:hAnsi="宋体" w:cs="宋体"/>
                      <w:snapToGrid w:val="0"/>
                      <w:color w:val="auto"/>
                      <w:kern w:val="0"/>
                      <w:szCs w:val="21"/>
                    </w:rPr>
                  </w:pPr>
                </w:p>
              </w:tc>
              <w:tc>
                <w:tcPr>
                  <w:tcW w:w="2125" w:type="dxa"/>
                  <w:vMerge w:val="continue"/>
                  <w:vAlign w:val="center"/>
                </w:tcPr>
                <w:p w14:paraId="5E425A69">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3293682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792" w:type="dxa"/>
                  <w:vMerge w:val="continue"/>
                  <w:vAlign w:val="center"/>
                </w:tcPr>
                <w:p w14:paraId="5C0E88BD">
                  <w:pPr>
                    <w:snapToGrid w:val="0"/>
                    <w:jc w:val="center"/>
                    <w:rPr>
                      <w:rFonts w:hint="eastAsia" w:ascii="宋体" w:hAnsi="宋体" w:cs="宋体"/>
                      <w:snapToGrid w:val="0"/>
                      <w:color w:val="auto"/>
                      <w:kern w:val="0"/>
                      <w:szCs w:val="21"/>
                    </w:rPr>
                  </w:pPr>
                </w:p>
              </w:tc>
              <w:tc>
                <w:tcPr>
                  <w:tcW w:w="1443" w:type="dxa"/>
                  <w:vAlign w:val="center"/>
                </w:tcPr>
                <w:p w14:paraId="34A090D4">
                  <w:pPr>
                    <w:autoSpaceDE w:val="0"/>
                    <w:autoSpaceDN w:val="0"/>
                    <w:adjustRightInd w:val="0"/>
                    <w:snapToGrid w:val="0"/>
                    <w:jc w:val="center"/>
                    <w:rPr>
                      <w:rFonts w:hint="eastAsia" w:ascii="宋体" w:hAnsi="宋体" w:cs="宋体"/>
                      <w:color w:val="auto"/>
                      <w:szCs w:val="21"/>
                      <w:highlight w:val="yellow"/>
                    </w:rPr>
                  </w:pPr>
                  <w:r>
                    <w:rPr>
                      <w:rFonts w:hint="eastAsia" w:ascii="宋体" w:hAnsi="宋体" w:cs="宋体"/>
                      <w:color w:val="auto"/>
                      <w:szCs w:val="21"/>
                    </w:rPr>
                    <w:t>161.11t/a（含水率95%）</w:t>
                  </w:r>
                </w:p>
              </w:tc>
              <w:tc>
                <w:tcPr>
                  <w:tcW w:w="1479" w:type="dxa"/>
                  <w:vAlign w:val="center"/>
                </w:tcPr>
                <w:p w14:paraId="0EE0EA8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0AA1A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1538C82B">
                  <w:pPr>
                    <w:snapToGrid w:val="0"/>
                    <w:jc w:val="center"/>
                    <w:rPr>
                      <w:rFonts w:hint="eastAsia" w:ascii="宋体" w:hAnsi="宋体" w:cs="宋体"/>
                      <w:snapToGrid w:val="0"/>
                      <w:color w:val="auto"/>
                      <w:kern w:val="0"/>
                      <w:szCs w:val="21"/>
                    </w:rPr>
                  </w:pPr>
                </w:p>
              </w:tc>
              <w:tc>
                <w:tcPr>
                  <w:tcW w:w="2125" w:type="dxa"/>
                  <w:vMerge w:val="restart"/>
                  <w:vAlign w:val="center"/>
                </w:tcPr>
                <w:p w14:paraId="3E63D21E">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四街卫生院</w:t>
                  </w:r>
                </w:p>
              </w:tc>
              <w:tc>
                <w:tcPr>
                  <w:tcW w:w="1333" w:type="dxa"/>
                  <w:gridSpan w:val="2"/>
                  <w:vAlign w:val="center"/>
                </w:tcPr>
                <w:p w14:paraId="1680A118">
                  <w:pPr>
                    <w:snapToGrid w:val="0"/>
                    <w:jc w:val="center"/>
                    <w:rPr>
                      <w:rFonts w:hint="eastAsia" w:ascii="宋体" w:hAnsi="宋体" w:cs="宋体"/>
                      <w:color w:val="auto"/>
                      <w:szCs w:val="21"/>
                    </w:rPr>
                  </w:pPr>
                  <w:r>
                    <w:rPr>
                      <w:rFonts w:hint="eastAsia" w:ascii="宋体" w:hAnsi="宋体" w:cs="宋体"/>
                      <w:snapToGrid w:val="0"/>
                      <w:color w:val="auto"/>
                      <w:kern w:val="0"/>
                      <w:szCs w:val="21"/>
                    </w:rPr>
                    <w:t>生活垃圾</w:t>
                  </w:r>
                </w:p>
              </w:tc>
              <w:tc>
                <w:tcPr>
                  <w:tcW w:w="792" w:type="dxa"/>
                  <w:vMerge w:val="restart"/>
                  <w:vAlign w:val="center"/>
                </w:tcPr>
                <w:p w14:paraId="5FB0C12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一般</w:t>
                  </w:r>
                </w:p>
                <w:p w14:paraId="1AEFC2A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固废</w:t>
                  </w:r>
                </w:p>
              </w:tc>
              <w:tc>
                <w:tcPr>
                  <w:tcW w:w="1443" w:type="dxa"/>
                  <w:vAlign w:val="center"/>
                </w:tcPr>
                <w:p w14:paraId="7B0C2CD4">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24.64t/a</w:t>
                  </w:r>
                </w:p>
              </w:tc>
              <w:tc>
                <w:tcPr>
                  <w:tcW w:w="1479" w:type="dxa"/>
                  <w:vAlign w:val="center"/>
                </w:tcPr>
                <w:p w14:paraId="1D20B3E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6E7DB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7707D92C">
                  <w:pPr>
                    <w:snapToGrid w:val="0"/>
                    <w:jc w:val="center"/>
                    <w:rPr>
                      <w:rFonts w:hint="eastAsia" w:ascii="宋体" w:hAnsi="宋体" w:cs="宋体"/>
                      <w:snapToGrid w:val="0"/>
                      <w:color w:val="auto"/>
                      <w:kern w:val="0"/>
                      <w:szCs w:val="21"/>
                    </w:rPr>
                  </w:pPr>
                </w:p>
              </w:tc>
              <w:tc>
                <w:tcPr>
                  <w:tcW w:w="2125" w:type="dxa"/>
                  <w:vMerge w:val="continue"/>
                  <w:vAlign w:val="center"/>
                </w:tcPr>
                <w:p w14:paraId="0323677F">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00462604">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食堂泔水</w:t>
                  </w:r>
                </w:p>
              </w:tc>
              <w:tc>
                <w:tcPr>
                  <w:tcW w:w="792" w:type="dxa"/>
                  <w:vMerge w:val="continue"/>
                  <w:vAlign w:val="center"/>
                </w:tcPr>
                <w:p w14:paraId="1E2D27BF">
                  <w:pPr>
                    <w:snapToGrid w:val="0"/>
                    <w:jc w:val="center"/>
                    <w:rPr>
                      <w:rFonts w:hint="eastAsia" w:ascii="宋体" w:hAnsi="宋体" w:cs="宋体"/>
                      <w:snapToGrid w:val="0"/>
                      <w:color w:val="auto"/>
                      <w:kern w:val="0"/>
                      <w:szCs w:val="21"/>
                    </w:rPr>
                  </w:pPr>
                </w:p>
              </w:tc>
              <w:tc>
                <w:tcPr>
                  <w:tcW w:w="1443" w:type="dxa"/>
                  <w:vAlign w:val="center"/>
                </w:tcPr>
                <w:p w14:paraId="455A8F04">
                  <w:pPr>
                    <w:autoSpaceDE w:val="0"/>
                    <w:autoSpaceDN w:val="0"/>
                    <w:adjustRightInd w:val="0"/>
                    <w:snapToGrid w:val="0"/>
                    <w:jc w:val="center"/>
                    <w:rPr>
                      <w:rFonts w:hint="eastAsia" w:ascii="宋体" w:hAnsi="宋体" w:cs="宋体"/>
                      <w:color w:val="auto"/>
                      <w:szCs w:val="21"/>
                    </w:rPr>
                  </w:pPr>
                  <w:r>
                    <w:rPr>
                      <w:rFonts w:hint="eastAsia" w:ascii="宋体" w:hAnsi="宋体" w:cs="宋体"/>
                      <w:bCs/>
                      <w:color w:val="auto"/>
                      <w:szCs w:val="21"/>
                    </w:rPr>
                    <w:t>0.38t/a</w:t>
                  </w:r>
                </w:p>
              </w:tc>
              <w:tc>
                <w:tcPr>
                  <w:tcW w:w="1479" w:type="dxa"/>
                  <w:vAlign w:val="center"/>
                </w:tcPr>
                <w:p w14:paraId="3E2D64B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7C5B8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07" w:type="dxa"/>
                  <w:vMerge w:val="continue"/>
                  <w:vAlign w:val="center"/>
                </w:tcPr>
                <w:p w14:paraId="692D8D0E">
                  <w:pPr>
                    <w:snapToGrid w:val="0"/>
                    <w:jc w:val="center"/>
                    <w:rPr>
                      <w:rFonts w:hint="eastAsia" w:ascii="宋体" w:hAnsi="宋体" w:cs="宋体"/>
                      <w:snapToGrid w:val="0"/>
                      <w:color w:val="auto"/>
                      <w:kern w:val="0"/>
                      <w:szCs w:val="21"/>
                    </w:rPr>
                  </w:pPr>
                </w:p>
              </w:tc>
              <w:tc>
                <w:tcPr>
                  <w:tcW w:w="2125" w:type="dxa"/>
                  <w:vMerge w:val="continue"/>
                  <w:vAlign w:val="center"/>
                </w:tcPr>
                <w:p w14:paraId="13893ECF">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133B542F">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隔油池废油脂</w:t>
                  </w:r>
                </w:p>
              </w:tc>
              <w:tc>
                <w:tcPr>
                  <w:tcW w:w="792" w:type="dxa"/>
                  <w:vMerge w:val="continue"/>
                  <w:vAlign w:val="center"/>
                </w:tcPr>
                <w:p w14:paraId="66193F67">
                  <w:pPr>
                    <w:snapToGrid w:val="0"/>
                    <w:jc w:val="center"/>
                    <w:rPr>
                      <w:rFonts w:hint="eastAsia" w:ascii="宋体" w:hAnsi="宋体" w:cs="宋体"/>
                      <w:snapToGrid w:val="0"/>
                      <w:color w:val="auto"/>
                      <w:kern w:val="0"/>
                      <w:szCs w:val="21"/>
                    </w:rPr>
                  </w:pPr>
                </w:p>
              </w:tc>
              <w:tc>
                <w:tcPr>
                  <w:tcW w:w="1443" w:type="dxa"/>
                  <w:vAlign w:val="center"/>
                </w:tcPr>
                <w:p w14:paraId="71A23253">
                  <w:pPr>
                    <w:autoSpaceDE w:val="0"/>
                    <w:autoSpaceDN w:val="0"/>
                    <w:adjustRightInd w:val="0"/>
                    <w:snapToGrid w:val="0"/>
                    <w:jc w:val="center"/>
                    <w:rPr>
                      <w:rFonts w:hint="eastAsia" w:ascii="宋体" w:hAnsi="宋体" w:cs="宋体"/>
                      <w:bCs/>
                      <w:color w:val="auto"/>
                      <w:szCs w:val="21"/>
                    </w:rPr>
                  </w:pPr>
                  <w:r>
                    <w:rPr>
                      <w:rFonts w:hint="eastAsia" w:ascii="宋体" w:hAnsi="宋体" w:cs="宋体"/>
                      <w:color w:val="auto"/>
                      <w:szCs w:val="21"/>
                    </w:rPr>
                    <w:t>5.475kg/a</w:t>
                  </w:r>
                </w:p>
              </w:tc>
              <w:tc>
                <w:tcPr>
                  <w:tcW w:w="1479" w:type="dxa"/>
                  <w:vAlign w:val="center"/>
                </w:tcPr>
                <w:p w14:paraId="7671872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231D7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5E79E942">
                  <w:pPr>
                    <w:snapToGrid w:val="0"/>
                    <w:jc w:val="center"/>
                    <w:rPr>
                      <w:rFonts w:hint="eastAsia" w:ascii="宋体" w:hAnsi="宋体" w:cs="宋体"/>
                      <w:snapToGrid w:val="0"/>
                      <w:color w:val="auto"/>
                      <w:kern w:val="0"/>
                      <w:szCs w:val="21"/>
                    </w:rPr>
                  </w:pPr>
                </w:p>
              </w:tc>
              <w:tc>
                <w:tcPr>
                  <w:tcW w:w="2125" w:type="dxa"/>
                  <w:vMerge w:val="continue"/>
                  <w:vAlign w:val="center"/>
                </w:tcPr>
                <w:p w14:paraId="05F66D4F">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59CC2B7E">
                  <w:pPr>
                    <w:snapToGrid w:val="0"/>
                    <w:jc w:val="center"/>
                    <w:rPr>
                      <w:rFonts w:hint="eastAsia" w:ascii="宋体" w:hAnsi="宋体" w:cs="宋体"/>
                      <w:color w:val="auto"/>
                      <w:szCs w:val="21"/>
                    </w:rPr>
                  </w:pPr>
                  <w:r>
                    <w:rPr>
                      <w:rFonts w:hint="eastAsia" w:ascii="宋体" w:hAnsi="宋体" w:cs="宋体"/>
                      <w:snapToGrid w:val="0"/>
                      <w:color w:val="auto"/>
                      <w:kern w:val="0"/>
                      <w:szCs w:val="21"/>
                    </w:rPr>
                    <w:t>医疗废物</w:t>
                  </w:r>
                </w:p>
              </w:tc>
              <w:tc>
                <w:tcPr>
                  <w:tcW w:w="792" w:type="dxa"/>
                  <w:vMerge w:val="restart"/>
                  <w:vAlign w:val="center"/>
                </w:tcPr>
                <w:p w14:paraId="08AD58A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危险</w:t>
                  </w:r>
                </w:p>
                <w:p w14:paraId="7D2F4E11">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废物</w:t>
                  </w:r>
                </w:p>
              </w:tc>
              <w:tc>
                <w:tcPr>
                  <w:tcW w:w="1443" w:type="dxa"/>
                  <w:vAlign w:val="center"/>
                </w:tcPr>
                <w:p w14:paraId="1AD2D9FD">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4.149t/a</w:t>
                  </w:r>
                </w:p>
              </w:tc>
              <w:tc>
                <w:tcPr>
                  <w:tcW w:w="1479" w:type="dxa"/>
                  <w:vAlign w:val="center"/>
                </w:tcPr>
                <w:p w14:paraId="26018379">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01A1C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3BFDC2AD">
                  <w:pPr>
                    <w:snapToGrid w:val="0"/>
                    <w:jc w:val="center"/>
                    <w:rPr>
                      <w:rFonts w:hint="eastAsia" w:ascii="宋体" w:hAnsi="宋体" w:cs="宋体"/>
                      <w:snapToGrid w:val="0"/>
                      <w:color w:val="auto"/>
                      <w:kern w:val="0"/>
                      <w:szCs w:val="21"/>
                    </w:rPr>
                  </w:pPr>
                </w:p>
              </w:tc>
              <w:tc>
                <w:tcPr>
                  <w:tcW w:w="2125" w:type="dxa"/>
                  <w:vMerge w:val="continue"/>
                  <w:vAlign w:val="center"/>
                </w:tcPr>
                <w:p w14:paraId="11223DC5">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69A856A7">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792" w:type="dxa"/>
                  <w:vMerge w:val="continue"/>
                  <w:vAlign w:val="center"/>
                </w:tcPr>
                <w:p w14:paraId="7A112552">
                  <w:pPr>
                    <w:snapToGrid w:val="0"/>
                    <w:jc w:val="center"/>
                    <w:rPr>
                      <w:rFonts w:hint="eastAsia" w:ascii="宋体" w:hAnsi="宋体" w:cs="宋体"/>
                      <w:snapToGrid w:val="0"/>
                      <w:color w:val="auto"/>
                      <w:kern w:val="0"/>
                      <w:szCs w:val="21"/>
                    </w:rPr>
                  </w:pPr>
                </w:p>
              </w:tc>
              <w:tc>
                <w:tcPr>
                  <w:tcW w:w="1443" w:type="dxa"/>
                  <w:vAlign w:val="center"/>
                </w:tcPr>
                <w:p w14:paraId="7ED1C72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259.15t/a（含水率95%）</w:t>
                  </w:r>
                </w:p>
              </w:tc>
              <w:tc>
                <w:tcPr>
                  <w:tcW w:w="1479" w:type="dxa"/>
                  <w:vAlign w:val="center"/>
                </w:tcPr>
                <w:p w14:paraId="50D11F1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5DCD1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364A5D2C">
                  <w:pPr>
                    <w:snapToGrid w:val="0"/>
                    <w:jc w:val="center"/>
                    <w:rPr>
                      <w:rFonts w:hint="eastAsia" w:ascii="宋体" w:hAnsi="宋体" w:cs="宋体"/>
                      <w:snapToGrid w:val="0"/>
                      <w:color w:val="auto"/>
                      <w:kern w:val="0"/>
                      <w:szCs w:val="21"/>
                    </w:rPr>
                  </w:pPr>
                </w:p>
              </w:tc>
              <w:tc>
                <w:tcPr>
                  <w:tcW w:w="2125" w:type="dxa"/>
                  <w:vMerge w:val="restart"/>
                  <w:vAlign w:val="center"/>
                </w:tcPr>
                <w:p w14:paraId="5DE52DEF">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九龙卫生院</w:t>
                  </w:r>
                </w:p>
              </w:tc>
              <w:tc>
                <w:tcPr>
                  <w:tcW w:w="1333" w:type="dxa"/>
                  <w:gridSpan w:val="2"/>
                  <w:vAlign w:val="center"/>
                </w:tcPr>
                <w:p w14:paraId="3C202408">
                  <w:pPr>
                    <w:snapToGrid w:val="0"/>
                    <w:jc w:val="center"/>
                    <w:rPr>
                      <w:rFonts w:hint="eastAsia" w:ascii="宋体" w:hAnsi="宋体" w:cs="宋体"/>
                      <w:color w:val="auto"/>
                      <w:szCs w:val="21"/>
                    </w:rPr>
                  </w:pPr>
                  <w:r>
                    <w:rPr>
                      <w:rFonts w:hint="eastAsia" w:ascii="宋体" w:hAnsi="宋体" w:cs="宋体"/>
                      <w:snapToGrid w:val="0"/>
                      <w:color w:val="auto"/>
                      <w:kern w:val="0"/>
                      <w:szCs w:val="21"/>
                    </w:rPr>
                    <w:t>生活垃圾</w:t>
                  </w:r>
                </w:p>
              </w:tc>
              <w:tc>
                <w:tcPr>
                  <w:tcW w:w="792" w:type="dxa"/>
                  <w:vMerge w:val="restart"/>
                  <w:vAlign w:val="center"/>
                </w:tcPr>
                <w:p w14:paraId="38132A90">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一般</w:t>
                  </w:r>
                </w:p>
                <w:p w14:paraId="5254A01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固废</w:t>
                  </w:r>
                </w:p>
              </w:tc>
              <w:tc>
                <w:tcPr>
                  <w:tcW w:w="1443" w:type="dxa"/>
                  <w:vAlign w:val="center"/>
                </w:tcPr>
                <w:p w14:paraId="138F7585">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25.92</w:t>
                  </w:r>
                  <w:r>
                    <w:rPr>
                      <w:rFonts w:hint="eastAsia" w:ascii="宋体" w:hAnsi="宋体" w:cs="宋体"/>
                      <w:bCs/>
                      <w:color w:val="auto"/>
                      <w:szCs w:val="21"/>
                    </w:rPr>
                    <w:t>t/a</w:t>
                  </w:r>
                </w:p>
              </w:tc>
              <w:tc>
                <w:tcPr>
                  <w:tcW w:w="1479" w:type="dxa"/>
                  <w:vAlign w:val="center"/>
                </w:tcPr>
                <w:p w14:paraId="019C21E6">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7CEE2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2043C693">
                  <w:pPr>
                    <w:snapToGrid w:val="0"/>
                    <w:jc w:val="center"/>
                    <w:rPr>
                      <w:rFonts w:hint="eastAsia" w:ascii="宋体" w:hAnsi="宋体" w:cs="宋体"/>
                      <w:snapToGrid w:val="0"/>
                      <w:color w:val="auto"/>
                      <w:kern w:val="0"/>
                      <w:szCs w:val="21"/>
                    </w:rPr>
                  </w:pPr>
                </w:p>
              </w:tc>
              <w:tc>
                <w:tcPr>
                  <w:tcW w:w="2125" w:type="dxa"/>
                  <w:vMerge w:val="continue"/>
                  <w:vAlign w:val="center"/>
                </w:tcPr>
                <w:p w14:paraId="6325CA98">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3BDA1737">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食堂泔水</w:t>
                  </w:r>
                </w:p>
              </w:tc>
              <w:tc>
                <w:tcPr>
                  <w:tcW w:w="792" w:type="dxa"/>
                  <w:vMerge w:val="continue"/>
                  <w:vAlign w:val="center"/>
                </w:tcPr>
                <w:p w14:paraId="38B96555">
                  <w:pPr>
                    <w:snapToGrid w:val="0"/>
                    <w:jc w:val="center"/>
                    <w:rPr>
                      <w:rFonts w:hint="eastAsia" w:ascii="宋体" w:hAnsi="宋体" w:cs="宋体"/>
                      <w:snapToGrid w:val="0"/>
                      <w:color w:val="auto"/>
                      <w:kern w:val="0"/>
                      <w:szCs w:val="21"/>
                    </w:rPr>
                  </w:pPr>
                </w:p>
              </w:tc>
              <w:tc>
                <w:tcPr>
                  <w:tcW w:w="1443" w:type="dxa"/>
                  <w:vAlign w:val="center"/>
                </w:tcPr>
                <w:p w14:paraId="3B714B3D">
                  <w:pPr>
                    <w:autoSpaceDE w:val="0"/>
                    <w:autoSpaceDN w:val="0"/>
                    <w:adjustRightInd w:val="0"/>
                    <w:snapToGrid w:val="0"/>
                    <w:jc w:val="center"/>
                    <w:rPr>
                      <w:rFonts w:hint="eastAsia" w:ascii="宋体" w:hAnsi="宋体" w:cs="宋体"/>
                      <w:color w:val="auto"/>
                      <w:szCs w:val="21"/>
                    </w:rPr>
                  </w:pPr>
                  <w:r>
                    <w:rPr>
                      <w:rFonts w:hint="eastAsia" w:ascii="宋体" w:hAnsi="宋体" w:cs="宋体"/>
                      <w:bCs/>
                      <w:color w:val="auto"/>
                      <w:szCs w:val="21"/>
                    </w:rPr>
                    <w:t>0.26t/a</w:t>
                  </w:r>
                </w:p>
              </w:tc>
              <w:tc>
                <w:tcPr>
                  <w:tcW w:w="1479" w:type="dxa"/>
                  <w:vAlign w:val="center"/>
                </w:tcPr>
                <w:p w14:paraId="0460497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2BAC6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57161BB9">
                  <w:pPr>
                    <w:snapToGrid w:val="0"/>
                    <w:jc w:val="center"/>
                    <w:rPr>
                      <w:rFonts w:hint="eastAsia" w:ascii="宋体" w:hAnsi="宋体" w:cs="宋体"/>
                      <w:snapToGrid w:val="0"/>
                      <w:color w:val="auto"/>
                      <w:kern w:val="0"/>
                      <w:szCs w:val="21"/>
                    </w:rPr>
                  </w:pPr>
                </w:p>
              </w:tc>
              <w:tc>
                <w:tcPr>
                  <w:tcW w:w="2125" w:type="dxa"/>
                  <w:vMerge w:val="continue"/>
                  <w:vAlign w:val="center"/>
                </w:tcPr>
                <w:p w14:paraId="06326E57">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57BFA2D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隔油池废油脂</w:t>
                  </w:r>
                </w:p>
              </w:tc>
              <w:tc>
                <w:tcPr>
                  <w:tcW w:w="792" w:type="dxa"/>
                  <w:vMerge w:val="continue"/>
                  <w:vAlign w:val="center"/>
                </w:tcPr>
                <w:p w14:paraId="6DD63A5D">
                  <w:pPr>
                    <w:snapToGrid w:val="0"/>
                    <w:jc w:val="center"/>
                    <w:rPr>
                      <w:rFonts w:hint="eastAsia" w:ascii="宋体" w:hAnsi="宋体" w:cs="宋体"/>
                      <w:snapToGrid w:val="0"/>
                      <w:color w:val="auto"/>
                      <w:kern w:val="0"/>
                      <w:szCs w:val="21"/>
                    </w:rPr>
                  </w:pPr>
                </w:p>
              </w:tc>
              <w:tc>
                <w:tcPr>
                  <w:tcW w:w="1443" w:type="dxa"/>
                  <w:vAlign w:val="center"/>
                </w:tcPr>
                <w:p w14:paraId="4E89E716">
                  <w:pPr>
                    <w:autoSpaceDE w:val="0"/>
                    <w:autoSpaceDN w:val="0"/>
                    <w:adjustRightInd w:val="0"/>
                    <w:snapToGrid w:val="0"/>
                    <w:jc w:val="center"/>
                    <w:rPr>
                      <w:rFonts w:hint="eastAsia" w:ascii="宋体" w:hAnsi="宋体" w:cs="宋体"/>
                      <w:bCs/>
                      <w:color w:val="auto"/>
                      <w:szCs w:val="21"/>
                    </w:rPr>
                  </w:pPr>
                  <w:r>
                    <w:rPr>
                      <w:rFonts w:hint="eastAsia" w:ascii="宋体" w:hAnsi="宋体" w:cs="宋体"/>
                      <w:color w:val="auto"/>
                      <w:szCs w:val="21"/>
                    </w:rPr>
                    <w:t>3.65kg/a</w:t>
                  </w:r>
                </w:p>
              </w:tc>
              <w:tc>
                <w:tcPr>
                  <w:tcW w:w="1479" w:type="dxa"/>
                  <w:vAlign w:val="center"/>
                </w:tcPr>
                <w:p w14:paraId="1B73270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30B71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0FEF74C0">
                  <w:pPr>
                    <w:snapToGrid w:val="0"/>
                    <w:jc w:val="center"/>
                    <w:rPr>
                      <w:rFonts w:hint="eastAsia" w:ascii="宋体" w:hAnsi="宋体" w:cs="宋体"/>
                      <w:snapToGrid w:val="0"/>
                      <w:color w:val="auto"/>
                      <w:kern w:val="0"/>
                      <w:szCs w:val="21"/>
                    </w:rPr>
                  </w:pPr>
                </w:p>
              </w:tc>
              <w:tc>
                <w:tcPr>
                  <w:tcW w:w="2125" w:type="dxa"/>
                  <w:vMerge w:val="continue"/>
                  <w:vAlign w:val="center"/>
                </w:tcPr>
                <w:p w14:paraId="705EB3C7">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7C23C4D0">
                  <w:pPr>
                    <w:snapToGrid w:val="0"/>
                    <w:jc w:val="center"/>
                    <w:rPr>
                      <w:rFonts w:hint="eastAsia" w:ascii="宋体" w:hAnsi="宋体" w:cs="宋体"/>
                      <w:color w:val="auto"/>
                      <w:szCs w:val="21"/>
                    </w:rPr>
                  </w:pPr>
                  <w:r>
                    <w:rPr>
                      <w:rFonts w:hint="eastAsia" w:ascii="宋体" w:hAnsi="宋体" w:cs="宋体"/>
                      <w:snapToGrid w:val="0"/>
                      <w:color w:val="auto"/>
                      <w:kern w:val="0"/>
                      <w:szCs w:val="21"/>
                    </w:rPr>
                    <w:t>医疗废物</w:t>
                  </w:r>
                </w:p>
              </w:tc>
              <w:tc>
                <w:tcPr>
                  <w:tcW w:w="792" w:type="dxa"/>
                  <w:vMerge w:val="restart"/>
                  <w:vAlign w:val="center"/>
                </w:tcPr>
                <w:p w14:paraId="0342529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危险</w:t>
                  </w:r>
                </w:p>
                <w:p w14:paraId="2266CAB7">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废物</w:t>
                  </w:r>
                </w:p>
              </w:tc>
              <w:tc>
                <w:tcPr>
                  <w:tcW w:w="1443" w:type="dxa"/>
                  <w:vAlign w:val="center"/>
                </w:tcPr>
                <w:p w14:paraId="5C7B84E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3.504t/a</w:t>
                  </w:r>
                </w:p>
              </w:tc>
              <w:tc>
                <w:tcPr>
                  <w:tcW w:w="1479" w:type="dxa"/>
                  <w:vAlign w:val="center"/>
                </w:tcPr>
                <w:p w14:paraId="09A597A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7DAE2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7A1E61B9">
                  <w:pPr>
                    <w:snapToGrid w:val="0"/>
                    <w:jc w:val="center"/>
                    <w:rPr>
                      <w:rFonts w:hint="eastAsia" w:ascii="宋体" w:hAnsi="宋体" w:cs="宋体"/>
                      <w:snapToGrid w:val="0"/>
                      <w:color w:val="auto"/>
                      <w:kern w:val="0"/>
                      <w:szCs w:val="21"/>
                    </w:rPr>
                  </w:pPr>
                </w:p>
              </w:tc>
              <w:tc>
                <w:tcPr>
                  <w:tcW w:w="2125" w:type="dxa"/>
                  <w:vMerge w:val="continue"/>
                  <w:vAlign w:val="center"/>
                </w:tcPr>
                <w:p w14:paraId="7A97F85B">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331FA88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792" w:type="dxa"/>
                  <w:vMerge w:val="continue"/>
                  <w:vAlign w:val="center"/>
                </w:tcPr>
                <w:p w14:paraId="60912B6B">
                  <w:pPr>
                    <w:snapToGrid w:val="0"/>
                    <w:jc w:val="center"/>
                    <w:rPr>
                      <w:rFonts w:hint="eastAsia" w:ascii="宋体" w:hAnsi="宋体" w:cs="宋体"/>
                      <w:snapToGrid w:val="0"/>
                      <w:color w:val="auto"/>
                      <w:kern w:val="0"/>
                      <w:szCs w:val="21"/>
                    </w:rPr>
                  </w:pPr>
                </w:p>
              </w:tc>
              <w:tc>
                <w:tcPr>
                  <w:tcW w:w="1443" w:type="dxa"/>
                  <w:vAlign w:val="center"/>
                </w:tcPr>
                <w:p w14:paraId="3C3B82AF">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289t/a（含水率95%）</w:t>
                  </w:r>
                </w:p>
              </w:tc>
              <w:tc>
                <w:tcPr>
                  <w:tcW w:w="1479" w:type="dxa"/>
                  <w:vAlign w:val="center"/>
                </w:tcPr>
                <w:p w14:paraId="5211531B">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25A91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1C8F06CB">
                  <w:pPr>
                    <w:snapToGrid w:val="0"/>
                    <w:jc w:val="center"/>
                    <w:rPr>
                      <w:rFonts w:hint="eastAsia" w:ascii="宋体" w:hAnsi="宋体" w:cs="宋体"/>
                      <w:snapToGrid w:val="0"/>
                      <w:color w:val="auto"/>
                      <w:kern w:val="0"/>
                      <w:szCs w:val="21"/>
                    </w:rPr>
                  </w:pPr>
                </w:p>
              </w:tc>
              <w:tc>
                <w:tcPr>
                  <w:tcW w:w="2125" w:type="dxa"/>
                  <w:vMerge w:val="restart"/>
                  <w:vAlign w:val="center"/>
                </w:tcPr>
                <w:p w14:paraId="36045E2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杨广卫生院</w:t>
                  </w:r>
                </w:p>
              </w:tc>
              <w:tc>
                <w:tcPr>
                  <w:tcW w:w="1333" w:type="dxa"/>
                  <w:gridSpan w:val="2"/>
                  <w:vAlign w:val="center"/>
                </w:tcPr>
                <w:p w14:paraId="609CF826">
                  <w:pPr>
                    <w:snapToGrid w:val="0"/>
                    <w:jc w:val="center"/>
                    <w:rPr>
                      <w:rFonts w:hint="eastAsia" w:ascii="宋体" w:hAnsi="宋体" w:cs="宋体"/>
                      <w:color w:val="auto"/>
                      <w:szCs w:val="21"/>
                    </w:rPr>
                  </w:pPr>
                  <w:r>
                    <w:rPr>
                      <w:rFonts w:hint="eastAsia" w:ascii="宋体" w:hAnsi="宋体" w:cs="宋体"/>
                      <w:snapToGrid w:val="0"/>
                      <w:color w:val="auto"/>
                      <w:kern w:val="0"/>
                      <w:szCs w:val="21"/>
                    </w:rPr>
                    <w:t>生活垃圾</w:t>
                  </w:r>
                </w:p>
              </w:tc>
              <w:tc>
                <w:tcPr>
                  <w:tcW w:w="792" w:type="dxa"/>
                  <w:vMerge w:val="restart"/>
                  <w:vAlign w:val="center"/>
                </w:tcPr>
                <w:p w14:paraId="00E8BEE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一般</w:t>
                  </w:r>
                </w:p>
                <w:p w14:paraId="7BF11389">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固废</w:t>
                  </w:r>
                </w:p>
              </w:tc>
              <w:tc>
                <w:tcPr>
                  <w:tcW w:w="1443" w:type="dxa"/>
                  <w:vAlign w:val="center"/>
                </w:tcPr>
                <w:p w14:paraId="6A876AA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31.17</w:t>
                  </w:r>
                  <w:r>
                    <w:rPr>
                      <w:rFonts w:hint="eastAsia" w:ascii="宋体" w:hAnsi="宋体" w:cs="宋体"/>
                      <w:bCs/>
                      <w:color w:val="auto"/>
                      <w:szCs w:val="21"/>
                    </w:rPr>
                    <w:t>t/a</w:t>
                  </w:r>
                </w:p>
              </w:tc>
              <w:tc>
                <w:tcPr>
                  <w:tcW w:w="1479" w:type="dxa"/>
                  <w:vAlign w:val="center"/>
                </w:tcPr>
                <w:p w14:paraId="68126B3E">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2D092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6217DFC1">
                  <w:pPr>
                    <w:snapToGrid w:val="0"/>
                    <w:jc w:val="center"/>
                    <w:rPr>
                      <w:rFonts w:hint="eastAsia" w:ascii="宋体" w:hAnsi="宋体" w:cs="宋体"/>
                      <w:snapToGrid w:val="0"/>
                      <w:color w:val="auto"/>
                      <w:kern w:val="0"/>
                      <w:szCs w:val="21"/>
                    </w:rPr>
                  </w:pPr>
                </w:p>
              </w:tc>
              <w:tc>
                <w:tcPr>
                  <w:tcW w:w="2125" w:type="dxa"/>
                  <w:vMerge w:val="continue"/>
                  <w:vAlign w:val="center"/>
                </w:tcPr>
                <w:p w14:paraId="48EFDB03">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34B1CB25">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食堂泔水</w:t>
                  </w:r>
                </w:p>
              </w:tc>
              <w:tc>
                <w:tcPr>
                  <w:tcW w:w="792" w:type="dxa"/>
                  <w:vMerge w:val="continue"/>
                  <w:vAlign w:val="center"/>
                </w:tcPr>
                <w:p w14:paraId="23CB281B">
                  <w:pPr>
                    <w:snapToGrid w:val="0"/>
                    <w:jc w:val="center"/>
                    <w:rPr>
                      <w:rFonts w:hint="eastAsia" w:ascii="宋体" w:hAnsi="宋体" w:cs="宋体"/>
                      <w:snapToGrid w:val="0"/>
                      <w:color w:val="auto"/>
                      <w:kern w:val="0"/>
                      <w:szCs w:val="21"/>
                    </w:rPr>
                  </w:pPr>
                </w:p>
              </w:tc>
              <w:tc>
                <w:tcPr>
                  <w:tcW w:w="1443" w:type="dxa"/>
                  <w:vAlign w:val="center"/>
                </w:tcPr>
                <w:p w14:paraId="43CE493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0.33t/a</w:t>
                  </w:r>
                </w:p>
              </w:tc>
              <w:tc>
                <w:tcPr>
                  <w:tcW w:w="1479" w:type="dxa"/>
                  <w:vAlign w:val="center"/>
                </w:tcPr>
                <w:p w14:paraId="5BDC49D4">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1EA6A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53D0CD4C">
                  <w:pPr>
                    <w:snapToGrid w:val="0"/>
                    <w:jc w:val="center"/>
                    <w:rPr>
                      <w:rFonts w:hint="eastAsia" w:ascii="宋体" w:hAnsi="宋体" w:cs="宋体"/>
                      <w:snapToGrid w:val="0"/>
                      <w:color w:val="auto"/>
                      <w:kern w:val="0"/>
                      <w:szCs w:val="21"/>
                    </w:rPr>
                  </w:pPr>
                </w:p>
              </w:tc>
              <w:tc>
                <w:tcPr>
                  <w:tcW w:w="2125" w:type="dxa"/>
                  <w:vMerge w:val="continue"/>
                  <w:vAlign w:val="center"/>
                </w:tcPr>
                <w:p w14:paraId="0C60BFE5">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76AE5B27">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隔油池废油脂</w:t>
                  </w:r>
                </w:p>
              </w:tc>
              <w:tc>
                <w:tcPr>
                  <w:tcW w:w="792" w:type="dxa"/>
                  <w:vMerge w:val="continue"/>
                  <w:vAlign w:val="center"/>
                </w:tcPr>
                <w:p w14:paraId="19EBD265">
                  <w:pPr>
                    <w:snapToGrid w:val="0"/>
                    <w:jc w:val="center"/>
                    <w:rPr>
                      <w:rFonts w:hint="eastAsia" w:ascii="宋体" w:hAnsi="宋体" w:cs="宋体"/>
                      <w:snapToGrid w:val="0"/>
                      <w:color w:val="auto"/>
                      <w:kern w:val="0"/>
                      <w:szCs w:val="21"/>
                    </w:rPr>
                  </w:pPr>
                </w:p>
              </w:tc>
              <w:tc>
                <w:tcPr>
                  <w:tcW w:w="1443" w:type="dxa"/>
                  <w:vAlign w:val="center"/>
                </w:tcPr>
                <w:p w14:paraId="06F31D79">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4.75kg/a</w:t>
                  </w:r>
                </w:p>
              </w:tc>
              <w:tc>
                <w:tcPr>
                  <w:tcW w:w="1479" w:type="dxa"/>
                  <w:vAlign w:val="center"/>
                </w:tcPr>
                <w:p w14:paraId="37BE67F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2032A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7AC42D23">
                  <w:pPr>
                    <w:snapToGrid w:val="0"/>
                    <w:jc w:val="center"/>
                    <w:rPr>
                      <w:rFonts w:hint="eastAsia" w:ascii="宋体" w:hAnsi="宋体" w:cs="宋体"/>
                      <w:snapToGrid w:val="0"/>
                      <w:color w:val="auto"/>
                      <w:kern w:val="0"/>
                      <w:szCs w:val="21"/>
                    </w:rPr>
                  </w:pPr>
                </w:p>
              </w:tc>
              <w:tc>
                <w:tcPr>
                  <w:tcW w:w="2125" w:type="dxa"/>
                  <w:vMerge w:val="continue"/>
                  <w:vAlign w:val="center"/>
                </w:tcPr>
                <w:p w14:paraId="53049585">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71E8E841">
                  <w:pPr>
                    <w:snapToGrid w:val="0"/>
                    <w:jc w:val="center"/>
                    <w:rPr>
                      <w:rFonts w:hint="eastAsia" w:ascii="宋体" w:hAnsi="宋体" w:cs="宋体"/>
                      <w:color w:val="auto"/>
                      <w:szCs w:val="21"/>
                    </w:rPr>
                  </w:pPr>
                  <w:r>
                    <w:rPr>
                      <w:rFonts w:hint="eastAsia" w:ascii="宋体" w:hAnsi="宋体" w:cs="宋体"/>
                      <w:snapToGrid w:val="0"/>
                      <w:color w:val="auto"/>
                      <w:kern w:val="0"/>
                      <w:szCs w:val="21"/>
                    </w:rPr>
                    <w:t>医疗废物</w:t>
                  </w:r>
                </w:p>
              </w:tc>
              <w:tc>
                <w:tcPr>
                  <w:tcW w:w="792" w:type="dxa"/>
                  <w:vMerge w:val="restart"/>
                  <w:vAlign w:val="center"/>
                </w:tcPr>
                <w:p w14:paraId="0F22F6C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危险</w:t>
                  </w:r>
                </w:p>
                <w:p w14:paraId="4B612EB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废物</w:t>
                  </w:r>
                </w:p>
              </w:tc>
              <w:tc>
                <w:tcPr>
                  <w:tcW w:w="1443" w:type="dxa"/>
                  <w:vAlign w:val="center"/>
                </w:tcPr>
                <w:p w14:paraId="6A4B06B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6.233t/a</w:t>
                  </w:r>
                </w:p>
              </w:tc>
              <w:tc>
                <w:tcPr>
                  <w:tcW w:w="1479" w:type="dxa"/>
                  <w:vAlign w:val="center"/>
                </w:tcPr>
                <w:p w14:paraId="5B4C7BB5">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4E5DB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5312FA09">
                  <w:pPr>
                    <w:snapToGrid w:val="0"/>
                    <w:jc w:val="center"/>
                    <w:rPr>
                      <w:rFonts w:hint="eastAsia" w:ascii="宋体" w:hAnsi="宋体" w:cs="宋体"/>
                      <w:snapToGrid w:val="0"/>
                      <w:color w:val="auto"/>
                      <w:kern w:val="0"/>
                      <w:szCs w:val="21"/>
                    </w:rPr>
                  </w:pPr>
                </w:p>
              </w:tc>
              <w:tc>
                <w:tcPr>
                  <w:tcW w:w="2125" w:type="dxa"/>
                  <w:vMerge w:val="continue"/>
                  <w:vAlign w:val="center"/>
                </w:tcPr>
                <w:p w14:paraId="1A0F106D">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4EF5E15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792" w:type="dxa"/>
                  <w:vMerge w:val="continue"/>
                  <w:vAlign w:val="center"/>
                </w:tcPr>
                <w:p w14:paraId="49D1B159">
                  <w:pPr>
                    <w:snapToGrid w:val="0"/>
                    <w:jc w:val="center"/>
                    <w:rPr>
                      <w:rFonts w:hint="eastAsia" w:ascii="宋体" w:hAnsi="宋体" w:cs="宋体"/>
                      <w:snapToGrid w:val="0"/>
                      <w:color w:val="auto"/>
                      <w:kern w:val="0"/>
                      <w:szCs w:val="21"/>
                    </w:rPr>
                  </w:pPr>
                </w:p>
              </w:tc>
              <w:tc>
                <w:tcPr>
                  <w:tcW w:w="1443" w:type="dxa"/>
                  <w:vAlign w:val="center"/>
                </w:tcPr>
                <w:p w14:paraId="0C8D83C5">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293.4t/a（含水率95%）</w:t>
                  </w:r>
                </w:p>
              </w:tc>
              <w:tc>
                <w:tcPr>
                  <w:tcW w:w="1479" w:type="dxa"/>
                  <w:vAlign w:val="center"/>
                </w:tcPr>
                <w:p w14:paraId="2C04C747">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bl>
          <w:p w14:paraId="7C3A9F4D">
            <w:pPr>
              <w:pStyle w:val="8"/>
              <w:adjustRightInd w:val="0"/>
              <w:snapToGrid w:val="0"/>
              <w:spacing w:line="360" w:lineRule="auto"/>
              <w:ind w:firstLine="482"/>
              <w:rPr>
                <w:b/>
                <w:color w:val="auto"/>
              </w:rPr>
            </w:pPr>
            <w:r>
              <w:rPr>
                <w:rFonts w:hint="eastAsia"/>
                <w:b/>
                <w:color w:val="auto"/>
              </w:rPr>
              <w:t>8、现有项目存在的主要环境问题及整改控制措施</w:t>
            </w:r>
          </w:p>
          <w:p w14:paraId="6FFE3C17">
            <w:pPr>
              <w:spacing w:line="360" w:lineRule="auto"/>
              <w:ind w:firstLine="480" w:firstLineChars="200"/>
              <w:rPr>
                <w:bCs/>
                <w:color w:val="auto"/>
                <w:sz w:val="24"/>
              </w:rPr>
            </w:pPr>
            <w:r>
              <w:rPr>
                <w:rFonts w:hint="eastAsia"/>
                <w:bCs/>
                <w:color w:val="auto"/>
                <w:sz w:val="24"/>
              </w:rPr>
              <w:t>根据现场踏勘，与项目有关的污染问题主要为：</w:t>
            </w:r>
          </w:p>
          <w:p w14:paraId="39EC386F">
            <w:pPr>
              <w:numPr>
                <w:ilvl w:val="0"/>
                <w:numId w:val="10"/>
              </w:numPr>
              <w:spacing w:line="360" w:lineRule="auto"/>
              <w:ind w:firstLine="480" w:firstLineChars="200"/>
              <w:rPr>
                <w:rFonts w:hint="eastAsia"/>
                <w:bCs/>
                <w:color w:val="auto"/>
                <w:sz w:val="24"/>
                <w:lang w:val="en-US" w:eastAsia="zh-CN"/>
              </w:rPr>
            </w:pPr>
            <w:r>
              <w:rPr>
                <w:rFonts w:hint="eastAsia"/>
                <w:bCs/>
                <w:color w:val="auto"/>
                <w:sz w:val="24"/>
                <w:lang w:val="en-US" w:eastAsia="zh-CN"/>
              </w:rPr>
              <w:t>污水排污口和雨水排放口未设置标识牌，管理不规范。</w:t>
            </w:r>
          </w:p>
          <w:p w14:paraId="1F3FBD42">
            <w:pPr>
              <w:numPr>
                <w:ilvl w:val="0"/>
                <w:numId w:val="10"/>
              </w:numPr>
              <w:spacing w:line="360" w:lineRule="auto"/>
              <w:ind w:firstLine="480" w:firstLineChars="200"/>
              <w:rPr>
                <w:rFonts w:hint="default"/>
                <w:bCs/>
                <w:color w:val="auto"/>
                <w:sz w:val="24"/>
                <w:lang w:val="en-US" w:eastAsia="zh-CN"/>
              </w:rPr>
            </w:pPr>
            <w:r>
              <w:rPr>
                <w:rFonts w:hint="eastAsia"/>
                <w:bCs/>
                <w:color w:val="auto"/>
                <w:sz w:val="24"/>
                <w:lang w:val="en-US" w:eastAsia="zh-CN"/>
              </w:rPr>
              <w:t>四街卫生院和九龙卫生院虽在污水处理厂纳污范围内，但四街现有污水处理设施已损坏，现已停用。九龙卫生院污水处理设施已老化且处理工艺简单，九龙卫生院仅为次氯酸钠消毒工艺（次氯酸钠发生器消毒处理工艺）。根据现状废水排放口监测结果，排放污水水质不能达《医疗机构水污染物排放标准》（GB18466-2005）表2预处理标准及《污水排入城镇下水道水质标准》（GB/T31962-2015）表1B等级标准较严值。</w:t>
            </w:r>
          </w:p>
          <w:p w14:paraId="551DF39E">
            <w:pPr>
              <w:numPr>
                <w:ilvl w:val="0"/>
                <w:numId w:val="10"/>
              </w:numPr>
              <w:spacing w:line="360" w:lineRule="auto"/>
              <w:ind w:firstLine="480" w:firstLineChars="200"/>
              <w:rPr>
                <w:rFonts w:hint="default"/>
                <w:bCs/>
                <w:color w:val="auto"/>
                <w:sz w:val="24"/>
                <w:lang w:val="en-US" w:eastAsia="zh-CN"/>
              </w:rPr>
            </w:pPr>
            <w:r>
              <w:rPr>
                <w:rFonts w:hint="eastAsia"/>
                <w:bCs/>
                <w:color w:val="auto"/>
                <w:sz w:val="24"/>
                <w:lang w:val="en-US" w:eastAsia="zh-CN"/>
              </w:rPr>
              <w:t>项目涉及的卫生院建院年代较早，没有完善的环保手续，未严格执行排污许可相关要求。</w:t>
            </w:r>
          </w:p>
          <w:p w14:paraId="1E022FF2">
            <w:pPr>
              <w:numPr>
                <w:ilvl w:val="0"/>
                <w:numId w:val="10"/>
              </w:numPr>
              <w:spacing w:line="360" w:lineRule="auto"/>
              <w:ind w:firstLine="480" w:firstLineChars="200"/>
              <w:rPr>
                <w:rFonts w:hint="default"/>
                <w:bCs/>
                <w:color w:val="auto"/>
                <w:sz w:val="24"/>
                <w:lang w:val="en-US" w:eastAsia="zh-CN"/>
              </w:rPr>
            </w:pPr>
            <w:r>
              <w:rPr>
                <w:rFonts w:hint="eastAsia"/>
                <w:bCs/>
                <w:color w:val="auto"/>
                <w:sz w:val="24"/>
                <w:lang w:val="en-US" w:eastAsia="zh-CN"/>
              </w:rPr>
              <w:t>现有项目涉及食堂的卫生院，食堂泔水未按相关要求处置。</w:t>
            </w:r>
          </w:p>
          <w:p w14:paraId="68D8C102">
            <w:pPr>
              <w:spacing w:line="360" w:lineRule="auto"/>
              <w:ind w:firstLine="480" w:firstLineChars="200"/>
              <w:rPr>
                <w:bCs/>
                <w:color w:val="auto"/>
                <w:sz w:val="24"/>
              </w:rPr>
            </w:pPr>
            <w:r>
              <w:rPr>
                <w:rFonts w:hint="eastAsia"/>
                <w:bCs/>
                <w:color w:val="auto"/>
                <w:sz w:val="24"/>
              </w:rPr>
              <w:t>整改措施：</w:t>
            </w:r>
          </w:p>
          <w:p w14:paraId="40FA9157">
            <w:pPr>
              <w:spacing w:line="360" w:lineRule="auto"/>
              <w:ind w:firstLine="480" w:firstLineChars="200"/>
              <w:rPr>
                <w:rFonts w:hint="eastAsia"/>
                <w:bCs/>
                <w:color w:val="auto"/>
                <w:sz w:val="24"/>
              </w:rPr>
            </w:pPr>
            <w:r>
              <w:rPr>
                <w:rFonts w:hint="eastAsia"/>
                <w:bCs/>
                <w:color w:val="auto"/>
                <w:sz w:val="24"/>
              </w:rPr>
              <w:t>1、按现行有关规定合理设置污水和雨水排放口。</w:t>
            </w:r>
          </w:p>
          <w:p w14:paraId="797C2E3D">
            <w:pPr>
              <w:spacing w:line="360" w:lineRule="auto"/>
              <w:ind w:firstLine="480" w:firstLineChars="200"/>
              <w:rPr>
                <w:rFonts w:hint="eastAsia"/>
                <w:bCs/>
                <w:color w:val="auto"/>
                <w:sz w:val="24"/>
              </w:rPr>
            </w:pPr>
            <w:r>
              <w:rPr>
                <w:rFonts w:hint="eastAsia"/>
                <w:bCs/>
                <w:color w:val="auto"/>
                <w:sz w:val="24"/>
              </w:rPr>
              <w:t>2、根据现状监测结果，由于四街卫生院和九龙卫生院现有污水不能达标排放，因此本环评要求四街卫生院和九龙卫生院拆除现有污水处理站后在原址分别新建一座污水处理站。污水处理站拆除固废建筑垃圾及时清理和搬运至规定的指定地点。拆除下来的废弃污水处理站设备外售给废品收购站。</w:t>
            </w:r>
          </w:p>
          <w:p w14:paraId="4124FD9D">
            <w:pPr>
              <w:spacing w:line="360" w:lineRule="auto"/>
              <w:ind w:firstLine="480" w:firstLineChars="200"/>
              <w:rPr>
                <w:rFonts w:hint="eastAsia"/>
                <w:bCs/>
                <w:color w:val="auto"/>
                <w:sz w:val="24"/>
              </w:rPr>
            </w:pPr>
            <w:r>
              <w:rPr>
                <w:rFonts w:hint="eastAsia"/>
                <w:bCs/>
                <w:color w:val="auto"/>
                <w:sz w:val="24"/>
              </w:rPr>
              <w:t>3、在本次项目建成后，按照相关法律法规要求，完善环保手续和存档管理等，按相关要求执行排污许可要求。</w:t>
            </w:r>
          </w:p>
          <w:p w14:paraId="29219E3A">
            <w:pPr>
              <w:spacing w:line="360" w:lineRule="auto"/>
              <w:ind w:firstLine="480" w:firstLineChars="200"/>
              <w:rPr>
                <w:rFonts w:hint="default"/>
                <w:color w:val="auto"/>
                <w:sz w:val="24"/>
                <w:lang w:val="en-US" w:eastAsia="zh-CN"/>
              </w:rPr>
            </w:pPr>
            <w:r>
              <w:rPr>
                <w:rFonts w:hint="eastAsia"/>
                <w:bCs/>
                <w:color w:val="auto"/>
                <w:sz w:val="24"/>
              </w:rPr>
              <w:t>4、现有项目涉及食堂的卫生院，产生的食堂泔水需交有资质的单位处置</w:t>
            </w:r>
            <w:r>
              <w:rPr>
                <w:rFonts w:hint="eastAsia"/>
                <w:color w:val="auto"/>
                <w:sz w:val="24"/>
                <w:lang w:val="en-US" w:eastAsia="zh-CN"/>
              </w:rPr>
              <w:t>。</w:t>
            </w:r>
          </w:p>
          <w:p w14:paraId="786FFAAB">
            <w:pPr>
              <w:spacing w:line="360" w:lineRule="auto"/>
              <w:ind w:firstLine="480" w:firstLineChars="200"/>
              <w:rPr>
                <w:rFonts w:hint="default" w:eastAsia="宋体"/>
                <w:color w:val="auto"/>
                <w:sz w:val="24"/>
                <w:lang w:val="en-US" w:eastAsia="zh-CN"/>
              </w:rPr>
            </w:pPr>
          </w:p>
          <w:p w14:paraId="5F4A18B3">
            <w:pPr>
              <w:spacing w:line="360" w:lineRule="auto"/>
              <w:ind w:firstLine="480" w:firstLineChars="200"/>
              <w:rPr>
                <w:bCs/>
                <w:color w:val="auto"/>
                <w:sz w:val="24"/>
              </w:rPr>
            </w:pPr>
          </w:p>
          <w:p w14:paraId="38A265B1">
            <w:pPr>
              <w:spacing w:line="360" w:lineRule="auto"/>
              <w:ind w:firstLine="480" w:firstLineChars="200"/>
              <w:rPr>
                <w:bCs/>
                <w:color w:val="auto"/>
                <w:sz w:val="24"/>
              </w:rPr>
            </w:pPr>
          </w:p>
          <w:p w14:paraId="492408E6">
            <w:pPr>
              <w:spacing w:line="360" w:lineRule="auto"/>
              <w:ind w:firstLine="480" w:firstLineChars="200"/>
              <w:rPr>
                <w:bCs/>
                <w:color w:val="auto"/>
                <w:sz w:val="24"/>
              </w:rPr>
            </w:pPr>
          </w:p>
          <w:p w14:paraId="067631FB">
            <w:pPr>
              <w:spacing w:line="360" w:lineRule="auto"/>
              <w:ind w:firstLine="480" w:firstLineChars="200"/>
              <w:rPr>
                <w:bCs/>
                <w:color w:val="auto"/>
                <w:sz w:val="24"/>
              </w:rPr>
            </w:pPr>
          </w:p>
          <w:p w14:paraId="7F68162A">
            <w:pPr>
              <w:spacing w:line="360" w:lineRule="auto"/>
              <w:ind w:firstLine="480" w:firstLineChars="200"/>
              <w:rPr>
                <w:bCs/>
                <w:color w:val="auto"/>
                <w:sz w:val="24"/>
              </w:rPr>
            </w:pPr>
          </w:p>
          <w:p w14:paraId="57273AFF">
            <w:pPr>
              <w:spacing w:line="360" w:lineRule="auto"/>
              <w:ind w:firstLine="480" w:firstLineChars="200"/>
              <w:rPr>
                <w:bCs/>
                <w:color w:val="auto"/>
                <w:sz w:val="24"/>
              </w:rPr>
            </w:pPr>
          </w:p>
          <w:p w14:paraId="170F3EA7">
            <w:pPr>
              <w:spacing w:line="360" w:lineRule="auto"/>
              <w:ind w:firstLine="480" w:firstLineChars="200"/>
              <w:rPr>
                <w:bCs/>
                <w:color w:val="auto"/>
                <w:sz w:val="24"/>
              </w:rPr>
            </w:pPr>
          </w:p>
          <w:p w14:paraId="170C043A">
            <w:pPr>
              <w:spacing w:line="360" w:lineRule="auto"/>
              <w:rPr>
                <w:bCs/>
                <w:color w:val="auto"/>
                <w:sz w:val="24"/>
              </w:rPr>
            </w:pPr>
          </w:p>
          <w:p w14:paraId="6A9A162A">
            <w:pPr>
              <w:spacing w:line="360" w:lineRule="auto"/>
              <w:rPr>
                <w:bCs/>
                <w:color w:val="auto"/>
                <w:sz w:val="24"/>
              </w:rPr>
            </w:pPr>
          </w:p>
          <w:p w14:paraId="3451409F">
            <w:pPr>
              <w:spacing w:line="360" w:lineRule="auto"/>
              <w:ind w:firstLine="480" w:firstLineChars="200"/>
              <w:rPr>
                <w:bCs/>
                <w:color w:val="auto"/>
                <w:sz w:val="24"/>
              </w:rPr>
            </w:pPr>
          </w:p>
          <w:p w14:paraId="2C28D4CD">
            <w:pPr>
              <w:spacing w:line="360" w:lineRule="auto"/>
              <w:ind w:firstLine="480" w:firstLineChars="200"/>
              <w:rPr>
                <w:bCs/>
                <w:color w:val="auto"/>
                <w:sz w:val="24"/>
              </w:rPr>
            </w:pPr>
          </w:p>
          <w:p w14:paraId="3578896D">
            <w:pPr>
              <w:spacing w:line="360" w:lineRule="auto"/>
              <w:ind w:firstLine="480" w:firstLineChars="200"/>
              <w:rPr>
                <w:bCs/>
                <w:color w:val="auto"/>
                <w:sz w:val="24"/>
              </w:rPr>
            </w:pPr>
          </w:p>
          <w:p w14:paraId="6C3CE2FA">
            <w:pPr>
              <w:spacing w:line="360" w:lineRule="auto"/>
              <w:ind w:firstLine="480" w:firstLineChars="200"/>
              <w:rPr>
                <w:bCs/>
                <w:color w:val="auto"/>
                <w:sz w:val="24"/>
              </w:rPr>
            </w:pPr>
          </w:p>
          <w:p w14:paraId="76DC7C7D">
            <w:pPr>
              <w:spacing w:line="360" w:lineRule="auto"/>
              <w:ind w:firstLine="480" w:firstLineChars="200"/>
              <w:rPr>
                <w:bCs/>
                <w:color w:val="auto"/>
                <w:sz w:val="24"/>
              </w:rPr>
            </w:pPr>
          </w:p>
          <w:p w14:paraId="03A0C85E">
            <w:pPr>
              <w:spacing w:line="360" w:lineRule="auto"/>
              <w:ind w:firstLine="480" w:firstLineChars="200"/>
              <w:rPr>
                <w:bCs/>
                <w:color w:val="auto"/>
                <w:sz w:val="24"/>
              </w:rPr>
            </w:pPr>
          </w:p>
        </w:tc>
      </w:tr>
    </w:tbl>
    <w:p w14:paraId="16310630">
      <w:pPr>
        <w:pStyle w:val="29"/>
        <w:jc w:val="center"/>
        <w:rPr>
          <w:rFonts w:ascii="Times New Roman" w:hAnsi="Times New Roman" w:eastAsia="黑体"/>
          <w:snapToGrid w:val="0"/>
          <w:color w:val="auto"/>
          <w:sz w:val="36"/>
          <w:szCs w:val="36"/>
        </w:rPr>
        <w:sectPr>
          <w:pgSz w:w="11906" w:h="16838"/>
          <w:pgMar w:top="1701" w:right="1531" w:bottom="1701" w:left="1531" w:header="851" w:footer="851" w:gutter="0"/>
          <w:cols w:space="720" w:num="1"/>
          <w:docGrid w:linePitch="312" w:charSpace="0"/>
        </w:sectPr>
      </w:pPr>
    </w:p>
    <w:p w14:paraId="75EC5595">
      <w:pPr>
        <w:pStyle w:val="29"/>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069C2AC5">
      <w:pPr>
        <w:pStyle w:val="29"/>
        <w:jc w:val="center"/>
        <w:outlineLvl w:val="0"/>
        <w:rPr>
          <w:rFonts w:ascii="Times New Roman" w:hAnsi="Times New Roman" w:eastAsia="黑体"/>
          <w:snapToGrid w:val="0"/>
          <w:color w:val="auto"/>
          <w:sz w:val="30"/>
          <w:szCs w:val="30"/>
        </w:rPr>
      </w:pPr>
      <w:bookmarkStart w:id="54" w:name="_Toc5690"/>
      <w:r>
        <w:rPr>
          <w:rFonts w:ascii="Times New Roman" w:hAnsi="Times New Roman" w:eastAsia="黑体"/>
          <w:snapToGrid w:val="0"/>
          <w:color w:val="auto"/>
          <w:sz w:val="30"/>
          <w:szCs w:val="30"/>
        </w:rPr>
        <w:t>三、区域环境质量现状、环境保护目标及评价标准</w:t>
      </w:r>
      <w:bookmarkEnd w:id="54"/>
    </w:p>
    <w:tbl>
      <w:tblPr>
        <w:tblStyle w:val="33"/>
        <w:tblW w:w="90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8586"/>
      </w:tblGrid>
      <w:tr w14:paraId="31B09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738" w:type="dxa"/>
            <w:vAlign w:val="center"/>
          </w:tcPr>
          <w:p w14:paraId="302181F0">
            <w:pPr>
              <w:adjustRightInd w:val="0"/>
              <w:snapToGrid w:val="0"/>
              <w:jc w:val="center"/>
              <w:rPr>
                <w:color w:val="auto"/>
                <w:kern w:val="0"/>
                <w:szCs w:val="21"/>
              </w:rPr>
            </w:pPr>
            <w:r>
              <w:rPr>
                <w:color w:val="auto"/>
                <w:kern w:val="0"/>
                <w:szCs w:val="21"/>
              </w:rPr>
              <w:t>区域</w:t>
            </w:r>
          </w:p>
          <w:p w14:paraId="10829AC6">
            <w:pPr>
              <w:adjustRightInd w:val="0"/>
              <w:snapToGrid w:val="0"/>
              <w:jc w:val="center"/>
              <w:rPr>
                <w:color w:val="auto"/>
                <w:kern w:val="0"/>
                <w:szCs w:val="21"/>
              </w:rPr>
            </w:pPr>
            <w:r>
              <w:rPr>
                <w:color w:val="auto"/>
                <w:kern w:val="0"/>
                <w:szCs w:val="21"/>
              </w:rPr>
              <w:t>环境</w:t>
            </w:r>
          </w:p>
          <w:p w14:paraId="7D785573">
            <w:pPr>
              <w:adjustRightInd w:val="0"/>
              <w:snapToGrid w:val="0"/>
              <w:jc w:val="center"/>
              <w:rPr>
                <w:color w:val="auto"/>
                <w:kern w:val="0"/>
                <w:szCs w:val="21"/>
              </w:rPr>
            </w:pPr>
            <w:r>
              <w:rPr>
                <w:color w:val="auto"/>
                <w:kern w:val="0"/>
                <w:szCs w:val="21"/>
              </w:rPr>
              <w:t>质量</w:t>
            </w:r>
          </w:p>
          <w:p w14:paraId="0C730D79">
            <w:pPr>
              <w:adjustRightInd w:val="0"/>
              <w:snapToGrid w:val="0"/>
              <w:jc w:val="center"/>
              <w:rPr>
                <w:color w:val="auto"/>
                <w:kern w:val="0"/>
                <w:szCs w:val="21"/>
              </w:rPr>
            </w:pPr>
            <w:r>
              <w:rPr>
                <w:color w:val="auto"/>
                <w:kern w:val="0"/>
                <w:szCs w:val="21"/>
              </w:rPr>
              <w:t>现状</w:t>
            </w:r>
          </w:p>
        </w:tc>
        <w:tc>
          <w:tcPr>
            <w:tcW w:w="8321" w:type="dxa"/>
            <w:vAlign w:val="center"/>
          </w:tcPr>
          <w:p w14:paraId="34D895A0">
            <w:pPr>
              <w:adjustRightInd w:val="0"/>
              <w:snapToGrid w:val="0"/>
              <w:spacing w:line="360" w:lineRule="auto"/>
              <w:rPr>
                <w:b/>
                <w:bCs/>
                <w:color w:val="auto"/>
                <w:sz w:val="24"/>
              </w:rPr>
            </w:pPr>
            <w:r>
              <w:rPr>
                <w:b/>
                <w:bCs/>
                <w:color w:val="auto"/>
                <w:sz w:val="24"/>
              </w:rPr>
              <w:t>1、环境空气质量现状</w:t>
            </w:r>
          </w:p>
          <w:p w14:paraId="73F0FD94">
            <w:pPr>
              <w:adjustRightInd w:val="0"/>
              <w:snapToGrid w:val="0"/>
              <w:spacing w:line="360" w:lineRule="auto"/>
              <w:ind w:firstLine="456" w:firstLineChars="200"/>
              <w:rPr>
                <w:color w:val="auto"/>
                <w:spacing w:val="-6"/>
                <w:sz w:val="24"/>
              </w:rPr>
            </w:pPr>
            <w:r>
              <w:rPr>
                <w:color w:val="auto"/>
                <w:spacing w:val="-6"/>
                <w:sz w:val="24"/>
              </w:rPr>
              <w:t>（1）环境空气质量标准</w:t>
            </w:r>
          </w:p>
          <w:p w14:paraId="7F3D0A87">
            <w:pPr>
              <w:widowControl/>
              <w:adjustRightInd w:val="0"/>
              <w:snapToGrid w:val="0"/>
              <w:spacing w:line="360" w:lineRule="auto"/>
              <w:ind w:firstLine="456" w:firstLineChars="200"/>
              <w:jc w:val="left"/>
              <w:rPr>
                <w:color w:val="auto"/>
                <w:sz w:val="24"/>
              </w:rPr>
            </w:pPr>
            <w:r>
              <w:rPr>
                <w:rFonts w:hint="eastAsia"/>
                <w:color w:val="auto"/>
                <w:spacing w:val="-6"/>
                <w:sz w:val="24"/>
              </w:rPr>
              <w:t>本项目涉及4个乡镇卫生院</w:t>
            </w:r>
            <w:r>
              <w:rPr>
                <w:color w:val="auto"/>
                <w:spacing w:val="-6"/>
                <w:sz w:val="24"/>
              </w:rPr>
              <w:t>，</w:t>
            </w:r>
            <w:r>
              <w:rPr>
                <w:rFonts w:hint="eastAsia"/>
                <w:color w:val="auto"/>
                <w:spacing w:val="-6"/>
                <w:sz w:val="24"/>
              </w:rPr>
              <w:t>均</w:t>
            </w:r>
            <w:r>
              <w:rPr>
                <w:color w:val="auto"/>
                <w:spacing w:val="-6"/>
                <w:sz w:val="24"/>
              </w:rPr>
              <w:t>属于二类环境功能区，</w:t>
            </w:r>
            <w:r>
              <w:rPr>
                <w:color w:val="auto"/>
                <w:kern w:val="0"/>
                <w:sz w:val="24"/>
                <w:lang w:bidi="ar"/>
              </w:rPr>
              <w:t>TSP、PM</w:t>
            </w:r>
            <w:r>
              <w:rPr>
                <w:color w:val="auto"/>
                <w:kern w:val="0"/>
                <w:sz w:val="24"/>
                <w:vertAlign w:val="subscript"/>
                <w:lang w:bidi="ar"/>
              </w:rPr>
              <w:t>10</w:t>
            </w:r>
            <w:r>
              <w:rPr>
                <w:color w:val="auto"/>
                <w:kern w:val="0"/>
                <w:sz w:val="24"/>
                <w:lang w:bidi="ar"/>
              </w:rPr>
              <w:t>、PM</w:t>
            </w:r>
            <w:r>
              <w:rPr>
                <w:color w:val="auto"/>
                <w:kern w:val="0"/>
                <w:sz w:val="24"/>
                <w:vertAlign w:val="subscript"/>
                <w:lang w:bidi="ar"/>
              </w:rPr>
              <w:t>2.5</w:t>
            </w:r>
            <w:r>
              <w:rPr>
                <w:color w:val="auto"/>
                <w:kern w:val="0"/>
                <w:sz w:val="24"/>
                <w:lang w:bidi="ar"/>
              </w:rPr>
              <w:t>、SO</w:t>
            </w:r>
            <w:r>
              <w:rPr>
                <w:color w:val="auto"/>
                <w:kern w:val="0"/>
                <w:sz w:val="24"/>
                <w:vertAlign w:val="subscript"/>
                <w:lang w:bidi="ar"/>
              </w:rPr>
              <w:t>2</w:t>
            </w:r>
            <w:r>
              <w:rPr>
                <w:color w:val="auto"/>
                <w:kern w:val="0"/>
                <w:sz w:val="24"/>
                <w:lang w:bidi="ar"/>
              </w:rPr>
              <w:t>、NO</w:t>
            </w:r>
            <w:r>
              <w:rPr>
                <w:color w:val="auto"/>
                <w:kern w:val="0"/>
                <w:sz w:val="24"/>
                <w:vertAlign w:val="subscript"/>
                <w:lang w:bidi="ar"/>
              </w:rPr>
              <w:t>2</w:t>
            </w:r>
            <w:r>
              <w:rPr>
                <w:color w:val="auto"/>
                <w:kern w:val="0"/>
                <w:sz w:val="24"/>
                <w:lang w:bidi="ar"/>
              </w:rPr>
              <w:t>、CO、O</w:t>
            </w:r>
            <w:r>
              <w:rPr>
                <w:color w:val="auto"/>
                <w:kern w:val="0"/>
                <w:sz w:val="24"/>
                <w:vertAlign w:val="subscript"/>
                <w:lang w:bidi="ar"/>
              </w:rPr>
              <w:t>3</w:t>
            </w:r>
            <w:r>
              <w:rPr>
                <w:color w:val="auto"/>
                <w:spacing w:val="-6"/>
                <w:sz w:val="24"/>
              </w:rPr>
              <w:t>执行《环境空气质量</w:t>
            </w:r>
            <w:r>
              <w:rPr>
                <w:color w:val="auto"/>
                <w:sz w:val="24"/>
              </w:rPr>
              <w:t>标准》（GB3095-2012）</w:t>
            </w:r>
            <w:r>
              <w:rPr>
                <w:color w:val="auto"/>
                <w:kern w:val="24"/>
                <w:sz w:val="24"/>
                <w:lang w:val="zh-CN" w:bidi="zh-CN"/>
              </w:rPr>
              <w:t>及其2018年修改单</w:t>
            </w:r>
            <w:r>
              <w:rPr>
                <w:color w:val="auto"/>
                <w:sz w:val="24"/>
              </w:rPr>
              <w:t>中的二级标准。详见表3-1。</w:t>
            </w:r>
          </w:p>
          <w:p w14:paraId="63C9CF4F">
            <w:pPr>
              <w:widowControl/>
              <w:ind w:firstLine="2771" w:firstLineChars="1150"/>
              <w:rPr>
                <w:b/>
                <w:bCs/>
                <w:color w:val="auto"/>
                <w:kern w:val="0"/>
                <w:sz w:val="24"/>
              </w:rPr>
            </w:pPr>
            <w:r>
              <w:rPr>
                <w:b/>
                <w:color w:val="auto"/>
                <w:sz w:val="24"/>
              </w:rPr>
              <w:t>表3-1</w:t>
            </w:r>
            <w:r>
              <w:rPr>
                <w:b/>
                <w:bCs/>
                <w:color w:val="auto"/>
                <w:kern w:val="0"/>
                <w:sz w:val="24"/>
              </w:rPr>
              <w:t>环境空气质量标准</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989"/>
              <w:gridCol w:w="1456"/>
              <w:gridCol w:w="3187"/>
            </w:tblGrid>
            <w:tr w14:paraId="6F5A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032" w:type="pct"/>
                  <w:vAlign w:val="center"/>
                </w:tcPr>
                <w:p w14:paraId="5022E3B0">
                  <w:pPr>
                    <w:adjustRightInd w:val="0"/>
                    <w:snapToGrid w:val="0"/>
                    <w:jc w:val="center"/>
                    <w:rPr>
                      <w:b/>
                      <w:bCs/>
                      <w:color w:val="auto"/>
                      <w:szCs w:val="21"/>
                    </w:rPr>
                  </w:pPr>
                  <w:r>
                    <w:rPr>
                      <w:b/>
                      <w:bCs/>
                      <w:color w:val="auto"/>
                      <w:szCs w:val="21"/>
                    </w:rPr>
                    <w:t>污染物项目</w:t>
                  </w:r>
                </w:p>
              </w:tc>
              <w:tc>
                <w:tcPr>
                  <w:tcW w:w="1190" w:type="pct"/>
                  <w:vAlign w:val="center"/>
                </w:tcPr>
                <w:p w14:paraId="6585B68B">
                  <w:pPr>
                    <w:adjustRightInd w:val="0"/>
                    <w:snapToGrid w:val="0"/>
                    <w:jc w:val="center"/>
                    <w:rPr>
                      <w:b/>
                      <w:bCs/>
                      <w:color w:val="auto"/>
                      <w:szCs w:val="21"/>
                    </w:rPr>
                  </w:pPr>
                  <w:r>
                    <w:rPr>
                      <w:b/>
                      <w:bCs/>
                      <w:color w:val="auto"/>
                      <w:szCs w:val="21"/>
                    </w:rPr>
                    <w:t>取值时间</w:t>
                  </w:r>
                </w:p>
              </w:tc>
              <w:tc>
                <w:tcPr>
                  <w:tcW w:w="871" w:type="pct"/>
                  <w:vAlign w:val="center"/>
                </w:tcPr>
                <w:p w14:paraId="55B8EA01">
                  <w:pPr>
                    <w:adjustRightInd w:val="0"/>
                    <w:snapToGrid w:val="0"/>
                    <w:jc w:val="center"/>
                    <w:rPr>
                      <w:b/>
                      <w:bCs/>
                      <w:color w:val="auto"/>
                      <w:szCs w:val="21"/>
                    </w:rPr>
                  </w:pPr>
                  <w:r>
                    <w:rPr>
                      <w:b/>
                      <w:bCs/>
                      <w:color w:val="auto"/>
                      <w:szCs w:val="21"/>
                    </w:rPr>
                    <w:t>浓度限值，</w:t>
                  </w:r>
                </w:p>
                <w:p w14:paraId="31F61DB4">
                  <w:pPr>
                    <w:adjustRightInd w:val="0"/>
                    <w:snapToGrid w:val="0"/>
                    <w:jc w:val="center"/>
                    <w:rPr>
                      <w:b/>
                      <w:bCs/>
                      <w:color w:val="auto"/>
                      <w:szCs w:val="21"/>
                    </w:rPr>
                  </w:pPr>
                  <w:r>
                    <w:rPr>
                      <w:b/>
                      <w:bCs/>
                      <w:color w:val="auto"/>
                      <w:szCs w:val="21"/>
                    </w:rPr>
                    <w:t>μg/m</w:t>
                  </w:r>
                  <w:r>
                    <w:rPr>
                      <w:b/>
                      <w:bCs/>
                      <w:color w:val="auto"/>
                      <w:szCs w:val="21"/>
                      <w:vertAlign w:val="superscript"/>
                    </w:rPr>
                    <w:t>3</w:t>
                  </w:r>
                </w:p>
              </w:tc>
              <w:tc>
                <w:tcPr>
                  <w:tcW w:w="1906" w:type="pct"/>
                  <w:vAlign w:val="center"/>
                </w:tcPr>
                <w:p w14:paraId="49DE4719">
                  <w:pPr>
                    <w:adjustRightInd w:val="0"/>
                    <w:snapToGrid w:val="0"/>
                    <w:jc w:val="center"/>
                    <w:rPr>
                      <w:b/>
                      <w:bCs/>
                      <w:color w:val="auto"/>
                      <w:szCs w:val="21"/>
                    </w:rPr>
                  </w:pPr>
                  <w:r>
                    <w:rPr>
                      <w:b/>
                      <w:bCs/>
                      <w:color w:val="auto"/>
                      <w:szCs w:val="21"/>
                    </w:rPr>
                    <w:t>标准来源</w:t>
                  </w:r>
                </w:p>
              </w:tc>
            </w:tr>
            <w:tr w14:paraId="72CC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032" w:type="pct"/>
                  <w:vMerge w:val="restart"/>
                  <w:vAlign w:val="center"/>
                </w:tcPr>
                <w:p w14:paraId="7CF6E107">
                  <w:pPr>
                    <w:adjustRightInd w:val="0"/>
                    <w:snapToGrid w:val="0"/>
                    <w:jc w:val="center"/>
                    <w:rPr>
                      <w:color w:val="auto"/>
                      <w:szCs w:val="21"/>
                    </w:rPr>
                  </w:pPr>
                  <w:r>
                    <w:rPr>
                      <w:color w:val="auto"/>
                      <w:szCs w:val="21"/>
                    </w:rPr>
                    <w:t>TSP</w:t>
                  </w:r>
                </w:p>
              </w:tc>
              <w:tc>
                <w:tcPr>
                  <w:tcW w:w="1190" w:type="pct"/>
                  <w:vAlign w:val="center"/>
                </w:tcPr>
                <w:p w14:paraId="2623C7A6">
                  <w:pPr>
                    <w:adjustRightInd w:val="0"/>
                    <w:snapToGrid w:val="0"/>
                    <w:jc w:val="center"/>
                    <w:rPr>
                      <w:color w:val="auto"/>
                      <w:szCs w:val="21"/>
                    </w:rPr>
                  </w:pPr>
                  <w:r>
                    <w:rPr>
                      <w:color w:val="auto"/>
                      <w:szCs w:val="21"/>
                    </w:rPr>
                    <w:t>年平均</w:t>
                  </w:r>
                </w:p>
              </w:tc>
              <w:tc>
                <w:tcPr>
                  <w:tcW w:w="871" w:type="pct"/>
                  <w:vAlign w:val="center"/>
                </w:tcPr>
                <w:p w14:paraId="45AEF9C1">
                  <w:pPr>
                    <w:adjustRightInd w:val="0"/>
                    <w:snapToGrid w:val="0"/>
                    <w:jc w:val="center"/>
                    <w:rPr>
                      <w:color w:val="auto"/>
                      <w:szCs w:val="21"/>
                    </w:rPr>
                  </w:pPr>
                  <w:r>
                    <w:rPr>
                      <w:color w:val="auto"/>
                      <w:szCs w:val="21"/>
                    </w:rPr>
                    <w:t>200</w:t>
                  </w:r>
                </w:p>
              </w:tc>
              <w:tc>
                <w:tcPr>
                  <w:tcW w:w="1906" w:type="pct"/>
                  <w:vMerge w:val="restart"/>
                  <w:vAlign w:val="center"/>
                </w:tcPr>
                <w:p w14:paraId="64B041C5">
                  <w:pPr>
                    <w:adjustRightInd w:val="0"/>
                    <w:snapToGrid w:val="0"/>
                    <w:jc w:val="center"/>
                    <w:rPr>
                      <w:color w:val="auto"/>
                      <w:szCs w:val="21"/>
                    </w:rPr>
                  </w:pPr>
                  <w:r>
                    <w:rPr>
                      <w:color w:val="auto"/>
                      <w:szCs w:val="21"/>
                    </w:rPr>
                    <w:t>《环境空气质量标准》（GB3098-2012）二级标准及2018年修改单中的二级标准</w:t>
                  </w:r>
                </w:p>
                <w:p w14:paraId="58D8088B">
                  <w:pPr>
                    <w:adjustRightInd w:val="0"/>
                    <w:snapToGrid w:val="0"/>
                    <w:jc w:val="center"/>
                    <w:rPr>
                      <w:color w:val="auto"/>
                      <w:szCs w:val="21"/>
                    </w:rPr>
                  </w:pPr>
                </w:p>
              </w:tc>
            </w:tr>
            <w:tr w14:paraId="3E75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2EE984D2">
                  <w:pPr>
                    <w:widowControl/>
                    <w:adjustRightInd w:val="0"/>
                    <w:snapToGrid w:val="0"/>
                    <w:jc w:val="center"/>
                    <w:rPr>
                      <w:color w:val="auto"/>
                      <w:szCs w:val="21"/>
                    </w:rPr>
                  </w:pPr>
                </w:p>
              </w:tc>
              <w:tc>
                <w:tcPr>
                  <w:tcW w:w="1190" w:type="pct"/>
                  <w:vAlign w:val="center"/>
                </w:tcPr>
                <w:p w14:paraId="4F992A8E">
                  <w:pPr>
                    <w:adjustRightInd w:val="0"/>
                    <w:snapToGrid w:val="0"/>
                    <w:jc w:val="center"/>
                    <w:rPr>
                      <w:color w:val="auto"/>
                      <w:szCs w:val="21"/>
                    </w:rPr>
                  </w:pPr>
                  <w:r>
                    <w:rPr>
                      <w:color w:val="auto"/>
                      <w:szCs w:val="21"/>
                    </w:rPr>
                    <w:t>24小时平均</w:t>
                  </w:r>
                </w:p>
              </w:tc>
              <w:tc>
                <w:tcPr>
                  <w:tcW w:w="871" w:type="pct"/>
                  <w:vAlign w:val="center"/>
                </w:tcPr>
                <w:p w14:paraId="42026141">
                  <w:pPr>
                    <w:adjustRightInd w:val="0"/>
                    <w:snapToGrid w:val="0"/>
                    <w:jc w:val="center"/>
                    <w:rPr>
                      <w:color w:val="auto"/>
                      <w:szCs w:val="21"/>
                    </w:rPr>
                  </w:pPr>
                  <w:r>
                    <w:rPr>
                      <w:color w:val="auto"/>
                      <w:szCs w:val="21"/>
                    </w:rPr>
                    <w:t>300</w:t>
                  </w:r>
                </w:p>
              </w:tc>
              <w:tc>
                <w:tcPr>
                  <w:tcW w:w="1906" w:type="pct"/>
                  <w:vMerge w:val="continue"/>
                  <w:vAlign w:val="center"/>
                </w:tcPr>
                <w:p w14:paraId="7059C204">
                  <w:pPr>
                    <w:adjustRightInd w:val="0"/>
                    <w:snapToGrid w:val="0"/>
                    <w:jc w:val="center"/>
                    <w:rPr>
                      <w:color w:val="auto"/>
                      <w:szCs w:val="21"/>
                    </w:rPr>
                  </w:pPr>
                </w:p>
              </w:tc>
            </w:tr>
            <w:tr w14:paraId="2B8A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2D183EDA">
                  <w:pPr>
                    <w:adjustRightInd w:val="0"/>
                    <w:snapToGrid w:val="0"/>
                    <w:jc w:val="center"/>
                    <w:rPr>
                      <w:color w:val="auto"/>
                      <w:szCs w:val="21"/>
                    </w:rPr>
                  </w:pPr>
                  <w:r>
                    <w:rPr>
                      <w:color w:val="auto"/>
                      <w:szCs w:val="21"/>
                    </w:rPr>
                    <w:t>SO</w:t>
                  </w:r>
                  <w:r>
                    <w:rPr>
                      <w:color w:val="auto"/>
                      <w:szCs w:val="21"/>
                      <w:vertAlign w:val="subscript"/>
                    </w:rPr>
                    <w:t>2</w:t>
                  </w:r>
                </w:p>
              </w:tc>
              <w:tc>
                <w:tcPr>
                  <w:tcW w:w="1190" w:type="pct"/>
                  <w:vAlign w:val="center"/>
                </w:tcPr>
                <w:p w14:paraId="162FEFFD">
                  <w:pPr>
                    <w:adjustRightInd w:val="0"/>
                    <w:snapToGrid w:val="0"/>
                    <w:jc w:val="center"/>
                    <w:rPr>
                      <w:color w:val="auto"/>
                      <w:szCs w:val="21"/>
                    </w:rPr>
                  </w:pPr>
                  <w:r>
                    <w:rPr>
                      <w:color w:val="auto"/>
                      <w:szCs w:val="21"/>
                    </w:rPr>
                    <w:t>年平均</w:t>
                  </w:r>
                </w:p>
              </w:tc>
              <w:tc>
                <w:tcPr>
                  <w:tcW w:w="871" w:type="pct"/>
                  <w:vAlign w:val="center"/>
                </w:tcPr>
                <w:p w14:paraId="481678A1">
                  <w:pPr>
                    <w:adjustRightInd w:val="0"/>
                    <w:snapToGrid w:val="0"/>
                    <w:jc w:val="center"/>
                    <w:rPr>
                      <w:color w:val="auto"/>
                      <w:szCs w:val="21"/>
                    </w:rPr>
                  </w:pPr>
                  <w:r>
                    <w:rPr>
                      <w:color w:val="auto"/>
                      <w:szCs w:val="21"/>
                    </w:rPr>
                    <w:t>60</w:t>
                  </w:r>
                </w:p>
              </w:tc>
              <w:tc>
                <w:tcPr>
                  <w:tcW w:w="1906" w:type="pct"/>
                  <w:vMerge w:val="continue"/>
                  <w:vAlign w:val="center"/>
                </w:tcPr>
                <w:p w14:paraId="211E896A">
                  <w:pPr>
                    <w:adjustRightInd w:val="0"/>
                    <w:snapToGrid w:val="0"/>
                    <w:jc w:val="center"/>
                    <w:rPr>
                      <w:color w:val="auto"/>
                      <w:szCs w:val="21"/>
                    </w:rPr>
                  </w:pPr>
                </w:p>
              </w:tc>
            </w:tr>
            <w:tr w14:paraId="6BF8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76CE3BD6">
                  <w:pPr>
                    <w:adjustRightInd w:val="0"/>
                    <w:snapToGrid w:val="0"/>
                    <w:jc w:val="center"/>
                    <w:rPr>
                      <w:color w:val="auto"/>
                      <w:szCs w:val="21"/>
                    </w:rPr>
                  </w:pPr>
                </w:p>
              </w:tc>
              <w:tc>
                <w:tcPr>
                  <w:tcW w:w="1190" w:type="pct"/>
                  <w:vAlign w:val="center"/>
                </w:tcPr>
                <w:p w14:paraId="60DA6F1C">
                  <w:pPr>
                    <w:adjustRightInd w:val="0"/>
                    <w:snapToGrid w:val="0"/>
                    <w:jc w:val="center"/>
                    <w:rPr>
                      <w:color w:val="auto"/>
                      <w:szCs w:val="21"/>
                    </w:rPr>
                  </w:pPr>
                  <w:r>
                    <w:rPr>
                      <w:color w:val="auto"/>
                      <w:szCs w:val="21"/>
                    </w:rPr>
                    <w:t>24小时平均</w:t>
                  </w:r>
                </w:p>
              </w:tc>
              <w:tc>
                <w:tcPr>
                  <w:tcW w:w="871" w:type="pct"/>
                  <w:vAlign w:val="center"/>
                </w:tcPr>
                <w:p w14:paraId="36E57471">
                  <w:pPr>
                    <w:adjustRightInd w:val="0"/>
                    <w:snapToGrid w:val="0"/>
                    <w:jc w:val="center"/>
                    <w:rPr>
                      <w:color w:val="auto"/>
                      <w:szCs w:val="21"/>
                    </w:rPr>
                  </w:pPr>
                  <w:r>
                    <w:rPr>
                      <w:color w:val="auto"/>
                      <w:szCs w:val="21"/>
                    </w:rPr>
                    <w:t>150</w:t>
                  </w:r>
                </w:p>
              </w:tc>
              <w:tc>
                <w:tcPr>
                  <w:tcW w:w="1906" w:type="pct"/>
                  <w:vMerge w:val="continue"/>
                  <w:vAlign w:val="center"/>
                </w:tcPr>
                <w:p w14:paraId="1BB0E2C7">
                  <w:pPr>
                    <w:adjustRightInd w:val="0"/>
                    <w:snapToGrid w:val="0"/>
                    <w:jc w:val="center"/>
                    <w:rPr>
                      <w:color w:val="auto"/>
                      <w:szCs w:val="21"/>
                    </w:rPr>
                  </w:pPr>
                </w:p>
              </w:tc>
            </w:tr>
            <w:tr w14:paraId="01AE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3D9D08A7">
                  <w:pPr>
                    <w:adjustRightInd w:val="0"/>
                    <w:snapToGrid w:val="0"/>
                    <w:jc w:val="center"/>
                    <w:rPr>
                      <w:color w:val="auto"/>
                      <w:szCs w:val="21"/>
                    </w:rPr>
                  </w:pPr>
                </w:p>
              </w:tc>
              <w:tc>
                <w:tcPr>
                  <w:tcW w:w="1190" w:type="pct"/>
                  <w:vAlign w:val="center"/>
                </w:tcPr>
                <w:p w14:paraId="4C61B0D4">
                  <w:pPr>
                    <w:adjustRightInd w:val="0"/>
                    <w:snapToGrid w:val="0"/>
                    <w:jc w:val="center"/>
                    <w:rPr>
                      <w:color w:val="auto"/>
                      <w:szCs w:val="21"/>
                    </w:rPr>
                  </w:pPr>
                  <w:r>
                    <w:rPr>
                      <w:color w:val="auto"/>
                      <w:szCs w:val="21"/>
                    </w:rPr>
                    <w:t>1小时平均</w:t>
                  </w:r>
                </w:p>
              </w:tc>
              <w:tc>
                <w:tcPr>
                  <w:tcW w:w="871" w:type="pct"/>
                  <w:vAlign w:val="center"/>
                </w:tcPr>
                <w:p w14:paraId="5AC99DC4">
                  <w:pPr>
                    <w:adjustRightInd w:val="0"/>
                    <w:snapToGrid w:val="0"/>
                    <w:jc w:val="center"/>
                    <w:rPr>
                      <w:color w:val="auto"/>
                      <w:szCs w:val="21"/>
                    </w:rPr>
                  </w:pPr>
                  <w:r>
                    <w:rPr>
                      <w:color w:val="auto"/>
                      <w:szCs w:val="21"/>
                    </w:rPr>
                    <w:t>500</w:t>
                  </w:r>
                </w:p>
              </w:tc>
              <w:tc>
                <w:tcPr>
                  <w:tcW w:w="1906" w:type="pct"/>
                  <w:vMerge w:val="continue"/>
                  <w:vAlign w:val="center"/>
                </w:tcPr>
                <w:p w14:paraId="03B63F80">
                  <w:pPr>
                    <w:adjustRightInd w:val="0"/>
                    <w:snapToGrid w:val="0"/>
                    <w:jc w:val="center"/>
                    <w:rPr>
                      <w:color w:val="auto"/>
                      <w:szCs w:val="21"/>
                    </w:rPr>
                  </w:pPr>
                </w:p>
              </w:tc>
            </w:tr>
            <w:tr w14:paraId="17AE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268B763B">
                  <w:pPr>
                    <w:adjustRightInd w:val="0"/>
                    <w:snapToGrid w:val="0"/>
                    <w:jc w:val="center"/>
                    <w:rPr>
                      <w:color w:val="auto"/>
                      <w:szCs w:val="21"/>
                    </w:rPr>
                  </w:pPr>
                  <w:r>
                    <w:rPr>
                      <w:color w:val="auto"/>
                      <w:szCs w:val="21"/>
                    </w:rPr>
                    <w:t>NO</w:t>
                  </w:r>
                  <w:r>
                    <w:rPr>
                      <w:color w:val="auto"/>
                      <w:szCs w:val="21"/>
                      <w:vertAlign w:val="subscript"/>
                    </w:rPr>
                    <w:t>2</w:t>
                  </w:r>
                </w:p>
              </w:tc>
              <w:tc>
                <w:tcPr>
                  <w:tcW w:w="1190" w:type="pct"/>
                  <w:vAlign w:val="center"/>
                </w:tcPr>
                <w:p w14:paraId="4F4376EC">
                  <w:pPr>
                    <w:adjustRightInd w:val="0"/>
                    <w:snapToGrid w:val="0"/>
                    <w:jc w:val="center"/>
                    <w:rPr>
                      <w:color w:val="auto"/>
                      <w:szCs w:val="21"/>
                    </w:rPr>
                  </w:pPr>
                  <w:r>
                    <w:rPr>
                      <w:color w:val="auto"/>
                      <w:szCs w:val="21"/>
                    </w:rPr>
                    <w:t>年平均</w:t>
                  </w:r>
                </w:p>
              </w:tc>
              <w:tc>
                <w:tcPr>
                  <w:tcW w:w="871" w:type="pct"/>
                  <w:vAlign w:val="center"/>
                </w:tcPr>
                <w:p w14:paraId="6A362322">
                  <w:pPr>
                    <w:adjustRightInd w:val="0"/>
                    <w:snapToGrid w:val="0"/>
                    <w:jc w:val="center"/>
                    <w:rPr>
                      <w:color w:val="auto"/>
                      <w:szCs w:val="21"/>
                    </w:rPr>
                  </w:pPr>
                  <w:r>
                    <w:rPr>
                      <w:color w:val="auto"/>
                      <w:szCs w:val="21"/>
                    </w:rPr>
                    <w:t>40</w:t>
                  </w:r>
                </w:p>
              </w:tc>
              <w:tc>
                <w:tcPr>
                  <w:tcW w:w="1906" w:type="pct"/>
                  <w:vMerge w:val="continue"/>
                  <w:vAlign w:val="center"/>
                </w:tcPr>
                <w:p w14:paraId="39EEC2AB">
                  <w:pPr>
                    <w:adjustRightInd w:val="0"/>
                    <w:snapToGrid w:val="0"/>
                    <w:jc w:val="center"/>
                    <w:rPr>
                      <w:color w:val="auto"/>
                      <w:szCs w:val="21"/>
                    </w:rPr>
                  </w:pPr>
                </w:p>
              </w:tc>
            </w:tr>
            <w:tr w14:paraId="279D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2B34342C">
                  <w:pPr>
                    <w:adjustRightInd w:val="0"/>
                    <w:snapToGrid w:val="0"/>
                    <w:jc w:val="center"/>
                    <w:rPr>
                      <w:color w:val="auto"/>
                      <w:szCs w:val="21"/>
                    </w:rPr>
                  </w:pPr>
                </w:p>
              </w:tc>
              <w:tc>
                <w:tcPr>
                  <w:tcW w:w="1190" w:type="pct"/>
                  <w:vAlign w:val="center"/>
                </w:tcPr>
                <w:p w14:paraId="0CC25680">
                  <w:pPr>
                    <w:adjustRightInd w:val="0"/>
                    <w:snapToGrid w:val="0"/>
                    <w:jc w:val="center"/>
                    <w:rPr>
                      <w:color w:val="auto"/>
                      <w:szCs w:val="21"/>
                    </w:rPr>
                  </w:pPr>
                  <w:r>
                    <w:rPr>
                      <w:color w:val="auto"/>
                      <w:szCs w:val="21"/>
                    </w:rPr>
                    <w:t>24小时平均</w:t>
                  </w:r>
                </w:p>
              </w:tc>
              <w:tc>
                <w:tcPr>
                  <w:tcW w:w="871" w:type="pct"/>
                  <w:vAlign w:val="center"/>
                </w:tcPr>
                <w:p w14:paraId="167D302A">
                  <w:pPr>
                    <w:adjustRightInd w:val="0"/>
                    <w:snapToGrid w:val="0"/>
                    <w:jc w:val="center"/>
                    <w:rPr>
                      <w:color w:val="auto"/>
                      <w:szCs w:val="21"/>
                    </w:rPr>
                  </w:pPr>
                  <w:r>
                    <w:rPr>
                      <w:color w:val="auto"/>
                      <w:szCs w:val="21"/>
                    </w:rPr>
                    <w:t>80</w:t>
                  </w:r>
                </w:p>
              </w:tc>
              <w:tc>
                <w:tcPr>
                  <w:tcW w:w="1906" w:type="pct"/>
                  <w:vMerge w:val="continue"/>
                  <w:vAlign w:val="center"/>
                </w:tcPr>
                <w:p w14:paraId="5BAD6F8E">
                  <w:pPr>
                    <w:adjustRightInd w:val="0"/>
                    <w:snapToGrid w:val="0"/>
                    <w:jc w:val="center"/>
                    <w:rPr>
                      <w:color w:val="auto"/>
                      <w:szCs w:val="21"/>
                    </w:rPr>
                  </w:pPr>
                </w:p>
              </w:tc>
            </w:tr>
            <w:tr w14:paraId="2B4B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630BD747">
                  <w:pPr>
                    <w:adjustRightInd w:val="0"/>
                    <w:snapToGrid w:val="0"/>
                    <w:jc w:val="center"/>
                    <w:rPr>
                      <w:color w:val="auto"/>
                      <w:szCs w:val="21"/>
                    </w:rPr>
                  </w:pPr>
                </w:p>
              </w:tc>
              <w:tc>
                <w:tcPr>
                  <w:tcW w:w="1190" w:type="pct"/>
                  <w:vAlign w:val="center"/>
                </w:tcPr>
                <w:p w14:paraId="584EB780">
                  <w:pPr>
                    <w:adjustRightInd w:val="0"/>
                    <w:snapToGrid w:val="0"/>
                    <w:jc w:val="center"/>
                    <w:rPr>
                      <w:color w:val="auto"/>
                      <w:szCs w:val="21"/>
                    </w:rPr>
                  </w:pPr>
                  <w:r>
                    <w:rPr>
                      <w:color w:val="auto"/>
                      <w:szCs w:val="21"/>
                    </w:rPr>
                    <w:t>1小时平均</w:t>
                  </w:r>
                </w:p>
              </w:tc>
              <w:tc>
                <w:tcPr>
                  <w:tcW w:w="871" w:type="pct"/>
                  <w:vAlign w:val="center"/>
                </w:tcPr>
                <w:p w14:paraId="5EE29B3D">
                  <w:pPr>
                    <w:adjustRightInd w:val="0"/>
                    <w:snapToGrid w:val="0"/>
                    <w:jc w:val="center"/>
                    <w:rPr>
                      <w:color w:val="auto"/>
                      <w:szCs w:val="21"/>
                    </w:rPr>
                  </w:pPr>
                  <w:r>
                    <w:rPr>
                      <w:color w:val="auto"/>
                      <w:szCs w:val="21"/>
                    </w:rPr>
                    <w:t>200</w:t>
                  </w:r>
                </w:p>
              </w:tc>
              <w:tc>
                <w:tcPr>
                  <w:tcW w:w="1906" w:type="pct"/>
                  <w:vMerge w:val="continue"/>
                  <w:vAlign w:val="center"/>
                </w:tcPr>
                <w:p w14:paraId="366A6906">
                  <w:pPr>
                    <w:adjustRightInd w:val="0"/>
                    <w:snapToGrid w:val="0"/>
                    <w:jc w:val="center"/>
                    <w:rPr>
                      <w:color w:val="auto"/>
                      <w:szCs w:val="21"/>
                    </w:rPr>
                  </w:pPr>
                </w:p>
              </w:tc>
            </w:tr>
            <w:tr w14:paraId="2C1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1802B4FC">
                  <w:pPr>
                    <w:adjustRightInd w:val="0"/>
                    <w:snapToGrid w:val="0"/>
                    <w:jc w:val="center"/>
                    <w:rPr>
                      <w:color w:val="auto"/>
                      <w:szCs w:val="21"/>
                    </w:rPr>
                  </w:pPr>
                  <w:r>
                    <w:rPr>
                      <w:color w:val="auto"/>
                      <w:szCs w:val="21"/>
                    </w:rPr>
                    <w:t>CO</w:t>
                  </w:r>
                </w:p>
              </w:tc>
              <w:tc>
                <w:tcPr>
                  <w:tcW w:w="1190" w:type="pct"/>
                  <w:vAlign w:val="center"/>
                </w:tcPr>
                <w:p w14:paraId="3AE5E86F">
                  <w:pPr>
                    <w:adjustRightInd w:val="0"/>
                    <w:snapToGrid w:val="0"/>
                    <w:jc w:val="center"/>
                    <w:rPr>
                      <w:color w:val="auto"/>
                      <w:szCs w:val="21"/>
                    </w:rPr>
                  </w:pPr>
                  <w:r>
                    <w:rPr>
                      <w:color w:val="auto"/>
                      <w:szCs w:val="21"/>
                    </w:rPr>
                    <w:t>24小时平均</w:t>
                  </w:r>
                </w:p>
              </w:tc>
              <w:tc>
                <w:tcPr>
                  <w:tcW w:w="871" w:type="pct"/>
                  <w:vAlign w:val="center"/>
                </w:tcPr>
                <w:p w14:paraId="2112CFB4">
                  <w:pPr>
                    <w:adjustRightInd w:val="0"/>
                    <w:snapToGrid w:val="0"/>
                    <w:jc w:val="center"/>
                    <w:rPr>
                      <w:color w:val="auto"/>
                      <w:szCs w:val="21"/>
                    </w:rPr>
                  </w:pPr>
                  <w:r>
                    <w:rPr>
                      <w:color w:val="auto"/>
                      <w:szCs w:val="21"/>
                    </w:rPr>
                    <w:t>4000</w:t>
                  </w:r>
                </w:p>
              </w:tc>
              <w:tc>
                <w:tcPr>
                  <w:tcW w:w="1906" w:type="pct"/>
                  <w:vMerge w:val="continue"/>
                  <w:vAlign w:val="center"/>
                </w:tcPr>
                <w:p w14:paraId="69B6FD03">
                  <w:pPr>
                    <w:adjustRightInd w:val="0"/>
                    <w:snapToGrid w:val="0"/>
                    <w:jc w:val="center"/>
                    <w:rPr>
                      <w:color w:val="auto"/>
                      <w:szCs w:val="21"/>
                    </w:rPr>
                  </w:pPr>
                </w:p>
              </w:tc>
            </w:tr>
            <w:tr w14:paraId="5171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47521FA5">
                  <w:pPr>
                    <w:adjustRightInd w:val="0"/>
                    <w:snapToGrid w:val="0"/>
                    <w:jc w:val="center"/>
                    <w:rPr>
                      <w:color w:val="auto"/>
                      <w:szCs w:val="21"/>
                    </w:rPr>
                  </w:pPr>
                </w:p>
              </w:tc>
              <w:tc>
                <w:tcPr>
                  <w:tcW w:w="1190" w:type="pct"/>
                  <w:vAlign w:val="center"/>
                </w:tcPr>
                <w:p w14:paraId="3494E9D0">
                  <w:pPr>
                    <w:adjustRightInd w:val="0"/>
                    <w:snapToGrid w:val="0"/>
                    <w:jc w:val="center"/>
                    <w:rPr>
                      <w:color w:val="auto"/>
                      <w:szCs w:val="21"/>
                    </w:rPr>
                  </w:pPr>
                  <w:r>
                    <w:rPr>
                      <w:color w:val="auto"/>
                      <w:szCs w:val="21"/>
                    </w:rPr>
                    <w:t>小时平均</w:t>
                  </w:r>
                </w:p>
              </w:tc>
              <w:tc>
                <w:tcPr>
                  <w:tcW w:w="871" w:type="pct"/>
                  <w:vAlign w:val="center"/>
                </w:tcPr>
                <w:p w14:paraId="4FDAA77B">
                  <w:pPr>
                    <w:adjustRightInd w:val="0"/>
                    <w:snapToGrid w:val="0"/>
                    <w:jc w:val="center"/>
                    <w:rPr>
                      <w:color w:val="auto"/>
                      <w:szCs w:val="21"/>
                    </w:rPr>
                  </w:pPr>
                  <w:r>
                    <w:rPr>
                      <w:color w:val="auto"/>
                      <w:szCs w:val="21"/>
                    </w:rPr>
                    <w:t>10000</w:t>
                  </w:r>
                </w:p>
              </w:tc>
              <w:tc>
                <w:tcPr>
                  <w:tcW w:w="1906" w:type="pct"/>
                  <w:vMerge w:val="continue"/>
                  <w:vAlign w:val="center"/>
                </w:tcPr>
                <w:p w14:paraId="1257E823">
                  <w:pPr>
                    <w:adjustRightInd w:val="0"/>
                    <w:snapToGrid w:val="0"/>
                    <w:jc w:val="center"/>
                    <w:rPr>
                      <w:color w:val="auto"/>
                      <w:szCs w:val="21"/>
                    </w:rPr>
                  </w:pPr>
                </w:p>
              </w:tc>
            </w:tr>
            <w:tr w14:paraId="2650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00D7CFB5">
                  <w:pPr>
                    <w:adjustRightInd w:val="0"/>
                    <w:snapToGrid w:val="0"/>
                    <w:jc w:val="center"/>
                    <w:rPr>
                      <w:color w:val="auto"/>
                      <w:szCs w:val="21"/>
                      <w:vertAlign w:val="subscript"/>
                    </w:rPr>
                  </w:pPr>
                  <w:r>
                    <w:rPr>
                      <w:color w:val="auto"/>
                      <w:szCs w:val="21"/>
                    </w:rPr>
                    <w:t>O</w:t>
                  </w:r>
                  <w:r>
                    <w:rPr>
                      <w:color w:val="auto"/>
                      <w:szCs w:val="21"/>
                      <w:vertAlign w:val="subscript"/>
                    </w:rPr>
                    <w:t>3</w:t>
                  </w:r>
                </w:p>
              </w:tc>
              <w:tc>
                <w:tcPr>
                  <w:tcW w:w="1190" w:type="pct"/>
                  <w:vAlign w:val="center"/>
                </w:tcPr>
                <w:p w14:paraId="72480E65">
                  <w:pPr>
                    <w:adjustRightInd w:val="0"/>
                    <w:snapToGrid w:val="0"/>
                    <w:jc w:val="center"/>
                    <w:rPr>
                      <w:color w:val="auto"/>
                      <w:szCs w:val="21"/>
                    </w:rPr>
                  </w:pPr>
                  <w:r>
                    <w:rPr>
                      <w:color w:val="auto"/>
                      <w:szCs w:val="21"/>
                    </w:rPr>
                    <w:t>日最大8小时平均</w:t>
                  </w:r>
                </w:p>
              </w:tc>
              <w:tc>
                <w:tcPr>
                  <w:tcW w:w="871" w:type="pct"/>
                  <w:vAlign w:val="center"/>
                </w:tcPr>
                <w:p w14:paraId="515D2902">
                  <w:pPr>
                    <w:adjustRightInd w:val="0"/>
                    <w:snapToGrid w:val="0"/>
                    <w:jc w:val="center"/>
                    <w:rPr>
                      <w:color w:val="auto"/>
                      <w:szCs w:val="21"/>
                    </w:rPr>
                  </w:pPr>
                  <w:r>
                    <w:rPr>
                      <w:color w:val="auto"/>
                      <w:szCs w:val="21"/>
                    </w:rPr>
                    <w:t>160</w:t>
                  </w:r>
                </w:p>
              </w:tc>
              <w:tc>
                <w:tcPr>
                  <w:tcW w:w="1906" w:type="pct"/>
                  <w:vMerge w:val="continue"/>
                  <w:vAlign w:val="center"/>
                </w:tcPr>
                <w:p w14:paraId="7DFB21E4">
                  <w:pPr>
                    <w:adjustRightInd w:val="0"/>
                    <w:snapToGrid w:val="0"/>
                    <w:jc w:val="center"/>
                    <w:rPr>
                      <w:color w:val="auto"/>
                      <w:szCs w:val="21"/>
                    </w:rPr>
                  </w:pPr>
                </w:p>
              </w:tc>
            </w:tr>
            <w:tr w14:paraId="23C6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6BA0F223">
                  <w:pPr>
                    <w:adjustRightInd w:val="0"/>
                    <w:snapToGrid w:val="0"/>
                    <w:jc w:val="center"/>
                    <w:rPr>
                      <w:color w:val="auto"/>
                      <w:szCs w:val="21"/>
                    </w:rPr>
                  </w:pPr>
                </w:p>
              </w:tc>
              <w:tc>
                <w:tcPr>
                  <w:tcW w:w="1190" w:type="pct"/>
                  <w:vAlign w:val="center"/>
                </w:tcPr>
                <w:p w14:paraId="187619DC">
                  <w:pPr>
                    <w:adjustRightInd w:val="0"/>
                    <w:snapToGrid w:val="0"/>
                    <w:jc w:val="center"/>
                    <w:rPr>
                      <w:color w:val="auto"/>
                      <w:szCs w:val="21"/>
                    </w:rPr>
                  </w:pPr>
                  <w:r>
                    <w:rPr>
                      <w:color w:val="auto"/>
                      <w:szCs w:val="21"/>
                    </w:rPr>
                    <w:t>1小时平均</w:t>
                  </w:r>
                </w:p>
              </w:tc>
              <w:tc>
                <w:tcPr>
                  <w:tcW w:w="871" w:type="pct"/>
                  <w:vAlign w:val="center"/>
                </w:tcPr>
                <w:p w14:paraId="05CACB31">
                  <w:pPr>
                    <w:adjustRightInd w:val="0"/>
                    <w:snapToGrid w:val="0"/>
                    <w:jc w:val="center"/>
                    <w:rPr>
                      <w:color w:val="auto"/>
                      <w:szCs w:val="21"/>
                    </w:rPr>
                  </w:pPr>
                  <w:r>
                    <w:rPr>
                      <w:color w:val="auto"/>
                      <w:szCs w:val="21"/>
                    </w:rPr>
                    <w:t>200</w:t>
                  </w:r>
                </w:p>
              </w:tc>
              <w:tc>
                <w:tcPr>
                  <w:tcW w:w="1906" w:type="pct"/>
                  <w:vMerge w:val="continue"/>
                  <w:vAlign w:val="center"/>
                </w:tcPr>
                <w:p w14:paraId="4FE1C81A">
                  <w:pPr>
                    <w:adjustRightInd w:val="0"/>
                    <w:snapToGrid w:val="0"/>
                    <w:jc w:val="center"/>
                    <w:rPr>
                      <w:color w:val="auto"/>
                      <w:szCs w:val="21"/>
                    </w:rPr>
                  </w:pPr>
                </w:p>
              </w:tc>
            </w:tr>
            <w:tr w14:paraId="26C8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1071CACB">
                  <w:pPr>
                    <w:adjustRightInd w:val="0"/>
                    <w:snapToGrid w:val="0"/>
                    <w:jc w:val="center"/>
                    <w:rPr>
                      <w:color w:val="auto"/>
                      <w:szCs w:val="21"/>
                    </w:rPr>
                  </w:pPr>
                  <w:r>
                    <w:rPr>
                      <w:color w:val="auto"/>
                      <w:szCs w:val="21"/>
                    </w:rPr>
                    <w:t>PM</w:t>
                  </w:r>
                  <w:r>
                    <w:rPr>
                      <w:color w:val="auto"/>
                      <w:szCs w:val="21"/>
                      <w:vertAlign w:val="subscript"/>
                    </w:rPr>
                    <w:t>10</w:t>
                  </w:r>
                </w:p>
              </w:tc>
              <w:tc>
                <w:tcPr>
                  <w:tcW w:w="1190" w:type="pct"/>
                  <w:vAlign w:val="center"/>
                </w:tcPr>
                <w:p w14:paraId="787D911A">
                  <w:pPr>
                    <w:adjustRightInd w:val="0"/>
                    <w:snapToGrid w:val="0"/>
                    <w:jc w:val="center"/>
                    <w:rPr>
                      <w:color w:val="auto"/>
                      <w:szCs w:val="21"/>
                    </w:rPr>
                  </w:pPr>
                  <w:r>
                    <w:rPr>
                      <w:color w:val="auto"/>
                      <w:szCs w:val="21"/>
                    </w:rPr>
                    <w:t>年平均</w:t>
                  </w:r>
                </w:p>
              </w:tc>
              <w:tc>
                <w:tcPr>
                  <w:tcW w:w="871" w:type="pct"/>
                  <w:vAlign w:val="center"/>
                </w:tcPr>
                <w:p w14:paraId="04349DF7">
                  <w:pPr>
                    <w:adjustRightInd w:val="0"/>
                    <w:snapToGrid w:val="0"/>
                    <w:jc w:val="center"/>
                    <w:rPr>
                      <w:color w:val="auto"/>
                      <w:szCs w:val="21"/>
                    </w:rPr>
                  </w:pPr>
                  <w:r>
                    <w:rPr>
                      <w:color w:val="auto"/>
                      <w:szCs w:val="21"/>
                    </w:rPr>
                    <w:t>70</w:t>
                  </w:r>
                </w:p>
              </w:tc>
              <w:tc>
                <w:tcPr>
                  <w:tcW w:w="1906" w:type="pct"/>
                  <w:vMerge w:val="continue"/>
                  <w:vAlign w:val="center"/>
                </w:tcPr>
                <w:p w14:paraId="719CC898">
                  <w:pPr>
                    <w:adjustRightInd w:val="0"/>
                    <w:snapToGrid w:val="0"/>
                    <w:jc w:val="center"/>
                    <w:rPr>
                      <w:color w:val="auto"/>
                      <w:szCs w:val="21"/>
                    </w:rPr>
                  </w:pPr>
                </w:p>
              </w:tc>
            </w:tr>
            <w:tr w14:paraId="7AB8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7327EB63">
                  <w:pPr>
                    <w:adjustRightInd w:val="0"/>
                    <w:snapToGrid w:val="0"/>
                    <w:jc w:val="center"/>
                    <w:rPr>
                      <w:color w:val="auto"/>
                      <w:szCs w:val="21"/>
                    </w:rPr>
                  </w:pPr>
                </w:p>
              </w:tc>
              <w:tc>
                <w:tcPr>
                  <w:tcW w:w="1190" w:type="pct"/>
                  <w:vAlign w:val="center"/>
                </w:tcPr>
                <w:p w14:paraId="5D7E3B16">
                  <w:pPr>
                    <w:adjustRightInd w:val="0"/>
                    <w:snapToGrid w:val="0"/>
                    <w:jc w:val="center"/>
                    <w:rPr>
                      <w:color w:val="auto"/>
                      <w:szCs w:val="21"/>
                    </w:rPr>
                  </w:pPr>
                  <w:r>
                    <w:rPr>
                      <w:color w:val="auto"/>
                      <w:szCs w:val="21"/>
                    </w:rPr>
                    <w:t>24小时平均</w:t>
                  </w:r>
                </w:p>
              </w:tc>
              <w:tc>
                <w:tcPr>
                  <w:tcW w:w="871" w:type="pct"/>
                  <w:vAlign w:val="center"/>
                </w:tcPr>
                <w:p w14:paraId="4EAD9A3A">
                  <w:pPr>
                    <w:adjustRightInd w:val="0"/>
                    <w:snapToGrid w:val="0"/>
                    <w:jc w:val="center"/>
                    <w:rPr>
                      <w:color w:val="auto"/>
                      <w:szCs w:val="21"/>
                    </w:rPr>
                  </w:pPr>
                  <w:r>
                    <w:rPr>
                      <w:color w:val="auto"/>
                      <w:szCs w:val="21"/>
                    </w:rPr>
                    <w:t>150</w:t>
                  </w:r>
                </w:p>
              </w:tc>
              <w:tc>
                <w:tcPr>
                  <w:tcW w:w="1906" w:type="pct"/>
                  <w:vMerge w:val="continue"/>
                  <w:vAlign w:val="center"/>
                </w:tcPr>
                <w:p w14:paraId="750277BD">
                  <w:pPr>
                    <w:adjustRightInd w:val="0"/>
                    <w:snapToGrid w:val="0"/>
                    <w:jc w:val="center"/>
                    <w:rPr>
                      <w:color w:val="auto"/>
                      <w:szCs w:val="21"/>
                    </w:rPr>
                  </w:pPr>
                </w:p>
              </w:tc>
            </w:tr>
            <w:tr w14:paraId="0CF0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10DD1A70">
                  <w:pPr>
                    <w:adjustRightInd w:val="0"/>
                    <w:snapToGrid w:val="0"/>
                    <w:jc w:val="center"/>
                    <w:rPr>
                      <w:color w:val="auto"/>
                      <w:szCs w:val="21"/>
                      <w:vertAlign w:val="subscript"/>
                    </w:rPr>
                  </w:pPr>
                  <w:r>
                    <w:rPr>
                      <w:color w:val="auto"/>
                      <w:szCs w:val="21"/>
                    </w:rPr>
                    <w:t>PM</w:t>
                  </w:r>
                  <w:r>
                    <w:rPr>
                      <w:color w:val="auto"/>
                      <w:szCs w:val="21"/>
                      <w:vertAlign w:val="subscript"/>
                    </w:rPr>
                    <w:t>2.5</w:t>
                  </w:r>
                </w:p>
              </w:tc>
              <w:tc>
                <w:tcPr>
                  <w:tcW w:w="1190" w:type="pct"/>
                  <w:vAlign w:val="center"/>
                </w:tcPr>
                <w:p w14:paraId="0D4BF61C">
                  <w:pPr>
                    <w:adjustRightInd w:val="0"/>
                    <w:snapToGrid w:val="0"/>
                    <w:jc w:val="center"/>
                    <w:rPr>
                      <w:color w:val="auto"/>
                      <w:szCs w:val="21"/>
                    </w:rPr>
                  </w:pPr>
                  <w:r>
                    <w:rPr>
                      <w:color w:val="auto"/>
                      <w:szCs w:val="21"/>
                    </w:rPr>
                    <w:t>年平均</w:t>
                  </w:r>
                </w:p>
              </w:tc>
              <w:tc>
                <w:tcPr>
                  <w:tcW w:w="871" w:type="pct"/>
                  <w:vAlign w:val="center"/>
                </w:tcPr>
                <w:p w14:paraId="362D4539">
                  <w:pPr>
                    <w:adjustRightInd w:val="0"/>
                    <w:snapToGrid w:val="0"/>
                    <w:jc w:val="center"/>
                    <w:rPr>
                      <w:color w:val="auto"/>
                      <w:szCs w:val="21"/>
                    </w:rPr>
                  </w:pPr>
                  <w:r>
                    <w:rPr>
                      <w:color w:val="auto"/>
                      <w:szCs w:val="21"/>
                    </w:rPr>
                    <w:t>35</w:t>
                  </w:r>
                </w:p>
              </w:tc>
              <w:tc>
                <w:tcPr>
                  <w:tcW w:w="1906" w:type="pct"/>
                  <w:vMerge w:val="continue"/>
                  <w:vAlign w:val="center"/>
                </w:tcPr>
                <w:p w14:paraId="01C56644">
                  <w:pPr>
                    <w:adjustRightInd w:val="0"/>
                    <w:snapToGrid w:val="0"/>
                    <w:jc w:val="center"/>
                    <w:rPr>
                      <w:color w:val="auto"/>
                      <w:szCs w:val="21"/>
                    </w:rPr>
                  </w:pPr>
                </w:p>
              </w:tc>
            </w:tr>
            <w:tr w14:paraId="06B7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10FDD21B">
                  <w:pPr>
                    <w:adjustRightInd w:val="0"/>
                    <w:snapToGrid w:val="0"/>
                    <w:jc w:val="center"/>
                    <w:rPr>
                      <w:color w:val="auto"/>
                      <w:szCs w:val="21"/>
                    </w:rPr>
                  </w:pPr>
                </w:p>
              </w:tc>
              <w:tc>
                <w:tcPr>
                  <w:tcW w:w="1190" w:type="pct"/>
                  <w:vAlign w:val="center"/>
                </w:tcPr>
                <w:p w14:paraId="747214F6">
                  <w:pPr>
                    <w:adjustRightInd w:val="0"/>
                    <w:snapToGrid w:val="0"/>
                    <w:jc w:val="center"/>
                    <w:rPr>
                      <w:color w:val="auto"/>
                      <w:szCs w:val="21"/>
                    </w:rPr>
                  </w:pPr>
                  <w:r>
                    <w:rPr>
                      <w:color w:val="auto"/>
                      <w:szCs w:val="21"/>
                    </w:rPr>
                    <w:t>24小时平均</w:t>
                  </w:r>
                </w:p>
              </w:tc>
              <w:tc>
                <w:tcPr>
                  <w:tcW w:w="871" w:type="pct"/>
                  <w:vAlign w:val="center"/>
                </w:tcPr>
                <w:p w14:paraId="579B170A">
                  <w:pPr>
                    <w:adjustRightInd w:val="0"/>
                    <w:snapToGrid w:val="0"/>
                    <w:jc w:val="center"/>
                    <w:rPr>
                      <w:color w:val="auto"/>
                      <w:szCs w:val="21"/>
                    </w:rPr>
                  </w:pPr>
                  <w:r>
                    <w:rPr>
                      <w:color w:val="auto"/>
                      <w:szCs w:val="21"/>
                    </w:rPr>
                    <w:t>75</w:t>
                  </w:r>
                </w:p>
              </w:tc>
              <w:tc>
                <w:tcPr>
                  <w:tcW w:w="1906" w:type="pct"/>
                  <w:vMerge w:val="continue"/>
                  <w:vAlign w:val="center"/>
                </w:tcPr>
                <w:p w14:paraId="73CFD1FE">
                  <w:pPr>
                    <w:adjustRightInd w:val="0"/>
                    <w:snapToGrid w:val="0"/>
                    <w:jc w:val="center"/>
                    <w:rPr>
                      <w:color w:val="auto"/>
                      <w:szCs w:val="21"/>
                    </w:rPr>
                  </w:pPr>
                </w:p>
              </w:tc>
            </w:tr>
          </w:tbl>
          <w:p w14:paraId="57CC8DCC">
            <w:pPr>
              <w:pStyle w:val="14"/>
              <w:widowControl w:val="0"/>
              <w:autoSpaceDE w:val="0"/>
              <w:autoSpaceDN w:val="0"/>
              <w:snapToGrid/>
              <w:spacing w:before="120" w:beforeLines="50" w:after="0" w:line="360" w:lineRule="auto"/>
              <w:ind w:right="0" w:firstLine="480" w:firstLineChars="200"/>
              <w:rPr>
                <w:color w:val="auto"/>
                <w:sz w:val="24"/>
                <w:szCs w:val="24"/>
              </w:rPr>
            </w:pPr>
            <w:r>
              <w:rPr>
                <w:color w:val="auto"/>
                <w:sz w:val="24"/>
                <w:szCs w:val="24"/>
              </w:rPr>
              <w:t>（2）环境空气质量现状</w:t>
            </w:r>
          </w:p>
          <w:p w14:paraId="5D68B9DA">
            <w:pPr>
              <w:spacing w:line="360" w:lineRule="auto"/>
              <w:ind w:firstLine="480" w:firstLineChars="200"/>
              <w:rPr>
                <w:color w:val="auto"/>
                <w:sz w:val="24"/>
              </w:rPr>
            </w:pPr>
            <w:r>
              <w:rPr>
                <w:color w:val="auto"/>
                <w:sz w:val="24"/>
              </w:rPr>
              <w:t>根据《环境影响评价技术导则大气环境》（HJ2.2-2018）要求，环境空气质量现状采用地方环保部门发布的环境质量报告中的结论。</w:t>
            </w:r>
          </w:p>
          <w:p w14:paraId="15AECBDF">
            <w:pPr>
              <w:spacing w:line="360" w:lineRule="auto"/>
              <w:ind w:firstLine="480" w:firstLineChars="200"/>
              <w:rPr>
                <w:color w:val="auto"/>
                <w:sz w:val="24"/>
              </w:rPr>
            </w:pPr>
            <w:r>
              <w:rPr>
                <w:color w:val="auto"/>
                <w:sz w:val="24"/>
              </w:rPr>
              <w:t>本次评价采用</w:t>
            </w:r>
            <w:bookmarkStart w:id="55" w:name="_Hlk194499455"/>
            <w:r>
              <w:rPr>
                <w:rFonts w:hint="eastAsia"/>
                <w:color w:val="auto"/>
                <w:sz w:val="24"/>
              </w:rPr>
              <w:t>通海县环境空气质量自动监测点的</w:t>
            </w:r>
            <w:r>
              <w:rPr>
                <w:color w:val="auto"/>
                <w:sz w:val="24"/>
              </w:rPr>
              <w:t>202</w:t>
            </w:r>
            <w:r>
              <w:rPr>
                <w:rFonts w:hint="eastAsia"/>
                <w:color w:val="auto"/>
                <w:sz w:val="24"/>
              </w:rPr>
              <w:t>3年全年环境空气监测数据</w:t>
            </w:r>
            <w:bookmarkEnd w:id="55"/>
            <w:r>
              <w:rPr>
                <w:rFonts w:hint="eastAsia"/>
                <w:color w:val="auto"/>
                <w:sz w:val="24"/>
              </w:rPr>
              <w:t>进行达标区判定及基本污染物环境空气质量现状评价。</w:t>
            </w:r>
            <w:r>
              <w:rPr>
                <w:rFonts w:hint="eastAsia"/>
                <w:color w:val="auto"/>
                <w:kern w:val="24"/>
                <w:sz w:val="24"/>
              </w:rPr>
              <w:t>通海县环境空气质量自动监测系统位于通海县环境监测站</w:t>
            </w:r>
            <w:r>
              <w:rPr>
                <w:rFonts w:hint="eastAsia"/>
                <w:color w:val="auto"/>
                <w:sz w:val="24"/>
              </w:rPr>
              <w:t>，</w:t>
            </w:r>
            <w:r>
              <w:rPr>
                <w:color w:val="auto"/>
                <w:sz w:val="24"/>
              </w:rPr>
              <w:t>环境空气质量达标情况评价指标为SO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、CO、O</w:t>
            </w:r>
            <w:r>
              <w:rPr>
                <w:color w:val="auto"/>
                <w:sz w:val="24"/>
                <w:vertAlign w:val="subscript"/>
              </w:rPr>
              <w:t>3</w:t>
            </w:r>
            <w:r>
              <w:rPr>
                <w:color w:val="auto"/>
                <w:sz w:val="24"/>
              </w:rPr>
              <w:t>，六项基本污染物</w:t>
            </w:r>
            <w:r>
              <w:rPr>
                <w:rFonts w:hint="eastAsia"/>
                <w:color w:val="auto"/>
                <w:sz w:val="24"/>
              </w:rPr>
              <w:t>按照HJ 663中各评价项目的年评价指标进行评价，年评价指标中的年均浓度和相应百分位数24h平均或8h平均质量浓度满足GB 3095中浓度限值要求的即为达标区。</w:t>
            </w:r>
          </w:p>
          <w:p w14:paraId="6DCFDE29">
            <w:pPr>
              <w:pStyle w:val="66"/>
              <w:spacing w:before="0" w:beforeLines="0" w:after="120"/>
              <w:rPr>
                <w:rFonts w:hint="default"/>
                <w:color w:val="auto"/>
              </w:rPr>
            </w:pPr>
            <w:r>
              <w:rPr>
                <w:bCs/>
                <w:color w:val="auto"/>
                <w:kern w:val="2"/>
                <w:sz w:val="24"/>
              </w:rPr>
              <w:t>表3.5-3  通海县</w:t>
            </w:r>
            <w:r>
              <w:rPr>
                <w:color w:val="auto"/>
                <w:sz w:val="24"/>
              </w:rPr>
              <w:t>2023年通海县环境空气质量统计结果</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2345"/>
              <w:gridCol w:w="1187"/>
              <w:gridCol w:w="1174"/>
              <w:gridCol w:w="1475"/>
              <w:gridCol w:w="1298"/>
            </w:tblGrid>
            <w:tr w14:paraId="3D08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4" w:type="pct"/>
                  <w:vAlign w:val="center"/>
                </w:tcPr>
                <w:p w14:paraId="5A8AB4EB">
                  <w:pPr>
                    <w:adjustRightInd w:val="0"/>
                    <w:snapToGrid w:val="0"/>
                    <w:jc w:val="center"/>
                    <w:rPr>
                      <w:color w:val="auto"/>
                      <w:kern w:val="0"/>
                      <w:szCs w:val="21"/>
                    </w:rPr>
                  </w:pPr>
                  <w:r>
                    <w:rPr>
                      <w:color w:val="auto"/>
                      <w:kern w:val="0"/>
                      <w:szCs w:val="21"/>
                    </w:rPr>
                    <w:t>污染物</w:t>
                  </w:r>
                </w:p>
              </w:tc>
              <w:tc>
                <w:tcPr>
                  <w:tcW w:w="1402" w:type="pct"/>
                  <w:vAlign w:val="center"/>
                </w:tcPr>
                <w:p w14:paraId="164B761D">
                  <w:pPr>
                    <w:adjustRightInd w:val="0"/>
                    <w:snapToGrid w:val="0"/>
                    <w:jc w:val="center"/>
                    <w:rPr>
                      <w:color w:val="auto"/>
                      <w:kern w:val="0"/>
                      <w:szCs w:val="21"/>
                    </w:rPr>
                  </w:pPr>
                  <w:r>
                    <w:rPr>
                      <w:color w:val="auto"/>
                      <w:kern w:val="0"/>
                      <w:szCs w:val="21"/>
                    </w:rPr>
                    <w:t>年评价指标</w:t>
                  </w:r>
                </w:p>
              </w:tc>
              <w:tc>
                <w:tcPr>
                  <w:tcW w:w="710" w:type="pct"/>
                  <w:vAlign w:val="center"/>
                </w:tcPr>
                <w:p w14:paraId="67FEE8BC">
                  <w:pPr>
                    <w:adjustRightInd w:val="0"/>
                    <w:snapToGrid w:val="0"/>
                    <w:jc w:val="center"/>
                    <w:rPr>
                      <w:color w:val="auto"/>
                      <w:kern w:val="0"/>
                      <w:szCs w:val="21"/>
                    </w:rPr>
                  </w:pPr>
                  <w:r>
                    <w:rPr>
                      <w:color w:val="auto"/>
                      <w:kern w:val="0"/>
                      <w:szCs w:val="21"/>
                    </w:rPr>
                    <w:t>现状浓度</w:t>
                  </w:r>
                </w:p>
                <w:p w14:paraId="393368F6">
                  <w:pPr>
                    <w:adjustRightInd w:val="0"/>
                    <w:snapToGrid w:val="0"/>
                    <w:jc w:val="center"/>
                    <w:rPr>
                      <w:color w:val="auto"/>
                      <w:kern w:val="0"/>
                      <w:szCs w:val="21"/>
                    </w:rPr>
                  </w:pPr>
                  <w:r>
                    <w:rPr>
                      <w:rFonts w:hint="eastAsia"/>
                      <w:color w:val="auto"/>
                      <w:kern w:val="0"/>
                      <w:szCs w:val="21"/>
                    </w:rPr>
                    <w:t>(</w:t>
                  </w:r>
                  <w:r>
                    <w:rPr>
                      <w:color w:val="auto"/>
                      <w:kern w:val="0"/>
                      <w:szCs w:val="21"/>
                    </w:rPr>
                    <w:t>µg/</w:t>
                  </w:r>
                  <w:r>
                    <w:rPr>
                      <w:rFonts w:hint="eastAsia"/>
                      <w:color w:val="auto"/>
                      <w:kern w:val="0"/>
                      <w:szCs w:val="21"/>
                    </w:rPr>
                    <w:t>m³)</w:t>
                  </w:r>
                </w:p>
              </w:tc>
              <w:tc>
                <w:tcPr>
                  <w:tcW w:w="702" w:type="pct"/>
                  <w:vAlign w:val="center"/>
                </w:tcPr>
                <w:p w14:paraId="044E7818">
                  <w:pPr>
                    <w:adjustRightInd w:val="0"/>
                    <w:snapToGrid w:val="0"/>
                    <w:jc w:val="center"/>
                    <w:rPr>
                      <w:color w:val="auto"/>
                      <w:kern w:val="0"/>
                      <w:szCs w:val="21"/>
                    </w:rPr>
                  </w:pPr>
                  <w:r>
                    <w:rPr>
                      <w:color w:val="auto"/>
                      <w:kern w:val="0"/>
                      <w:szCs w:val="21"/>
                    </w:rPr>
                    <w:t>标准值</w:t>
                  </w:r>
                </w:p>
                <w:p w14:paraId="5161D236">
                  <w:pPr>
                    <w:adjustRightInd w:val="0"/>
                    <w:snapToGrid w:val="0"/>
                    <w:jc w:val="center"/>
                    <w:rPr>
                      <w:color w:val="auto"/>
                      <w:kern w:val="0"/>
                      <w:szCs w:val="21"/>
                    </w:rPr>
                  </w:pPr>
                  <w:r>
                    <w:rPr>
                      <w:rFonts w:hint="eastAsia"/>
                      <w:color w:val="auto"/>
                      <w:kern w:val="0"/>
                      <w:szCs w:val="21"/>
                    </w:rPr>
                    <w:t>(</w:t>
                  </w:r>
                  <w:r>
                    <w:rPr>
                      <w:color w:val="auto"/>
                      <w:kern w:val="0"/>
                      <w:szCs w:val="21"/>
                    </w:rPr>
                    <w:t>µg/</w:t>
                  </w:r>
                  <w:r>
                    <w:rPr>
                      <w:rFonts w:hint="eastAsia"/>
                      <w:color w:val="auto"/>
                      <w:kern w:val="0"/>
                      <w:szCs w:val="21"/>
                    </w:rPr>
                    <w:t>m³)</w:t>
                  </w:r>
                </w:p>
              </w:tc>
              <w:tc>
                <w:tcPr>
                  <w:tcW w:w="882" w:type="pct"/>
                  <w:vAlign w:val="center"/>
                </w:tcPr>
                <w:p w14:paraId="30CA42E0">
                  <w:pPr>
                    <w:adjustRightInd w:val="0"/>
                    <w:snapToGrid w:val="0"/>
                    <w:jc w:val="center"/>
                    <w:rPr>
                      <w:color w:val="auto"/>
                      <w:kern w:val="0"/>
                      <w:szCs w:val="21"/>
                    </w:rPr>
                  </w:pPr>
                  <w:r>
                    <w:rPr>
                      <w:color w:val="auto"/>
                      <w:kern w:val="0"/>
                      <w:szCs w:val="21"/>
                    </w:rPr>
                    <w:t>占标率/%</w:t>
                  </w:r>
                </w:p>
              </w:tc>
              <w:tc>
                <w:tcPr>
                  <w:tcW w:w="776" w:type="pct"/>
                  <w:vAlign w:val="center"/>
                </w:tcPr>
                <w:p w14:paraId="5A745C5F">
                  <w:pPr>
                    <w:adjustRightInd w:val="0"/>
                    <w:snapToGrid w:val="0"/>
                    <w:jc w:val="center"/>
                    <w:rPr>
                      <w:color w:val="auto"/>
                      <w:kern w:val="0"/>
                      <w:szCs w:val="21"/>
                    </w:rPr>
                  </w:pPr>
                  <w:r>
                    <w:rPr>
                      <w:color w:val="auto"/>
                      <w:kern w:val="0"/>
                      <w:szCs w:val="21"/>
                    </w:rPr>
                    <w:t>达标情况</w:t>
                  </w:r>
                </w:p>
              </w:tc>
            </w:tr>
            <w:tr w14:paraId="24F4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4" w:type="pct"/>
                  <w:vMerge w:val="restart"/>
                  <w:vAlign w:val="center"/>
                </w:tcPr>
                <w:p w14:paraId="0C85D0F6">
                  <w:pPr>
                    <w:adjustRightInd w:val="0"/>
                    <w:snapToGrid w:val="0"/>
                    <w:jc w:val="center"/>
                    <w:rPr>
                      <w:color w:val="auto"/>
                      <w:kern w:val="0"/>
                      <w:szCs w:val="21"/>
                    </w:rPr>
                  </w:pPr>
                  <w:r>
                    <w:rPr>
                      <w:color w:val="auto"/>
                      <w:kern w:val="0"/>
                      <w:szCs w:val="21"/>
                    </w:rPr>
                    <w:t>SO</w:t>
                  </w:r>
                  <w:r>
                    <w:rPr>
                      <w:color w:val="auto"/>
                      <w:kern w:val="0"/>
                      <w:szCs w:val="21"/>
                      <w:vertAlign w:val="subscript"/>
                    </w:rPr>
                    <w:t>2</w:t>
                  </w:r>
                </w:p>
              </w:tc>
              <w:tc>
                <w:tcPr>
                  <w:tcW w:w="1402" w:type="pct"/>
                  <w:vAlign w:val="center"/>
                </w:tcPr>
                <w:p w14:paraId="04AE35C0">
                  <w:pPr>
                    <w:adjustRightInd w:val="0"/>
                    <w:snapToGrid w:val="0"/>
                    <w:jc w:val="center"/>
                    <w:rPr>
                      <w:color w:val="auto"/>
                      <w:kern w:val="0"/>
                      <w:szCs w:val="21"/>
                    </w:rPr>
                  </w:pPr>
                  <w:r>
                    <w:rPr>
                      <w:color w:val="auto"/>
                      <w:kern w:val="0"/>
                      <w:szCs w:val="21"/>
                    </w:rPr>
                    <w:t>年平均质量浓度</w:t>
                  </w:r>
                </w:p>
              </w:tc>
              <w:tc>
                <w:tcPr>
                  <w:tcW w:w="1210" w:type="dxa"/>
                  <w:vAlign w:val="center"/>
                </w:tcPr>
                <w:p w14:paraId="2A50CC0F">
                  <w:pPr>
                    <w:adjustRightInd w:val="0"/>
                    <w:snapToGrid w:val="0"/>
                    <w:jc w:val="center"/>
                    <w:rPr>
                      <w:color w:val="auto"/>
                      <w:kern w:val="0"/>
                      <w:szCs w:val="21"/>
                    </w:rPr>
                  </w:pPr>
                  <w:r>
                    <w:rPr>
                      <w:color w:val="auto"/>
                      <w:kern w:val="0"/>
                      <w:szCs w:val="21"/>
                    </w:rPr>
                    <w:t>6.84</w:t>
                  </w:r>
                </w:p>
              </w:tc>
              <w:tc>
                <w:tcPr>
                  <w:tcW w:w="702" w:type="pct"/>
                  <w:vAlign w:val="center"/>
                </w:tcPr>
                <w:p w14:paraId="78B135F6">
                  <w:pPr>
                    <w:adjustRightInd w:val="0"/>
                    <w:snapToGrid w:val="0"/>
                    <w:jc w:val="center"/>
                    <w:rPr>
                      <w:color w:val="auto"/>
                      <w:kern w:val="0"/>
                      <w:szCs w:val="21"/>
                    </w:rPr>
                  </w:pPr>
                  <w:r>
                    <w:rPr>
                      <w:color w:val="auto"/>
                      <w:kern w:val="0"/>
                      <w:szCs w:val="21"/>
                    </w:rPr>
                    <w:t>60</w:t>
                  </w:r>
                </w:p>
              </w:tc>
              <w:tc>
                <w:tcPr>
                  <w:tcW w:w="1504" w:type="dxa"/>
                  <w:vAlign w:val="center"/>
                </w:tcPr>
                <w:p w14:paraId="41700864">
                  <w:pPr>
                    <w:adjustRightInd w:val="0"/>
                    <w:snapToGrid w:val="0"/>
                    <w:jc w:val="center"/>
                    <w:rPr>
                      <w:color w:val="auto"/>
                      <w:kern w:val="0"/>
                      <w:szCs w:val="21"/>
                    </w:rPr>
                  </w:pPr>
                  <w:r>
                    <w:rPr>
                      <w:color w:val="auto"/>
                      <w:kern w:val="0"/>
                      <w:szCs w:val="21"/>
                    </w:rPr>
                    <w:t>11.40%</w:t>
                  </w:r>
                </w:p>
              </w:tc>
              <w:tc>
                <w:tcPr>
                  <w:tcW w:w="776" w:type="pct"/>
                  <w:vAlign w:val="center"/>
                </w:tcPr>
                <w:p w14:paraId="01FEBF12">
                  <w:pPr>
                    <w:adjustRightInd w:val="0"/>
                    <w:snapToGrid w:val="0"/>
                    <w:jc w:val="center"/>
                    <w:rPr>
                      <w:color w:val="auto"/>
                      <w:kern w:val="0"/>
                      <w:szCs w:val="21"/>
                    </w:rPr>
                  </w:pPr>
                  <w:r>
                    <w:rPr>
                      <w:color w:val="auto"/>
                      <w:kern w:val="0"/>
                      <w:szCs w:val="21"/>
                    </w:rPr>
                    <w:t>达标</w:t>
                  </w:r>
                </w:p>
              </w:tc>
            </w:tr>
            <w:tr w14:paraId="56EB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24" w:type="pct"/>
                  <w:vMerge w:val="continue"/>
                  <w:vAlign w:val="center"/>
                </w:tcPr>
                <w:p w14:paraId="5D9F9253">
                  <w:pPr>
                    <w:adjustRightInd w:val="0"/>
                    <w:snapToGrid w:val="0"/>
                    <w:jc w:val="center"/>
                    <w:rPr>
                      <w:color w:val="auto"/>
                      <w:kern w:val="0"/>
                      <w:szCs w:val="21"/>
                    </w:rPr>
                  </w:pPr>
                </w:p>
              </w:tc>
              <w:tc>
                <w:tcPr>
                  <w:tcW w:w="1402" w:type="pct"/>
                  <w:vAlign w:val="center"/>
                </w:tcPr>
                <w:p w14:paraId="4DBD63E0">
                  <w:pPr>
                    <w:adjustRightInd w:val="0"/>
                    <w:snapToGrid w:val="0"/>
                    <w:jc w:val="center"/>
                    <w:rPr>
                      <w:color w:val="auto"/>
                      <w:kern w:val="0"/>
                      <w:szCs w:val="21"/>
                    </w:rPr>
                  </w:pPr>
                  <w:r>
                    <w:rPr>
                      <w:color w:val="auto"/>
                      <w:kern w:val="0"/>
                      <w:szCs w:val="21"/>
                    </w:rPr>
                    <w:t>98%日平均质量浓度</w:t>
                  </w:r>
                </w:p>
              </w:tc>
              <w:tc>
                <w:tcPr>
                  <w:tcW w:w="1210" w:type="dxa"/>
                  <w:vAlign w:val="center"/>
                </w:tcPr>
                <w:p w14:paraId="75AD6D86">
                  <w:pPr>
                    <w:adjustRightInd w:val="0"/>
                    <w:snapToGrid w:val="0"/>
                    <w:jc w:val="center"/>
                    <w:rPr>
                      <w:color w:val="auto"/>
                      <w:kern w:val="0"/>
                      <w:szCs w:val="21"/>
                    </w:rPr>
                  </w:pPr>
                  <w:r>
                    <w:rPr>
                      <w:color w:val="auto"/>
                      <w:kern w:val="0"/>
                      <w:szCs w:val="21"/>
                    </w:rPr>
                    <w:t>12</w:t>
                  </w:r>
                </w:p>
              </w:tc>
              <w:tc>
                <w:tcPr>
                  <w:tcW w:w="702" w:type="pct"/>
                  <w:vAlign w:val="center"/>
                </w:tcPr>
                <w:p w14:paraId="194FB620">
                  <w:pPr>
                    <w:adjustRightInd w:val="0"/>
                    <w:snapToGrid w:val="0"/>
                    <w:jc w:val="center"/>
                    <w:rPr>
                      <w:color w:val="auto"/>
                      <w:kern w:val="0"/>
                      <w:szCs w:val="21"/>
                    </w:rPr>
                  </w:pPr>
                  <w:r>
                    <w:rPr>
                      <w:color w:val="auto"/>
                      <w:kern w:val="0"/>
                      <w:szCs w:val="21"/>
                    </w:rPr>
                    <w:t>150</w:t>
                  </w:r>
                </w:p>
              </w:tc>
              <w:tc>
                <w:tcPr>
                  <w:tcW w:w="1504" w:type="dxa"/>
                  <w:vAlign w:val="center"/>
                </w:tcPr>
                <w:p w14:paraId="220ABAA0">
                  <w:pPr>
                    <w:adjustRightInd w:val="0"/>
                    <w:snapToGrid w:val="0"/>
                    <w:jc w:val="center"/>
                    <w:rPr>
                      <w:color w:val="auto"/>
                      <w:kern w:val="0"/>
                      <w:szCs w:val="21"/>
                    </w:rPr>
                  </w:pPr>
                  <w:r>
                    <w:rPr>
                      <w:color w:val="auto"/>
                      <w:kern w:val="0"/>
                      <w:szCs w:val="21"/>
                    </w:rPr>
                    <w:t>8.00%</w:t>
                  </w:r>
                </w:p>
              </w:tc>
              <w:tc>
                <w:tcPr>
                  <w:tcW w:w="776" w:type="pct"/>
                  <w:vAlign w:val="center"/>
                </w:tcPr>
                <w:p w14:paraId="10A64D2A">
                  <w:pPr>
                    <w:adjustRightInd w:val="0"/>
                    <w:snapToGrid w:val="0"/>
                    <w:jc w:val="center"/>
                    <w:rPr>
                      <w:color w:val="auto"/>
                      <w:kern w:val="0"/>
                      <w:szCs w:val="21"/>
                    </w:rPr>
                  </w:pPr>
                  <w:r>
                    <w:rPr>
                      <w:color w:val="auto"/>
                      <w:kern w:val="0"/>
                      <w:szCs w:val="21"/>
                    </w:rPr>
                    <w:t>达标</w:t>
                  </w:r>
                </w:p>
              </w:tc>
            </w:tr>
            <w:tr w14:paraId="16C1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4" w:type="pct"/>
                  <w:vMerge w:val="restart"/>
                  <w:vAlign w:val="center"/>
                </w:tcPr>
                <w:p w14:paraId="13000D00">
                  <w:pPr>
                    <w:adjustRightInd w:val="0"/>
                    <w:snapToGrid w:val="0"/>
                    <w:jc w:val="center"/>
                    <w:rPr>
                      <w:color w:val="auto"/>
                      <w:kern w:val="0"/>
                      <w:szCs w:val="21"/>
                    </w:rPr>
                  </w:pPr>
                  <w:r>
                    <w:rPr>
                      <w:color w:val="auto"/>
                      <w:kern w:val="0"/>
                      <w:szCs w:val="21"/>
                    </w:rPr>
                    <w:t>NO</w:t>
                  </w:r>
                  <w:r>
                    <w:rPr>
                      <w:color w:val="auto"/>
                      <w:kern w:val="0"/>
                      <w:szCs w:val="21"/>
                      <w:vertAlign w:val="subscript"/>
                    </w:rPr>
                    <w:t>2</w:t>
                  </w:r>
                </w:p>
              </w:tc>
              <w:tc>
                <w:tcPr>
                  <w:tcW w:w="1402" w:type="pct"/>
                  <w:vAlign w:val="center"/>
                </w:tcPr>
                <w:p w14:paraId="03FF7E50">
                  <w:pPr>
                    <w:adjustRightInd w:val="0"/>
                    <w:snapToGrid w:val="0"/>
                    <w:jc w:val="center"/>
                    <w:rPr>
                      <w:color w:val="auto"/>
                      <w:kern w:val="0"/>
                      <w:szCs w:val="21"/>
                    </w:rPr>
                  </w:pPr>
                  <w:r>
                    <w:rPr>
                      <w:color w:val="auto"/>
                      <w:kern w:val="0"/>
                      <w:szCs w:val="21"/>
                    </w:rPr>
                    <w:t>年平均质量浓度</w:t>
                  </w:r>
                </w:p>
              </w:tc>
              <w:tc>
                <w:tcPr>
                  <w:tcW w:w="1210" w:type="dxa"/>
                  <w:vAlign w:val="center"/>
                </w:tcPr>
                <w:p w14:paraId="7B9D7736">
                  <w:pPr>
                    <w:adjustRightInd w:val="0"/>
                    <w:snapToGrid w:val="0"/>
                    <w:jc w:val="center"/>
                    <w:rPr>
                      <w:color w:val="auto"/>
                      <w:kern w:val="0"/>
                      <w:szCs w:val="21"/>
                    </w:rPr>
                  </w:pPr>
                  <w:r>
                    <w:rPr>
                      <w:color w:val="auto"/>
                      <w:kern w:val="0"/>
                      <w:szCs w:val="21"/>
                    </w:rPr>
                    <w:t>11.48</w:t>
                  </w:r>
                </w:p>
              </w:tc>
              <w:tc>
                <w:tcPr>
                  <w:tcW w:w="702" w:type="pct"/>
                  <w:vAlign w:val="center"/>
                </w:tcPr>
                <w:p w14:paraId="62F33CA4">
                  <w:pPr>
                    <w:adjustRightInd w:val="0"/>
                    <w:snapToGrid w:val="0"/>
                    <w:jc w:val="center"/>
                    <w:rPr>
                      <w:color w:val="auto"/>
                      <w:kern w:val="0"/>
                      <w:szCs w:val="21"/>
                    </w:rPr>
                  </w:pPr>
                  <w:r>
                    <w:rPr>
                      <w:color w:val="auto"/>
                      <w:kern w:val="0"/>
                      <w:szCs w:val="21"/>
                    </w:rPr>
                    <w:t>40</w:t>
                  </w:r>
                </w:p>
              </w:tc>
              <w:tc>
                <w:tcPr>
                  <w:tcW w:w="1504" w:type="dxa"/>
                  <w:vAlign w:val="center"/>
                </w:tcPr>
                <w:p w14:paraId="286A3A51">
                  <w:pPr>
                    <w:adjustRightInd w:val="0"/>
                    <w:snapToGrid w:val="0"/>
                    <w:jc w:val="center"/>
                    <w:rPr>
                      <w:color w:val="auto"/>
                      <w:kern w:val="0"/>
                      <w:szCs w:val="21"/>
                    </w:rPr>
                  </w:pPr>
                  <w:r>
                    <w:rPr>
                      <w:color w:val="auto"/>
                      <w:kern w:val="0"/>
                      <w:szCs w:val="21"/>
                    </w:rPr>
                    <w:t>28.69%</w:t>
                  </w:r>
                </w:p>
              </w:tc>
              <w:tc>
                <w:tcPr>
                  <w:tcW w:w="776" w:type="pct"/>
                  <w:vAlign w:val="center"/>
                </w:tcPr>
                <w:p w14:paraId="0E4C0DFF">
                  <w:pPr>
                    <w:adjustRightInd w:val="0"/>
                    <w:snapToGrid w:val="0"/>
                    <w:jc w:val="center"/>
                    <w:rPr>
                      <w:color w:val="auto"/>
                      <w:kern w:val="0"/>
                      <w:szCs w:val="21"/>
                    </w:rPr>
                  </w:pPr>
                  <w:r>
                    <w:rPr>
                      <w:color w:val="auto"/>
                      <w:kern w:val="0"/>
                      <w:szCs w:val="21"/>
                    </w:rPr>
                    <w:t>达标</w:t>
                  </w:r>
                </w:p>
              </w:tc>
            </w:tr>
            <w:tr w14:paraId="053A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24" w:type="pct"/>
                  <w:vMerge w:val="continue"/>
                  <w:vAlign w:val="center"/>
                </w:tcPr>
                <w:p w14:paraId="1BE0B520">
                  <w:pPr>
                    <w:adjustRightInd w:val="0"/>
                    <w:snapToGrid w:val="0"/>
                    <w:jc w:val="center"/>
                    <w:rPr>
                      <w:color w:val="auto"/>
                      <w:kern w:val="0"/>
                      <w:szCs w:val="21"/>
                    </w:rPr>
                  </w:pPr>
                </w:p>
              </w:tc>
              <w:tc>
                <w:tcPr>
                  <w:tcW w:w="1402" w:type="pct"/>
                  <w:vAlign w:val="center"/>
                </w:tcPr>
                <w:p w14:paraId="1691547C">
                  <w:pPr>
                    <w:adjustRightInd w:val="0"/>
                    <w:snapToGrid w:val="0"/>
                    <w:jc w:val="center"/>
                    <w:rPr>
                      <w:color w:val="auto"/>
                      <w:kern w:val="0"/>
                      <w:szCs w:val="21"/>
                    </w:rPr>
                  </w:pPr>
                  <w:r>
                    <w:rPr>
                      <w:color w:val="auto"/>
                      <w:kern w:val="0"/>
                      <w:szCs w:val="21"/>
                    </w:rPr>
                    <w:t>98%日平均质</w:t>
                  </w:r>
                  <w:r>
                    <w:rPr>
                      <w:rFonts w:hint="eastAsia"/>
                      <w:color w:val="auto"/>
                      <w:kern w:val="0"/>
                      <w:szCs w:val="21"/>
                    </w:rPr>
                    <w:t>量</w:t>
                  </w:r>
                  <w:r>
                    <w:rPr>
                      <w:color w:val="auto"/>
                      <w:kern w:val="0"/>
                      <w:szCs w:val="21"/>
                    </w:rPr>
                    <w:t>浓度</w:t>
                  </w:r>
                </w:p>
              </w:tc>
              <w:tc>
                <w:tcPr>
                  <w:tcW w:w="1210" w:type="dxa"/>
                  <w:vAlign w:val="center"/>
                </w:tcPr>
                <w:p w14:paraId="6062D3F0">
                  <w:pPr>
                    <w:adjustRightInd w:val="0"/>
                    <w:snapToGrid w:val="0"/>
                    <w:jc w:val="center"/>
                    <w:rPr>
                      <w:color w:val="auto"/>
                      <w:kern w:val="0"/>
                      <w:szCs w:val="21"/>
                    </w:rPr>
                  </w:pPr>
                  <w:r>
                    <w:rPr>
                      <w:color w:val="auto"/>
                      <w:kern w:val="0"/>
                      <w:szCs w:val="21"/>
                    </w:rPr>
                    <w:t>25</w:t>
                  </w:r>
                </w:p>
              </w:tc>
              <w:tc>
                <w:tcPr>
                  <w:tcW w:w="702" w:type="pct"/>
                  <w:vAlign w:val="center"/>
                </w:tcPr>
                <w:p w14:paraId="4A69958C">
                  <w:pPr>
                    <w:adjustRightInd w:val="0"/>
                    <w:snapToGrid w:val="0"/>
                    <w:jc w:val="center"/>
                    <w:rPr>
                      <w:color w:val="auto"/>
                      <w:kern w:val="0"/>
                      <w:szCs w:val="21"/>
                    </w:rPr>
                  </w:pPr>
                  <w:r>
                    <w:rPr>
                      <w:color w:val="auto"/>
                      <w:kern w:val="0"/>
                      <w:szCs w:val="21"/>
                    </w:rPr>
                    <w:t>80</w:t>
                  </w:r>
                </w:p>
              </w:tc>
              <w:tc>
                <w:tcPr>
                  <w:tcW w:w="1504" w:type="dxa"/>
                  <w:vAlign w:val="center"/>
                </w:tcPr>
                <w:p w14:paraId="4F9B0343">
                  <w:pPr>
                    <w:adjustRightInd w:val="0"/>
                    <w:snapToGrid w:val="0"/>
                    <w:jc w:val="center"/>
                    <w:rPr>
                      <w:color w:val="auto"/>
                      <w:kern w:val="0"/>
                      <w:szCs w:val="21"/>
                    </w:rPr>
                  </w:pPr>
                  <w:r>
                    <w:rPr>
                      <w:color w:val="auto"/>
                      <w:kern w:val="0"/>
                      <w:szCs w:val="21"/>
                    </w:rPr>
                    <w:t>31.25%</w:t>
                  </w:r>
                </w:p>
              </w:tc>
              <w:tc>
                <w:tcPr>
                  <w:tcW w:w="776" w:type="pct"/>
                  <w:vAlign w:val="center"/>
                </w:tcPr>
                <w:p w14:paraId="08D8EE4B">
                  <w:pPr>
                    <w:adjustRightInd w:val="0"/>
                    <w:snapToGrid w:val="0"/>
                    <w:jc w:val="center"/>
                    <w:rPr>
                      <w:color w:val="auto"/>
                      <w:kern w:val="0"/>
                      <w:szCs w:val="21"/>
                    </w:rPr>
                  </w:pPr>
                  <w:r>
                    <w:rPr>
                      <w:color w:val="auto"/>
                      <w:kern w:val="0"/>
                      <w:szCs w:val="21"/>
                    </w:rPr>
                    <w:t>达标</w:t>
                  </w:r>
                </w:p>
              </w:tc>
            </w:tr>
            <w:tr w14:paraId="0A95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4" w:type="pct"/>
                  <w:vMerge w:val="restart"/>
                  <w:vAlign w:val="center"/>
                </w:tcPr>
                <w:p w14:paraId="2FA594CC">
                  <w:pPr>
                    <w:adjustRightInd w:val="0"/>
                    <w:snapToGrid w:val="0"/>
                    <w:jc w:val="center"/>
                    <w:rPr>
                      <w:color w:val="auto"/>
                      <w:kern w:val="0"/>
                      <w:szCs w:val="21"/>
                    </w:rPr>
                  </w:pPr>
                  <w:r>
                    <w:rPr>
                      <w:color w:val="auto"/>
                      <w:kern w:val="0"/>
                      <w:szCs w:val="21"/>
                    </w:rPr>
                    <w:t>PM</w:t>
                  </w:r>
                  <w:r>
                    <w:rPr>
                      <w:color w:val="auto"/>
                      <w:kern w:val="0"/>
                      <w:szCs w:val="21"/>
                      <w:vertAlign w:val="subscript"/>
                    </w:rPr>
                    <w:t>10</w:t>
                  </w:r>
                </w:p>
              </w:tc>
              <w:tc>
                <w:tcPr>
                  <w:tcW w:w="1402" w:type="pct"/>
                  <w:vAlign w:val="center"/>
                </w:tcPr>
                <w:p w14:paraId="7E4A309F">
                  <w:pPr>
                    <w:adjustRightInd w:val="0"/>
                    <w:snapToGrid w:val="0"/>
                    <w:jc w:val="center"/>
                    <w:rPr>
                      <w:color w:val="auto"/>
                      <w:kern w:val="0"/>
                      <w:szCs w:val="21"/>
                    </w:rPr>
                  </w:pPr>
                  <w:r>
                    <w:rPr>
                      <w:color w:val="auto"/>
                      <w:kern w:val="0"/>
                      <w:szCs w:val="21"/>
                    </w:rPr>
                    <w:t>年平均质量浓度</w:t>
                  </w:r>
                </w:p>
              </w:tc>
              <w:tc>
                <w:tcPr>
                  <w:tcW w:w="1210" w:type="dxa"/>
                  <w:vAlign w:val="center"/>
                </w:tcPr>
                <w:p w14:paraId="7F382DC8">
                  <w:pPr>
                    <w:adjustRightInd w:val="0"/>
                    <w:snapToGrid w:val="0"/>
                    <w:jc w:val="center"/>
                    <w:rPr>
                      <w:color w:val="auto"/>
                      <w:kern w:val="0"/>
                      <w:szCs w:val="21"/>
                    </w:rPr>
                  </w:pPr>
                  <w:r>
                    <w:rPr>
                      <w:color w:val="auto"/>
                      <w:kern w:val="0"/>
                      <w:szCs w:val="21"/>
                    </w:rPr>
                    <w:t>29.44</w:t>
                  </w:r>
                </w:p>
              </w:tc>
              <w:tc>
                <w:tcPr>
                  <w:tcW w:w="702" w:type="pct"/>
                  <w:vAlign w:val="center"/>
                </w:tcPr>
                <w:p w14:paraId="294152C2">
                  <w:pPr>
                    <w:adjustRightInd w:val="0"/>
                    <w:snapToGrid w:val="0"/>
                    <w:jc w:val="center"/>
                    <w:rPr>
                      <w:color w:val="auto"/>
                      <w:kern w:val="0"/>
                      <w:szCs w:val="21"/>
                    </w:rPr>
                  </w:pPr>
                  <w:r>
                    <w:rPr>
                      <w:color w:val="auto"/>
                      <w:kern w:val="0"/>
                      <w:szCs w:val="21"/>
                    </w:rPr>
                    <w:t>70</w:t>
                  </w:r>
                </w:p>
              </w:tc>
              <w:tc>
                <w:tcPr>
                  <w:tcW w:w="1504" w:type="dxa"/>
                  <w:vAlign w:val="center"/>
                </w:tcPr>
                <w:p w14:paraId="4A10B51E">
                  <w:pPr>
                    <w:adjustRightInd w:val="0"/>
                    <w:snapToGrid w:val="0"/>
                    <w:jc w:val="center"/>
                    <w:rPr>
                      <w:color w:val="auto"/>
                      <w:kern w:val="0"/>
                      <w:szCs w:val="21"/>
                    </w:rPr>
                  </w:pPr>
                  <w:r>
                    <w:rPr>
                      <w:color w:val="auto"/>
                      <w:kern w:val="0"/>
                      <w:szCs w:val="21"/>
                    </w:rPr>
                    <w:t>42.05%</w:t>
                  </w:r>
                </w:p>
              </w:tc>
              <w:tc>
                <w:tcPr>
                  <w:tcW w:w="776" w:type="pct"/>
                  <w:vAlign w:val="center"/>
                </w:tcPr>
                <w:p w14:paraId="7E01152A">
                  <w:pPr>
                    <w:adjustRightInd w:val="0"/>
                    <w:snapToGrid w:val="0"/>
                    <w:jc w:val="center"/>
                    <w:rPr>
                      <w:color w:val="auto"/>
                      <w:kern w:val="0"/>
                      <w:szCs w:val="21"/>
                    </w:rPr>
                  </w:pPr>
                  <w:r>
                    <w:rPr>
                      <w:color w:val="auto"/>
                      <w:kern w:val="0"/>
                      <w:szCs w:val="21"/>
                    </w:rPr>
                    <w:t>达标</w:t>
                  </w:r>
                </w:p>
              </w:tc>
            </w:tr>
            <w:tr w14:paraId="2066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24" w:type="pct"/>
                  <w:vMerge w:val="continue"/>
                  <w:vAlign w:val="center"/>
                </w:tcPr>
                <w:p w14:paraId="32EE1004">
                  <w:pPr>
                    <w:adjustRightInd w:val="0"/>
                    <w:snapToGrid w:val="0"/>
                    <w:jc w:val="center"/>
                    <w:rPr>
                      <w:color w:val="auto"/>
                      <w:kern w:val="0"/>
                      <w:szCs w:val="21"/>
                    </w:rPr>
                  </w:pPr>
                </w:p>
              </w:tc>
              <w:tc>
                <w:tcPr>
                  <w:tcW w:w="1402" w:type="pct"/>
                  <w:vAlign w:val="center"/>
                </w:tcPr>
                <w:p w14:paraId="71E927CA">
                  <w:pPr>
                    <w:adjustRightInd w:val="0"/>
                    <w:snapToGrid w:val="0"/>
                    <w:jc w:val="center"/>
                    <w:rPr>
                      <w:color w:val="auto"/>
                      <w:kern w:val="0"/>
                      <w:szCs w:val="21"/>
                    </w:rPr>
                  </w:pPr>
                  <w:r>
                    <w:rPr>
                      <w:color w:val="auto"/>
                      <w:kern w:val="0"/>
                      <w:szCs w:val="21"/>
                    </w:rPr>
                    <w:t>95%日平均质量浓度</w:t>
                  </w:r>
                </w:p>
              </w:tc>
              <w:tc>
                <w:tcPr>
                  <w:tcW w:w="1210" w:type="dxa"/>
                  <w:vAlign w:val="center"/>
                </w:tcPr>
                <w:p w14:paraId="18A87562">
                  <w:pPr>
                    <w:adjustRightInd w:val="0"/>
                    <w:snapToGrid w:val="0"/>
                    <w:jc w:val="center"/>
                    <w:rPr>
                      <w:color w:val="auto"/>
                      <w:kern w:val="0"/>
                      <w:szCs w:val="21"/>
                    </w:rPr>
                  </w:pPr>
                  <w:r>
                    <w:rPr>
                      <w:color w:val="auto"/>
                      <w:kern w:val="0"/>
                      <w:szCs w:val="21"/>
                    </w:rPr>
                    <w:t>64</w:t>
                  </w:r>
                </w:p>
              </w:tc>
              <w:tc>
                <w:tcPr>
                  <w:tcW w:w="702" w:type="pct"/>
                  <w:vAlign w:val="center"/>
                </w:tcPr>
                <w:p w14:paraId="11ABF3F7">
                  <w:pPr>
                    <w:adjustRightInd w:val="0"/>
                    <w:snapToGrid w:val="0"/>
                    <w:jc w:val="center"/>
                    <w:rPr>
                      <w:color w:val="auto"/>
                      <w:kern w:val="0"/>
                      <w:szCs w:val="21"/>
                    </w:rPr>
                  </w:pPr>
                  <w:r>
                    <w:rPr>
                      <w:color w:val="auto"/>
                      <w:kern w:val="0"/>
                      <w:szCs w:val="21"/>
                    </w:rPr>
                    <w:t>150</w:t>
                  </w:r>
                </w:p>
              </w:tc>
              <w:tc>
                <w:tcPr>
                  <w:tcW w:w="1504" w:type="dxa"/>
                  <w:vAlign w:val="center"/>
                </w:tcPr>
                <w:p w14:paraId="0CBB0986">
                  <w:pPr>
                    <w:adjustRightInd w:val="0"/>
                    <w:snapToGrid w:val="0"/>
                    <w:jc w:val="center"/>
                    <w:rPr>
                      <w:color w:val="auto"/>
                      <w:kern w:val="0"/>
                      <w:szCs w:val="21"/>
                    </w:rPr>
                  </w:pPr>
                  <w:r>
                    <w:rPr>
                      <w:color w:val="auto"/>
                      <w:kern w:val="0"/>
                      <w:szCs w:val="21"/>
                    </w:rPr>
                    <w:t>42.67%</w:t>
                  </w:r>
                </w:p>
              </w:tc>
              <w:tc>
                <w:tcPr>
                  <w:tcW w:w="776" w:type="pct"/>
                  <w:vAlign w:val="center"/>
                </w:tcPr>
                <w:p w14:paraId="7E691565">
                  <w:pPr>
                    <w:adjustRightInd w:val="0"/>
                    <w:snapToGrid w:val="0"/>
                    <w:jc w:val="center"/>
                    <w:rPr>
                      <w:color w:val="auto"/>
                      <w:kern w:val="0"/>
                      <w:szCs w:val="21"/>
                    </w:rPr>
                  </w:pPr>
                  <w:r>
                    <w:rPr>
                      <w:color w:val="auto"/>
                      <w:kern w:val="0"/>
                      <w:szCs w:val="21"/>
                    </w:rPr>
                    <w:t>达标</w:t>
                  </w:r>
                </w:p>
              </w:tc>
            </w:tr>
            <w:tr w14:paraId="3279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4" w:type="pct"/>
                  <w:vMerge w:val="restart"/>
                  <w:vAlign w:val="center"/>
                </w:tcPr>
                <w:p w14:paraId="201FE941">
                  <w:pPr>
                    <w:adjustRightInd w:val="0"/>
                    <w:snapToGrid w:val="0"/>
                    <w:jc w:val="center"/>
                    <w:rPr>
                      <w:color w:val="auto"/>
                      <w:kern w:val="0"/>
                      <w:szCs w:val="21"/>
                    </w:rPr>
                  </w:pPr>
                  <w:r>
                    <w:rPr>
                      <w:color w:val="auto"/>
                      <w:kern w:val="0"/>
                      <w:szCs w:val="21"/>
                    </w:rPr>
                    <w:t>PM</w:t>
                  </w:r>
                  <w:r>
                    <w:rPr>
                      <w:rFonts w:hint="eastAsia"/>
                      <w:color w:val="auto"/>
                      <w:kern w:val="0"/>
                      <w:szCs w:val="21"/>
                      <w:vertAlign w:val="subscript"/>
                    </w:rPr>
                    <w:t>2.5</w:t>
                  </w:r>
                </w:p>
              </w:tc>
              <w:tc>
                <w:tcPr>
                  <w:tcW w:w="1402" w:type="pct"/>
                  <w:vAlign w:val="center"/>
                </w:tcPr>
                <w:p w14:paraId="034433B1">
                  <w:pPr>
                    <w:adjustRightInd w:val="0"/>
                    <w:snapToGrid w:val="0"/>
                    <w:jc w:val="center"/>
                    <w:rPr>
                      <w:color w:val="auto"/>
                      <w:kern w:val="0"/>
                      <w:szCs w:val="21"/>
                    </w:rPr>
                  </w:pPr>
                  <w:r>
                    <w:rPr>
                      <w:color w:val="auto"/>
                      <w:kern w:val="0"/>
                      <w:szCs w:val="21"/>
                    </w:rPr>
                    <w:t>年平均质量浓度</w:t>
                  </w:r>
                </w:p>
              </w:tc>
              <w:tc>
                <w:tcPr>
                  <w:tcW w:w="1210" w:type="dxa"/>
                  <w:vAlign w:val="center"/>
                </w:tcPr>
                <w:p w14:paraId="6A7FAEF1">
                  <w:pPr>
                    <w:adjustRightInd w:val="0"/>
                    <w:snapToGrid w:val="0"/>
                    <w:jc w:val="center"/>
                    <w:rPr>
                      <w:color w:val="auto"/>
                      <w:kern w:val="0"/>
                      <w:szCs w:val="21"/>
                    </w:rPr>
                  </w:pPr>
                  <w:r>
                    <w:rPr>
                      <w:color w:val="auto"/>
                      <w:kern w:val="0"/>
                      <w:szCs w:val="21"/>
                    </w:rPr>
                    <w:t>20.14</w:t>
                  </w:r>
                </w:p>
              </w:tc>
              <w:tc>
                <w:tcPr>
                  <w:tcW w:w="702" w:type="pct"/>
                  <w:vAlign w:val="center"/>
                </w:tcPr>
                <w:p w14:paraId="3F6742BF">
                  <w:pPr>
                    <w:adjustRightInd w:val="0"/>
                    <w:snapToGrid w:val="0"/>
                    <w:jc w:val="center"/>
                    <w:rPr>
                      <w:color w:val="auto"/>
                      <w:kern w:val="0"/>
                      <w:szCs w:val="21"/>
                    </w:rPr>
                  </w:pPr>
                  <w:r>
                    <w:rPr>
                      <w:color w:val="auto"/>
                      <w:kern w:val="0"/>
                      <w:szCs w:val="21"/>
                    </w:rPr>
                    <w:t>35</w:t>
                  </w:r>
                </w:p>
              </w:tc>
              <w:tc>
                <w:tcPr>
                  <w:tcW w:w="1504" w:type="dxa"/>
                  <w:vAlign w:val="center"/>
                </w:tcPr>
                <w:p w14:paraId="77787924">
                  <w:pPr>
                    <w:adjustRightInd w:val="0"/>
                    <w:snapToGrid w:val="0"/>
                    <w:jc w:val="center"/>
                    <w:rPr>
                      <w:color w:val="auto"/>
                      <w:kern w:val="0"/>
                      <w:szCs w:val="21"/>
                    </w:rPr>
                  </w:pPr>
                  <w:r>
                    <w:rPr>
                      <w:color w:val="auto"/>
                      <w:kern w:val="0"/>
                      <w:szCs w:val="21"/>
                    </w:rPr>
                    <w:t>57.54%</w:t>
                  </w:r>
                </w:p>
              </w:tc>
              <w:tc>
                <w:tcPr>
                  <w:tcW w:w="776" w:type="pct"/>
                  <w:vAlign w:val="center"/>
                </w:tcPr>
                <w:p w14:paraId="63CC5F86">
                  <w:pPr>
                    <w:adjustRightInd w:val="0"/>
                    <w:snapToGrid w:val="0"/>
                    <w:jc w:val="center"/>
                    <w:rPr>
                      <w:color w:val="auto"/>
                      <w:kern w:val="0"/>
                      <w:szCs w:val="21"/>
                    </w:rPr>
                  </w:pPr>
                  <w:r>
                    <w:rPr>
                      <w:color w:val="auto"/>
                      <w:kern w:val="0"/>
                      <w:szCs w:val="21"/>
                    </w:rPr>
                    <w:t>达标</w:t>
                  </w:r>
                </w:p>
              </w:tc>
            </w:tr>
            <w:tr w14:paraId="33DB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24" w:type="pct"/>
                  <w:vMerge w:val="continue"/>
                  <w:vAlign w:val="center"/>
                </w:tcPr>
                <w:p w14:paraId="7AEA6B9E">
                  <w:pPr>
                    <w:adjustRightInd w:val="0"/>
                    <w:snapToGrid w:val="0"/>
                    <w:jc w:val="center"/>
                    <w:rPr>
                      <w:color w:val="auto"/>
                      <w:kern w:val="0"/>
                      <w:szCs w:val="21"/>
                    </w:rPr>
                  </w:pPr>
                </w:p>
              </w:tc>
              <w:tc>
                <w:tcPr>
                  <w:tcW w:w="1402" w:type="pct"/>
                  <w:vAlign w:val="center"/>
                </w:tcPr>
                <w:p w14:paraId="0E2F9718">
                  <w:pPr>
                    <w:adjustRightInd w:val="0"/>
                    <w:snapToGrid w:val="0"/>
                    <w:jc w:val="center"/>
                    <w:rPr>
                      <w:color w:val="auto"/>
                      <w:kern w:val="0"/>
                      <w:szCs w:val="21"/>
                    </w:rPr>
                  </w:pPr>
                  <w:r>
                    <w:rPr>
                      <w:color w:val="auto"/>
                      <w:kern w:val="0"/>
                      <w:szCs w:val="21"/>
                    </w:rPr>
                    <w:t>95%日平均质量浓度</w:t>
                  </w:r>
                </w:p>
              </w:tc>
              <w:tc>
                <w:tcPr>
                  <w:tcW w:w="1210" w:type="dxa"/>
                  <w:vAlign w:val="center"/>
                </w:tcPr>
                <w:p w14:paraId="52C42F96">
                  <w:pPr>
                    <w:adjustRightInd w:val="0"/>
                    <w:snapToGrid w:val="0"/>
                    <w:jc w:val="center"/>
                    <w:rPr>
                      <w:color w:val="auto"/>
                      <w:kern w:val="0"/>
                      <w:szCs w:val="21"/>
                    </w:rPr>
                  </w:pPr>
                  <w:r>
                    <w:rPr>
                      <w:color w:val="auto"/>
                      <w:kern w:val="0"/>
                      <w:szCs w:val="21"/>
                    </w:rPr>
                    <w:t>48</w:t>
                  </w:r>
                </w:p>
              </w:tc>
              <w:tc>
                <w:tcPr>
                  <w:tcW w:w="702" w:type="pct"/>
                  <w:vAlign w:val="center"/>
                </w:tcPr>
                <w:p w14:paraId="4B626C5A">
                  <w:pPr>
                    <w:adjustRightInd w:val="0"/>
                    <w:snapToGrid w:val="0"/>
                    <w:jc w:val="center"/>
                    <w:rPr>
                      <w:color w:val="auto"/>
                      <w:kern w:val="0"/>
                      <w:szCs w:val="21"/>
                    </w:rPr>
                  </w:pPr>
                  <w:r>
                    <w:rPr>
                      <w:color w:val="auto"/>
                      <w:kern w:val="0"/>
                      <w:szCs w:val="21"/>
                    </w:rPr>
                    <w:t>75</w:t>
                  </w:r>
                </w:p>
              </w:tc>
              <w:tc>
                <w:tcPr>
                  <w:tcW w:w="1504" w:type="dxa"/>
                  <w:vAlign w:val="center"/>
                </w:tcPr>
                <w:p w14:paraId="19E390E3">
                  <w:pPr>
                    <w:adjustRightInd w:val="0"/>
                    <w:snapToGrid w:val="0"/>
                    <w:jc w:val="center"/>
                    <w:rPr>
                      <w:color w:val="auto"/>
                      <w:kern w:val="0"/>
                      <w:szCs w:val="21"/>
                    </w:rPr>
                  </w:pPr>
                  <w:r>
                    <w:rPr>
                      <w:color w:val="auto"/>
                      <w:kern w:val="0"/>
                      <w:szCs w:val="21"/>
                    </w:rPr>
                    <w:t>64.00%</w:t>
                  </w:r>
                </w:p>
              </w:tc>
              <w:tc>
                <w:tcPr>
                  <w:tcW w:w="776" w:type="pct"/>
                  <w:vAlign w:val="center"/>
                </w:tcPr>
                <w:p w14:paraId="4A3A2649">
                  <w:pPr>
                    <w:adjustRightInd w:val="0"/>
                    <w:snapToGrid w:val="0"/>
                    <w:jc w:val="center"/>
                    <w:rPr>
                      <w:color w:val="auto"/>
                      <w:kern w:val="0"/>
                      <w:szCs w:val="21"/>
                    </w:rPr>
                  </w:pPr>
                  <w:r>
                    <w:rPr>
                      <w:color w:val="auto"/>
                      <w:kern w:val="0"/>
                      <w:szCs w:val="21"/>
                    </w:rPr>
                    <w:t>达标</w:t>
                  </w:r>
                </w:p>
              </w:tc>
            </w:tr>
            <w:tr w14:paraId="0FFD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4" w:type="pct"/>
                  <w:vAlign w:val="center"/>
                </w:tcPr>
                <w:p w14:paraId="0C763BD2">
                  <w:pPr>
                    <w:adjustRightInd w:val="0"/>
                    <w:snapToGrid w:val="0"/>
                    <w:jc w:val="center"/>
                    <w:rPr>
                      <w:color w:val="auto"/>
                      <w:kern w:val="0"/>
                      <w:szCs w:val="21"/>
                    </w:rPr>
                  </w:pPr>
                  <w:r>
                    <w:rPr>
                      <w:color w:val="auto"/>
                      <w:kern w:val="0"/>
                      <w:szCs w:val="21"/>
                    </w:rPr>
                    <w:t>CO</w:t>
                  </w:r>
                </w:p>
              </w:tc>
              <w:tc>
                <w:tcPr>
                  <w:tcW w:w="1402" w:type="pct"/>
                  <w:vAlign w:val="center"/>
                </w:tcPr>
                <w:p w14:paraId="2EE18D6E">
                  <w:pPr>
                    <w:adjustRightInd w:val="0"/>
                    <w:snapToGrid w:val="0"/>
                    <w:jc w:val="center"/>
                    <w:rPr>
                      <w:color w:val="auto"/>
                      <w:kern w:val="0"/>
                      <w:szCs w:val="21"/>
                    </w:rPr>
                  </w:pPr>
                  <w:r>
                    <w:rPr>
                      <w:color w:val="auto"/>
                      <w:kern w:val="0"/>
                      <w:szCs w:val="21"/>
                    </w:rPr>
                    <w:t>95%日平均质量浓度</w:t>
                  </w:r>
                </w:p>
              </w:tc>
              <w:tc>
                <w:tcPr>
                  <w:tcW w:w="1210" w:type="dxa"/>
                  <w:vAlign w:val="center"/>
                </w:tcPr>
                <w:p w14:paraId="1DFB79E6">
                  <w:pPr>
                    <w:adjustRightInd w:val="0"/>
                    <w:snapToGrid w:val="0"/>
                    <w:jc w:val="center"/>
                    <w:rPr>
                      <w:color w:val="auto"/>
                      <w:kern w:val="0"/>
                      <w:szCs w:val="21"/>
                    </w:rPr>
                  </w:pPr>
                  <w:r>
                    <w:rPr>
                      <w:color w:val="auto"/>
                      <w:kern w:val="0"/>
                      <w:szCs w:val="21"/>
                    </w:rPr>
                    <w:t>1200</w:t>
                  </w:r>
                </w:p>
              </w:tc>
              <w:tc>
                <w:tcPr>
                  <w:tcW w:w="702" w:type="pct"/>
                  <w:vAlign w:val="center"/>
                </w:tcPr>
                <w:p w14:paraId="5380243A">
                  <w:pPr>
                    <w:adjustRightInd w:val="0"/>
                    <w:snapToGrid w:val="0"/>
                    <w:jc w:val="center"/>
                    <w:rPr>
                      <w:color w:val="auto"/>
                      <w:kern w:val="0"/>
                      <w:szCs w:val="21"/>
                    </w:rPr>
                  </w:pPr>
                  <w:r>
                    <w:rPr>
                      <w:color w:val="auto"/>
                      <w:kern w:val="0"/>
                      <w:szCs w:val="21"/>
                    </w:rPr>
                    <w:t>4000</w:t>
                  </w:r>
                </w:p>
              </w:tc>
              <w:tc>
                <w:tcPr>
                  <w:tcW w:w="1504" w:type="dxa"/>
                  <w:vAlign w:val="center"/>
                </w:tcPr>
                <w:p w14:paraId="75FA9D55">
                  <w:pPr>
                    <w:adjustRightInd w:val="0"/>
                    <w:snapToGrid w:val="0"/>
                    <w:jc w:val="center"/>
                    <w:rPr>
                      <w:color w:val="auto"/>
                      <w:kern w:val="0"/>
                      <w:szCs w:val="21"/>
                    </w:rPr>
                  </w:pPr>
                  <w:r>
                    <w:rPr>
                      <w:color w:val="auto"/>
                      <w:kern w:val="0"/>
                      <w:szCs w:val="21"/>
                    </w:rPr>
                    <w:t>30.00%</w:t>
                  </w:r>
                </w:p>
              </w:tc>
              <w:tc>
                <w:tcPr>
                  <w:tcW w:w="776" w:type="pct"/>
                  <w:vAlign w:val="center"/>
                </w:tcPr>
                <w:p w14:paraId="2A72C509">
                  <w:pPr>
                    <w:adjustRightInd w:val="0"/>
                    <w:snapToGrid w:val="0"/>
                    <w:jc w:val="center"/>
                    <w:rPr>
                      <w:color w:val="auto"/>
                      <w:kern w:val="0"/>
                      <w:szCs w:val="21"/>
                    </w:rPr>
                  </w:pPr>
                  <w:r>
                    <w:rPr>
                      <w:color w:val="auto"/>
                      <w:kern w:val="0"/>
                      <w:szCs w:val="21"/>
                    </w:rPr>
                    <w:t>达标</w:t>
                  </w:r>
                </w:p>
              </w:tc>
            </w:tr>
            <w:tr w14:paraId="55A3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4" w:type="pct"/>
                  <w:vAlign w:val="center"/>
                </w:tcPr>
                <w:p w14:paraId="1103A9C4">
                  <w:pPr>
                    <w:adjustRightInd w:val="0"/>
                    <w:snapToGrid w:val="0"/>
                    <w:jc w:val="center"/>
                    <w:rPr>
                      <w:color w:val="auto"/>
                      <w:kern w:val="0"/>
                      <w:szCs w:val="21"/>
                    </w:rPr>
                  </w:pPr>
                  <w:r>
                    <w:rPr>
                      <w:color w:val="auto"/>
                      <w:kern w:val="0"/>
                      <w:szCs w:val="21"/>
                    </w:rPr>
                    <w:t>O</w:t>
                  </w:r>
                  <w:r>
                    <w:rPr>
                      <w:color w:val="auto"/>
                      <w:kern w:val="0"/>
                      <w:szCs w:val="21"/>
                      <w:vertAlign w:val="superscript"/>
                    </w:rPr>
                    <w:t>3</w:t>
                  </w:r>
                </w:p>
              </w:tc>
              <w:tc>
                <w:tcPr>
                  <w:tcW w:w="1402" w:type="pct"/>
                  <w:vAlign w:val="center"/>
                </w:tcPr>
                <w:p w14:paraId="54948910">
                  <w:pPr>
                    <w:adjustRightInd w:val="0"/>
                    <w:snapToGrid w:val="0"/>
                    <w:jc w:val="center"/>
                    <w:rPr>
                      <w:color w:val="auto"/>
                      <w:kern w:val="0"/>
                      <w:szCs w:val="21"/>
                    </w:rPr>
                  </w:pPr>
                  <w:r>
                    <w:rPr>
                      <w:color w:val="auto"/>
                      <w:kern w:val="0"/>
                      <w:szCs w:val="21"/>
                    </w:rPr>
                    <w:t>90%日最大8小时平均质量浓度</w:t>
                  </w:r>
                </w:p>
              </w:tc>
              <w:tc>
                <w:tcPr>
                  <w:tcW w:w="1210" w:type="dxa"/>
                  <w:vAlign w:val="center"/>
                </w:tcPr>
                <w:p w14:paraId="615B01E1">
                  <w:pPr>
                    <w:adjustRightInd w:val="0"/>
                    <w:snapToGrid w:val="0"/>
                    <w:jc w:val="center"/>
                    <w:rPr>
                      <w:color w:val="auto"/>
                      <w:kern w:val="0"/>
                      <w:szCs w:val="21"/>
                    </w:rPr>
                  </w:pPr>
                  <w:r>
                    <w:rPr>
                      <w:color w:val="auto"/>
                      <w:kern w:val="0"/>
                      <w:szCs w:val="21"/>
                    </w:rPr>
                    <w:t>116</w:t>
                  </w:r>
                </w:p>
              </w:tc>
              <w:tc>
                <w:tcPr>
                  <w:tcW w:w="702" w:type="pct"/>
                  <w:vAlign w:val="center"/>
                </w:tcPr>
                <w:p w14:paraId="7B63F11F">
                  <w:pPr>
                    <w:adjustRightInd w:val="0"/>
                    <w:snapToGrid w:val="0"/>
                    <w:jc w:val="center"/>
                    <w:rPr>
                      <w:color w:val="auto"/>
                      <w:kern w:val="0"/>
                      <w:szCs w:val="21"/>
                    </w:rPr>
                  </w:pPr>
                  <w:r>
                    <w:rPr>
                      <w:color w:val="auto"/>
                      <w:kern w:val="0"/>
                      <w:szCs w:val="21"/>
                    </w:rPr>
                    <w:t>160</w:t>
                  </w:r>
                </w:p>
              </w:tc>
              <w:tc>
                <w:tcPr>
                  <w:tcW w:w="1504" w:type="dxa"/>
                  <w:vAlign w:val="center"/>
                </w:tcPr>
                <w:p w14:paraId="4426310A">
                  <w:pPr>
                    <w:adjustRightInd w:val="0"/>
                    <w:snapToGrid w:val="0"/>
                    <w:jc w:val="center"/>
                    <w:rPr>
                      <w:color w:val="auto"/>
                      <w:kern w:val="0"/>
                      <w:szCs w:val="21"/>
                    </w:rPr>
                  </w:pPr>
                  <w:r>
                    <w:rPr>
                      <w:color w:val="auto"/>
                      <w:kern w:val="0"/>
                      <w:szCs w:val="21"/>
                    </w:rPr>
                    <w:t>58.00%</w:t>
                  </w:r>
                </w:p>
              </w:tc>
              <w:tc>
                <w:tcPr>
                  <w:tcW w:w="776" w:type="pct"/>
                  <w:vAlign w:val="center"/>
                </w:tcPr>
                <w:p w14:paraId="0834335D">
                  <w:pPr>
                    <w:adjustRightInd w:val="0"/>
                    <w:snapToGrid w:val="0"/>
                    <w:jc w:val="center"/>
                    <w:rPr>
                      <w:color w:val="auto"/>
                      <w:kern w:val="0"/>
                      <w:szCs w:val="21"/>
                    </w:rPr>
                  </w:pPr>
                  <w:r>
                    <w:rPr>
                      <w:color w:val="auto"/>
                      <w:kern w:val="0"/>
                      <w:szCs w:val="21"/>
                    </w:rPr>
                    <w:t>达标</w:t>
                  </w:r>
                </w:p>
              </w:tc>
            </w:tr>
          </w:tbl>
          <w:p w14:paraId="6FC43C12">
            <w:pPr>
              <w:spacing w:line="360" w:lineRule="auto"/>
              <w:ind w:firstLine="480" w:firstLineChars="200"/>
              <w:rPr>
                <w:color w:val="auto"/>
                <w:kern w:val="24"/>
                <w:sz w:val="24"/>
                <w:lang w:val="zh-CN" w:bidi="zh-CN"/>
              </w:rPr>
            </w:pPr>
            <w:r>
              <w:rPr>
                <w:color w:val="auto"/>
                <w:sz w:val="24"/>
              </w:rPr>
              <w:t>根据</w:t>
            </w:r>
            <w:r>
              <w:rPr>
                <w:rFonts w:hint="eastAsia"/>
                <w:color w:val="auto"/>
                <w:sz w:val="24"/>
              </w:rPr>
              <w:t>2023</w:t>
            </w:r>
            <w:r>
              <w:rPr>
                <w:color w:val="auto"/>
                <w:sz w:val="24"/>
              </w:rPr>
              <w:t>年监测数据可知，</w:t>
            </w:r>
            <w:bookmarkStart w:id="56" w:name="_Hlk194499478"/>
            <w:r>
              <w:rPr>
                <w:color w:val="auto"/>
                <w:kern w:val="24"/>
                <w:sz w:val="24"/>
                <w:lang w:val="zh-CN" w:bidi="zh-CN"/>
              </w:rPr>
              <w:t>202</w:t>
            </w:r>
            <w:r>
              <w:rPr>
                <w:rFonts w:hint="eastAsia"/>
                <w:color w:val="auto"/>
                <w:kern w:val="24"/>
                <w:sz w:val="24"/>
                <w:lang w:bidi="zh-CN"/>
              </w:rPr>
              <w:t>3</w:t>
            </w:r>
            <w:r>
              <w:rPr>
                <w:color w:val="auto"/>
                <w:kern w:val="24"/>
                <w:sz w:val="24"/>
                <w:lang w:val="zh-CN" w:bidi="zh-CN"/>
              </w:rPr>
              <w:t>年</w:t>
            </w:r>
            <w:r>
              <w:rPr>
                <w:rFonts w:hint="eastAsia"/>
                <w:color w:val="auto"/>
                <w:kern w:val="24"/>
                <w:sz w:val="24"/>
                <w:lang w:val="zh-CN" w:bidi="zh-CN"/>
              </w:rPr>
              <w:t>通海县</w:t>
            </w:r>
            <w:r>
              <w:rPr>
                <w:color w:val="auto"/>
                <w:kern w:val="24"/>
                <w:sz w:val="24"/>
                <w:lang w:val="zh-CN" w:bidi="zh-CN"/>
              </w:rPr>
              <w:t>环境空气</w:t>
            </w:r>
            <w:r>
              <w:rPr>
                <w:color w:val="auto"/>
                <w:sz w:val="24"/>
              </w:rPr>
              <w:t>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、CO、O</w:t>
            </w:r>
            <w:r>
              <w:rPr>
                <w:color w:val="auto"/>
                <w:sz w:val="24"/>
                <w:vertAlign w:val="subscript"/>
              </w:rPr>
              <w:t>3</w:t>
            </w:r>
            <w:r>
              <w:rPr>
                <w:color w:val="auto"/>
                <w:sz w:val="24"/>
              </w:rPr>
              <w:t>六项</w:t>
            </w:r>
            <w:r>
              <w:rPr>
                <w:rFonts w:hint="eastAsia"/>
                <w:color w:val="auto"/>
                <w:sz w:val="24"/>
              </w:rPr>
              <w:t>基本</w:t>
            </w:r>
            <w:r>
              <w:rPr>
                <w:color w:val="auto"/>
                <w:sz w:val="24"/>
              </w:rPr>
              <w:t>污染物</w:t>
            </w:r>
            <w:r>
              <w:rPr>
                <w:rFonts w:hint="eastAsia"/>
                <w:color w:val="auto"/>
                <w:sz w:val="24"/>
              </w:rPr>
              <w:t>均满足《环境空气质量标准》（GB</w:t>
            </w:r>
            <w:r>
              <w:rPr>
                <w:color w:val="auto"/>
                <w:sz w:val="24"/>
              </w:rPr>
              <w:t xml:space="preserve"> </w:t>
            </w:r>
            <w:r>
              <w:rPr>
                <w:rFonts w:hint="eastAsia"/>
                <w:color w:val="auto"/>
                <w:sz w:val="24"/>
              </w:rPr>
              <w:t>3095-2012）及2018年修改单的二级标准浓度限值要求，</w:t>
            </w:r>
            <w:r>
              <w:rPr>
                <w:color w:val="auto"/>
                <w:kern w:val="24"/>
                <w:sz w:val="24"/>
                <w:lang w:val="zh-CN" w:bidi="zh-CN"/>
              </w:rPr>
              <w:t>因此</w:t>
            </w:r>
            <w:r>
              <w:rPr>
                <w:rFonts w:hint="eastAsia"/>
                <w:color w:val="auto"/>
                <w:kern w:val="24"/>
                <w:sz w:val="24"/>
                <w:lang w:val="zh-CN" w:bidi="zh-CN"/>
              </w:rPr>
              <w:t>，</w:t>
            </w:r>
            <w:r>
              <w:rPr>
                <w:rFonts w:hint="eastAsia"/>
                <w:color w:val="auto"/>
                <w:sz w:val="24"/>
              </w:rPr>
              <w:t>项目所在区域属于环境空气质量达标区</w:t>
            </w:r>
            <w:r>
              <w:rPr>
                <w:color w:val="auto"/>
                <w:kern w:val="24"/>
                <w:sz w:val="24"/>
                <w:lang w:val="zh-CN" w:bidi="zh-CN"/>
              </w:rPr>
              <w:t>。</w:t>
            </w:r>
          </w:p>
          <w:bookmarkEnd w:id="56"/>
          <w:p w14:paraId="564166D7">
            <w:pPr>
              <w:adjustRightInd w:val="0"/>
              <w:snapToGrid w:val="0"/>
              <w:spacing w:line="360" w:lineRule="auto"/>
              <w:rPr>
                <w:b/>
                <w:bCs/>
                <w:color w:val="auto"/>
                <w:sz w:val="24"/>
              </w:rPr>
            </w:pPr>
            <w:r>
              <w:rPr>
                <w:b/>
                <w:bCs/>
                <w:color w:val="auto"/>
                <w:sz w:val="24"/>
              </w:rPr>
              <w:t>2、地表水环境质量现状</w:t>
            </w:r>
          </w:p>
          <w:p w14:paraId="261319F4">
            <w:pPr>
              <w:pStyle w:val="109"/>
              <w:adjustRightInd/>
              <w:spacing w:line="360" w:lineRule="auto"/>
              <w:ind w:left="105" w:leftChars="50" w:firstLine="480" w:firstLineChars="200"/>
              <w:rPr>
                <w:rFonts w:ascii="Times New Roman" w:hAnsi="Times New Roman" w:cs="Times New Roman"/>
                <w:color w:val="auto"/>
                <w:sz w:val="24"/>
              </w:rPr>
            </w:pPr>
            <w:r>
              <w:rPr>
                <w:rFonts w:ascii="Times New Roman" w:hAnsi="Times New Roman" w:cs="Times New Roman"/>
                <w:color w:val="auto"/>
                <w:sz w:val="24"/>
              </w:rPr>
              <w:t>（1）地表水环境质量标准</w:t>
            </w:r>
          </w:p>
          <w:p w14:paraId="45D762EF">
            <w:pPr>
              <w:spacing w:line="360" w:lineRule="auto"/>
              <w:ind w:firstLine="456" w:firstLineChars="200"/>
              <w:rPr>
                <w:color w:val="auto"/>
                <w:sz w:val="24"/>
              </w:rPr>
            </w:pPr>
            <w:r>
              <w:rPr>
                <w:rFonts w:hint="eastAsia"/>
                <w:color w:val="auto"/>
                <w:spacing w:val="-6"/>
                <w:sz w:val="24"/>
              </w:rPr>
              <w:t>本项目涉及4个乡镇卫生院，</w:t>
            </w:r>
            <w:r>
              <w:rPr>
                <w:rFonts w:hint="eastAsia"/>
                <w:color w:val="auto"/>
                <w:sz w:val="24"/>
              </w:rPr>
              <w:t>四街卫生院</w:t>
            </w:r>
            <w:r>
              <w:rPr>
                <w:color w:val="auto"/>
                <w:sz w:val="24"/>
              </w:rPr>
              <w:t>所在地附近主要地表水体为</w:t>
            </w:r>
            <w:r>
              <w:rPr>
                <w:rFonts w:hint="eastAsia"/>
                <w:color w:val="auto"/>
                <w:sz w:val="24"/>
              </w:rPr>
              <w:t>东</w:t>
            </w:r>
            <w:r>
              <w:rPr>
                <w:color w:val="auto"/>
                <w:sz w:val="24"/>
              </w:rPr>
              <w:t>面</w:t>
            </w:r>
            <w:r>
              <w:rPr>
                <w:rFonts w:hint="eastAsia"/>
                <w:color w:val="auto"/>
                <w:sz w:val="24"/>
              </w:rPr>
              <w:t>610</w:t>
            </w:r>
            <w:r>
              <w:rPr>
                <w:color w:val="auto"/>
                <w:sz w:val="24"/>
              </w:rPr>
              <w:t>m的</w:t>
            </w:r>
            <w:r>
              <w:rPr>
                <w:rFonts w:hint="eastAsia"/>
                <w:color w:val="auto"/>
                <w:sz w:val="24"/>
              </w:rPr>
              <w:t>者湾河和东南面1965m的杞麓湖</w:t>
            </w:r>
            <w:r>
              <w:rPr>
                <w:color w:val="auto"/>
                <w:sz w:val="24"/>
                <w:szCs w:val="22"/>
              </w:rPr>
              <w:t>。</w:t>
            </w:r>
            <w:r>
              <w:rPr>
                <w:rFonts w:hint="eastAsia"/>
                <w:color w:val="auto"/>
                <w:sz w:val="24"/>
              </w:rPr>
              <w:t>九龙卫生院</w:t>
            </w:r>
            <w:r>
              <w:rPr>
                <w:color w:val="auto"/>
                <w:sz w:val="24"/>
              </w:rPr>
              <w:t>所在地附近主要地表水体为</w:t>
            </w:r>
            <w:r>
              <w:rPr>
                <w:rFonts w:hint="eastAsia"/>
                <w:color w:val="auto"/>
                <w:sz w:val="24"/>
              </w:rPr>
              <w:t>东北面4646m的杞麓湖</w:t>
            </w:r>
            <w:r>
              <w:rPr>
                <w:color w:val="auto"/>
                <w:sz w:val="24"/>
                <w:szCs w:val="22"/>
              </w:rPr>
              <w:t>。</w:t>
            </w:r>
            <w:r>
              <w:rPr>
                <w:rFonts w:hint="eastAsia"/>
                <w:color w:val="auto"/>
                <w:sz w:val="24"/>
              </w:rPr>
              <w:t>杨广卫生院</w:t>
            </w:r>
            <w:r>
              <w:rPr>
                <w:color w:val="auto"/>
                <w:sz w:val="24"/>
              </w:rPr>
              <w:t>所在地附近主要地表水体为</w:t>
            </w:r>
            <w:r>
              <w:rPr>
                <w:rFonts w:hint="eastAsia"/>
                <w:color w:val="auto"/>
                <w:sz w:val="24"/>
              </w:rPr>
              <w:t>西北面1568m的杞麓湖。者湾河为杞麓湖入湖河流之一</w:t>
            </w:r>
            <w:r>
              <w:rPr>
                <w:color w:val="auto"/>
                <w:sz w:val="24"/>
              </w:rPr>
              <w:t>根据云南省水利厅2014年5月发布的《云南省水功能区划（2014年修订）》，杞麓湖通海农业、景观、渔业用水区，现状水质为劣Ⅴ类，属中度富营养，2020年水质目标为Ⅳ类，2030年水质目标为Ⅲ类，执行《地表水环境质量标准》（GB3838-2002）中的Ⅲ类水质标准</w:t>
            </w:r>
            <w:r>
              <w:rPr>
                <w:rFonts w:hint="eastAsia"/>
                <w:color w:val="auto"/>
                <w:sz w:val="24"/>
              </w:rPr>
              <w:t>。者湾河为杞麓湖入湖河流，同样执行</w:t>
            </w:r>
            <w:r>
              <w:rPr>
                <w:color w:val="auto"/>
                <w:sz w:val="24"/>
              </w:rPr>
              <w:t>《地表水环境质量标准》（GB3838-2002）中的Ⅲ类水质标准。</w:t>
            </w:r>
          </w:p>
          <w:p w14:paraId="0D49824A">
            <w:pPr>
              <w:pStyle w:val="13"/>
              <w:spacing w:line="360" w:lineRule="auto"/>
              <w:rPr>
                <w:b/>
                <w:color w:val="auto"/>
                <w:sz w:val="24"/>
              </w:rPr>
            </w:pPr>
          </w:p>
          <w:p w14:paraId="16168984">
            <w:pPr>
              <w:pStyle w:val="13"/>
              <w:spacing w:line="360" w:lineRule="auto"/>
              <w:rPr>
                <w:b/>
                <w:color w:val="auto"/>
                <w:sz w:val="24"/>
              </w:rPr>
            </w:pPr>
          </w:p>
          <w:p w14:paraId="72FB34A0">
            <w:pPr>
              <w:pStyle w:val="13"/>
              <w:spacing w:line="360" w:lineRule="auto"/>
              <w:rPr>
                <w:color w:val="auto"/>
                <w:sz w:val="24"/>
              </w:rPr>
            </w:pPr>
            <w:r>
              <w:rPr>
                <w:b/>
                <w:color w:val="auto"/>
                <w:sz w:val="24"/>
              </w:rPr>
              <w:t>表3-</w:t>
            </w:r>
            <w:r>
              <w:rPr>
                <w:rFonts w:hint="eastAsia"/>
                <w:b/>
                <w:color w:val="auto"/>
                <w:sz w:val="24"/>
              </w:rPr>
              <w:t>3</w:t>
            </w:r>
            <w:r>
              <w:rPr>
                <w:b/>
                <w:color w:val="auto"/>
                <w:sz w:val="24"/>
              </w:rPr>
              <w:t>地表水环境质量标准单位：mg/L，pH为无量纲</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4044"/>
              <w:gridCol w:w="2743"/>
            </w:tblGrid>
            <w:tr w14:paraId="67E3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trPr>
              <w:tc>
                <w:tcPr>
                  <w:tcW w:w="1406" w:type="dxa"/>
                  <w:tcBorders>
                    <w:top w:val="single" w:color="auto" w:sz="4" w:space="0"/>
                    <w:left w:val="single" w:color="auto" w:sz="4" w:space="0"/>
                    <w:bottom w:val="single" w:color="auto" w:sz="4" w:space="0"/>
                    <w:right w:val="single" w:color="auto" w:sz="4" w:space="0"/>
                  </w:tcBorders>
                  <w:vAlign w:val="center"/>
                </w:tcPr>
                <w:p w14:paraId="2A1EDB1B">
                  <w:pPr>
                    <w:adjustRightInd w:val="0"/>
                    <w:snapToGrid w:val="0"/>
                    <w:jc w:val="center"/>
                    <w:rPr>
                      <w:b/>
                      <w:color w:val="auto"/>
                      <w:szCs w:val="21"/>
                    </w:rPr>
                  </w:pPr>
                  <w:r>
                    <w:rPr>
                      <w:b/>
                      <w:color w:val="auto"/>
                      <w:kern w:val="0"/>
                      <w:szCs w:val="21"/>
                    </w:rPr>
                    <w:t>序号</w:t>
                  </w:r>
                </w:p>
              </w:tc>
              <w:tc>
                <w:tcPr>
                  <w:tcW w:w="4044" w:type="dxa"/>
                  <w:tcBorders>
                    <w:top w:val="single" w:color="auto" w:sz="4" w:space="0"/>
                    <w:left w:val="single" w:color="auto" w:sz="4" w:space="0"/>
                    <w:bottom w:val="single" w:color="auto" w:sz="4" w:space="0"/>
                    <w:right w:val="single" w:color="auto" w:sz="4" w:space="0"/>
                  </w:tcBorders>
                  <w:vAlign w:val="center"/>
                </w:tcPr>
                <w:p w14:paraId="7CC873BF">
                  <w:pPr>
                    <w:adjustRightInd w:val="0"/>
                    <w:snapToGrid w:val="0"/>
                    <w:jc w:val="center"/>
                    <w:rPr>
                      <w:b/>
                      <w:color w:val="auto"/>
                      <w:szCs w:val="21"/>
                    </w:rPr>
                  </w:pPr>
                  <w:r>
                    <w:rPr>
                      <w:b/>
                      <w:color w:val="auto"/>
                      <w:kern w:val="0"/>
                      <w:szCs w:val="21"/>
                    </w:rPr>
                    <w:t>项目</w:t>
                  </w:r>
                </w:p>
              </w:tc>
              <w:tc>
                <w:tcPr>
                  <w:tcW w:w="2743" w:type="dxa"/>
                  <w:tcBorders>
                    <w:top w:val="single" w:color="auto" w:sz="4" w:space="0"/>
                    <w:left w:val="single" w:color="auto" w:sz="4" w:space="0"/>
                    <w:bottom w:val="single" w:color="auto" w:sz="4" w:space="0"/>
                    <w:right w:val="single" w:color="auto" w:sz="4" w:space="0"/>
                  </w:tcBorders>
                  <w:vAlign w:val="center"/>
                </w:tcPr>
                <w:p w14:paraId="310D5788">
                  <w:pPr>
                    <w:adjustRightInd w:val="0"/>
                    <w:snapToGrid w:val="0"/>
                    <w:jc w:val="center"/>
                    <w:rPr>
                      <w:b/>
                      <w:color w:val="auto"/>
                      <w:szCs w:val="21"/>
                    </w:rPr>
                  </w:pPr>
                  <w:r>
                    <w:rPr>
                      <w:b/>
                      <w:color w:val="auto"/>
                      <w:kern w:val="0"/>
                      <w:szCs w:val="21"/>
                    </w:rPr>
                    <w:t>Ⅲ类标准值</w:t>
                  </w:r>
                </w:p>
              </w:tc>
            </w:tr>
            <w:tr w14:paraId="64B3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67D3027">
                  <w:pPr>
                    <w:adjustRightInd w:val="0"/>
                    <w:snapToGrid w:val="0"/>
                    <w:jc w:val="center"/>
                    <w:rPr>
                      <w:bCs/>
                      <w:color w:val="auto"/>
                      <w:szCs w:val="21"/>
                    </w:rPr>
                  </w:pPr>
                  <w:r>
                    <w:rPr>
                      <w:bCs/>
                      <w:color w:val="auto"/>
                      <w:kern w:val="0"/>
                      <w:szCs w:val="21"/>
                    </w:rPr>
                    <w:t>1</w:t>
                  </w:r>
                </w:p>
              </w:tc>
              <w:tc>
                <w:tcPr>
                  <w:tcW w:w="4044" w:type="dxa"/>
                  <w:tcBorders>
                    <w:top w:val="single" w:color="auto" w:sz="4" w:space="0"/>
                    <w:left w:val="single" w:color="auto" w:sz="4" w:space="0"/>
                    <w:bottom w:val="single" w:color="auto" w:sz="4" w:space="0"/>
                    <w:right w:val="single" w:color="auto" w:sz="4" w:space="0"/>
                  </w:tcBorders>
                  <w:vAlign w:val="center"/>
                </w:tcPr>
                <w:p w14:paraId="2BAD0F94">
                  <w:pPr>
                    <w:widowControl/>
                    <w:adjustRightInd w:val="0"/>
                    <w:snapToGrid w:val="0"/>
                    <w:jc w:val="center"/>
                    <w:rPr>
                      <w:color w:val="auto"/>
                      <w:szCs w:val="21"/>
                    </w:rPr>
                  </w:pPr>
                  <w:r>
                    <w:rPr>
                      <w:color w:val="auto"/>
                      <w:szCs w:val="21"/>
                    </w:rPr>
                    <w:t>pH</w:t>
                  </w:r>
                </w:p>
              </w:tc>
              <w:tc>
                <w:tcPr>
                  <w:tcW w:w="2743" w:type="dxa"/>
                  <w:tcBorders>
                    <w:top w:val="single" w:color="auto" w:sz="4" w:space="0"/>
                    <w:left w:val="single" w:color="auto" w:sz="4" w:space="0"/>
                    <w:bottom w:val="single" w:color="auto" w:sz="4" w:space="0"/>
                    <w:right w:val="single" w:color="auto" w:sz="4" w:space="0"/>
                  </w:tcBorders>
                  <w:vAlign w:val="center"/>
                </w:tcPr>
                <w:p w14:paraId="293B5837">
                  <w:pPr>
                    <w:widowControl/>
                    <w:adjustRightInd w:val="0"/>
                    <w:snapToGrid w:val="0"/>
                    <w:jc w:val="center"/>
                    <w:rPr>
                      <w:color w:val="auto"/>
                      <w:szCs w:val="21"/>
                    </w:rPr>
                  </w:pPr>
                  <w:r>
                    <w:rPr>
                      <w:color w:val="auto"/>
                      <w:szCs w:val="21"/>
                    </w:rPr>
                    <w:t>6～9</w:t>
                  </w:r>
                </w:p>
              </w:tc>
            </w:tr>
            <w:tr w14:paraId="1876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677163C2">
                  <w:pPr>
                    <w:adjustRightInd w:val="0"/>
                    <w:snapToGrid w:val="0"/>
                    <w:jc w:val="center"/>
                    <w:rPr>
                      <w:bCs/>
                      <w:color w:val="auto"/>
                      <w:szCs w:val="21"/>
                    </w:rPr>
                  </w:pPr>
                  <w:r>
                    <w:rPr>
                      <w:bCs/>
                      <w:color w:val="auto"/>
                      <w:kern w:val="0"/>
                      <w:szCs w:val="21"/>
                    </w:rPr>
                    <w:t>2</w:t>
                  </w:r>
                </w:p>
              </w:tc>
              <w:tc>
                <w:tcPr>
                  <w:tcW w:w="4044" w:type="dxa"/>
                  <w:tcBorders>
                    <w:top w:val="single" w:color="auto" w:sz="4" w:space="0"/>
                    <w:left w:val="single" w:color="auto" w:sz="4" w:space="0"/>
                    <w:bottom w:val="single" w:color="auto" w:sz="4" w:space="0"/>
                    <w:right w:val="single" w:color="auto" w:sz="4" w:space="0"/>
                  </w:tcBorders>
                  <w:vAlign w:val="center"/>
                </w:tcPr>
                <w:p w14:paraId="040CEB90">
                  <w:pPr>
                    <w:widowControl/>
                    <w:adjustRightInd w:val="0"/>
                    <w:snapToGrid w:val="0"/>
                    <w:jc w:val="center"/>
                    <w:rPr>
                      <w:color w:val="auto"/>
                      <w:kern w:val="0"/>
                      <w:szCs w:val="21"/>
                    </w:rPr>
                  </w:pPr>
                  <w:r>
                    <w:rPr>
                      <w:color w:val="auto"/>
                      <w:kern w:val="0"/>
                      <w:szCs w:val="21"/>
                    </w:rPr>
                    <w:t>高锰酸盐指数</w:t>
                  </w:r>
                </w:p>
              </w:tc>
              <w:tc>
                <w:tcPr>
                  <w:tcW w:w="2743" w:type="dxa"/>
                  <w:tcBorders>
                    <w:top w:val="single" w:color="auto" w:sz="4" w:space="0"/>
                    <w:left w:val="single" w:color="auto" w:sz="4" w:space="0"/>
                    <w:bottom w:val="single" w:color="auto" w:sz="4" w:space="0"/>
                    <w:right w:val="single" w:color="auto" w:sz="4" w:space="0"/>
                  </w:tcBorders>
                  <w:vAlign w:val="center"/>
                </w:tcPr>
                <w:p w14:paraId="7EB59DDE">
                  <w:pPr>
                    <w:widowControl/>
                    <w:adjustRightInd w:val="0"/>
                    <w:snapToGrid w:val="0"/>
                    <w:jc w:val="center"/>
                    <w:rPr>
                      <w:color w:val="auto"/>
                      <w:szCs w:val="21"/>
                    </w:rPr>
                  </w:pPr>
                  <w:r>
                    <w:rPr>
                      <w:color w:val="auto"/>
                      <w:kern w:val="0"/>
                      <w:szCs w:val="21"/>
                    </w:rPr>
                    <w:t>≤6</w:t>
                  </w:r>
                </w:p>
              </w:tc>
            </w:tr>
            <w:tr w14:paraId="1512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0E926A91">
                  <w:pPr>
                    <w:widowControl/>
                    <w:adjustRightInd w:val="0"/>
                    <w:snapToGrid w:val="0"/>
                    <w:jc w:val="center"/>
                    <w:rPr>
                      <w:color w:val="auto"/>
                      <w:szCs w:val="21"/>
                    </w:rPr>
                  </w:pPr>
                  <w:r>
                    <w:rPr>
                      <w:color w:val="auto"/>
                      <w:kern w:val="0"/>
                      <w:szCs w:val="21"/>
                    </w:rPr>
                    <w:t>3</w:t>
                  </w:r>
                </w:p>
              </w:tc>
              <w:tc>
                <w:tcPr>
                  <w:tcW w:w="4044" w:type="dxa"/>
                  <w:tcBorders>
                    <w:top w:val="single" w:color="auto" w:sz="4" w:space="0"/>
                    <w:left w:val="single" w:color="auto" w:sz="4" w:space="0"/>
                    <w:bottom w:val="single" w:color="auto" w:sz="4" w:space="0"/>
                    <w:right w:val="single" w:color="auto" w:sz="4" w:space="0"/>
                  </w:tcBorders>
                  <w:vAlign w:val="center"/>
                </w:tcPr>
                <w:p w14:paraId="220EE54A">
                  <w:pPr>
                    <w:widowControl/>
                    <w:adjustRightInd w:val="0"/>
                    <w:snapToGrid w:val="0"/>
                    <w:jc w:val="center"/>
                    <w:rPr>
                      <w:color w:val="auto"/>
                      <w:szCs w:val="21"/>
                    </w:rPr>
                  </w:pPr>
                  <w:r>
                    <w:rPr>
                      <w:color w:val="auto"/>
                      <w:szCs w:val="21"/>
                    </w:rPr>
                    <w:t>COD</w:t>
                  </w:r>
                </w:p>
              </w:tc>
              <w:tc>
                <w:tcPr>
                  <w:tcW w:w="2743" w:type="dxa"/>
                  <w:tcBorders>
                    <w:top w:val="single" w:color="auto" w:sz="4" w:space="0"/>
                    <w:left w:val="single" w:color="auto" w:sz="4" w:space="0"/>
                    <w:bottom w:val="single" w:color="auto" w:sz="4" w:space="0"/>
                    <w:right w:val="single" w:color="auto" w:sz="4" w:space="0"/>
                  </w:tcBorders>
                  <w:vAlign w:val="center"/>
                </w:tcPr>
                <w:p w14:paraId="307F0C98">
                  <w:pPr>
                    <w:widowControl/>
                    <w:adjustRightInd w:val="0"/>
                    <w:snapToGrid w:val="0"/>
                    <w:jc w:val="center"/>
                    <w:rPr>
                      <w:color w:val="auto"/>
                      <w:szCs w:val="21"/>
                    </w:rPr>
                  </w:pPr>
                  <w:r>
                    <w:rPr>
                      <w:color w:val="auto"/>
                      <w:kern w:val="0"/>
                      <w:szCs w:val="21"/>
                    </w:rPr>
                    <w:t>≤20</w:t>
                  </w:r>
                </w:p>
              </w:tc>
            </w:tr>
            <w:tr w14:paraId="43EA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201F6F7">
                  <w:pPr>
                    <w:adjustRightInd w:val="0"/>
                    <w:snapToGrid w:val="0"/>
                    <w:jc w:val="center"/>
                    <w:rPr>
                      <w:bCs/>
                      <w:color w:val="auto"/>
                      <w:szCs w:val="21"/>
                    </w:rPr>
                  </w:pPr>
                  <w:r>
                    <w:rPr>
                      <w:bCs/>
                      <w:color w:val="auto"/>
                      <w:kern w:val="0"/>
                      <w:szCs w:val="21"/>
                    </w:rPr>
                    <w:t>4</w:t>
                  </w:r>
                </w:p>
              </w:tc>
              <w:tc>
                <w:tcPr>
                  <w:tcW w:w="4044" w:type="dxa"/>
                  <w:tcBorders>
                    <w:top w:val="single" w:color="auto" w:sz="4" w:space="0"/>
                    <w:left w:val="single" w:color="auto" w:sz="4" w:space="0"/>
                    <w:bottom w:val="single" w:color="auto" w:sz="4" w:space="0"/>
                    <w:right w:val="single" w:color="auto" w:sz="4" w:space="0"/>
                  </w:tcBorders>
                  <w:vAlign w:val="center"/>
                </w:tcPr>
                <w:p w14:paraId="706C1308">
                  <w:pPr>
                    <w:widowControl/>
                    <w:adjustRightInd w:val="0"/>
                    <w:snapToGrid w:val="0"/>
                    <w:jc w:val="center"/>
                    <w:rPr>
                      <w:color w:val="auto"/>
                      <w:szCs w:val="21"/>
                    </w:rPr>
                  </w:pPr>
                  <w:r>
                    <w:rPr>
                      <w:color w:val="auto"/>
                      <w:szCs w:val="21"/>
                    </w:rPr>
                    <w:t>BOD</w:t>
                  </w:r>
                  <w:r>
                    <w:rPr>
                      <w:color w:val="auto"/>
                      <w:szCs w:val="21"/>
                      <w:vertAlign w:val="subscript"/>
                    </w:rPr>
                    <w:t>5</w:t>
                  </w:r>
                </w:p>
              </w:tc>
              <w:tc>
                <w:tcPr>
                  <w:tcW w:w="2743" w:type="dxa"/>
                  <w:tcBorders>
                    <w:top w:val="single" w:color="auto" w:sz="4" w:space="0"/>
                    <w:left w:val="single" w:color="auto" w:sz="4" w:space="0"/>
                    <w:bottom w:val="single" w:color="auto" w:sz="4" w:space="0"/>
                    <w:right w:val="single" w:color="auto" w:sz="4" w:space="0"/>
                  </w:tcBorders>
                  <w:vAlign w:val="center"/>
                </w:tcPr>
                <w:p w14:paraId="7D2307AC">
                  <w:pPr>
                    <w:widowControl/>
                    <w:adjustRightInd w:val="0"/>
                    <w:snapToGrid w:val="0"/>
                    <w:jc w:val="center"/>
                    <w:rPr>
                      <w:color w:val="auto"/>
                      <w:szCs w:val="21"/>
                    </w:rPr>
                  </w:pPr>
                  <w:r>
                    <w:rPr>
                      <w:color w:val="auto"/>
                      <w:kern w:val="0"/>
                      <w:szCs w:val="21"/>
                    </w:rPr>
                    <w:t>≤4</w:t>
                  </w:r>
                </w:p>
              </w:tc>
            </w:tr>
            <w:tr w14:paraId="50B8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0FE7D7B4">
                  <w:pPr>
                    <w:adjustRightInd w:val="0"/>
                    <w:snapToGrid w:val="0"/>
                    <w:jc w:val="center"/>
                    <w:rPr>
                      <w:bCs/>
                      <w:color w:val="auto"/>
                      <w:szCs w:val="21"/>
                    </w:rPr>
                  </w:pPr>
                  <w:r>
                    <w:rPr>
                      <w:bCs/>
                      <w:color w:val="auto"/>
                      <w:kern w:val="0"/>
                      <w:szCs w:val="21"/>
                    </w:rPr>
                    <w:t>5</w:t>
                  </w:r>
                </w:p>
              </w:tc>
              <w:tc>
                <w:tcPr>
                  <w:tcW w:w="4044" w:type="dxa"/>
                  <w:tcBorders>
                    <w:top w:val="single" w:color="auto" w:sz="4" w:space="0"/>
                    <w:left w:val="single" w:color="auto" w:sz="4" w:space="0"/>
                    <w:bottom w:val="single" w:color="auto" w:sz="4" w:space="0"/>
                    <w:right w:val="single" w:color="auto" w:sz="4" w:space="0"/>
                  </w:tcBorders>
                  <w:vAlign w:val="center"/>
                </w:tcPr>
                <w:p w14:paraId="4C4AD607">
                  <w:pPr>
                    <w:adjustRightInd w:val="0"/>
                    <w:snapToGrid w:val="0"/>
                    <w:jc w:val="center"/>
                    <w:rPr>
                      <w:color w:val="auto"/>
                      <w:szCs w:val="21"/>
                    </w:rPr>
                  </w:pPr>
                  <w:r>
                    <w:rPr>
                      <w:color w:val="auto"/>
                      <w:szCs w:val="21"/>
                    </w:rPr>
                    <w:t>总磷（以P计）</w:t>
                  </w:r>
                </w:p>
              </w:tc>
              <w:tc>
                <w:tcPr>
                  <w:tcW w:w="2743" w:type="dxa"/>
                  <w:tcBorders>
                    <w:top w:val="single" w:color="auto" w:sz="4" w:space="0"/>
                    <w:left w:val="single" w:color="auto" w:sz="4" w:space="0"/>
                    <w:bottom w:val="single" w:color="auto" w:sz="4" w:space="0"/>
                    <w:right w:val="single" w:color="auto" w:sz="4" w:space="0"/>
                  </w:tcBorders>
                  <w:vAlign w:val="center"/>
                </w:tcPr>
                <w:p w14:paraId="6E01A8E0">
                  <w:pPr>
                    <w:adjustRightInd w:val="0"/>
                    <w:snapToGrid w:val="0"/>
                    <w:jc w:val="center"/>
                    <w:rPr>
                      <w:color w:val="auto"/>
                      <w:szCs w:val="21"/>
                    </w:rPr>
                  </w:pPr>
                  <w:r>
                    <w:rPr>
                      <w:color w:val="auto"/>
                      <w:kern w:val="0"/>
                      <w:szCs w:val="21"/>
                    </w:rPr>
                    <w:t>≤</w:t>
                  </w:r>
                  <w:r>
                    <w:rPr>
                      <w:color w:val="auto"/>
                      <w:szCs w:val="21"/>
                    </w:rPr>
                    <w:t>0.2（湖、库0.05）</w:t>
                  </w:r>
                </w:p>
              </w:tc>
            </w:tr>
            <w:tr w14:paraId="04C5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5319C968">
                  <w:pPr>
                    <w:adjustRightInd w:val="0"/>
                    <w:snapToGrid w:val="0"/>
                    <w:jc w:val="center"/>
                    <w:rPr>
                      <w:bCs/>
                      <w:color w:val="auto"/>
                      <w:szCs w:val="21"/>
                    </w:rPr>
                  </w:pPr>
                  <w:r>
                    <w:rPr>
                      <w:bCs/>
                      <w:color w:val="auto"/>
                      <w:kern w:val="0"/>
                      <w:szCs w:val="21"/>
                    </w:rPr>
                    <w:t>6</w:t>
                  </w:r>
                </w:p>
              </w:tc>
              <w:tc>
                <w:tcPr>
                  <w:tcW w:w="4044" w:type="dxa"/>
                  <w:tcBorders>
                    <w:top w:val="single" w:color="auto" w:sz="4" w:space="0"/>
                    <w:left w:val="single" w:color="auto" w:sz="4" w:space="0"/>
                    <w:bottom w:val="single" w:color="auto" w:sz="4" w:space="0"/>
                    <w:right w:val="single" w:color="auto" w:sz="4" w:space="0"/>
                  </w:tcBorders>
                  <w:vAlign w:val="center"/>
                </w:tcPr>
                <w:p w14:paraId="1F508D6D">
                  <w:pPr>
                    <w:widowControl/>
                    <w:adjustRightInd w:val="0"/>
                    <w:snapToGrid w:val="0"/>
                    <w:jc w:val="center"/>
                    <w:rPr>
                      <w:color w:val="auto"/>
                      <w:szCs w:val="21"/>
                    </w:rPr>
                  </w:pPr>
                  <w:r>
                    <w:rPr>
                      <w:color w:val="auto"/>
                      <w:szCs w:val="21"/>
                    </w:rPr>
                    <w:t>总氮（湖、库，以N计）</w:t>
                  </w:r>
                </w:p>
              </w:tc>
              <w:tc>
                <w:tcPr>
                  <w:tcW w:w="2743" w:type="dxa"/>
                  <w:tcBorders>
                    <w:top w:val="single" w:color="auto" w:sz="4" w:space="0"/>
                    <w:left w:val="single" w:color="auto" w:sz="4" w:space="0"/>
                    <w:bottom w:val="single" w:color="auto" w:sz="4" w:space="0"/>
                    <w:right w:val="single" w:color="auto" w:sz="4" w:space="0"/>
                  </w:tcBorders>
                  <w:vAlign w:val="center"/>
                </w:tcPr>
                <w:p w14:paraId="704E3EA0">
                  <w:pPr>
                    <w:widowControl/>
                    <w:adjustRightInd w:val="0"/>
                    <w:snapToGrid w:val="0"/>
                    <w:jc w:val="center"/>
                    <w:rPr>
                      <w:color w:val="auto"/>
                      <w:szCs w:val="21"/>
                    </w:rPr>
                  </w:pPr>
                  <w:r>
                    <w:rPr>
                      <w:color w:val="auto"/>
                      <w:kern w:val="0"/>
                      <w:szCs w:val="21"/>
                    </w:rPr>
                    <w:t>≤1.0</w:t>
                  </w:r>
                </w:p>
              </w:tc>
            </w:tr>
            <w:tr w14:paraId="07DF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4946DD3">
                  <w:pPr>
                    <w:adjustRightInd w:val="0"/>
                    <w:snapToGrid w:val="0"/>
                    <w:jc w:val="center"/>
                    <w:rPr>
                      <w:color w:val="auto"/>
                      <w:szCs w:val="21"/>
                    </w:rPr>
                  </w:pPr>
                  <w:r>
                    <w:rPr>
                      <w:color w:val="auto"/>
                      <w:kern w:val="0"/>
                      <w:szCs w:val="21"/>
                    </w:rPr>
                    <w:t>7</w:t>
                  </w:r>
                </w:p>
              </w:tc>
              <w:tc>
                <w:tcPr>
                  <w:tcW w:w="4044" w:type="dxa"/>
                  <w:tcBorders>
                    <w:top w:val="single" w:color="auto" w:sz="4" w:space="0"/>
                    <w:left w:val="single" w:color="auto" w:sz="4" w:space="0"/>
                    <w:bottom w:val="single" w:color="auto" w:sz="4" w:space="0"/>
                    <w:right w:val="single" w:color="auto" w:sz="4" w:space="0"/>
                  </w:tcBorders>
                  <w:vAlign w:val="center"/>
                </w:tcPr>
                <w:p w14:paraId="6D45F4A4">
                  <w:pPr>
                    <w:adjustRightInd w:val="0"/>
                    <w:snapToGrid w:val="0"/>
                    <w:jc w:val="center"/>
                    <w:rPr>
                      <w:color w:val="auto"/>
                      <w:szCs w:val="21"/>
                    </w:rPr>
                  </w:pPr>
                  <w:r>
                    <w:rPr>
                      <w:color w:val="auto"/>
                      <w:kern w:val="0"/>
                      <w:szCs w:val="21"/>
                    </w:rPr>
                    <w:t>铜</w:t>
                  </w:r>
                </w:p>
              </w:tc>
              <w:tc>
                <w:tcPr>
                  <w:tcW w:w="2743" w:type="dxa"/>
                  <w:tcBorders>
                    <w:top w:val="single" w:color="auto" w:sz="4" w:space="0"/>
                    <w:left w:val="single" w:color="auto" w:sz="4" w:space="0"/>
                    <w:bottom w:val="single" w:color="auto" w:sz="4" w:space="0"/>
                    <w:right w:val="single" w:color="auto" w:sz="4" w:space="0"/>
                  </w:tcBorders>
                  <w:vAlign w:val="center"/>
                </w:tcPr>
                <w:p w14:paraId="2FC7323D">
                  <w:pPr>
                    <w:adjustRightInd w:val="0"/>
                    <w:snapToGrid w:val="0"/>
                    <w:jc w:val="center"/>
                    <w:rPr>
                      <w:color w:val="auto"/>
                      <w:szCs w:val="21"/>
                    </w:rPr>
                  </w:pPr>
                  <w:r>
                    <w:rPr>
                      <w:color w:val="auto"/>
                      <w:kern w:val="0"/>
                      <w:szCs w:val="21"/>
                    </w:rPr>
                    <w:t>≤1.0</w:t>
                  </w:r>
                </w:p>
              </w:tc>
            </w:tr>
            <w:tr w14:paraId="30C2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34E44DF">
                  <w:pPr>
                    <w:adjustRightInd w:val="0"/>
                    <w:snapToGrid w:val="0"/>
                    <w:jc w:val="center"/>
                    <w:rPr>
                      <w:color w:val="auto"/>
                      <w:kern w:val="0"/>
                      <w:szCs w:val="21"/>
                    </w:rPr>
                  </w:pPr>
                  <w:r>
                    <w:rPr>
                      <w:color w:val="auto"/>
                      <w:kern w:val="0"/>
                      <w:szCs w:val="21"/>
                    </w:rPr>
                    <w:t>8</w:t>
                  </w:r>
                </w:p>
              </w:tc>
              <w:tc>
                <w:tcPr>
                  <w:tcW w:w="4044" w:type="dxa"/>
                  <w:tcBorders>
                    <w:top w:val="single" w:color="auto" w:sz="4" w:space="0"/>
                    <w:left w:val="single" w:color="auto" w:sz="4" w:space="0"/>
                    <w:bottom w:val="single" w:color="auto" w:sz="4" w:space="0"/>
                    <w:right w:val="single" w:color="auto" w:sz="4" w:space="0"/>
                  </w:tcBorders>
                  <w:vAlign w:val="center"/>
                </w:tcPr>
                <w:p w14:paraId="3CB4CD65">
                  <w:pPr>
                    <w:adjustRightInd w:val="0"/>
                    <w:snapToGrid w:val="0"/>
                    <w:jc w:val="center"/>
                    <w:rPr>
                      <w:color w:val="auto"/>
                      <w:kern w:val="0"/>
                      <w:szCs w:val="21"/>
                    </w:rPr>
                  </w:pPr>
                  <w:r>
                    <w:rPr>
                      <w:color w:val="auto"/>
                      <w:kern w:val="0"/>
                      <w:szCs w:val="21"/>
                    </w:rPr>
                    <w:t>锌</w:t>
                  </w:r>
                </w:p>
              </w:tc>
              <w:tc>
                <w:tcPr>
                  <w:tcW w:w="2743" w:type="dxa"/>
                  <w:tcBorders>
                    <w:top w:val="single" w:color="auto" w:sz="4" w:space="0"/>
                    <w:left w:val="single" w:color="auto" w:sz="4" w:space="0"/>
                    <w:bottom w:val="single" w:color="auto" w:sz="4" w:space="0"/>
                    <w:right w:val="single" w:color="auto" w:sz="4" w:space="0"/>
                  </w:tcBorders>
                  <w:vAlign w:val="center"/>
                </w:tcPr>
                <w:p w14:paraId="7F385FDF">
                  <w:pPr>
                    <w:adjustRightInd w:val="0"/>
                    <w:snapToGrid w:val="0"/>
                    <w:jc w:val="center"/>
                    <w:rPr>
                      <w:color w:val="auto"/>
                      <w:kern w:val="0"/>
                      <w:szCs w:val="21"/>
                    </w:rPr>
                  </w:pPr>
                  <w:r>
                    <w:rPr>
                      <w:color w:val="auto"/>
                      <w:kern w:val="0"/>
                      <w:szCs w:val="21"/>
                    </w:rPr>
                    <w:t>≤1.0</w:t>
                  </w:r>
                </w:p>
              </w:tc>
            </w:tr>
            <w:tr w14:paraId="4D3B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42E8B254">
                  <w:pPr>
                    <w:adjustRightInd w:val="0"/>
                    <w:snapToGrid w:val="0"/>
                    <w:jc w:val="center"/>
                    <w:rPr>
                      <w:color w:val="auto"/>
                      <w:kern w:val="0"/>
                      <w:szCs w:val="21"/>
                    </w:rPr>
                  </w:pPr>
                  <w:r>
                    <w:rPr>
                      <w:color w:val="auto"/>
                      <w:kern w:val="0"/>
                      <w:szCs w:val="21"/>
                    </w:rPr>
                    <w:t>9</w:t>
                  </w:r>
                </w:p>
              </w:tc>
              <w:tc>
                <w:tcPr>
                  <w:tcW w:w="4044" w:type="dxa"/>
                  <w:tcBorders>
                    <w:top w:val="single" w:color="auto" w:sz="4" w:space="0"/>
                    <w:left w:val="single" w:color="auto" w:sz="4" w:space="0"/>
                    <w:bottom w:val="single" w:color="auto" w:sz="4" w:space="0"/>
                    <w:right w:val="single" w:color="auto" w:sz="4" w:space="0"/>
                  </w:tcBorders>
                  <w:vAlign w:val="center"/>
                </w:tcPr>
                <w:p w14:paraId="740E1C86">
                  <w:pPr>
                    <w:adjustRightInd w:val="0"/>
                    <w:snapToGrid w:val="0"/>
                    <w:jc w:val="center"/>
                    <w:rPr>
                      <w:color w:val="auto"/>
                      <w:kern w:val="0"/>
                      <w:szCs w:val="21"/>
                    </w:rPr>
                  </w:pPr>
                  <w:r>
                    <w:rPr>
                      <w:color w:val="auto"/>
                      <w:kern w:val="0"/>
                      <w:szCs w:val="21"/>
                    </w:rPr>
                    <w:t>铅</w:t>
                  </w:r>
                </w:p>
              </w:tc>
              <w:tc>
                <w:tcPr>
                  <w:tcW w:w="2743" w:type="dxa"/>
                  <w:tcBorders>
                    <w:top w:val="single" w:color="auto" w:sz="4" w:space="0"/>
                    <w:left w:val="single" w:color="auto" w:sz="4" w:space="0"/>
                    <w:bottom w:val="single" w:color="auto" w:sz="4" w:space="0"/>
                    <w:right w:val="single" w:color="auto" w:sz="4" w:space="0"/>
                  </w:tcBorders>
                  <w:vAlign w:val="center"/>
                </w:tcPr>
                <w:p w14:paraId="5C6942FB">
                  <w:pPr>
                    <w:adjustRightInd w:val="0"/>
                    <w:snapToGrid w:val="0"/>
                    <w:jc w:val="center"/>
                    <w:rPr>
                      <w:color w:val="auto"/>
                      <w:kern w:val="0"/>
                      <w:szCs w:val="21"/>
                    </w:rPr>
                  </w:pPr>
                  <w:r>
                    <w:rPr>
                      <w:color w:val="auto"/>
                      <w:kern w:val="0"/>
                      <w:szCs w:val="21"/>
                    </w:rPr>
                    <w:t>≤0.05</w:t>
                  </w:r>
                </w:p>
              </w:tc>
            </w:tr>
            <w:tr w14:paraId="23E2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7BB3CD20">
                  <w:pPr>
                    <w:adjustRightInd w:val="0"/>
                    <w:snapToGrid w:val="0"/>
                    <w:jc w:val="center"/>
                    <w:rPr>
                      <w:color w:val="auto"/>
                      <w:kern w:val="0"/>
                      <w:szCs w:val="21"/>
                    </w:rPr>
                  </w:pPr>
                  <w:r>
                    <w:rPr>
                      <w:color w:val="auto"/>
                      <w:kern w:val="0"/>
                      <w:szCs w:val="21"/>
                    </w:rPr>
                    <w:t>10</w:t>
                  </w:r>
                </w:p>
              </w:tc>
              <w:tc>
                <w:tcPr>
                  <w:tcW w:w="4044" w:type="dxa"/>
                  <w:tcBorders>
                    <w:top w:val="single" w:color="auto" w:sz="4" w:space="0"/>
                    <w:left w:val="single" w:color="auto" w:sz="4" w:space="0"/>
                    <w:bottom w:val="single" w:color="auto" w:sz="4" w:space="0"/>
                    <w:right w:val="single" w:color="auto" w:sz="4" w:space="0"/>
                  </w:tcBorders>
                  <w:vAlign w:val="center"/>
                </w:tcPr>
                <w:p w14:paraId="3BD13F95">
                  <w:pPr>
                    <w:adjustRightInd w:val="0"/>
                    <w:snapToGrid w:val="0"/>
                    <w:jc w:val="center"/>
                    <w:rPr>
                      <w:color w:val="auto"/>
                      <w:kern w:val="0"/>
                      <w:szCs w:val="21"/>
                    </w:rPr>
                  </w:pPr>
                  <w:r>
                    <w:rPr>
                      <w:color w:val="auto"/>
                      <w:kern w:val="0"/>
                      <w:szCs w:val="21"/>
                    </w:rPr>
                    <w:t>砷</w:t>
                  </w:r>
                </w:p>
              </w:tc>
              <w:tc>
                <w:tcPr>
                  <w:tcW w:w="2743" w:type="dxa"/>
                  <w:tcBorders>
                    <w:top w:val="single" w:color="auto" w:sz="4" w:space="0"/>
                    <w:left w:val="single" w:color="auto" w:sz="4" w:space="0"/>
                    <w:bottom w:val="single" w:color="auto" w:sz="4" w:space="0"/>
                    <w:right w:val="single" w:color="auto" w:sz="4" w:space="0"/>
                  </w:tcBorders>
                  <w:vAlign w:val="center"/>
                </w:tcPr>
                <w:p w14:paraId="658113D0">
                  <w:pPr>
                    <w:adjustRightInd w:val="0"/>
                    <w:snapToGrid w:val="0"/>
                    <w:jc w:val="center"/>
                    <w:rPr>
                      <w:color w:val="auto"/>
                      <w:kern w:val="0"/>
                      <w:szCs w:val="21"/>
                    </w:rPr>
                  </w:pPr>
                  <w:r>
                    <w:rPr>
                      <w:color w:val="auto"/>
                      <w:kern w:val="0"/>
                      <w:szCs w:val="21"/>
                    </w:rPr>
                    <w:t>≤0.05</w:t>
                  </w:r>
                </w:p>
              </w:tc>
            </w:tr>
            <w:tr w14:paraId="5E0C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312DAF70">
                  <w:pPr>
                    <w:adjustRightInd w:val="0"/>
                    <w:snapToGrid w:val="0"/>
                    <w:jc w:val="center"/>
                    <w:rPr>
                      <w:color w:val="auto"/>
                      <w:kern w:val="0"/>
                      <w:szCs w:val="21"/>
                    </w:rPr>
                  </w:pPr>
                  <w:r>
                    <w:rPr>
                      <w:color w:val="auto"/>
                      <w:kern w:val="0"/>
                      <w:szCs w:val="21"/>
                    </w:rPr>
                    <w:t>11</w:t>
                  </w:r>
                </w:p>
              </w:tc>
              <w:tc>
                <w:tcPr>
                  <w:tcW w:w="4044" w:type="dxa"/>
                  <w:tcBorders>
                    <w:top w:val="single" w:color="auto" w:sz="4" w:space="0"/>
                    <w:left w:val="single" w:color="auto" w:sz="4" w:space="0"/>
                    <w:bottom w:val="single" w:color="auto" w:sz="4" w:space="0"/>
                    <w:right w:val="single" w:color="auto" w:sz="4" w:space="0"/>
                  </w:tcBorders>
                  <w:vAlign w:val="center"/>
                </w:tcPr>
                <w:p w14:paraId="40B03826">
                  <w:pPr>
                    <w:adjustRightInd w:val="0"/>
                    <w:snapToGrid w:val="0"/>
                    <w:jc w:val="center"/>
                    <w:rPr>
                      <w:color w:val="auto"/>
                      <w:kern w:val="0"/>
                      <w:szCs w:val="21"/>
                    </w:rPr>
                  </w:pPr>
                  <w:r>
                    <w:rPr>
                      <w:color w:val="auto"/>
                      <w:kern w:val="0"/>
                      <w:szCs w:val="21"/>
                    </w:rPr>
                    <w:t>镉</w:t>
                  </w:r>
                </w:p>
              </w:tc>
              <w:tc>
                <w:tcPr>
                  <w:tcW w:w="2743" w:type="dxa"/>
                  <w:tcBorders>
                    <w:top w:val="single" w:color="auto" w:sz="4" w:space="0"/>
                    <w:left w:val="single" w:color="auto" w:sz="4" w:space="0"/>
                    <w:bottom w:val="single" w:color="auto" w:sz="4" w:space="0"/>
                    <w:right w:val="single" w:color="auto" w:sz="4" w:space="0"/>
                  </w:tcBorders>
                  <w:vAlign w:val="center"/>
                </w:tcPr>
                <w:p w14:paraId="4366E930">
                  <w:pPr>
                    <w:widowControl/>
                    <w:adjustRightInd w:val="0"/>
                    <w:snapToGrid w:val="0"/>
                    <w:jc w:val="center"/>
                    <w:rPr>
                      <w:color w:val="auto"/>
                      <w:kern w:val="0"/>
                      <w:szCs w:val="21"/>
                    </w:rPr>
                  </w:pPr>
                  <w:r>
                    <w:rPr>
                      <w:color w:val="auto"/>
                      <w:kern w:val="0"/>
                      <w:szCs w:val="21"/>
                    </w:rPr>
                    <w:t>≤0.005</w:t>
                  </w:r>
                </w:p>
              </w:tc>
            </w:tr>
            <w:tr w14:paraId="5F7F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923B656">
                  <w:pPr>
                    <w:adjustRightInd w:val="0"/>
                    <w:snapToGrid w:val="0"/>
                    <w:jc w:val="center"/>
                    <w:rPr>
                      <w:color w:val="auto"/>
                      <w:kern w:val="0"/>
                      <w:szCs w:val="21"/>
                    </w:rPr>
                  </w:pPr>
                  <w:r>
                    <w:rPr>
                      <w:color w:val="auto"/>
                      <w:kern w:val="0"/>
                      <w:szCs w:val="21"/>
                    </w:rPr>
                    <w:t>12</w:t>
                  </w:r>
                </w:p>
              </w:tc>
              <w:tc>
                <w:tcPr>
                  <w:tcW w:w="4044" w:type="dxa"/>
                  <w:tcBorders>
                    <w:top w:val="single" w:color="auto" w:sz="4" w:space="0"/>
                    <w:left w:val="single" w:color="auto" w:sz="4" w:space="0"/>
                    <w:bottom w:val="single" w:color="auto" w:sz="4" w:space="0"/>
                    <w:right w:val="single" w:color="auto" w:sz="4" w:space="0"/>
                  </w:tcBorders>
                  <w:vAlign w:val="center"/>
                </w:tcPr>
                <w:p w14:paraId="5A16C4D4">
                  <w:pPr>
                    <w:adjustRightInd w:val="0"/>
                    <w:snapToGrid w:val="0"/>
                    <w:jc w:val="center"/>
                    <w:rPr>
                      <w:color w:val="auto"/>
                      <w:kern w:val="0"/>
                      <w:szCs w:val="21"/>
                    </w:rPr>
                  </w:pPr>
                  <w:r>
                    <w:rPr>
                      <w:color w:val="auto"/>
                      <w:kern w:val="0"/>
                      <w:szCs w:val="21"/>
                    </w:rPr>
                    <w:t>汞</w:t>
                  </w:r>
                </w:p>
              </w:tc>
              <w:tc>
                <w:tcPr>
                  <w:tcW w:w="2743" w:type="dxa"/>
                  <w:tcBorders>
                    <w:top w:val="single" w:color="auto" w:sz="4" w:space="0"/>
                    <w:left w:val="single" w:color="auto" w:sz="4" w:space="0"/>
                    <w:bottom w:val="single" w:color="auto" w:sz="4" w:space="0"/>
                    <w:right w:val="single" w:color="auto" w:sz="4" w:space="0"/>
                  </w:tcBorders>
                  <w:vAlign w:val="center"/>
                </w:tcPr>
                <w:p w14:paraId="3689CCB6">
                  <w:pPr>
                    <w:adjustRightInd w:val="0"/>
                    <w:snapToGrid w:val="0"/>
                    <w:jc w:val="center"/>
                    <w:rPr>
                      <w:color w:val="auto"/>
                      <w:kern w:val="0"/>
                      <w:szCs w:val="21"/>
                    </w:rPr>
                  </w:pPr>
                  <w:r>
                    <w:rPr>
                      <w:color w:val="auto"/>
                      <w:kern w:val="0"/>
                      <w:szCs w:val="21"/>
                    </w:rPr>
                    <w:t>≤0.0001</w:t>
                  </w:r>
                </w:p>
              </w:tc>
            </w:tr>
            <w:tr w14:paraId="4CE5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E8DDECA">
                  <w:pPr>
                    <w:adjustRightInd w:val="0"/>
                    <w:snapToGrid w:val="0"/>
                    <w:jc w:val="center"/>
                    <w:rPr>
                      <w:color w:val="auto"/>
                      <w:kern w:val="0"/>
                      <w:szCs w:val="21"/>
                    </w:rPr>
                  </w:pPr>
                  <w:r>
                    <w:rPr>
                      <w:color w:val="auto"/>
                      <w:kern w:val="0"/>
                      <w:szCs w:val="21"/>
                    </w:rPr>
                    <w:t>13</w:t>
                  </w:r>
                </w:p>
              </w:tc>
              <w:tc>
                <w:tcPr>
                  <w:tcW w:w="4044" w:type="dxa"/>
                  <w:tcBorders>
                    <w:top w:val="single" w:color="auto" w:sz="4" w:space="0"/>
                    <w:left w:val="single" w:color="auto" w:sz="4" w:space="0"/>
                    <w:bottom w:val="single" w:color="auto" w:sz="4" w:space="0"/>
                    <w:right w:val="single" w:color="auto" w:sz="4" w:space="0"/>
                  </w:tcBorders>
                  <w:vAlign w:val="center"/>
                </w:tcPr>
                <w:p w14:paraId="13A8C141">
                  <w:pPr>
                    <w:adjustRightInd w:val="0"/>
                    <w:snapToGrid w:val="0"/>
                    <w:jc w:val="center"/>
                    <w:rPr>
                      <w:color w:val="auto"/>
                      <w:kern w:val="0"/>
                      <w:szCs w:val="21"/>
                    </w:rPr>
                  </w:pPr>
                  <w:r>
                    <w:rPr>
                      <w:color w:val="auto"/>
                      <w:kern w:val="0"/>
                      <w:szCs w:val="21"/>
                    </w:rPr>
                    <w:t>六价铬</w:t>
                  </w:r>
                </w:p>
              </w:tc>
              <w:tc>
                <w:tcPr>
                  <w:tcW w:w="2743" w:type="dxa"/>
                  <w:tcBorders>
                    <w:top w:val="single" w:color="auto" w:sz="4" w:space="0"/>
                    <w:left w:val="single" w:color="auto" w:sz="4" w:space="0"/>
                    <w:bottom w:val="single" w:color="auto" w:sz="4" w:space="0"/>
                    <w:right w:val="single" w:color="auto" w:sz="4" w:space="0"/>
                  </w:tcBorders>
                  <w:vAlign w:val="center"/>
                </w:tcPr>
                <w:p w14:paraId="4C0A943C">
                  <w:pPr>
                    <w:adjustRightInd w:val="0"/>
                    <w:snapToGrid w:val="0"/>
                    <w:jc w:val="center"/>
                    <w:rPr>
                      <w:color w:val="auto"/>
                      <w:kern w:val="0"/>
                      <w:szCs w:val="21"/>
                    </w:rPr>
                  </w:pPr>
                  <w:r>
                    <w:rPr>
                      <w:color w:val="auto"/>
                      <w:kern w:val="0"/>
                      <w:szCs w:val="21"/>
                    </w:rPr>
                    <w:t>≤0.05</w:t>
                  </w:r>
                </w:p>
              </w:tc>
            </w:tr>
            <w:tr w14:paraId="1EDD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DBC02F8">
                  <w:pPr>
                    <w:adjustRightInd w:val="0"/>
                    <w:snapToGrid w:val="0"/>
                    <w:jc w:val="center"/>
                    <w:rPr>
                      <w:color w:val="auto"/>
                      <w:kern w:val="0"/>
                      <w:szCs w:val="21"/>
                    </w:rPr>
                  </w:pPr>
                  <w:r>
                    <w:rPr>
                      <w:color w:val="auto"/>
                      <w:kern w:val="0"/>
                      <w:szCs w:val="21"/>
                    </w:rPr>
                    <w:t>14</w:t>
                  </w:r>
                </w:p>
              </w:tc>
              <w:tc>
                <w:tcPr>
                  <w:tcW w:w="4044" w:type="dxa"/>
                  <w:tcBorders>
                    <w:top w:val="single" w:color="auto" w:sz="4" w:space="0"/>
                    <w:left w:val="single" w:color="auto" w:sz="4" w:space="0"/>
                    <w:bottom w:val="single" w:color="auto" w:sz="4" w:space="0"/>
                    <w:right w:val="single" w:color="auto" w:sz="4" w:space="0"/>
                  </w:tcBorders>
                  <w:vAlign w:val="center"/>
                </w:tcPr>
                <w:p w14:paraId="50CAAAAD">
                  <w:pPr>
                    <w:adjustRightInd w:val="0"/>
                    <w:snapToGrid w:val="0"/>
                    <w:jc w:val="center"/>
                    <w:rPr>
                      <w:color w:val="auto"/>
                      <w:kern w:val="0"/>
                      <w:szCs w:val="21"/>
                    </w:rPr>
                  </w:pPr>
                  <w:r>
                    <w:rPr>
                      <w:color w:val="auto"/>
                      <w:kern w:val="0"/>
                      <w:szCs w:val="21"/>
                    </w:rPr>
                    <w:t>石油类</w:t>
                  </w:r>
                </w:p>
              </w:tc>
              <w:tc>
                <w:tcPr>
                  <w:tcW w:w="2743" w:type="dxa"/>
                  <w:tcBorders>
                    <w:top w:val="single" w:color="auto" w:sz="4" w:space="0"/>
                    <w:left w:val="single" w:color="auto" w:sz="4" w:space="0"/>
                    <w:bottom w:val="single" w:color="auto" w:sz="4" w:space="0"/>
                    <w:right w:val="single" w:color="auto" w:sz="4" w:space="0"/>
                  </w:tcBorders>
                  <w:vAlign w:val="center"/>
                </w:tcPr>
                <w:p w14:paraId="0A028CBD">
                  <w:pPr>
                    <w:adjustRightInd w:val="0"/>
                    <w:snapToGrid w:val="0"/>
                    <w:jc w:val="center"/>
                    <w:rPr>
                      <w:color w:val="auto"/>
                      <w:kern w:val="0"/>
                      <w:szCs w:val="21"/>
                    </w:rPr>
                  </w:pPr>
                  <w:r>
                    <w:rPr>
                      <w:color w:val="auto"/>
                      <w:kern w:val="0"/>
                      <w:szCs w:val="21"/>
                    </w:rPr>
                    <w:t>≤0.05</w:t>
                  </w:r>
                </w:p>
              </w:tc>
            </w:tr>
            <w:tr w14:paraId="5B47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3EE62528">
                  <w:pPr>
                    <w:adjustRightInd w:val="0"/>
                    <w:snapToGrid w:val="0"/>
                    <w:jc w:val="center"/>
                    <w:rPr>
                      <w:color w:val="auto"/>
                      <w:kern w:val="0"/>
                      <w:szCs w:val="21"/>
                    </w:rPr>
                  </w:pPr>
                  <w:r>
                    <w:rPr>
                      <w:color w:val="auto"/>
                      <w:kern w:val="0"/>
                      <w:szCs w:val="21"/>
                    </w:rPr>
                    <w:t>15</w:t>
                  </w:r>
                </w:p>
              </w:tc>
              <w:tc>
                <w:tcPr>
                  <w:tcW w:w="4044" w:type="dxa"/>
                  <w:tcBorders>
                    <w:top w:val="single" w:color="auto" w:sz="4" w:space="0"/>
                    <w:left w:val="single" w:color="auto" w:sz="4" w:space="0"/>
                    <w:bottom w:val="single" w:color="auto" w:sz="4" w:space="0"/>
                    <w:right w:val="single" w:color="auto" w:sz="4" w:space="0"/>
                  </w:tcBorders>
                  <w:vAlign w:val="center"/>
                </w:tcPr>
                <w:p w14:paraId="1E2C51FD">
                  <w:pPr>
                    <w:adjustRightInd w:val="0"/>
                    <w:snapToGrid w:val="0"/>
                    <w:jc w:val="center"/>
                    <w:rPr>
                      <w:color w:val="auto"/>
                      <w:kern w:val="0"/>
                      <w:szCs w:val="21"/>
                    </w:rPr>
                  </w:pPr>
                  <w:r>
                    <w:rPr>
                      <w:color w:val="auto"/>
                      <w:kern w:val="0"/>
                      <w:szCs w:val="21"/>
                    </w:rPr>
                    <w:t>硫化物</w:t>
                  </w:r>
                </w:p>
              </w:tc>
              <w:tc>
                <w:tcPr>
                  <w:tcW w:w="2743" w:type="dxa"/>
                  <w:tcBorders>
                    <w:top w:val="single" w:color="auto" w:sz="4" w:space="0"/>
                    <w:left w:val="single" w:color="auto" w:sz="4" w:space="0"/>
                    <w:bottom w:val="single" w:color="auto" w:sz="4" w:space="0"/>
                    <w:right w:val="single" w:color="auto" w:sz="4" w:space="0"/>
                  </w:tcBorders>
                  <w:vAlign w:val="center"/>
                </w:tcPr>
                <w:p w14:paraId="25522450">
                  <w:pPr>
                    <w:adjustRightInd w:val="0"/>
                    <w:snapToGrid w:val="0"/>
                    <w:jc w:val="center"/>
                    <w:rPr>
                      <w:color w:val="auto"/>
                      <w:kern w:val="0"/>
                      <w:szCs w:val="21"/>
                    </w:rPr>
                  </w:pPr>
                  <w:r>
                    <w:rPr>
                      <w:color w:val="auto"/>
                      <w:kern w:val="0"/>
                      <w:szCs w:val="21"/>
                    </w:rPr>
                    <w:t>≤0.2</w:t>
                  </w:r>
                </w:p>
              </w:tc>
            </w:tr>
            <w:tr w14:paraId="3676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6EF1E9C5">
                  <w:pPr>
                    <w:adjustRightInd w:val="0"/>
                    <w:snapToGrid w:val="0"/>
                    <w:jc w:val="center"/>
                    <w:rPr>
                      <w:color w:val="auto"/>
                      <w:kern w:val="0"/>
                      <w:szCs w:val="21"/>
                    </w:rPr>
                  </w:pPr>
                  <w:r>
                    <w:rPr>
                      <w:color w:val="auto"/>
                      <w:kern w:val="0"/>
                      <w:szCs w:val="21"/>
                    </w:rPr>
                    <w:t>16</w:t>
                  </w:r>
                </w:p>
              </w:tc>
              <w:tc>
                <w:tcPr>
                  <w:tcW w:w="4044" w:type="dxa"/>
                  <w:tcBorders>
                    <w:top w:val="single" w:color="auto" w:sz="4" w:space="0"/>
                    <w:left w:val="single" w:color="auto" w:sz="4" w:space="0"/>
                    <w:bottom w:val="single" w:color="auto" w:sz="4" w:space="0"/>
                    <w:right w:val="single" w:color="auto" w:sz="4" w:space="0"/>
                  </w:tcBorders>
                  <w:vAlign w:val="center"/>
                </w:tcPr>
                <w:p w14:paraId="51A22DB1">
                  <w:pPr>
                    <w:adjustRightInd w:val="0"/>
                    <w:snapToGrid w:val="0"/>
                    <w:jc w:val="center"/>
                    <w:rPr>
                      <w:color w:val="auto"/>
                      <w:kern w:val="0"/>
                      <w:szCs w:val="21"/>
                    </w:rPr>
                  </w:pPr>
                  <w:r>
                    <w:rPr>
                      <w:color w:val="auto"/>
                      <w:kern w:val="0"/>
                      <w:szCs w:val="21"/>
                    </w:rPr>
                    <w:t>溶解氧</w:t>
                  </w:r>
                </w:p>
              </w:tc>
              <w:tc>
                <w:tcPr>
                  <w:tcW w:w="2743" w:type="dxa"/>
                  <w:tcBorders>
                    <w:top w:val="single" w:color="auto" w:sz="4" w:space="0"/>
                    <w:left w:val="single" w:color="auto" w:sz="4" w:space="0"/>
                    <w:bottom w:val="single" w:color="auto" w:sz="4" w:space="0"/>
                    <w:right w:val="single" w:color="auto" w:sz="4" w:space="0"/>
                  </w:tcBorders>
                  <w:vAlign w:val="center"/>
                </w:tcPr>
                <w:p w14:paraId="55BFB458">
                  <w:pPr>
                    <w:adjustRightInd w:val="0"/>
                    <w:snapToGrid w:val="0"/>
                    <w:jc w:val="center"/>
                    <w:rPr>
                      <w:color w:val="auto"/>
                      <w:kern w:val="0"/>
                      <w:szCs w:val="21"/>
                    </w:rPr>
                  </w:pPr>
                  <w:r>
                    <w:rPr>
                      <w:color w:val="auto"/>
                      <w:kern w:val="0"/>
                      <w:szCs w:val="21"/>
                    </w:rPr>
                    <w:t>≥5</w:t>
                  </w:r>
                </w:p>
              </w:tc>
            </w:tr>
            <w:tr w14:paraId="6CB8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794E0522">
                  <w:pPr>
                    <w:adjustRightInd w:val="0"/>
                    <w:snapToGrid w:val="0"/>
                    <w:jc w:val="center"/>
                    <w:rPr>
                      <w:color w:val="auto"/>
                      <w:kern w:val="0"/>
                      <w:szCs w:val="21"/>
                    </w:rPr>
                  </w:pPr>
                  <w:r>
                    <w:rPr>
                      <w:color w:val="auto"/>
                      <w:kern w:val="0"/>
                      <w:szCs w:val="21"/>
                    </w:rPr>
                    <w:t>17</w:t>
                  </w:r>
                </w:p>
              </w:tc>
              <w:tc>
                <w:tcPr>
                  <w:tcW w:w="4044" w:type="dxa"/>
                  <w:tcBorders>
                    <w:top w:val="single" w:color="auto" w:sz="4" w:space="0"/>
                    <w:left w:val="single" w:color="auto" w:sz="4" w:space="0"/>
                    <w:bottom w:val="single" w:color="auto" w:sz="4" w:space="0"/>
                    <w:right w:val="single" w:color="auto" w:sz="4" w:space="0"/>
                  </w:tcBorders>
                  <w:vAlign w:val="center"/>
                </w:tcPr>
                <w:p w14:paraId="4127EC54">
                  <w:pPr>
                    <w:adjustRightInd w:val="0"/>
                    <w:snapToGrid w:val="0"/>
                    <w:jc w:val="center"/>
                    <w:rPr>
                      <w:color w:val="auto"/>
                      <w:kern w:val="0"/>
                      <w:szCs w:val="21"/>
                    </w:rPr>
                  </w:pPr>
                  <w:r>
                    <w:rPr>
                      <w:color w:val="auto"/>
                      <w:kern w:val="0"/>
                      <w:szCs w:val="21"/>
                    </w:rPr>
                    <w:t>挥发酚</w:t>
                  </w:r>
                </w:p>
              </w:tc>
              <w:tc>
                <w:tcPr>
                  <w:tcW w:w="2743" w:type="dxa"/>
                  <w:tcBorders>
                    <w:top w:val="single" w:color="auto" w:sz="4" w:space="0"/>
                    <w:left w:val="single" w:color="auto" w:sz="4" w:space="0"/>
                    <w:bottom w:val="single" w:color="auto" w:sz="4" w:space="0"/>
                    <w:right w:val="single" w:color="auto" w:sz="4" w:space="0"/>
                  </w:tcBorders>
                  <w:vAlign w:val="center"/>
                </w:tcPr>
                <w:p w14:paraId="33A21979">
                  <w:pPr>
                    <w:adjustRightInd w:val="0"/>
                    <w:snapToGrid w:val="0"/>
                    <w:jc w:val="center"/>
                    <w:rPr>
                      <w:color w:val="auto"/>
                      <w:kern w:val="0"/>
                      <w:szCs w:val="21"/>
                    </w:rPr>
                  </w:pPr>
                  <w:r>
                    <w:rPr>
                      <w:color w:val="auto"/>
                      <w:kern w:val="0"/>
                      <w:szCs w:val="21"/>
                    </w:rPr>
                    <w:t>≤0.005</w:t>
                  </w:r>
                </w:p>
              </w:tc>
            </w:tr>
            <w:tr w14:paraId="2D8B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6C7D52E0">
                  <w:pPr>
                    <w:adjustRightInd w:val="0"/>
                    <w:snapToGrid w:val="0"/>
                    <w:jc w:val="center"/>
                    <w:rPr>
                      <w:color w:val="auto"/>
                      <w:kern w:val="0"/>
                      <w:szCs w:val="21"/>
                    </w:rPr>
                  </w:pPr>
                  <w:r>
                    <w:rPr>
                      <w:color w:val="auto"/>
                      <w:kern w:val="0"/>
                      <w:szCs w:val="21"/>
                    </w:rPr>
                    <w:t>18</w:t>
                  </w:r>
                </w:p>
              </w:tc>
              <w:tc>
                <w:tcPr>
                  <w:tcW w:w="4044" w:type="dxa"/>
                  <w:tcBorders>
                    <w:top w:val="single" w:color="auto" w:sz="4" w:space="0"/>
                    <w:left w:val="single" w:color="auto" w:sz="4" w:space="0"/>
                    <w:bottom w:val="single" w:color="auto" w:sz="4" w:space="0"/>
                    <w:right w:val="single" w:color="auto" w:sz="4" w:space="0"/>
                  </w:tcBorders>
                  <w:vAlign w:val="center"/>
                </w:tcPr>
                <w:p w14:paraId="1EE13E5C">
                  <w:pPr>
                    <w:adjustRightInd w:val="0"/>
                    <w:snapToGrid w:val="0"/>
                    <w:jc w:val="center"/>
                    <w:rPr>
                      <w:color w:val="auto"/>
                      <w:kern w:val="0"/>
                      <w:szCs w:val="21"/>
                    </w:rPr>
                  </w:pPr>
                  <w:r>
                    <w:rPr>
                      <w:color w:val="auto"/>
                      <w:kern w:val="0"/>
                      <w:szCs w:val="21"/>
                    </w:rPr>
                    <w:t>氨氮</w:t>
                  </w:r>
                </w:p>
              </w:tc>
              <w:tc>
                <w:tcPr>
                  <w:tcW w:w="2743" w:type="dxa"/>
                  <w:tcBorders>
                    <w:top w:val="single" w:color="auto" w:sz="4" w:space="0"/>
                    <w:left w:val="single" w:color="auto" w:sz="4" w:space="0"/>
                    <w:bottom w:val="single" w:color="auto" w:sz="4" w:space="0"/>
                    <w:right w:val="single" w:color="auto" w:sz="4" w:space="0"/>
                  </w:tcBorders>
                  <w:vAlign w:val="center"/>
                </w:tcPr>
                <w:p w14:paraId="422200F3">
                  <w:pPr>
                    <w:adjustRightInd w:val="0"/>
                    <w:snapToGrid w:val="0"/>
                    <w:jc w:val="center"/>
                    <w:rPr>
                      <w:color w:val="auto"/>
                      <w:kern w:val="0"/>
                      <w:szCs w:val="21"/>
                    </w:rPr>
                  </w:pPr>
                  <w:r>
                    <w:rPr>
                      <w:color w:val="auto"/>
                      <w:kern w:val="0"/>
                      <w:szCs w:val="21"/>
                    </w:rPr>
                    <w:t>≤1.0</w:t>
                  </w:r>
                </w:p>
              </w:tc>
            </w:tr>
            <w:tr w14:paraId="14EA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531FE04D">
                  <w:pPr>
                    <w:adjustRightInd w:val="0"/>
                    <w:snapToGrid w:val="0"/>
                    <w:jc w:val="center"/>
                    <w:rPr>
                      <w:color w:val="auto"/>
                      <w:kern w:val="0"/>
                      <w:szCs w:val="21"/>
                    </w:rPr>
                  </w:pPr>
                  <w:r>
                    <w:rPr>
                      <w:color w:val="auto"/>
                      <w:kern w:val="0"/>
                      <w:szCs w:val="21"/>
                    </w:rPr>
                    <w:t>19</w:t>
                  </w:r>
                </w:p>
              </w:tc>
              <w:tc>
                <w:tcPr>
                  <w:tcW w:w="4044" w:type="dxa"/>
                  <w:tcBorders>
                    <w:top w:val="single" w:color="auto" w:sz="4" w:space="0"/>
                    <w:left w:val="single" w:color="auto" w:sz="4" w:space="0"/>
                    <w:bottom w:val="single" w:color="auto" w:sz="4" w:space="0"/>
                    <w:right w:val="single" w:color="auto" w:sz="4" w:space="0"/>
                  </w:tcBorders>
                  <w:vAlign w:val="center"/>
                </w:tcPr>
                <w:p w14:paraId="08ECD4D3">
                  <w:pPr>
                    <w:adjustRightInd w:val="0"/>
                    <w:snapToGrid w:val="0"/>
                    <w:jc w:val="center"/>
                    <w:rPr>
                      <w:color w:val="auto"/>
                      <w:kern w:val="0"/>
                      <w:szCs w:val="21"/>
                    </w:rPr>
                  </w:pPr>
                  <w:r>
                    <w:rPr>
                      <w:color w:val="auto"/>
                      <w:kern w:val="0"/>
                      <w:szCs w:val="21"/>
                    </w:rPr>
                    <w:t>阴离子表面活性剂</w:t>
                  </w:r>
                </w:p>
              </w:tc>
              <w:tc>
                <w:tcPr>
                  <w:tcW w:w="2743" w:type="dxa"/>
                  <w:tcBorders>
                    <w:top w:val="single" w:color="auto" w:sz="4" w:space="0"/>
                    <w:left w:val="single" w:color="auto" w:sz="4" w:space="0"/>
                    <w:bottom w:val="single" w:color="auto" w:sz="4" w:space="0"/>
                    <w:right w:val="single" w:color="auto" w:sz="4" w:space="0"/>
                  </w:tcBorders>
                  <w:vAlign w:val="center"/>
                </w:tcPr>
                <w:p w14:paraId="00AD56E2">
                  <w:pPr>
                    <w:adjustRightInd w:val="0"/>
                    <w:snapToGrid w:val="0"/>
                    <w:jc w:val="center"/>
                    <w:rPr>
                      <w:color w:val="auto"/>
                      <w:kern w:val="0"/>
                      <w:szCs w:val="21"/>
                    </w:rPr>
                  </w:pPr>
                  <w:r>
                    <w:rPr>
                      <w:color w:val="auto"/>
                      <w:kern w:val="0"/>
                      <w:szCs w:val="21"/>
                    </w:rPr>
                    <w:t>≤0.2</w:t>
                  </w:r>
                </w:p>
              </w:tc>
            </w:tr>
            <w:tr w14:paraId="27BA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0CE2ACB2">
                  <w:pPr>
                    <w:adjustRightInd w:val="0"/>
                    <w:snapToGrid w:val="0"/>
                    <w:jc w:val="center"/>
                    <w:rPr>
                      <w:color w:val="auto"/>
                      <w:kern w:val="0"/>
                      <w:szCs w:val="21"/>
                    </w:rPr>
                  </w:pPr>
                  <w:r>
                    <w:rPr>
                      <w:color w:val="auto"/>
                      <w:kern w:val="0"/>
                      <w:szCs w:val="21"/>
                    </w:rPr>
                    <w:t>20</w:t>
                  </w:r>
                </w:p>
              </w:tc>
              <w:tc>
                <w:tcPr>
                  <w:tcW w:w="4044" w:type="dxa"/>
                  <w:tcBorders>
                    <w:top w:val="single" w:color="auto" w:sz="4" w:space="0"/>
                    <w:left w:val="single" w:color="auto" w:sz="4" w:space="0"/>
                    <w:bottom w:val="single" w:color="auto" w:sz="4" w:space="0"/>
                    <w:right w:val="single" w:color="auto" w:sz="4" w:space="0"/>
                  </w:tcBorders>
                  <w:vAlign w:val="center"/>
                </w:tcPr>
                <w:p w14:paraId="6F07DFC5">
                  <w:pPr>
                    <w:adjustRightInd w:val="0"/>
                    <w:snapToGrid w:val="0"/>
                    <w:jc w:val="center"/>
                    <w:rPr>
                      <w:color w:val="auto"/>
                      <w:kern w:val="0"/>
                      <w:szCs w:val="21"/>
                    </w:rPr>
                  </w:pPr>
                  <w:r>
                    <w:rPr>
                      <w:color w:val="auto"/>
                      <w:kern w:val="0"/>
                      <w:szCs w:val="21"/>
                    </w:rPr>
                    <w:t>粪大肠菌群</w:t>
                  </w:r>
                  <w:r>
                    <w:rPr>
                      <w:color w:val="auto"/>
                      <w:szCs w:val="21"/>
                    </w:rPr>
                    <w:t>（个／L）</w:t>
                  </w:r>
                </w:p>
              </w:tc>
              <w:tc>
                <w:tcPr>
                  <w:tcW w:w="2743" w:type="dxa"/>
                  <w:tcBorders>
                    <w:top w:val="single" w:color="auto" w:sz="4" w:space="0"/>
                    <w:left w:val="single" w:color="auto" w:sz="4" w:space="0"/>
                    <w:bottom w:val="single" w:color="auto" w:sz="4" w:space="0"/>
                    <w:right w:val="single" w:color="auto" w:sz="4" w:space="0"/>
                  </w:tcBorders>
                  <w:vAlign w:val="center"/>
                </w:tcPr>
                <w:p w14:paraId="1C208C7B">
                  <w:pPr>
                    <w:widowControl/>
                    <w:adjustRightInd w:val="0"/>
                    <w:snapToGrid w:val="0"/>
                    <w:jc w:val="center"/>
                    <w:rPr>
                      <w:color w:val="auto"/>
                      <w:kern w:val="0"/>
                      <w:szCs w:val="21"/>
                    </w:rPr>
                  </w:pPr>
                  <w:r>
                    <w:rPr>
                      <w:color w:val="auto"/>
                      <w:kern w:val="0"/>
                      <w:szCs w:val="21"/>
                    </w:rPr>
                    <w:t>≤10000</w:t>
                  </w:r>
                </w:p>
              </w:tc>
            </w:tr>
            <w:tr w14:paraId="5088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6F629F2">
                  <w:pPr>
                    <w:adjustRightInd w:val="0"/>
                    <w:snapToGrid w:val="0"/>
                    <w:jc w:val="center"/>
                    <w:rPr>
                      <w:color w:val="auto"/>
                      <w:kern w:val="0"/>
                      <w:szCs w:val="21"/>
                    </w:rPr>
                  </w:pPr>
                  <w:r>
                    <w:rPr>
                      <w:color w:val="auto"/>
                      <w:kern w:val="0"/>
                      <w:szCs w:val="21"/>
                    </w:rPr>
                    <w:t>21</w:t>
                  </w:r>
                </w:p>
              </w:tc>
              <w:tc>
                <w:tcPr>
                  <w:tcW w:w="4044" w:type="dxa"/>
                  <w:tcBorders>
                    <w:top w:val="single" w:color="auto" w:sz="4" w:space="0"/>
                    <w:left w:val="single" w:color="auto" w:sz="4" w:space="0"/>
                    <w:bottom w:val="single" w:color="auto" w:sz="4" w:space="0"/>
                    <w:right w:val="single" w:color="auto" w:sz="4" w:space="0"/>
                  </w:tcBorders>
                  <w:vAlign w:val="center"/>
                </w:tcPr>
                <w:p w14:paraId="4CB3F052">
                  <w:pPr>
                    <w:adjustRightInd w:val="0"/>
                    <w:snapToGrid w:val="0"/>
                    <w:jc w:val="center"/>
                    <w:rPr>
                      <w:color w:val="auto"/>
                      <w:kern w:val="0"/>
                      <w:szCs w:val="21"/>
                    </w:rPr>
                  </w:pPr>
                  <w:r>
                    <w:rPr>
                      <w:color w:val="auto"/>
                      <w:szCs w:val="21"/>
                    </w:rPr>
                    <w:t>锰*</w:t>
                  </w:r>
                </w:p>
              </w:tc>
              <w:tc>
                <w:tcPr>
                  <w:tcW w:w="2743" w:type="dxa"/>
                  <w:tcBorders>
                    <w:top w:val="single" w:color="auto" w:sz="4" w:space="0"/>
                    <w:left w:val="single" w:color="auto" w:sz="4" w:space="0"/>
                    <w:bottom w:val="single" w:color="auto" w:sz="4" w:space="0"/>
                    <w:right w:val="single" w:color="auto" w:sz="4" w:space="0"/>
                  </w:tcBorders>
                  <w:vAlign w:val="center"/>
                </w:tcPr>
                <w:p w14:paraId="2E17579A">
                  <w:pPr>
                    <w:widowControl/>
                    <w:adjustRightInd w:val="0"/>
                    <w:snapToGrid w:val="0"/>
                    <w:jc w:val="center"/>
                    <w:rPr>
                      <w:color w:val="auto"/>
                      <w:kern w:val="0"/>
                      <w:szCs w:val="21"/>
                    </w:rPr>
                  </w:pPr>
                  <w:r>
                    <w:rPr>
                      <w:color w:val="auto"/>
                      <w:kern w:val="0"/>
                      <w:szCs w:val="21"/>
                    </w:rPr>
                    <w:t>≤0.1</w:t>
                  </w:r>
                </w:p>
              </w:tc>
            </w:tr>
            <w:tr w14:paraId="5FF8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D95FF7E">
                  <w:pPr>
                    <w:adjustRightInd w:val="0"/>
                    <w:snapToGrid w:val="0"/>
                    <w:jc w:val="center"/>
                    <w:rPr>
                      <w:color w:val="auto"/>
                      <w:kern w:val="0"/>
                      <w:szCs w:val="21"/>
                    </w:rPr>
                  </w:pPr>
                  <w:r>
                    <w:rPr>
                      <w:color w:val="auto"/>
                      <w:kern w:val="0"/>
                      <w:szCs w:val="21"/>
                    </w:rPr>
                    <w:t>22</w:t>
                  </w:r>
                </w:p>
              </w:tc>
              <w:tc>
                <w:tcPr>
                  <w:tcW w:w="4044" w:type="dxa"/>
                  <w:tcBorders>
                    <w:top w:val="single" w:color="auto" w:sz="4" w:space="0"/>
                    <w:left w:val="single" w:color="auto" w:sz="4" w:space="0"/>
                    <w:bottom w:val="single" w:color="auto" w:sz="4" w:space="0"/>
                    <w:right w:val="single" w:color="auto" w:sz="4" w:space="0"/>
                  </w:tcBorders>
                  <w:vAlign w:val="center"/>
                </w:tcPr>
                <w:p w14:paraId="1E77407E">
                  <w:pPr>
                    <w:adjustRightInd w:val="0"/>
                    <w:snapToGrid w:val="0"/>
                    <w:jc w:val="center"/>
                    <w:rPr>
                      <w:color w:val="auto"/>
                      <w:kern w:val="0"/>
                      <w:szCs w:val="21"/>
                    </w:rPr>
                  </w:pPr>
                  <w:r>
                    <w:rPr>
                      <w:color w:val="auto"/>
                      <w:szCs w:val="21"/>
                    </w:rPr>
                    <w:t>铁*</w:t>
                  </w:r>
                </w:p>
              </w:tc>
              <w:tc>
                <w:tcPr>
                  <w:tcW w:w="2743" w:type="dxa"/>
                  <w:tcBorders>
                    <w:top w:val="single" w:color="auto" w:sz="4" w:space="0"/>
                    <w:left w:val="single" w:color="auto" w:sz="4" w:space="0"/>
                    <w:bottom w:val="single" w:color="auto" w:sz="4" w:space="0"/>
                    <w:right w:val="single" w:color="auto" w:sz="4" w:space="0"/>
                  </w:tcBorders>
                  <w:vAlign w:val="center"/>
                </w:tcPr>
                <w:p w14:paraId="5FF1F2B2">
                  <w:pPr>
                    <w:widowControl/>
                    <w:adjustRightInd w:val="0"/>
                    <w:snapToGrid w:val="0"/>
                    <w:jc w:val="center"/>
                    <w:rPr>
                      <w:color w:val="auto"/>
                      <w:kern w:val="0"/>
                      <w:szCs w:val="21"/>
                    </w:rPr>
                  </w:pPr>
                  <w:r>
                    <w:rPr>
                      <w:color w:val="auto"/>
                      <w:kern w:val="0"/>
                      <w:szCs w:val="21"/>
                    </w:rPr>
                    <w:t>≤0.3</w:t>
                  </w:r>
                </w:p>
              </w:tc>
            </w:tr>
            <w:tr w14:paraId="1F56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59FDCB27">
                  <w:pPr>
                    <w:adjustRightInd w:val="0"/>
                    <w:snapToGrid w:val="0"/>
                    <w:jc w:val="center"/>
                    <w:rPr>
                      <w:color w:val="auto"/>
                      <w:kern w:val="0"/>
                      <w:szCs w:val="21"/>
                    </w:rPr>
                  </w:pPr>
                  <w:r>
                    <w:rPr>
                      <w:color w:val="auto"/>
                      <w:kern w:val="0"/>
                      <w:szCs w:val="21"/>
                    </w:rPr>
                    <w:t>23</w:t>
                  </w:r>
                </w:p>
              </w:tc>
              <w:tc>
                <w:tcPr>
                  <w:tcW w:w="4044" w:type="dxa"/>
                  <w:tcBorders>
                    <w:top w:val="single" w:color="auto" w:sz="4" w:space="0"/>
                    <w:left w:val="single" w:color="auto" w:sz="4" w:space="0"/>
                    <w:bottom w:val="single" w:color="auto" w:sz="4" w:space="0"/>
                    <w:right w:val="single" w:color="auto" w:sz="4" w:space="0"/>
                  </w:tcBorders>
                  <w:vAlign w:val="center"/>
                </w:tcPr>
                <w:p w14:paraId="78678589">
                  <w:pPr>
                    <w:adjustRightInd w:val="0"/>
                    <w:snapToGrid w:val="0"/>
                    <w:jc w:val="center"/>
                    <w:rPr>
                      <w:color w:val="auto"/>
                      <w:szCs w:val="21"/>
                    </w:rPr>
                  </w:pPr>
                  <w:r>
                    <w:rPr>
                      <w:color w:val="auto"/>
                      <w:szCs w:val="21"/>
                    </w:rPr>
                    <w:t>氟化物</w:t>
                  </w:r>
                </w:p>
              </w:tc>
              <w:tc>
                <w:tcPr>
                  <w:tcW w:w="2743" w:type="dxa"/>
                  <w:tcBorders>
                    <w:top w:val="single" w:color="auto" w:sz="4" w:space="0"/>
                    <w:left w:val="single" w:color="auto" w:sz="4" w:space="0"/>
                    <w:bottom w:val="single" w:color="auto" w:sz="4" w:space="0"/>
                    <w:right w:val="single" w:color="auto" w:sz="4" w:space="0"/>
                  </w:tcBorders>
                  <w:vAlign w:val="center"/>
                </w:tcPr>
                <w:p w14:paraId="367AC7F7">
                  <w:pPr>
                    <w:widowControl/>
                    <w:adjustRightInd w:val="0"/>
                    <w:snapToGrid w:val="0"/>
                    <w:jc w:val="center"/>
                    <w:rPr>
                      <w:color w:val="auto"/>
                      <w:kern w:val="0"/>
                      <w:szCs w:val="21"/>
                    </w:rPr>
                  </w:pPr>
                  <w:r>
                    <w:rPr>
                      <w:color w:val="auto"/>
                      <w:kern w:val="0"/>
                      <w:szCs w:val="21"/>
                    </w:rPr>
                    <w:t>≤1.0</w:t>
                  </w:r>
                </w:p>
              </w:tc>
            </w:tr>
          </w:tbl>
          <w:p w14:paraId="44CFD832">
            <w:pPr>
              <w:spacing w:line="360" w:lineRule="auto"/>
              <w:rPr>
                <w:color w:val="auto"/>
                <w:szCs w:val="21"/>
              </w:rPr>
            </w:pPr>
            <w:r>
              <w:rPr>
                <w:color w:val="auto"/>
                <w:szCs w:val="21"/>
              </w:rPr>
              <w:t>注：*铁、锰标准限值来自集中式生活饮用水地表水源地补充项目标准限值。</w:t>
            </w:r>
          </w:p>
          <w:p w14:paraId="74A5E26F">
            <w:pPr>
              <w:pStyle w:val="109"/>
              <w:adjustRightInd/>
              <w:spacing w:line="360" w:lineRule="auto"/>
              <w:ind w:left="105" w:leftChars="5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（2）地表水质量现状</w:t>
            </w:r>
          </w:p>
          <w:p w14:paraId="1AECA839">
            <w:pPr>
              <w:pStyle w:val="109"/>
              <w:adjustRightInd/>
              <w:spacing w:line="360" w:lineRule="auto"/>
              <w:ind w:firstLine="480" w:firstLineChars="200"/>
              <w:jc w:val="left"/>
              <w:rPr>
                <w:rFonts w:ascii="Times New Roman" w:hAnsi="Times New Roman" w:cs="Times New Roman"/>
                <w:bCs/>
                <w:color w:val="auto"/>
                <w:sz w:val="24"/>
                <w:szCs w:val="24"/>
              </w:rPr>
            </w:pPr>
            <w:r>
              <w:rPr>
                <w:rFonts w:hint="eastAsia" w:ascii="宋体" w:hAnsi="宋体" w:cs="宋体"/>
                <w:bCs/>
                <w:color w:val="auto"/>
                <w:sz w:val="24"/>
                <w:szCs w:val="24"/>
              </w:rPr>
              <w:t>①杞麓湖水环境质量现状</w:t>
            </w:r>
          </w:p>
          <w:p w14:paraId="03FE5BC4">
            <w:pPr>
              <w:pStyle w:val="109"/>
              <w:adjustRightInd/>
              <w:spacing w:line="360" w:lineRule="auto"/>
              <w:ind w:firstLine="480" w:firstLineChars="200"/>
              <w:jc w:val="left"/>
              <w:rPr>
                <w:rFonts w:ascii="Times New Roman" w:hAnsi="Times New Roman" w:cs="Times New Roman"/>
                <w:bCs/>
                <w:color w:val="auto"/>
                <w:sz w:val="24"/>
                <w:szCs w:val="24"/>
              </w:rPr>
            </w:pPr>
            <w:r>
              <w:rPr>
                <w:rFonts w:hint="eastAsia" w:ascii="Times New Roman" w:hAnsi="Times New Roman" w:cs="Times New Roman"/>
                <w:bCs/>
                <w:color w:val="auto"/>
                <w:sz w:val="24"/>
                <w:szCs w:val="24"/>
              </w:rPr>
              <w:t>根据云南省生态环境厅公开发布的《九大高原湖泊水质监测月报》中2023年1月～12月湖泊水质评价结果可知</w:t>
            </w:r>
            <w:r>
              <w:rPr>
                <w:rFonts w:ascii="Times New Roman" w:hAnsi="Times New Roman" w:cs="Times New Roman"/>
                <w:bCs/>
                <w:color w:val="auto"/>
                <w:sz w:val="24"/>
                <w:szCs w:val="24"/>
              </w:rPr>
              <w:t>，</w:t>
            </w:r>
            <w:bookmarkStart w:id="57" w:name="_Hlk192511043"/>
            <w:r>
              <w:rPr>
                <w:rFonts w:ascii="Times New Roman" w:hAnsi="Times New Roman" w:cs="Times New Roman"/>
                <w:bCs/>
                <w:color w:val="auto"/>
                <w:sz w:val="24"/>
                <w:szCs w:val="24"/>
              </w:rPr>
              <w:t>2023年杞麓湖水质类别为</w:t>
            </w:r>
            <w:r>
              <w:rPr>
                <w:rFonts w:hint="eastAsia" w:ascii="Times New Roman" w:hAnsi="Times New Roman" w:cs="Times New Roman"/>
                <w:bCs/>
                <w:color w:val="auto"/>
                <w:sz w:val="24"/>
                <w:szCs w:val="24"/>
              </w:rPr>
              <w:t>V类～</w:t>
            </w:r>
            <w:r>
              <w:rPr>
                <w:rFonts w:ascii="Times New Roman" w:hAnsi="Times New Roman" w:cs="Times New Roman"/>
                <w:bCs/>
                <w:color w:val="auto"/>
                <w:sz w:val="24"/>
                <w:szCs w:val="24"/>
              </w:rPr>
              <w:t>劣Ⅴ类，不满足水环境功能区划要求（Ⅲ类）。</w:t>
            </w:r>
            <w:r>
              <w:rPr>
                <w:rFonts w:hint="eastAsia" w:ascii="Times New Roman" w:hAnsi="Times New Roman" w:cs="Times New Roman"/>
                <w:bCs/>
                <w:color w:val="auto"/>
                <w:sz w:val="24"/>
                <w:szCs w:val="24"/>
              </w:rPr>
              <w:t>因此，</w:t>
            </w:r>
            <w:r>
              <w:rPr>
                <w:rFonts w:ascii="Times New Roman" w:hAnsi="Times New Roman" w:cs="Times New Roman"/>
                <w:bCs/>
                <w:color w:val="auto"/>
                <w:sz w:val="24"/>
                <w:szCs w:val="24"/>
              </w:rPr>
              <w:t>杞麓湖现状水质不能满足《地表水环境质量标准》（GB3838-2002）中的Ⅲ类水质标准</w:t>
            </w:r>
            <w:r>
              <w:rPr>
                <w:rFonts w:hint="eastAsia" w:ascii="Times New Roman" w:hAnsi="Times New Roman" w:cs="Times New Roman"/>
                <w:bCs/>
                <w:color w:val="auto"/>
                <w:sz w:val="24"/>
                <w:szCs w:val="24"/>
              </w:rPr>
              <w:t>，</w:t>
            </w:r>
            <w:r>
              <w:rPr>
                <w:rFonts w:ascii="Times New Roman" w:hAnsi="Times New Roman" w:cs="Times New Roman"/>
                <w:bCs/>
                <w:color w:val="auto"/>
                <w:sz w:val="24"/>
                <w:szCs w:val="24"/>
              </w:rPr>
              <w:t>该区域没有水环境容量</w:t>
            </w:r>
            <w:r>
              <w:rPr>
                <w:rFonts w:hint="eastAsia" w:ascii="Times New Roman" w:hAnsi="Times New Roman" w:cs="Times New Roman"/>
                <w:bCs/>
                <w:color w:val="auto"/>
                <w:sz w:val="24"/>
                <w:szCs w:val="24"/>
              </w:rPr>
              <w:t>。</w:t>
            </w:r>
          </w:p>
          <w:p w14:paraId="50132580">
            <w:pPr>
              <w:pStyle w:val="109"/>
              <w:adjustRightInd/>
              <w:spacing w:line="360" w:lineRule="auto"/>
              <w:ind w:firstLine="480" w:firstLineChars="200"/>
              <w:jc w:val="left"/>
              <w:rPr>
                <w:rFonts w:ascii="Times New Roman" w:hAnsi="Times New Roman" w:cs="Times New Roman"/>
                <w:bCs/>
                <w:color w:val="auto"/>
                <w:sz w:val="24"/>
                <w:szCs w:val="24"/>
              </w:rPr>
            </w:pPr>
            <w:r>
              <w:rPr>
                <w:rFonts w:hint="eastAsia" w:ascii="宋体" w:hAnsi="宋体" w:cs="宋体"/>
                <w:bCs/>
                <w:color w:val="auto"/>
                <w:sz w:val="24"/>
                <w:szCs w:val="24"/>
              </w:rPr>
              <w:t>②</w:t>
            </w:r>
            <w:r>
              <w:rPr>
                <w:rFonts w:hint="eastAsia"/>
                <w:color w:val="auto"/>
                <w:sz w:val="24"/>
              </w:rPr>
              <w:t>者湾河</w:t>
            </w:r>
            <w:r>
              <w:rPr>
                <w:rFonts w:hint="eastAsia" w:ascii="宋体" w:hAnsi="宋体" w:cs="宋体"/>
                <w:bCs/>
                <w:color w:val="auto"/>
                <w:sz w:val="24"/>
                <w:szCs w:val="24"/>
              </w:rPr>
              <w:t>水环境质量现状</w:t>
            </w:r>
          </w:p>
          <w:p w14:paraId="09927B4A">
            <w:pPr>
              <w:pStyle w:val="15"/>
              <w:spacing w:after="0" w:line="360" w:lineRule="auto"/>
              <w:ind w:left="0" w:leftChars="0" w:firstLine="480" w:firstLineChars="200"/>
              <w:rPr>
                <w:color w:val="auto"/>
              </w:rPr>
            </w:pPr>
            <w:r>
              <w:rPr>
                <w:color w:val="auto"/>
              </w:rPr>
              <w:t>根据</w:t>
            </w:r>
            <w:bookmarkStart w:id="58" w:name="_Hlk192511019"/>
            <w:r>
              <w:rPr>
                <w:color w:val="auto"/>
              </w:rPr>
              <w:t>云南省生态环境厅公开发布的《九大高原湖泊水质监测月报》中 202</w:t>
            </w:r>
            <w:r>
              <w:rPr>
                <w:rFonts w:hint="eastAsia"/>
                <w:color w:val="auto"/>
              </w:rPr>
              <w:t>3</w:t>
            </w:r>
            <w:r>
              <w:rPr>
                <w:color w:val="auto"/>
              </w:rPr>
              <w:t>年1月～12月</w:t>
            </w:r>
            <w:r>
              <w:rPr>
                <w:rFonts w:hint="eastAsia"/>
                <w:color w:val="auto"/>
              </w:rPr>
              <w:t>入湖河流</w:t>
            </w:r>
            <w:r>
              <w:rPr>
                <w:color w:val="auto"/>
              </w:rPr>
              <w:t>水质评价结果</w:t>
            </w:r>
            <w:bookmarkEnd w:id="58"/>
            <w:r>
              <w:rPr>
                <w:color w:val="auto"/>
              </w:rPr>
              <w:t>可知，</w:t>
            </w:r>
            <w:r>
              <w:rPr>
                <w:rFonts w:hint="eastAsia"/>
                <w:color w:val="auto"/>
              </w:rPr>
              <w:t>者湾河</w:t>
            </w:r>
            <w:r>
              <w:rPr>
                <w:color w:val="auto"/>
              </w:rPr>
              <w:t>水质为</w:t>
            </w:r>
            <w:r>
              <w:rPr>
                <w:rFonts w:hint="eastAsia"/>
                <w:color w:val="auto"/>
                <w:kern w:val="24"/>
              </w:rPr>
              <w:t>V类～</w:t>
            </w:r>
            <w:r>
              <w:rPr>
                <w:color w:val="auto"/>
                <w:kern w:val="24"/>
              </w:rPr>
              <w:t>劣Ⅴ类</w:t>
            </w:r>
            <w:r>
              <w:rPr>
                <w:rFonts w:hint="eastAsia"/>
                <w:color w:val="auto"/>
                <w:kern w:val="24"/>
              </w:rPr>
              <w:t>，</w:t>
            </w:r>
            <w:r>
              <w:rPr>
                <w:color w:val="auto"/>
                <w:kern w:val="24"/>
              </w:rPr>
              <w:t>不满足水环境功能区划要求（Ⅲ类）</w:t>
            </w:r>
            <w:r>
              <w:rPr>
                <w:rFonts w:hint="eastAsia"/>
                <w:color w:val="auto"/>
                <w:kern w:val="24"/>
              </w:rPr>
              <w:t>。</w:t>
            </w:r>
            <w:bookmarkEnd w:id="57"/>
            <w:r>
              <w:rPr>
                <w:rFonts w:hint="eastAsia"/>
                <w:color w:val="auto"/>
              </w:rPr>
              <w:t>因此，</w:t>
            </w:r>
            <w:r>
              <w:rPr>
                <w:color w:val="auto"/>
              </w:rPr>
              <w:t>现状水质不能满足《地表水环境质量标准》（GB3838-2002）中的Ⅲ类水质标准</w:t>
            </w:r>
            <w:r>
              <w:rPr>
                <w:rFonts w:hint="eastAsia"/>
                <w:color w:val="auto"/>
                <w:kern w:val="24"/>
              </w:rPr>
              <w:t>，</w:t>
            </w:r>
            <w:r>
              <w:rPr>
                <w:color w:val="auto"/>
              </w:rPr>
              <w:t>该区域没有水环境容量</w:t>
            </w:r>
            <w:r>
              <w:rPr>
                <w:rFonts w:hint="eastAsia"/>
                <w:color w:val="auto"/>
              </w:rPr>
              <w:t>。</w:t>
            </w:r>
          </w:p>
          <w:p w14:paraId="53908CEA">
            <w:pPr>
              <w:pStyle w:val="15"/>
              <w:spacing w:after="0" w:line="360" w:lineRule="auto"/>
              <w:ind w:left="0" w:leftChars="0" w:firstLine="480" w:firstLineChars="200"/>
              <w:rPr>
                <w:color w:val="auto"/>
              </w:rPr>
            </w:pPr>
            <w:r>
              <w:rPr>
                <w:rFonts w:hint="eastAsia"/>
                <w:color w:val="auto"/>
              </w:rPr>
              <w:t>杞麓湖、者湾河水质超标原因主要是由于周围农田及生活面源污染</w:t>
            </w:r>
            <w:r>
              <w:rPr>
                <w:rFonts w:hint="eastAsia"/>
                <w:color w:val="auto"/>
                <w:kern w:val="24"/>
              </w:rPr>
              <w:t>，农村生活污水、农业灌溉用水直接排入河流水体，河道常年污染严重，失去自净能力，河道水体直接进入杞麓湖</w:t>
            </w:r>
            <w:r>
              <w:rPr>
                <w:rFonts w:hint="eastAsia"/>
                <w:color w:val="auto"/>
              </w:rPr>
              <w:t>。</w:t>
            </w:r>
          </w:p>
          <w:p w14:paraId="6B7ACE56">
            <w:pPr>
              <w:adjustRightInd w:val="0"/>
              <w:snapToGrid w:val="0"/>
              <w:spacing w:line="360" w:lineRule="auto"/>
              <w:rPr>
                <w:b/>
                <w:bCs/>
                <w:color w:val="auto"/>
                <w:sz w:val="24"/>
              </w:rPr>
            </w:pPr>
            <w:r>
              <w:rPr>
                <w:b/>
                <w:bCs/>
                <w:color w:val="auto"/>
                <w:sz w:val="24"/>
              </w:rPr>
              <w:t>3、声环境质量现状</w:t>
            </w:r>
          </w:p>
          <w:p w14:paraId="614AB792">
            <w:pPr>
              <w:adjustRightInd w:val="0"/>
              <w:snapToGrid w:val="0"/>
              <w:spacing w:line="360" w:lineRule="auto"/>
              <w:ind w:firstLine="480" w:firstLineChars="200"/>
              <w:rPr>
                <w:color w:val="auto"/>
                <w:sz w:val="24"/>
              </w:rPr>
            </w:pPr>
            <w:r>
              <w:rPr>
                <w:color w:val="auto"/>
                <w:sz w:val="24"/>
              </w:rPr>
              <w:t>（1）声环境质量标准</w:t>
            </w:r>
          </w:p>
          <w:p w14:paraId="0A713F79">
            <w:pPr>
              <w:pStyle w:val="13"/>
              <w:spacing w:line="360" w:lineRule="auto"/>
              <w:ind w:firstLine="456" w:firstLineChars="200"/>
              <w:jc w:val="both"/>
              <w:rPr>
                <w:color w:val="auto"/>
                <w:sz w:val="24"/>
              </w:rPr>
            </w:pPr>
            <w:r>
              <w:rPr>
                <w:rFonts w:hint="eastAsia"/>
                <w:color w:val="auto"/>
                <w:spacing w:val="-6"/>
                <w:sz w:val="24"/>
              </w:rPr>
              <w:t>项目</w:t>
            </w:r>
            <w:r>
              <w:rPr>
                <w:rFonts w:hint="eastAsia"/>
                <w:bCs/>
                <w:color w:val="auto"/>
                <w:sz w:val="24"/>
              </w:rPr>
              <w:t>四街卫生院西</w:t>
            </w:r>
            <w:r>
              <w:rPr>
                <w:color w:val="auto"/>
                <w:sz w:val="24"/>
              </w:rPr>
              <w:t>面</w:t>
            </w:r>
            <w:r>
              <w:rPr>
                <w:rFonts w:hint="eastAsia"/>
                <w:color w:val="auto"/>
                <w:sz w:val="24"/>
              </w:rPr>
              <w:t>为G245国道</w:t>
            </w:r>
            <w:r>
              <w:rPr>
                <w:color w:val="auto"/>
                <w:sz w:val="24"/>
              </w:rPr>
              <w:t>，</w:t>
            </w:r>
            <w:r>
              <w:rPr>
                <w:rFonts w:hint="eastAsia"/>
                <w:color w:val="auto"/>
                <w:sz w:val="24"/>
              </w:rPr>
              <w:t>四街卫生院西侧厂界及其35m范围</w:t>
            </w:r>
            <w:r>
              <w:rPr>
                <w:color w:val="auto"/>
                <w:sz w:val="24"/>
              </w:rPr>
              <w:t>区域执行《声环境质量标准》（GB3096-2008）4</w:t>
            </w:r>
            <w:r>
              <w:rPr>
                <w:rFonts w:hint="eastAsia"/>
                <w:color w:val="auto"/>
                <w:sz w:val="24"/>
              </w:rPr>
              <w:t>a</w:t>
            </w:r>
            <w:r>
              <w:rPr>
                <w:color w:val="auto"/>
                <w:sz w:val="24"/>
              </w:rPr>
              <w:t>类标准</w:t>
            </w:r>
            <w:r>
              <w:rPr>
                <w:rFonts w:hint="eastAsia"/>
                <w:color w:val="auto"/>
                <w:sz w:val="24"/>
              </w:rPr>
              <w:t>。四街卫生院其它区域</w:t>
            </w:r>
            <w:r>
              <w:rPr>
                <w:rFonts w:hint="eastAsia"/>
                <w:color w:val="auto"/>
                <w:spacing w:val="-6"/>
                <w:sz w:val="24"/>
              </w:rPr>
              <w:t>区域</w:t>
            </w:r>
            <w:r>
              <w:rPr>
                <w:color w:val="auto"/>
                <w:spacing w:val="-6"/>
                <w:sz w:val="24"/>
              </w:rPr>
              <w:t>执行《声环境质量标准》（GB3096-2008）中的2类标准</w:t>
            </w:r>
            <w:r>
              <w:rPr>
                <w:color w:val="auto"/>
                <w:sz w:val="24"/>
              </w:rPr>
              <w:t>，</w:t>
            </w:r>
            <w:r>
              <w:rPr>
                <w:rFonts w:hint="eastAsia"/>
                <w:color w:val="auto"/>
                <w:sz w:val="24"/>
              </w:rPr>
              <w:t>杨广卫生院、九龙卫生院、纳古卫生院</w:t>
            </w:r>
            <w:r>
              <w:rPr>
                <w:color w:val="auto"/>
                <w:spacing w:val="-6"/>
                <w:sz w:val="24"/>
              </w:rPr>
              <w:t>执行《声环境质量标准》（GB3096-2008）中的2类标准</w:t>
            </w:r>
            <w:r>
              <w:rPr>
                <w:rFonts w:hint="eastAsia"/>
                <w:color w:val="auto"/>
                <w:sz w:val="24"/>
              </w:rPr>
              <w:t>执行</w:t>
            </w:r>
            <w:r>
              <w:rPr>
                <w:color w:val="auto"/>
                <w:sz w:val="24"/>
              </w:rPr>
              <w:t>标准限值见表3-</w:t>
            </w:r>
            <w:r>
              <w:rPr>
                <w:rFonts w:hint="eastAsia"/>
                <w:color w:val="auto"/>
                <w:sz w:val="24"/>
              </w:rPr>
              <w:t>4</w:t>
            </w:r>
            <w:r>
              <w:rPr>
                <w:color w:val="auto"/>
                <w:sz w:val="24"/>
              </w:rPr>
              <w:t>。</w:t>
            </w:r>
          </w:p>
          <w:p w14:paraId="359CB9DB">
            <w:pPr>
              <w:pStyle w:val="13"/>
              <w:spacing w:line="360" w:lineRule="auto"/>
              <w:rPr>
                <w:b/>
                <w:bCs/>
                <w:color w:val="auto"/>
                <w:sz w:val="24"/>
              </w:rPr>
            </w:pPr>
            <w:r>
              <w:rPr>
                <w:b/>
                <w:bCs/>
                <w:color w:val="auto"/>
                <w:sz w:val="24"/>
              </w:rPr>
              <w:t>表3-</w:t>
            </w:r>
            <w:r>
              <w:rPr>
                <w:rFonts w:hint="eastAsia"/>
                <w:b/>
                <w:bCs/>
                <w:color w:val="auto"/>
                <w:sz w:val="24"/>
              </w:rPr>
              <w:t xml:space="preserve">4 </w:t>
            </w:r>
            <w:r>
              <w:rPr>
                <w:b/>
                <w:bCs/>
                <w:color w:val="auto"/>
                <w:sz w:val="24"/>
              </w:rPr>
              <w:t>声环境</w:t>
            </w:r>
            <w:r>
              <w:rPr>
                <w:rFonts w:hint="eastAsia"/>
                <w:b/>
                <w:bCs/>
                <w:color w:val="auto"/>
                <w:sz w:val="24"/>
              </w:rPr>
              <w:t>质量标准</w:t>
            </w:r>
            <w:r>
              <w:rPr>
                <w:b/>
                <w:bCs/>
                <w:color w:val="auto"/>
                <w:sz w:val="24"/>
              </w:rPr>
              <w:t>单位：dB(A)</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985"/>
              <w:gridCol w:w="1886"/>
              <w:gridCol w:w="2487"/>
            </w:tblGrid>
            <w:tr w14:paraId="1ECB86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83" w:type="pct"/>
                  <w:vAlign w:val="center"/>
                </w:tcPr>
                <w:p w14:paraId="5892E98A">
                  <w:pPr>
                    <w:spacing w:line="360" w:lineRule="exact"/>
                    <w:jc w:val="center"/>
                    <w:rPr>
                      <w:color w:val="auto"/>
                    </w:rPr>
                  </w:pPr>
                  <w:r>
                    <w:rPr>
                      <w:color w:val="auto"/>
                    </w:rPr>
                    <w:t>声环境功能区类别</w:t>
                  </w:r>
                </w:p>
              </w:tc>
              <w:tc>
                <w:tcPr>
                  <w:tcW w:w="1128" w:type="pct"/>
                  <w:vAlign w:val="center"/>
                </w:tcPr>
                <w:p w14:paraId="17162AF4">
                  <w:pPr>
                    <w:spacing w:line="360" w:lineRule="exact"/>
                    <w:jc w:val="center"/>
                    <w:rPr>
                      <w:color w:val="auto"/>
                    </w:rPr>
                  </w:pPr>
                  <w:r>
                    <w:rPr>
                      <w:color w:val="auto"/>
                    </w:rPr>
                    <w:t>昼间</w:t>
                  </w:r>
                </w:p>
              </w:tc>
              <w:tc>
                <w:tcPr>
                  <w:tcW w:w="1487" w:type="pct"/>
                  <w:vAlign w:val="center"/>
                </w:tcPr>
                <w:p w14:paraId="487A819F">
                  <w:pPr>
                    <w:spacing w:line="360" w:lineRule="exact"/>
                    <w:jc w:val="center"/>
                    <w:rPr>
                      <w:color w:val="auto"/>
                    </w:rPr>
                  </w:pPr>
                  <w:r>
                    <w:rPr>
                      <w:color w:val="auto"/>
                    </w:rPr>
                    <w:t>夜间</w:t>
                  </w:r>
                </w:p>
              </w:tc>
            </w:tr>
            <w:tr w14:paraId="3FB483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83" w:type="pct"/>
                  <w:vAlign w:val="center"/>
                </w:tcPr>
                <w:p w14:paraId="00ED2EFE">
                  <w:pPr>
                    <w:spacing w:line="360" w:lineRule="exact"/>
                    <w:jc w:val="center"/>
                    <w:rPr>
                      <w:color w:val="auto"/>
                    </w:rPr>
                  </w:pPr>
                  <w:r>
                    <w:rPr>
                      <w:color w:val="auto"/>
                    </w:rPr>
                    <w:t>2类</w:t>
                  </w:r>
                </w:p>
              </w:tc>
              <w:tc>
                <w:tcPr>
                  <w:tcW w:w="1128" w:type="pct"/>
                  <w:vAlign w:val="center"/>
                </w:tcPr>
                <w:p w14:paraId="26307E06">
                  <w:pPr>
                    <w:adjustRightInd w:val="0"/>
                    <w:snapToGrid w:val="0"/>
                    <w:jc w:val="center"/>
                    <w:rPr>
                      <w:color w:val="auto"/>
                    </w:rPr>
                  </w:pPr>
                  <w:r>
                    <w:rPr>
                      <w:color w:val="auto"/>
                      <w:szCs w:val="21"/>
                    </w:rPr>
                    <w:t>≤60</w:t>
                  </w:r>
                </w:p>
              </w:tc>
              <w:tc>
                <w:tcPr>
                  <w:tcW w:w="1487" w:type="pct"/>
                  <w:vAlign w:val="center"/>
                </w:tcPr>
                <w:p w14:paraId="2D5F650E">
                  <w:pPr>
                    <w:adjustRightInd w:val="0"/>
                    <w:snapToGrid w:val="0"/>
                    <w:jc w:val="center"/>
                    <w:rPr>
                      <w:color w:val="auto"/>
                    </w:rPr>
                  </w:pPr>
                  <w:r>
                    <w:rPr>
                      <w:color w:val="auto"/>
                      <w:szCs w:val="21"/>
                    </w:rPr>
                    <w:t>≤50</w:t>
                  </w:r>
                </w:p>
              </w:tc>
            </w:tr>
            <w:tr w14:paraId="226E0C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83" w:type="pct"/>
                  <w:vAlign w:val="center"/>
                </w:tcPr>
                <w:p w14:paraId="0B34B40F">
                  <w:pPr>
                    <w:spacing w:line="360" w:lineRule="exact"/>
                    <w:jc w:val="center"/>
                    <w:rPr>
                      <w:color w:val="auto"/>
                    </w:rPr>
                  </w:pPr>
                  <w:r>
                    <w:rPr>
                      <w:rFonts w:hint="eastAsia"/>
                      <w:color w:val="auto"/>
                    </w:rPr>
                    <w:t>4a类</w:t>
                  </w:r>
                </w:p>
              </w:tc>
              <w:tc>
                <w:tcPr>
                  <w:tcW w:w="1886" w:type="dxa"/>
                  <w:vAlign w:val="center"/>
                </w:tcPr>
                <w:p w14:paraId="7FEC66BB">
                  <w:pPr>
                    <w:adjustRightInd w:val="0"/>
                    <w:snapToGrid w:val="0"/>
                    <w:jc w:val="center"/>
                    <w:rPr>
                      <w:color w:val="auto"/>
                      <w:szCs w:val="21"/>
                    </w:rPr>
                  </w:pPr>
                  <w:r>
                    <w:rPr>
                      <w:color w:val="auto"/>
                      <w:szCs w:val="21"/>
                    </w:rPr>
                    <w:t>≤</w:t>
                  </w:r>
                  <w:r>
                    <w:rPr>
                      <w:rFonts w:hint="eastAsia"/>
                      <w:color w:val="auto"/>
                      <w:szCs w:val="21"/>
                    </w:rPr>
                    <w:t>70</w:t>
                  </w:r>
                </w:p>
              </w:tc>
              <w:tc>
                <w:tcPr>
                  <w:tcW w:w="2487" w:type="dxa"/>
                  <w:vAlign w:val="center"/>
                </w:tcPr>
                <w:p w14:paraId="2B2E187C">
                  <w:pPr>
                    <w:adjustRightInd w:val="0"/>
                    <w:snapToGrid w:val="0"/>
                    <w:jc w:val="center"/>
                    <w:rPr>
                      <w:color w:val="auto"/>
                      <w:szCs w:val="21"/>
                    </w:rPr>
                  </w:pPr>
                  <w:r>
                    <w:rPr>
                      <w:color w:val="auto"/>
                      <w:szCs w:val="21"/>
                    </w:rPr>
                    <w:t>≤5</w:t>
                  </w:r>
                  <w:r>
                    <w:rPr>
                      <w:rFonts w:hint="eastAsia"/>
                      <w:color w:val="auto"/>
                      <w:szCs w:val="21"/>
                    </w:rPr>
                    <w:t>5</w:t>
                  </w:r>
                </w:p>
              </w:tc>
            </w:tr>
          </w:tbl>
          <w:p w14:paraId="72F410E1">
            <w:pPr>
              <w:adjustRightInd w:val="0"/>
              <w:snapToGrid w:val="0"/>
              <w:spacing w:before="120" w:beforeLines="50" w:line="360" w:lineRule="auto"/>
              <w:ind w:firstLine="480" w:firstLineChars="200"/>
              <w:rPr>
                <w:color w:val="auto"/>
                <w:sz w:val="24"/>
              </w:rPr>
            </w:pPr>
            <w:r>
              <w:rPr>
                <w:color w:val="auto"/>
                <w:sz w:val="24"/>
              </w:rPr>
              <w:t>（2）声环境质量现状</w:t>
            </w:r>
          </w:p>
          <w:p w14:paraId="18388DF0">
            <w:pPr>
              <w:spacing w:line="360" w:lineRule="auto"/>
              <w:ind w:firstLine="480"/>
              <w:outlineLvl w:val="0"/>
              <w:rPr>
                <w:rFonts w:hint="eastAsia" w:ascii="宋体" w:hAnsi="宋体" w:cs="宋体"/>
                <w:color w:val="auto"/>
                <w:sz w:val="24"/>
              </w:rPr>
            </w:pPr>
            <w:r>
              <w:rPr>
                <w:rFonts w:hint="eastAsia" w:ascii="宋体" w:hAnsi="宋体" w:cs="宋体"/>
                <w:color w:val="auto"/>
                <w:sz w:val="24"/>
              </w:rPr>
              <w:t>本项目属于卫生院建设项目，项目选址分别位于通海县纳古镇纳古卫生院内；四街街道四街卫生院内；杨广镇杨广卫生院内；九龙街道九龙卫生院内。根据现场勘查可知，项目周边50m范围内主要为卫生院及乡镇居民点，项目所在区域周围没有高强度噪声污染型企业分布</w:t>
            </w:r>
            <w:r>
              <w:rPr>
                <w:rFonts w:hint="eastAsia" w:ascii="宋体" w:hAnsi="宋体" w:cs="宋体"/>
                <w:bCs/>
                <w:color w:val="auto"/>
                <w:sz w:val="24"/>
              </w:rPr>
              <w:t>。</w:t>
            </w:r>
            <w:r>
              <w:rPr>
                <w:rFonts w:hint="eastAsia" w:ascii="宋体" w:hAnsi="宋体" w:cs="宋体"/>
                <w:color w:val="auto"/>
                <w:sz w:val="24"/>
              </w:rPr>
              <w:t>根据《建设项目环境影响报告表编制技术指南（污染影响类）》（试行）相关内容，厂界外周边50m范围内存在声环境保护目标的建设项目，应监测保护目标声环境质量现状并评价达标情况。建设单位于</w:t>
            </w:r>
            <w:bookmarkStart w:id="59" w:name="_Hlk192511142"/>
            <w:r>
              <w:rPr>
                <w:rFonts w:hint="eastAsia" w:ascii="宋体" w:hAnsi="宋体" w:cs="宋体"/>
                <w:color w:val="auto"/>
                <w:sz w:val="24"/>
              </w:rPr>
              <w:t>2024年8月1日委托云南天倪检测有限公司对项目选址50m范围内的敏感点</w:t>
            </w:r>
            <w:bookmarkEnd w:id="59"/>
            <w:r>
              <w:rPr>
                <w:rFonts w:hint="eastAsia" w:ascii="宋体" w:hAnsi="宋体" w:cs="宋体"/>
                <w:color w:val="auto"/>
                <w:sz w:val="24"/>
              </w:rPr>
              <w:t>进行了现状监测，监测结果见下表，监测报告见附件9。</w:t>
            </w:r>
          </w:p>
          <w:p w14:paraId="24E4ACB1">
            <w:pPr>
              <w:spacing w:line="360" w:lineRule="auto"/>
              <w:jc w:val="center"/>
              <w:rPr>
                <w:rFonts w:hint="eastAsia" w:ascii="宋体" w:hAnsi="宋体" w:cs="宋体"/>
                <w:b/>
                <w:color w:val="auto"/>
                <w:sz w:val="24"/>
              </w:rPr>
            </w:pPr>
          </w:p>
          <w:p w14:paraId="1F135DF3">
            <w:pPr>
              <w:spacing w:line="360" w:lineRule="auto"/>
              <w:jc w:val="center"/>
              <w:rPr>
                <w:rFonts w:hint="eastAsia" w:ascii="宋体" w:hAnsi="宋体" w:cs="宋体"/>
                <w:b/>
                <w:color w:val="auto"/>
                <w:sz w:val="24"/>
              </w:rPr>
            </w:pPr>
          </w:p>
          <w:p w14:paraId="4CA9EFF3">
            <w:pPr>
              <w:spacing w:line="360" w:lineRule="auto"/>
              <w:jc w:val="center"/>
              <w:rPr>
                <w:rFonts w:hint="eastAsia" w:ascii="宋体" w:hAnsi="宋体" w:cs="宋体"/>
                <w:b/>
                <w:color w:val="auto"/>
                <w:sz w:val="24"/>
              </w:rPr>
            </w:pPr>
            <w:r>
              <w:rPr>
                <w:rFonts w:hint="eastAsia" w:ascii="宋体" w:hAnsi="宋体" w:cs="宋体"/>
                <w:b/>
                <w:color w:val="auto"/>
                <w:sz w:val="24"/>
              </w:rPr>
              <w:t>表3-5敏感点声环境现状监测结果单位：（dB）A</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8"/>
              <w:gridCol w:w="1294"/>
              <w:gridCol w:w="1137"/>
              <w:gridCol w:w="1139"/>
              <w:gridCol w:w="1154"/>
              <w:gridCol w:w="1155"/>
            </w:tblGrid>
            <w:tr w14:paraId="362C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Align w:val="center"/>
                </w:tcPr>
                <w:p w14:paraId="2E672D39">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检测点位</w:t>
                  </w:r>
                </w:p>
              </w:tc>
              <w:tc>
                <w:tcPr>
                  <w:tcW w:w="774" w:type="pct"/>
                  <w:vAlign w:val="center"/>
                </w:tcPr>
                <w:p w14:paraId="473EA56B">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检测日期</w:t>
                  </w:r>
                </w:p>
              </w:tc>
              <w:tc>
                <w:tcPr>
                  <w:tcW w:w="680" w:type="pct"/>
                  <w:vAlign w:val="center"/>
                </w:tcPr>
                <w:p w14:paraId="495CDF2D">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时段</w:t>
                  </w:r>
                </w:p>
              </w:tc>
              <w:tc>
                <w:tcPr>
                  <w:tcW w:w="681" w:type="pct"/>
                  <w:vAlign w:val="center"/>
                </w:tcPr>
                <w:p w14:paraId="0AEA8B01">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噪声值Leq</w:t>
                  </w:r>
                </w:p>
              </w:tc>
              <w:tc>
                <w:tcPr>
                  <w:tcW w:w="690" w:type="pct"/>
                  <w:vAlign w:val="center"/>
                </w:tcPr>
                <w:p w14:paraId="62E36E0B">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标准值</w:t>
                  </w:r>
                </w:p>
              </w:tc>
              <w:tc>
                <w:tcPr>
                  <w:tcW w:w="691" w:type="pct"/>
                  <w:vAlign w:val="center"/>
                </w:tcPr>
                <w:p w14:paraId="4A017D2E">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达标情况</w:t>
                  </w:r>
                </w:p>
              </w:tc>
            </w:tr>
            <w:tr w14:paraId="7C48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Merge w:val="restart"/>
                  <w:vAlign w:val="center"/>
                </w:tcPr>
                <w:p w14:paraId="5497992E">
                  <w:pPr>
                    <w:tabs>
                      <w:tab w:val="right" w:pos="8906"/>
                    </w:tabs>
                    <w:jc w:val="center"/>
                    <w:rPr>
                      <w:b/>
                      <w:bCs/>
                      <w:color w:val="auto"/>
                      <w:szCs w:val="21"/>
                    </w:rPr>
                  </w:pPr>
                  <w:bookmarkStart w:id="60" w:name="_Hlk192511179"/>
                  <w:bookmarkStart w:id="61" w:name="OLE_LINK100" w:colFirst="3" w:colLast="3"/>
                  <w:r>
                    <w:rPr>
                      <w:color w:val="auto"/>
                      <w:szCs w:val="21"/>
                    </w:rPr>
                    <w:t>纳古卫生院墙外50m范围内的纳古集镇（坐标东经102°43′53.743″，北纬24°10′55.815″）</w:t>
                  </w:r>
                </w:p>
              </w:tc>
              <w:tc>
                <w:tcPr>
                  <w:tcW w:w="774" w:type="pct"/>
                  <w:vMerge w:val="restart"/>
                  <w:vAlign w:val="center"/>
                </w:tcPr>
                <w:p w14:paraId="56DC6CA6">
                  <w:pPr>
                    <w:autoSpaceDN w:val="0"/>
                    <w:jc w:val="center"/>
                    <w:textAlignment w:val="center"/>
                    <w:rPr>
                      <w:rFonts w:hint="eastAsia" w:ascii="宋体" w:hAnsi="宋体" w:cs="宋体"/>
                      <w:color w:val="auto"/>
                      <w:szCs w:val="21"/>
                    </w:rPr>
                  </w:pPr>
                </w:p>
                <w:p w14:paraId="61410E92">
                  <w:pPr>
                    <w:autoSpaceDN w:val="0"/>
                    <w:jc w:val="center"/>
                    <w:textAlignment w:val="center"/>
                    <w:rPr>
                      <w:rFonts w:hint="eastAsia" w:ascii="宋体" w:hAnsi="宋体" w:cs="宋体"/>
                      <w:color w:val="auto"/>
                      <w:szCs w:val="21"/>
                    </w:rPr>
                  </w:pPr>
                </w:p>
                <w:p w14:paraId="17D8D0F5">
                  <w:pPr>
                    <w:autoSpaceDN w:val="0"/>
                    <w:jc w:val="center"/>
                    <w:textAlignment w:val="center"/>
                    <w:rPr>
                      <w:rFonts w:hint="eastAsia" w:ascii="宋体" w:hAnsi="宋体" w:cs="宋体"/>
                      <w:color w:val="auto"/>
                      <w:szCs w:val="21"/>
                    </w:rPr>
                  </w:pPr>
                </w:p>
                <w:p w14:paraId="73D4F947">
                  <w:pPr>
                    <w:autoSpaceDN w:val="0"/>
                    <w:jc w:val="center"/>
                    <w:textAlignment w:val="center"/>
                    <w:rPr>
                      <w:rFonts w:hint="eastAsia" w:ascii="宋体" w:hAnsi="宋体" w:cs="宋体"/>
                      <w:color w:val="auto"/>
                      <w:szCs w:val="21"/>
                    </w:rPr>
                  </w:pPr>
                  <w:r>
                    <w:rPr>
                      <w:rFonts w:hint="eastAsia" w:ascii="宋体" w:hAnsi="宋体" w:cs="宋体"/>
                      <w:color w:val="auto"/>
                      <w:szCs w:val="21"/>
                    </w:rPr>
                    <w:t>2024/8/1</w:t>
                  </w:r>
                </w:p>
              </w:tc>
              <w:tc>
                <w:tcPr>
                  <w:tcW w:w="680" w:type="pct"/>
                  <w:vAlign w:val="center"/>
                </w:tcPr>
                <w:p w14:paraId="4C6C146D">
                  <w:pPr>
                    <w:autoSpaceDN w:val="0"/>
                    <w:jc w:val="center"/>
                    <w:textAlignment w:val="center"/>
                    <w:rPr>
                      <w:rFonts w:hint="eastAsia" w:ascii="宋体" w:hAnsi="宋体" w:cs="宋体"/>
                      <w:color w:val="auto"/>
                      <w:szCs w:val="21"/>
                    </w:rPr>
                  </w:pPr>
                  <w:r>
                    <w:rPr>
                      <w:rFonts w:hint="eastAsia" w:ascii="宋体" w:hAnsi="宋体" w:cs="宋体"/>
                      <w:color w:val="auto"/>
                      <w:szCs w:val="21"/>
                    </w:rPr>
                    <w:t>昼间</w:t>
                  </w:r>
                </w:p>
              </w:tc>
              <w:tc>
                <w:tcPr>
                  <w:tcW w:w="681" w:type="pct"/>
                  <w:vAlign w:val="center"/>
                </w:tcPr>
                <w:p w14:paraId="69586858">
                  <w:pPr>
                    <w:autoSpaceDN w:val="0"/>
                    <w:jc w:val="center"/>
                    <w:textAlignment w:val="center"/>
                    <w:rPr>
                      <w:rFonts w:hint="eastAsia" w:ascii="宋体" w:hAnsi="宋体" w:cs="宋体"/>
                      <w:color w:val="auto"/>
                      <w:szCs w:val="21"/>
                    </w:rPr>
                  </w:pPr>
                  <w:r>
                    <w:rPr>
                      <w:rFonts w:hint="eastAsia" w:ascii="宋体" w:hAnsi="宋体" w:cs="宋体"/>
                      <w:color w:val="auto"/>
                      <w:szCs w:val="21"/>
                    </w:rPr>
                    <w:t>56</w:t>
                  </w:r>
                </w:p>
              </w:tc>
              <w:tc>
                <w:tcPr>
                  <w:tcW w:w="690" w:type="pct"/>
                  <w:vAlign w:val="center"/>
                </w:tcPr>
                <w:p w14:paraId="7FA7F47F">
                  <w:pPr>
                    <w:autoSpaceDN w:val="0"/>
                    <w:jc w:val="center"/>
                    <w:textAlignment w:val="center"/>
                    <w:rPr>
                      <w:rFonts w:hint="eastAsia" w:ascii="宋体" w:hAnsi="宋体" w:cs="宋体"/>
                      <w:color w:val="auto"/>
                      <w:szCs w:val="21"/>
                    </w:rPr>
                  </w:pPr>
                  <w:r>
                    <w:rPr>
                      <w:rFonts w:hint="eastAsia" w:ascii="宋体" w:hAnsi="宋体" w:cs="宋体"/>
                      <w:color w:val="auto"/>
                      <w:szCs w:val="21"/>
                    </w:rPr>
                    <w:t>60</w:t>
                  </w:r>
                </w:p>
              </w:tc>
              <w:tc>
                <w:tcPr>
                  <w:tcW w:w="691" w:type="pct"/>
                  <w:vAlign w:val="center"/>
                </w:tcPr>
                <w:p w14:paraId="695BA7FE">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435E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2" w:type="pct"/>
                  <w:vMerge w:val="continue"/>
                  <w:vAlign w:val="center"/>
                </w:tcPr>
                <w:p w14:paraId="0902FA66">
                  <w:pPr>
                    <w:tabs>
                      <w:tab w:val="right" w:pos="8906"/>
                    </w:tabs>
                    <w:jc w:val="center"/>
                    <w:rPr>
                      <w:color w:val="auto"/>
                      <w:szCs w:val="21"/>
                    </w:rPr>
                  </w:pPr>
                </w:p>
              </w:tc>
              <w:tc>
                <w:tcPr>
                  <w:tcW w:w="774" w:type="pct"/>
                  <w:vMerge w:val="continue"/>
                  <w:vAlign w:val="center"/>
                </w:tcPr>
                <w:p w14:paraId="524CCF6E">
                  <w:pPr>
                    <w:autoSpaceDN w:val="0"/>
                    <w:jc w:val="center"/>
                    <w:textAlignment w:val="center"/>
                    <w:rPr>
                      <w:rFonts w:hint="eastAsia" w:ascii="宋体" w:hAnsi="宋体" w:cs="宋体"/>
                      <w:color w:val="auto"/>
                      <w:szCs w:val="21"/>
                    </w:rPr>
                  </w:pPr>
                </w:p>
              </w:tc>
              <w:tc>
                <w:tcPr>
                  <w:tcW w:w="680" w:type="pct"/>
                  <w:vAlign w:val="center"/>
                </w:tcPr>
                <w:p w14:paraId="67BE8786">
                  <w:pPr>
                    <w:autoSpaceDN w:val="0"/>
                    <w:jc w:val="center"/>
                    <w:textAlignment w:val="center"/>
                    <w:rPr>
                      <w:rFonts w:hint="eastAsia" w:ascii="宋体" w:hAnsi="宋体" w:cs="宋体"/>
                      <w:color w:val="auto"/>
                      <w:szCs w:val="21"/>
                    </w:rPr>
                  </w:pPr>
                  <w:r>
                    <w:rPr>
                      <w:rFonts w:hint="eastAsia" w:ascii="宋体" w:hAnsi="宋体" w:cs="宋体"/>
                      <w:color w:val="auto"/>
                      <w:szCs w:val="21"/>
                    </w:rPr>
                    <w:t>夜间</w:t>
                  </w:r>
                </w:p>
              </w:tc>
              <w:tc>
                <w:tcPr>
                  <w:tcW w:w="681" w:type="pct"/>
                  <w:vAlign w:val="center"/>
                </w:tcPr>
                <w:p w14:paraId="13621459">
                  <w:pPr>
                    <w:autoSpaceDN w:val="0"/>
                    <w:jc w:val="center"/>
                    <w:textAlignment w:val="center"/>
                    <w:rPr>
                      <w:rFonts w:hint="eastAsia" w:ascii="宋体" w:hAnsi="宋体" w:cs="宋体"/>
                      <w:color w:val="auto"/>
                      <w:szCs w:val="21"/>
                    </w:rPr>
                  </w:pPr>
                  <w:r>
                    <w:rPr>
                      <w:rFonts w:hint="eastAsia" w:ascii="宋体" w:hAnsi="宋体" w:cs="宋体"/>
                      <w:color w:val="auto"/>
                      <w:szCs w:val="21"/>
                    </w:rPr>
                    <w:t>48</w:t>
                  </w:r>
                </w:p>
              </w:tc>
              <w:tc>
                <w:tcPr>
                  <w:tcW w:w="690" w:type="pct"/>
                  <w:vAlign w:val="center"/>
                </w:tcPr>
                <w:p w14:paraId="34B346B1">
                  <w:pPr>
                    <w:autoSpaceDN w:val="0"/>
                    <w:jc w:val="center"/>
                    <w:textAlignment w:val="center"/>
                    <w:rPr>
                      <w:rFonts w:hint="eastAsia" w:ascii="宋体" w:hAnsi="宋体" w:cs="宋体"/>
                      <w:color w:val="auto"/>
                      <w:szCs w:val="21"/>
                    </w:rPr>
                  </w:pPr>
                  <w:r>
                    <w:rPr>
                      <w:rFonts w:hint="eastAsia" w:ascii="宋体" w:hAnsi="宋体" w:cs="宋体"/>
                      <w:color w:val="auto"/>
                      <w:szCs w:val="21"/>
                    </w:rPr>
                    <w:t>50</w:t>
                  </w:r>
                </w:p>
              </w:tc>
              <w:tc>
                <w:tcPr>
                  <w:tcW w:w="691" w:type="pct"/>
                  <w:vAlign w:val="center"/>
                </w:tcPr>
                <w:p w14:paraId="5CABBC28">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5B72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Merge w:val="restart"/>
                  <w:vAlign w:val="center"/>
                </w:tcPr>
                <w:p w14:paraId="0EC2B562">
                  <w:pPr>
                    <w:tabs>
                      <w:tab w:val="right" w:pos="8906"/>
                    </w:tabs>
                    <w:jc w:val="center"/>
                    <w:rPr>
                      <w:color w:val="auto"/>
                      <w:szCs w:val="21"/>
                    </w:rPr>
                  </w:pPr>
                  <w:r>
                    <w:rPr>
                      <w:color w:val="auto"/>
                      <w:szCs w:val="21"/>
                    </w:rPr>
                    <w:t>四街卫生院墙外50m范围内的四街</w:t>
                  </w:r>
                  <w:r>
                    <w:rPr>
                      <w:rFonts w:hint="eastAsia"/>
                      <w:color w:val="auto"/>
                      <w:szCs w:val="21"/>
                    </w:rPr>
                    <w:t>村</w:t>
                  </w:r>
                  <w:r>
                    <w:rPr>
                      <w:color w:val="auto"/>
                      <w:szCs w:val="21"/>
                    </w:rPr>
                    <w:t>（坐标为东经102°42′10.803″，24°9′54.233″)</w:t>
                  </w:r>
                </w:p>
              </w:tc>
              <w:tc>
                <w:tcPr>
                  <w:tcW w:w="774" w:type="pct"/>
                  <w:vMerge w:val="continue"/>
                  <w:vAlign w:val="center"/>
                </w:tcPr>
                <w:p w14:paraId="5EB531A3">
                  <w:pPr>
                    <w:autoSpaceDN w:val="0"/>
                    <w:jc w:val="center"/>
                    <w:textAlignment w:val="center"/>
                    <w:rPr>
                      <w:rFonts w:hint="eastAsia" w:ascii="宋体" w:hAnsi="宋体" w:cs="宋体"/>
                      <w:color w:val="auto"/>
                      <w:szCs w:val="21"/>
                    </w:rPr>
                  </w:pPr>
                </w:p>
              </w:tc>
              <w:tc>
                <w:tcPr>
                  <w:tcW w:w="680" w:type="pct"/>
                  <w:vAlign w:val="center"/>
                </w:tcPr>
                <w:p w14:paraId="683E2D87">
                  <w:pPr>
                    <w:autoSpaceDN w:val="0"/>
                    <w:jc w:val="center"/>
                    <w:textAlignment w:val="center"/>
                    <w:rPr>
                      <w:rFonts w:hint="eastAsia" w:ascii="宋体" w:hAnsi="宋体" w:cs="宋体"/>
                      <w:color w:val="auto"/>
                      <w:szCs w:val="21"/>
                    </w:rPr>
                  </w:pPr>
                  <w:r>
                    <w:rPr>
                      <w:rFonts w:hint="eastAsia" w:ascii="宋体" w:hAnsi="宋体" w:cs="宋体"/>
                      <w:color w:val="auto"/>
                      <w:szCs w:val="21"/>
                    </w:rPr>
                    <w:t>昼间</w:t>
                  </w:r>
                </w:p>
              </w:tc>
              <w:tc>
                <w:tcPr>
                  <w:tcW w:w="681" w:type="pct"/>
                  <w:vAlign w:val="center"/>
                </w:tcPr>
                <w:p w14:paraId="346582CA">
                  <w:pPr>
                    <w:autoSpaceDN w:val="0"/>
                    <w:jc w:val="center"/>
                    <w:textAlignment w:val="center"/>
                    <w:rPr>
                      <w:rFonts w:hint="eastAsia" w:ascii="宋体" w:hAnsi="宋体" w:cs="宋体"/>
                      <w:color w:val="auto"/>
                      <w:szCs w:val="21"/>
                    </w:rPr>
                  </w:pPr>
                  <w:r>
                    <w:rPr>
                      <w:rFonts w:hint="eastAsia" w:ascii="宋体" w:hAnsi="宋体" w:cs="宋体"/>
                      <w:color w:val="auto"/>
                      <w:szCs w:val="21"/>
                    </w:rPr>
                    <w:t>56</w:t>
                  </w:r>
                </w:p>
              </w:tc>
              <w:tc>
                <w:tcPr>
                  <w:tcW w:w="690" w:type="pct"/>
                  <w:vAlign w:val="center"/>
                </w:tcPr>
                <w:p w14:paraId="355744B1">
                  <w:pPr>
                    <w:autoSpaceDN w:val="0"/>
                    <w:jc w:val="center"/>
                    <w:textAlignment w:val="center"/>
                    <w:rPr>
                      <w:rFonts w:hint="eastAsia" w:ascii="宋体" w:hAnsi="宋体" w:cs="宋体"/>
                      <w:color w:val="auto"/>
                      <w:szCs w:val="21"/>
                    </w:rPr>
                  </w:pPr>
                  <w:r>
                    <w:rPr>
                      <w:rFonts w:hint="eastAsia" w:ascii="宋体" w:hAnsi="宋体" w:cs="宋体"/>
                      <w:color w:val="auto"/>
                      <w:szCs w:val="21"/>
                    </w:rPr>
                    <w:t>60</w:t>
                  </w:r>
                </w:p>
              </w:tc>
              <w:tc>
                <w:tcPr>
                  <w:tcW w:w="691" w:type="pct"/>
                  <w:vAlign w:val="center"/>
                </w:tcPr>
                <w:p w14:paraId="6FF314D0">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21C5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Merge w:val="continue"/>
                  <w:vAlign w:val="center"/>
                </w:tcPr>
                <w:p w14:paraId="4CE3AA3B">
                  <w:pPr>
                    <w:tabs>
                      <w:tab w:val="right" w:pos="8906"/>
                    </w:tabs>
                    <w:jc w:val="center"/>
                    <w:rPr>
                      <w:color w:val="auto"/>
                      <w:szCs w:val="21"/>
                    </w:rPr>
                  </w:pPr>
                </w:p>
              </w:tc>
              <w:tc>
                <w:tcPr>
                  <w:tcW w:w="774" w:type="pct"/>
                  <w:vMerge w:val="continue"/>
                  <w:vAlign w:val="center"/>
                </w:tcPr>
                <w:p w14:paraId="550671FF">
                  <w:pPr>
                    <w:autoSpaceDN w:val="0"/>
                    <w:jc w:val="center"/>
                    <w:textAlignment w:val="center"/>
                    <w:rPr>
                      <w:rFonts w:hint="eastAsia" w:ascii="宋体" w:hAnsi="宋体" w:cs="宋体"/>
                      <w:color w:val="auto"/>
                      <w:szCs w:val="21"/>
                    </w:rPr>
                  </w:pPr>
                </w:p>
              </w:tc>
              <w:tc>
                <w:tcPr>
                  <w:tcW w:w="680" w:type="pct"/>
                  <w:vAlign w:val="center"/>
                </w:tcPr>
                <w:p w14:paraId="7350384C">
                  <w:pPr>
                    <w:autoSpaceDN w:val="0"/>
                    <w:jc w:val="center"/>
                    <w:textAlignment w:val="center"/>
                    <w:rPr>
                      <w:rFonts w:hint="eastAsia" w:ascii="宋体" w:hAnsi="宋体" w:cs="宋体"/>
                      <w:color w:val="auto"/>
                      <w:szCs w:val="21"/>
                    </w:rPr>
                  </w:pPr>
                  <w:r>
                    <w:rPr>
                      <w:rFonts w:hint="eastAsia" w:ascii="宋体" w:hAnsi="宋体" w:cs="宋体"/>
                      <w:color w:val="auto"/>
                      <w:szCs w:val="21"/>
                    </w:rPr>
                    <w:t>夜间</w:t>
                  </w:r>
                </w:p>
              </w:tc>
              <w:tc>
                <w:tcPr>
                  <w:tcW w:w="681" w:type="pct"/>
                  <w:vAlign w:val="center"/>
                </w:tcPr>
                <w:p w14:paraId="678CB4B1">
                  <w:pPr>
                    <w:autoSpaceDN w:val="0"/>
                    <w:jc w:val="center"/>
                    <w:textAlignment w:val="center"/>
                    <w:rPr>
                      <w:rFonts w:hint="eastAsia" w:ascii="宋体" w:hAnsi="宋体" w:cs="宋体"/>
                      <w:color w:val="auto"/>
                      <w:szCs w:val="21"/>
                    </w:rPr>
                  </w:pPr>
                  <w:r>
                    <w:rPr>
                      <w:rFonts w:hint="eastAsia" w:ascii="宋体" w:hAnsi="宋体" w:cs="宋体"/>
                      <w:color w:val="auto"/>
                      <w:szCs w:val="21"/>
                    </w:rPr>
                    <w:t>47</w:t>
                  </w:r>
                </w:p>
              </w:tc>
              <w:tc>
                <w:tcPr>
                  <w:tcW w:w="690" w:type="pct"/>
                  <w:vAlign w:val="center"/>
                </w:tcPr>
                <w:p w14:paraId="1BFCD886">
                  <w:pPr>
                    <w:autoSpaceDN w:val="0"/>
                    <w:jc w:val="center"/>
                    <w:textAlignment w:val="center"/>
                    <w:rPr>
                      <w:rFonts w:hint="eastAsia" w:ascii="宋体" w:hAnsi="宋体" w:cs="宋体"/>
                      <w:color w:val="auto"/>
                      <w:szCs w:val="21"/>
                    </w:rPr>
                  </w:pPr>
                  <w:r>
                    <w:rPr>
                      <w:rFonts w:hint="eastAsia" w:ascii="宋体" w:hAnsi="宋体" w:cs="宋体"/>
                      <w:color w:val="auto"/>
                      <w:szCs w:val="21"/>
                    </w:rPr>
                    <w:t>50</w:t>
                  </w:r>
                </w:p>
              </w:tc>
              <w:tc>
                <w:tcPr>
                  <w:tcW w:w="691" w:type="pct"/>
                  <w:vAlign w:val="center"/>
                </w:tcPr>
                <w:p w14:paraId="4E0B4793">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1314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Merge w:val="restart"/>
                  <w:vAlign w:val="center"/>
                </w:tcPr>
                <w:p w14:paraId="361A6775">
                  <w:pPr>
                    <w:tabs>
                      <w:tab w:val="right" w:pos="8906"/>
                    </w:tabs>
                    <w:jc w:val="center"/>
                    <w:rPr>
                      <w:color w:val="auto"/>
                      <w:szCs w:val="21"/>
                    </w:rPr>
                  </w:pPr>
                  <w:r>
                    <w:rPr>
                      <w:color w:val="auto"/>
                      <w:szCs w:val="21"/>
                    </w:rPr>
                    <w:t>四街卫生院墙外50m范围内的四街</w:t>
                  </w:r>
                  <w:r>
                    <w:rPr>
                      <w:rFonts w:hint="eastAsia"/>
                      <w:color w:val="auto"/>
                      <w:szCs w:val="21"/>
                    </w:rPr>
                    <w:t>镇</w:t>
                  </w:r>
                  <w:r>
                    <w:rPr>
                      <w:color w:val="auto"/>
                      <w:szCs w:val="21"/>
                    </w:rPr>
                    <w:t>（坐标为东经102°42′6.186″，北纬24°9′54.637″)</w:t>
                  </w:r>
                </w:p>
              </w:tc>
              <w:tc>
                <w:tcPr>
                  <w:tcW w:w="774" w:type="pct"/>
                  <w:vMerge w:val="continue"/>
                  <w:vAlign w:val="center"/>
                </w:tcPr>
                <w:p w14:paraId="2DFFC075">
                  <w:pPr>
                    <w:autoSpaceDN w:val="0"/>
                    <w:jc w:val="center"/>
                    <w:textAlignment w:val="center"/>
                    <w:rPr>
                      <w:rFonts w:hint="eastAsia" w:ascii="宋体" w:hAnsi="宋体" w:cs="宋体"/>
                      <w:color w:val="auto"/>
                      <w:szCs w:val="21"/>
                    </w:rPr>
                  </w:pPr>
                </w:p>
              </w:tc>
              <w:tc>
                <w:tcPr>
                  <w:tcW w:w="1137" w:type="dxa"/>
                  <w:vAlign w:val="center"/>
                </w:tcPr>
                <w:p w14:paraId="478710E2">
                  <w:pPr>
                    <w:autoSpaceDN w:val="0"/>
                    <w:jc w:val="center"/>
                    <w:textAlignment w:val="center"/>
                    <w:rPr>
                      <w:rFonts w:hint="eastAsia" w:ascii="宋体" w:hAnsi="宋体" w:cs="宋体"/>
                      <w:color w:val="auto"/>
                      <w:szCs w:val="21"/>
                    </w:rPr>
                  </w:pPr>
                  <w:r>
                    <w:rPr>
                      <w:rFonts w:hint="eastAsia" w:ascii="宋体" w:hAnsi="宋体" w:cs="宋体"/>
                      <w:color w:val="auto"/>
                      <w:szCs w:val="21"/>
                    </w:rPr>
                    <w:t>昼间</w:t>
                  </w:r>
                </w:p>
              </w:tc>
              <w:tc>
                <w:tcPr>
                  <w:tcW w:w="681" w:type="pct"/>
                  <w:vAlign w:val="center"/>
                </w:tcPr>
                <w:p w14:paraId="239F99C7">
                  <w:pPr>
                    <w:autoSpaceDN w:val="0"/>
                    <w:jc w:val="center"/>
                    <w:textAlignment w:val="center"/>
                    <w:rPr>
                      <w:rFonts w:hint="eastAsia" w:ascii="宋体" w:hAnsi="宋体" w:cs="宋体"/>
                      <w:color w:val="auto"/>
                      <w:szCs w:val="21"/>
                    </w:rPr>
                  </w:pPr>
                  <w:r>
                    <w:rPr>
                      <w:rFonts w:hint="eastAsia" w:ascii="宋体" w:hAnsi="宋体" w:cs="宋体"/>
                      <w:color w:val="auto"/>
                      <w:szCs w:val="21"/>
                    </w:rPr>
                    <w:t>58</w:t>
                  </w:r>
                </w:p>
              </w:tc>
              <w:tc>
                <w:tcPr>
                  <w:tcW w:w="1154" w:type="dxa"/>
                  <w:vAlign w:val="center"/>
                </w:tcPr>
                <w:p w14:paraId="3CDB1B72">
                  <w:pPr>
                    <w:autoSpaceDN w:val="0"/>
                    <w:jc w:val="center"/>
                    <w:textAlignment w:val="center"/>
                    <w:rPr>
                      <w:rFonts w:hint="eastAsia" w:ascii="宋体" w:hAnsi="宋体" w:cs="宋体"/>
                      <w:color w:val="auto"/>
                      <w:szCs w:val="21"/>
                    </w:rPr>
                  </w:pPr>
                  <w:r>
                    <w:rPr>
                      <w:rFonts w:hint="eastAsia" w:ascii="宋体" w:hAnsi="宋体" w:cs="宋体"/>
                      <w:color w:val="auto"/>
                      <w:szCs w:val="21"/>
                    </w:rPr>
                    <w:t>60</w:t>
                  </w:r>
                </w:p>
              </w:tc>
              <w:tc>
                <w:tcPr>
                  <w:tcW w:w="1155" w:type="dxa"/>
                  <w:vAlign w:val="center"/>
                </w:tcPr>
                <w:p w14:paraId="3CB8A813">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56F0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Merge w:val="continue"/>
                  <w:vAlign w:val="center"/>
                </w:tcPr>
                <w:p w14:paraId="1D6C7B46">
                  <w:pPr>
                    <w:tabs>
                      <w:tab w:val="right" w:pos="8906"/>
                    </w:tabs>
                    <w:jc w:val="center"/>
                    <w:rPr>
                      <w:color w:val="auto"/>
                      <w:szCs w:val="21"/>
                    </w:rPr>
                  </w:pPr>
                </w:p>
              </w:tc>
              <w:tc>
                <w:tcPr>
                  <w:tcW w:w="774" w:type="pct"/>
                  <w:vMerge w:val="continue"/>
                  <w:vAlign w:val="center"/>
                </w:tcPr>
                <w:p w14:paraId="65C1FED9">
                  <w:pPr>
                    <w:autoSpaceDN w:val="0"/>
                    <w:jc w:val="center"/>
                    <w:textAlignment w:val="center"/>
                    <w:rPr>
                      <w:rFonts w:hint="eastAsia" w:ascii="宋体" w:hAnsi="宋体" w:cs="宋体"/>
                      <w:color w:val="auto"/>
                      <w:szCs w:val="21"/>
                    </w:rPr>
                  </w:pPr>
                </w:p>
              </w:tc>
              <w:tc>
                <w:tcPr>
                  <w:tcW w:w="1137" w:type="dxa"/>
                  <w:vAlign w:val="center"/>
                </w:tcPr>
                <w:p w14:paraId="5E5AC38A">
                  <w:pPr>
                    <w:autoSpaceDN w:val="0"/>
                    <w:jc w:val="center"/>
                    <w:textAlignment w:val="center"/>
                    <w:rPr>
                      <w:rFonts w:hint="eastAsia" w:ascii="宋体" w:hAnsi="宋体" w:cs="宋体"/>
                      <w:color w:val="auto"/>
                      <w:szCs w:val="21"/>
                    </w:rPr>
                  </w:pPr>
                  <w:r>
                    <w:rPr>
                      <w:rFonts w:hint="eastAsia" w:ascii="宋体" w:hAnsi="宋体" w:cs="宋体"/>
                      <w:color w:val="auto"/>
                      <w:szCs w:val="21"/>
                    </w:rPr>
                    <w:t>夜间</w:t>
                  </w:r>
                </w:p>
              </w:tc>
              <w:tc>
                <w:tcPr>
                  <w:tcW w:w="681" w:type="pct"/>
                  <w:vAlign w:val="center"/>
                </w:tcPr>
                <w:p w14:paraId="5B0C76DF">
                  <w:pPr>
                    <w:autoSpaceDN w:val="0"/>
                    <w:jc w:val="center"/>
                    <w:textAlignment w:val="center"/>
                    <w:rPr>
                      <w:rFonts w:hint="eastAsia" w:ascii="宋体" w:hAnsi="宋体" w:cs="宋体"/>
                      <w:color w:val="auto"/>
                      <w:szCs w:val="21"/>
                    </w:rPr>
                  </w:pPr>
                  <w:r>
                    <w:rPr>
                      <w:rFonts w:hint="eastAsia" w:ascii="宋体" w:hAnsi="宋体" w:cs="宋体"/>
                      <w:color w:val="auto"/>
                      <w:szCs w:val="21"/>
                    </w:rPr>
                    <w:t>48</w:t>
                  </w:r>
                </w:p>
              </w:tc>
              <w:tc>
                <w:tcPr>
                  <w:tcW w:w="1154" w:type="dxa"/>
                  <w:vAlign w:val="center"/>
                </w:tcPr>
                <w:p w14:paraId="08393EE1">
                  <w:pPr>
                    <w:autoSpaceDN w:val="0"/>
                    <w:jc w:val="center"/>
                    <w:textAlignment w:val="center"/>
                    <w:rPr>
                      <w:rFonts w:hint="eastAsia" w:ascii="宋体" w:hAnsi="宋体" w:cs="宋体"/>
                      <w:color w:val="auto"/>
                      <w:szCs w:val="21"/>
                    </w:rPr>
                  </w:pPr>
                  <w:r>
                    <w:rPr>
                      <w:rFonts w:hint="eastAsia" w:ascii="宋体" w:hAnsi="宋体" w:cs="宋体"/>
                      <w:color w:val="auto"/>
                      <w:szCs w:val="21"/>
                    </w:rPr>
                    <w:t>50</w:t>
                  </w:r>
                </w:p>
              </w:tc>
              <w:tc>
                <w:tcPr>
                  <w:tcW w:w="1155" w:type="dxa"/>
                  <w:vAlign w:val="center"/>
                </w:tcPr>
                <w:p w14:paraId="172DE681">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2EB0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Align w:val="center"/>
                </w:tcPr>
                <w:p w14:paraId="65B065B1">
                  <w:pPr>
                    <w:tabs>
                      <w:tab w:val="right" w:pos="8906"/>
                    </w:tabs>
                    <w:jc w:val="center"/>
                    <w:rPr>
                      <w:color w:val="auto"/>
                      <w:szCs w:val="21"/>
                    </w:rPr>
                  </w:pPr>
                  <w:r>
                    <w:rPr>
                      <w:color w:val="auto"/>
                      <w:szCs w:val="21"/>
                    </w:rPr>
                    <w:t>九龙卫生院墙外50m范围内的九龙街道集镇（坐标为东经102°41′25.745″，北纬24°6′48.128″)</w:t>
                  </w:r>
                </w:p>
              </w:tc>
              <w:tc>
                <w:tcPr>
                  <w:tcW w:w="774" w:type="pct"/>
                  <w:vMerge w:val="continue"/>
                  <w:vAlign w:val="center"/>
                </w:tcPr>
                <w:p w14:paraId="3B3A1CAE">
                  <w:pPr>
                    <w:autoSpaceDN w:val="0"/>
                    <w:jc w:val="center"/>
                    <w:textAlignment w:val="center"/>
                    <w:rPr>
                      <w:rFonts w:hint="eastAsia" w:ascii="宋体" w:hAnsi="宋体" w:cs="宋体"/>
                      <w:color w:val="auto"/>
                      <w:szCs w:val="21"/>
                    </w:rPr>
                  </w:pPr>
                </w:p>
              </w:tc>
              <w:tc>
                <w:tcPr>
                  <w:tcW w:w="680" w:type="pct"/>
                  <w:vAlign w:val="center"/>
                </w:tcPr>
                <w:p w14:paraId="3F6B0FD6">
                  <w:pPr>
                    <w:autoSpaceDN w:val="0"/>
                    <w:jc w:val="center"/>
                    <w:textAlignment w:val="center"/>
                    <w:rPr>
                      <w:rFonts w:hint="eastAsia" w:ascii="宋体" w:hAnsi="宋体" w:cs="宋体"/>
                      <w:color w:val="auto"/>
                      <w:szCs w:val="21"/>
                    </w:rPr>
                  </w:pPr>
                  <w:r>
                    <w:rPr>
                      <w:rFonts w:hint="eastAsia" w:ascii="宋体" w:hAnsi="宋体" w:cs="宋体"/>
                      <w:color w:val="auto"/>
                      <w:szCs w:val="21"/>
                    </w:rPr>
                    <w:t>昼间</w:t>
                  </w:r>
                </w:p>
              </w:tc>
              <w:tc>
                <w:tcPr>
                  <w:tcW w:w="681" w:type="pct"/>
                  <w:vAlign w:val="center"/>
                </w:tcPr>
                <w:p w14:paraId="094B494E">
                  <w:pPr>
                    <w:autoSpaceDN w:val="0"/>
                    <w:jc w:val="center"/>
                    <w:textAlignment w:val="center"/>
                    <w:rPr>
                      <w:rFonts w:hint="eastAsia" w:ascii="宋体" w:hAnsi="宋体" w:cs="宋体"/>
                      <w:color w:val="auto"/>
                      <w:szCs w:val="21"/>
                    </w:rPr>
                  </w:pPr>
                  <w:r>
                    <w:rPr>
                      <w:rFonts w:hint="eastAsia" w:ascii="宋体" w:hAnsi="宋体" w:cs="宋体"/>
                      <w:color w:val="auto"/>
                      <w:szCs w:val="21"/>
                    </w:rPr>
                    <w:t>56</w:t>
                  </w:r>
                </w:p>
              </w:tc>
              <w:tc>
                <w:tcPr>
                  <w:tcW w:w="690" w:type="pct"/>
                  <w:vAlign w:val="center"/>
                </w:tcPr>
                <w:p w14:paraId="2847F088">
                  <w:pPr>
                    <w:autoSpaceDN w:val="0"/>
                    <w:jc w:val="center"/>
                    <w:textAlignment w:val="center"/>
                    <w:rPr>
                      <w:rFonts w:hint="eastAsia" w:ascii="宋体" w:hAnsi="宋体" w:cs="宋体"/>
                      <w:color w:val="auto"/>
                      <w:szCs w:val="21"/>
                    </w:rPr>
                  </w:pPr>
                  <w:r>
                    <w:rPr>
                      <w:rFonts w:hint="eastAsia" w:ascii="宋体" w:hAnsi="宋体" w:cs="宋体"/>
                      <w:color w:val="auto"/>
                      <w:szCs w:val="21"/>
                    </w:rPr>
                    <w:t>60</w:t>
                  </w:r>
                </w:p>
              </w:tc>
              <w:tc>
                <w:tcPr>
                  <w:tcW w:w="691" w:type="pct"/>
                  <w:vAlign w:val="center"/>
                </w:tcPr>
                <w:p w14:paraId="6AE357E9">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65D5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Align w:val="center"/>
                </w:tcPr>
                <w:p w14:paraId="449B8C8C">
                  <w:pPr>
                    <w:tabs>
                      <w:tab w:val="right" w:pos="8906"/>
                    </w:tabs>
                    <w:jc w:val="center"/>
                    <w:rPr>
                      <w:color w:val="auto"/>
                      <w:szCs w:val="21"/>
                    </w:rPr>
                  </w:pPr>
                  <w:r>
                    <w:rPr>
                      <w:color w:val="auto"/>
                      <w:szCs w:val="21"/>
                    </w:rPr>
                    <w:t>杨广卫生院墙外50m范围内的杨广镇集镇（坐标为东经102°47′52.175″，北纬24°8′18.990″)</w:t>
                  </w:r>
                </w:p>
              </w:tc>
              <w:tc>
                <w:tcPr>
                  <w:tcW w:w="774" w:type="pct"/>
                  <w:vMerge w:val="continue"/>
                  <w:vAlign w:val="center"/>
                </w:tcPr>
                <w:p w14:paraId="1E6BB785">
                  <w:pPr>
                    <w:autoSpaceDN w:val="0"/>
                    <w:jc w:val="center"/>
                    <w:textAlignment w:val="center"/>
                    <w:rPr>
                      <w:rFonts w:hint="eastAsia" w:ascii="宋体" w:hAnsi="宋体" w:cs="宋体"/>
                      <w:color w:val="auto"/>
                      <w:szCs w:val="21"/>
                    </w:rPr>
                  </w:pPr>
                </w:p>
              </w:tc>
              <w:tc>
                <w:tcPr>
                  <w:tcW w:w="680" w:type="pct"/>
                  <w:vAlign w:val="center"/>
                </w:tcPr>
                <w:p w14:paraId="256C28EF">
                  <w:pPr>
                    <w:autoSpaceDN w:val="0"/>
                    <w:jc w:val="center"/>
                    <w:textAlignment w:val="center"/>
                    <w:rPr>
                      <w:rFonts w:hint="eastAsia" w:ascii="宋体" w:hAnsi="宋体" w:cs="宋体"/>
                      <w:color w:val="auto"/>
                      <w:szCs w:val="21"/>
                    </w:rPr>
                  </w:pPr>
                  <w:r>
                    <w:rPr>
                      <w:rFonts w:hint="eastAsia" w:ascii="宋体" w:hAnsi="宋体" w:cs="宋体"/>
                      <w:color w:val="auto"/>
                      <w:szCs w:val="21"/>
                    </w:rPr>
                    <w:t>夜间</w:t>
                  </w:r>
                </w:p>
              </w:tc>
              <w:tc>
                <w:tcPr>
                  <w:tcW w:w="681" w:type="pct"/>
                  <w:vAlign w:val="center"/>
                </w:tcPr>
                <w:p w14:paraId="416B1478">
                  <w:pPr>
                    <w:autoSpaceDN w:val="0"/>
                    <w:jc w:val="center"/>
                    <w:textAlignment w:val="center"/>
                    <w:rPr>
                      <w:rFonts w:hint="eastAsia" w:ascii="宋体" w:hAnsi="宋体" w:cs="宋体"/>
                      <w:color w:val="auto"/>
                      <w:szCs w:val="21"/>
                    </w:rPr>
                  </w:pPr>
                  <w:r>
                    <w:rPr>
                      <w:rFonts w:hint="eastAsia" w:ascii="宋体" w:hAnsi="宋体" w:cs="宋体"/>
                      <w:color w:val="auto"/>
                      <w:szCs w:val="21"/>
                    </w:rPr>
                    <w:t>48</w:t>
                  </w:r>
                </w:p>
              </w:tc>
              <w:tc>
                <w:tcPr>
                  <w:tcW w:w="690" w:type="pct"/>
                  <w:vAlign w:val="center"/>
                </w:tcPr>
                <w:p w14:paraId="43FD098C">
                  <w:pPr>
                    <w:autoSpaceDN w:val="0"/>
                    <w:jc w:val="center"/>
                    <w:textAlignment w:val="center"/>
                    <w:rPr>
                      <w:rFonts w:hint="eastAsia" w:ascii="宋体" w:hAnsi="宋体" w:cs="宋体"/>
                      <w:color w:val="auto"/>
                      <w:szCs w:val="21"/>
                    </w:rPr>
                  </w:pPr>
                  <w:r>
                    <w:rPr>
                      <w:rFonts w:hint="eastAsia" w:ascii="宋体" w:hAnsi="宋体" w:cs="宋体"/>
                      <w:color w:val="auto"/>
                      <w:szCs w:val="21"/>
                    </w:rPr>
                    <w:t>50</w:t>
                  </w:r>
                </w:p>
              </w:tc>
              <w:tc>
                <w:tcPr>
                  <w:tcW w:w="691" w:type="pct"/>
                  <w:vAlign w:val="center"/>
                </w:tcPr>
                <w:p w14:paraId="5D642469">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bookmarkEnd w:id="60"/>
            <w:bookmarkEnd w:id="61"/>
          </w:tbl>
          <w:p w14:paraId="554807C8">
            <w:pPr>
              <w:pStyle w:val="32"/>
              <w:spacing w:after="0" w:line="360" w:lineRule="auto"/>
              <w:ind w:left="0" w:leftChars="0" w:firstLine="480"/>
              <w:jc w:val="left"/>
              <w:rPr>
                <w:bCs/>
                <w:color w:val="auto"/>
              </w:rPr>
            </w:pPr>
            <w:r>
              <w:rPr>
                <w:color w:val="auto"/>
              </w:rPr>
              <w:t>根据上表，</w:t>
            </w:r>
            <w:bookmarkStart w:id="62" w:name="_Hlk192511242"/>
            <w:r>
              <w:rPr>
                <w:color w:val="auto"/>
              </w:rPr>
              <w:t>项目</w:t>
            </w:r>
            <w:r>
              <w:rPr>
                <w:rFonts w:hint="eastAsia"/>
                <w:color w:val="auto"/>
              </w:rPr>
              <w:t>纳古卫生院北</w:t>
            </w:r>
            <w:r>
              <w:rPr>
                <w:color w:val="auto"/>
              </w:rPr>
              <w:t>侧</w:t>
            </w:r>
            <w:r>
              <w:rPr>
                <w:rFonts w:hint="eastAsia"/>
                <w:color w:val="auto"/>
              </w:rPr>
              <w:t>2</w:t>
            </w:r>
            <w:r>
              <w:rPr>
                <w:color w:val="auto"/>
              </w:rPr>
              <w:t>m处的</w:t>
            </w:r>
            <w:r>
              <w:rPr>
                <w:rFonts w:hint="eastAsia"/>
                <w:color w:val="auto"/>
              </w:rPr>
              <w:t>纳古镇昼间和夜间</w:t>
            </w:r>
            <w:r>
              <w:rPr>
                <w:color w:val="auto"/>
              </w:rPr>
              <w:t>声环境质量可满足《声环境质量标准》（GB3096-2008）2类标准要求</w:t>
            </w:r>
            <w:r>
              <w:rPr>
                <w:rFonts w:hint="eastAsia"/>
                <w:color w:val="auto"/>
              </w:rPr>
              <w:t>。</w:t>
            </w:r>
            <w:r>
              <w:rPr>
                <w:color w:val="auto"/>
              </w:rPr>
              <w:t>项目</w:t>
            </w:r>
            <w:r>
              <w:rPr>
                <w:rFonts w:hint="eastAsia"/>
                <w:color w:val="auto"/>
              </w:rPr>
              <w:t>四街卫生院东</w:t>
            </w:r>
            <w:r>
              <w:rPr>
                <w:color w:val="auto"/>
              </w:rPr>
              <w:t>侧</w:t>
            </w:r>
            <w:r>
              <w:rPr>
                <w:rFonts w:hint="eastAsia"/>
                <w:color w:val="auto"/>
              </w:rPr>
              <w:t>3</w:t>
            </w:r>
            <w:r>
              <w:rPr>
                <w:color w:val="auto"/>
              </w:rPr>
              <w:t>m处的</w:t>
            </w:r>
            <w:r>
              <w:rPr>
                <w:rFonts w:hint="eastAsia"/>
                <w:color w:val="auto"/>
              </w:rPr>
              <w:t>四街村和西侧37m处的四街镇昼间和夜间</w:t>
            </w:r>
            <w:r>
              <w:rPr>
                <w:color w:val="auto"/>
              </w:rPr>
              <w:t>声环境质量可满足《声环境质量标准》（GB3096-2008）2类标准要求</w:t>
            </w:r>
            <w:r>
              <w:rPr>
                <w:rFonts w:hint="eastAsia"/>
                <w:color w:val="auto"/>
              </w:rPr>
              <w:t>。</w:t>
            </w:r>
            <w:r>
              <w:rPr>
                <w:color w:val="auto"/>
              </w:rPr>
              <w:t>项目</w:t>
            </w:r>
            <w:r>
              <w:rPr>
                <w:rFonts w:hint="eastAsia"/>
                <w:color w:val="auto"/>
              </w:rPr>
              <w:t>九龙卫生院东</w:t>
            </w:r>
            <w:r>
              <w:rPr>
                <w:color w:val="auto"/>
              </w:rPr>
              <w:t>侧</w:t>
            </w:r>
            <w:r>
              <w:rPr>
                <w:rFonts w:hint="eastAsia"/>
                <w:color w:val="auto"/>
              </w:rPr>
              <w:t>2</w:t>
            </w:r>
            <w:r>
              <w:rPr>
                <w:color w:val="auto"/>
              </w:rPr>
              <w:t>m处的</w:t>
            </w:r>
            <w:r>
              <w:rPr>
                <w:rFonts w:hint="eastAsia"/>
                <w:color w:val="auto"/>
              </w:rPr>
              <w:t>九龙街道昼间和夜间</w:t>
            </w:r>
            <w:r>
              <w:rPr>
                <w:color w:val="auto"/>
              </w:rPr>
              <w:t>声环境质量可满足《声环境质量标准》（GB3096-2008）2类标准要求</w:t>
            </w:r>
            <w:r>
              <w:rPr>
                <w:rFonts w:hint="eastAsia"/>
                <w:color w:val="auto"/>
              </w:rPr>
              <w:t>。</w:t>
            </w:r>
            <w:r>
              <w:rPr>
                <w:color w:val="auto"/>
              </w:rPr>
              <w:t>项目</w:t>
            </w:r>
            <w:r>
              <w:rPr>
                <w:rFonts w:hint="eastAsia"/>
                <w:color w:val="auto"/>
              </w:rPr>
              <w:t>杨广卫生院西</w:t>
            </w:r>
            <w:r>
              <w:rPr>
                <w:color w:val="auto"/>
              </w:rPr>
              <w:t>侧</w:t>
            </w:r>
            <w:r>
              <w:rPr>
                <w:rFonts w:hint="eastAsia"/>
                <w:color w:val="auto"/>
              </w:rPr>
              <w:t>3</w:t>
            </w:r>
            <w:r>
              <w:rPr>
                <w:color w:val="auto"/>
              </w:rPr>
              <w:t>m处的</w:t>
            </w:r>
            <w:r>
              <w:rPr>
                <w:rFonts w:hint="eastAsia"/>
                <w:color w:val="auto"/>
              </w:rPr>
              <w:t>杨广镇昼间和夜间</w:t>
            </w:r>
            <w:r>
              <w:rPr>
                <w:color w:val="auto"/>
              </w:rPr>
              <w:t>声环境质量可满足《声环境质量标准》（GB3096-2008）2类标准要求</w:t>
            </w:r>
            <w:r>
              <w:rPr>
                <w:rFonts w:hint="eastAsia"/>
                <w:color w:val="auto"/>
              </w:rPr>
              <w:t>。</w:t>
            </w:r>
            <w:bookmarkEnd w:id="62"/>
          </w:p>
          <w:p w14:paraId="475F6117">
            <w:pPr>
              <w:adjustRightInd w:val="0"/>
              <w:snapToGrid w:val="0"/>
              <w:spacing w:line="360" w:lineRule="auto"/>
              <w:rPr>
                <w:b/>
                <w:bCs/>
                <w:color w:val="auto"/>
                <w:sz w:val="24"/>
              </w:rPr>
            </w:pPr>
            <w:r>
              <w:rPr>
                <w:b/>
                <w:bCs/>
                <w:color w:val="auto"/>
                <w:sz w:val="24"/>
              </w:rPr>
              <w:t>4、生态环境质量现状</w:t>
            </w:r>
          </w:p>
          <w:p w14:paraId="311C9C9A">
            <w:pPr>
              <w:tabs>
                <w:tab w:val="left" w:pos="1080"/>
              </w:tabs>
              <w:adjustRightInd w:val="0"/>
              <w:snapToGrid w:val="0"/>
              <w:spacing w:line="360" w:lineRule="auto"/>
              <w:ind w:firstLine="480" w:firstLineChars="200"/>
              <w:rPr>
                <w:color w:val="auto"/>
                <w:sz w:val="24"/>
              </w:rPr>
            </w:pPr>
            <w:bookmarkStart w:id="63" w:name="_Hlk192511396"/>
            <w:r>
              <w:rPr>
                <w:rFonts w:hint="eastAsia"/>
                <w:bCs/>
                <w:color w:val="auto"/>
                <w:sz w:val="24"/>
              </w:rPr>
              <w:t>项目所在区域生物多样性程度较低，受人类活动一定的影响。经现场调查，项目所在区域内无珍稀野生动、植物，无文物古迹等需特殊保护的目标。</w:t>
            </w:r>
            <w:bookmarkEnd w:id="63"/>
          </w:p>
        </w:tc>
      </w:tr>
      <w:tr w14:paraId="1E618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738" w:type="dxa"/>
            <w:vAlign w:val="center"/>
          </w:tcPr>
          <w:p w14:paraId="5E1150D0">
            <w:pPr>
              <w:adjustRightInd w:val="0"/>
              <w:snapToGrid w:val="0"/>
              <w:jc w:val="center"/>
              <w:rPr>
                <w:color w:val="auto"/>
                <w:kern w:val="0"/>
                <w:szCs w:val="21"/>
              </w:rPr>
            </w:pPr>
            <w:bookmarkStart w:id="64" w:name="_Hlk192512164"/>
            <w:r>
              <w:rPr>
                <w:color w:val="auto"/>
                <w:kern w:val="0"/>
                <w:szCs w:val="21"/>
              </w:rPr>
              <w:t>环境</w:t>
            </w:r>
          </w:p>
          <w:p w14:paraId="59561E18">
            <w:pPr>
              <w:adjustRightInd w:val="0"/>
              <w:snapToGrid w:val="0"/>
              <w:jc w:val="center"/>
              <w:rPr>
                <w:color w:val="auto"/>
                <w:kern w:val="0"/>
                <w:szCs w:val="21"/>
              </w:rPr>
            </w:pPr>
            <w:r>
              <w:rPr>
                <w:color w:val="auto"/>
                <w:kern w:val="0"/>
                <w:szCs w:val="21"/>
              </w:rPr>
              <w:t>保护</w:t>
            </w:r>
          </w:p>
          <w:p w14:paraId="57CD5316">
            <w:pPr>
              <w:adjustRightInd w:val="0"/>
              <w:snapToGrid w:val="0"/>
              <w:jc w:val="center"/>
              <w:rPr>
                <w:color w:val="auto"/>
                <w:kern w:val="0"/>
                <w:szCs w:val="21"/>
              </w:rPr>
            </w:pPr>
            <w:r>
              <w:rPr>
                <w:color w:val="auto"/>
                <w:kern w:val="0"/>
                <w:szCs w:val="21"/>
              </w:rPr>
              <w:t>目标</w:t>
            </w:r>
          </w:p>
        </w:tc>
        <w:tc>
          <w:tcPr>
            <w:tcW w:w="8321" w:type="dxa"/>
            <w:vAlign w:val="center"/>
          </w:tcPr>
          <w:p w14:paraId="7AF9610F">
            <w:pPr>
              <w:spacing w:line="360" w:lineRule="auto"/>
              <w:ind w:firstLine="480" w:firstLineChars="200"/>
              <w:rPr>
                <w:color w:val="auto"/>
                <w:sz w:val="24"/>
              </w:rPr>
            </w:pPr>
            <w:r>
              <w:rPr>
                <w:color w:val="auto"/>
                <w:sz w:val="24"/>
                <w:lang w:val="zh-CN"/>
              </w:rPr>
              <w:t>根据《建设项目环境影响报告表编制技术指南（污染影响类）》（试行），项目</w:t>
            </w:r>
            <w:r>
              <w:rPr>
                <w:color w:val="auto"/>
                <w:sz w:val="24"/>
              </w:rPr>
              <w:t>环境影响报告表环境保护目标设置范围如下：</w:t>
            </w:r>
          </w:p>
          <w:p w14:paraId="4C0D7622">
            <w:pPr>
              <w:spacing w:line="360" w:lineRule="auto"/>
              <w:ind w:firstLine="480" w:firstLineChars="200"/>
              <w:rPr>
                <w:color w:val="auto"/>
                <w:sz w:val="24"/>
              </w:rPr>
            </w:pPr>
            <w:r>
              <w:rPr>
                <w:color w:val="auto"/>
                <w:sz w:val="24"/>
              </w:rPr>
              <w:t>1、大气环境：项目涉及4个乡镇卫生院</w:t>
            </w:r>
            <w:r>
              <w:rPr>
                <w:rFonts w:hint="eastAsia"/>
                <w:color w:val="auto"/>
                <w:sz w:val="24"/>
              </w:rPr>
              <w:t>，四街卫生院</w:t>
            </w:r>
            <w:r>
              <w:rPr>
                <w:color w:val="auto"/>
                <w:sz w:val="24"/>
              </w:rPr>
              <w:t>厂界外500m范围内大气环境保护目标主要为</w:t>
            </w:r>
            <w:r>
              <w:rPr>
                <w:rFonts w:hint="eastAsia"/>
                <w:color w:val="auto"/>
                <w:sz w:val="24"/>
              </w:rPr>
              <w:t>四街镇、四街村、四街中心幼儿园、四街中心小学、通海三中</w:t>
            </w:r>
            <w:r>
              <w:rPr>
                <w:color w:val="auto"/>
                <w:sz w:val="24"/>
              </w:rPr>
              <w:t>。</w:t>
            </w:r>
            <w:r>
              <w:rPr>
                <w:rFonts w:hint="eastAsia"/>
                <w:color w:val="auto"/>
                <w:sz w:val="24"/>
              </w:rPr>
              <w:t>九龙卫生院</w:t>
            </w:r>
            <w:r>
              <w:rPr>
                <w:color w:val="auto"/>
                <w:sz w:val="24"/>
              </w:rPr>
              <w:t>厂界外500m范围内大气环境保护目标主要为</w:t>
            </w:r>
            <w:r>
              <w:rPr>
                <w:rFonts w:hint="eastAsia"/>
                <w:color w:val="auto"/>
                <w:sz w:val="24"/>
              </w:rPr>
              <w:t>：通海县九龙中学、九龙街道、沈家营、九街村、杨家营、佟家营。杨广卫生院</w:t>
            </w:r>
            <w:r>
              <w:rPr>
                <w:color w:val="auto"/>
                <w:sz w:val="24"/>
              </w:rPr>
              <w:t>厂界外500m范围内大气环境保护目标主要为</w:t>
            </w:r>
            <w:r>
              <w:rPr>
                <w:rFonts w:hint="eastAsia"/>
                <w:color w:val="auto"/>
                <w:sz w:val="24"/>
              </w:rPr>
              <w:t>：通海县杨广小学、通海县杨广中学、杨广镇。纳古卫生院</w:t>
            </w:r>
            <w:r>
              <w:rPr>
                <w:color w:val="auto"/>
                <w:sz w:val="24"/>
              </w:rPr>
              <w:t>厂界外500m范围内大气环境保护目标主要为</w:t>
            </w:r>
            <w:r>
              <w:rPr>
                <w:rFonts w:hint="eastAsia"/>
                <w:color w:val="auto"/>
                <w:sz w:val="24"/>
              </w:rPr>
              <w:t>：通海纳古中心小学、纳古镇、纳家营村。</w:t>
            </w:r>
          </w:p>
          <w:p w14:paraId="3B79CF97">
            <w:pPr>
              <w:spacing w:line="360" w:lineRule="auto"/>
              <w:ind w:firstLine="480" w:firstLineChars="200"/>
              <w:rPr>
                <w:color w:val="auto"/>
                <w:sz w:val="24"/>
              </w:rPr>
            </w:pPr>
            <w:r>
              <w:rPr>
                <w:color w:val="auto"/>
                <w:sz w:val="24"/>
              </w:rPr>
              <w:t>2、声环境：项目涉及4个乡镇卫生院</w:t>
            </w:r>
            <w:r>
              <w:rPr>
                <w:rFonts w:hint="eastAsia"/>
                <w:color w:val="auto"/>
                <w:sz w:val="24"/>
              </w:rPr>
              <w:t>，四街卫生院</w:t>
            </w:r>
            <w:r>
              <w:rPr>
                <w:color w:val="auto"/>
                <w:sz w:val="24"/>
              </w:rPr>
              <w:t>厂界外50米范围内声环境保护目标</w:t>
            </w:r>
            <w:r>
              <w:rPr>
                <w:rFonts w:hint="eastAsia"/>
                <w:color w:val="auto"/>
                <w:sz w:val="24"/>
              </w:rPr>
              <w:t>为四街村</w:t>
            </w:r>
            <w:r>
              <w:rPr>
                <w:color w:val="auto"/>
                <w:sz w:val="24"/>
              </w:rPr>
              <w:t>。</w:t>
            </w:r>
            <w:r>
              <w:rPr>
                <w:rFonts w:hint="eastAsia"/>
                <w:color w:val="auto"/>
                <w:sz w:val="24"/>
              </w:rPr>
              <w:t>九龙卫生院</w:t>
            </w:r>
            <w:r>
              <w:rPr>
                <w:color w:val="auto"/>
                <w:sz w:val="24"/>
              </w:rPr>
              <w:t>厂界外50米范围内声环境保护目标</w:t>
            </w:r>
            <w:r>
              <w:rPr>
                <w:rFonts w:hint="eastAsia"/>
                <w:color w:val="auto"/>
                <w:sz w:val="24"/>
              </w:rPr>
              <w:t>为九龙街道</w:t>
            </w:r>
            <w:r>
              <w:rPr>
                <w:color w:val="auto"/>
                <w:sz w:val="24"/>
              </w:rPr>
              <w:t>。</w:t>
            </w:r>
            <w:r>
              <w:rPr>
                <w:rFonts w:hint="eastAsia"/>
                <w:color w:val="auto"/>
                <w:sz w:val="24"/>
              </w:rPr>
              <w:t>杨广卫生院</w:t>
            </w:r>
            <w:r>
              <w:rPr>
                <w:color w:val="auto"/>
                <w:sz w:val="24"/>
              </w:rPr>
              <w:t>厂界外50米范围内声环境保护目标</w:t>
            </w:r>
            <w:r>
              <w:rPr>
                <w:rFonts w:hint="eastAsia"/>
                <w:color w:val="auto"/>
                <w:sz w:val="24"/>
              </w:rPr>
              <w:t>为杨广镇。纳古卫生院</w:t>
            </w:r>
            <w:r>
              <w:rPr>
                <w:color w:val="auto"/>
                <w:sz w:val="24"/>
              </w:rPr>
              <w:t>厂界外50米范围内声环境保护目标</w:t>
            </w:r>
            <w:r>
              <w:rPr>
                <w:rFonts w:hint="eastAsia"/>
                <w:color w:val="auto"/>
                <w:sz w:val="24"/>
              </w:rPr>
              <w:t>为纳古镇。</w:t>
            </w:r>
          </w:p>
          <w:p w14:paraId="4B1DBA82">
            <w:pPr>
              <w:spacing w:line="360" w:lineRule="auto"/>
              <w:ind w:firstLine="480" w:firstLineChars="200"/>
              <w:rPr>
                <w:color w:val="auto"/>
                <w:sz w:val="24"/>
              </w:rPr>
            </w:pPr>
            <w:r>
              <w:rPr>
                <w:color w:val="auto"/>
                <w:sz w:val="24"/>
              </w:rPr>
              <w:t>3、地表水环境：项目涉及4个乡镇卫生院</w:t>
            </w:r>
            <w:r>
              <w:rPr>
                <w:rFonts w:hint="eastAsia"/>
                <w:color w:val="auto"/>
                <w:sz w:val="24"/>
              </w:rPr>
              <w:t>，四街卫生院</w:t>
            </w:r>
            <w:r>
              <w:rPr>
                <w:color w:val="auto"/>
                <w:sz w:val="24"/>
              </w:rPr>
              <w:t>所在地附近主要地表水体为</w:t>
            </w:r>
            <w:r>
              <w:rPr>
                <w:rFonts w:hint="eastAsia"/>
                <w:color w:val="auto"/>
                <w:sz w:val="24"/>
              </w:rPr>
              <w:t>东</w:t>
            </w:r>
            <w:r>
              <w:rPr>
                <w:color w:val="auto"/>
                <w:sz w:val="24"/>
              </w:rPr>
              <w:t>面</w:t>
            </w:r>
            <w:r>
              <w:rPr>
                <w:rFonts w:hint="eastAsia"/>
                <w:color w:val="auto"/>
                <w:sz w:val="24"/>
              </w:rPr>
              <w:t>610</w:t>
            </w:r>
            <w:r>
              <w:rPr>
                <w:color w:val="auto"/>
                <w:sz w:val="24"/>
              </w:rPr>
              <w:t>m的</w:t>
            </w:r>
            <w:r>
              <w:rPr>
                <w:rFonts w:hint="eastAsia"/>
                <w:color w:val="auto"/>
                <w:sz w:val="24"/>
              </w:rPr>
              <w:t>者湾河和东南面1965m的杞麓湖</w:t>
            </w:r>
            <w:r>
              <w:rPr>
                <w:color w:val="auto"/>
                <w:sz w:val="24"/>
                <w:szCs w:val="22"/>
              </w:rPr>
              <w:t>。</w:t>
            </w:r>
            <w:r>
              <w:rPr>
                <w:rFonts w:hint="eastAsia"/>
                <w:color w:val="auto"/>
                <w:sz w:val="24"/>
              </w:rPr>
              <w:t>九龙卫生院</w:t>
            </w:r>
            <w:r>
              <w:rPr>
                <w:color w:val="auto"/>
                <w:sz w:val="24"/>
              </w:rPr>
              <w:t>所在地附近主要地表水体为</w:t>
            </w:r>
            <w:r>
              <w:rPr>
                <w:rFonts w:hint="eastAsia"/>
                <w:color w:val="auto"/>
                <w:sz w:val="24"/>
              </w:rPr>
              <w:t>东北面4646m的杞麓湖</w:t>
            </w:r>
            <w:r>
              <w:rPr>
                <w:color w:val="auto"/>
                <w:sz w:val="24"/>
                <w:szCs w:val="22"/>
              </w:rPr>
              <w:t>。</w:t>
            </w:r>
            <w:r>
              <w:rPr>
                <w:rFonts w:hint="eastAsia"/>
                <w:color w:val="auto"/>
                <w:sz w:val="24"/>
              </w:rPr>
              <w:t>杨广卫生院</w:t>
            </w:r>
            <w:r>
              <w:rPr>
                <w:color w:val="auto"/>
                <w:sz w:val="24"/>
              </w:rPr>
              <w:t>所在地附近主要地表水体为</w:t>
            </w:r>
            <w:r>
              <w:rPr>
                <w:rFonts w:hint="eastAsia"/>
                <w:color w:val="auto"/>
                <w:sz w:val="24"/>
              </w:rPr>
              <w:t>西北面1568m的杞麓湖。</w:t>
            </w:r>
          </w:p>
          <w:p w14:paraId="4E88E138">
            <w:pPr>
              <w:spacing w:line="360" w:lineRule="auto"/>
              <w:ind w:firstLine="480" w:firstLineChars="200"/>
              <w:rPr>
                <w:color w:val="auto"/>
                <w:sz w:val="24"/>
              </w:rPr>
            </w:pPr>
            <w:r>
              <w:rPr>
                <w:color w:val="auto"/>
                <w:sz w:val="24"/>
              </w:rPr>
              <w:t>4、地下水环境：项目厂界外500米范围内无地下水集中式饮用水水源和热水、矿泉水、温泉等特殊地下水资源，项目无地下水保护目标。</w:t>
            </w:r>
          </w:p>
          <w:p w14:paraId="743512EF">
            <w:pPr>
              <w:spacing w:line="360" w:lineRule="auto"/>
              <w:ind w:firstLine="480" w:firstLineChars="200"/>
              <w:rPr>
                <w:color w:val="auto"/>
                <w:sz w:val="24"/>
              </w:rPr>
            </w:pPr>
            <w:r>
              <w:rPr>
                <w:color w:val="auto"/>
                <w:sz w:val="24"/>
              </w:rPr>
              <w:t>5、生态环境：项目场地及周边</w:t>
            </w:r>
            <w:r>
              <w:rPr>
                <w:rFonts w:hint="eastAsia"/>
                <w:color w:val="auto"/>
                <w:sz w:val="24"/>
              </w:rPr>
              <w:t>3</w:t>
            </w:r>
            <w:r>
              <w:rPr>
                <w:color w:val="auto"/>
                <w:sz w:val="24"/>
              </w:rPr>
              <w:t>00m范围内无国家级和省级保护植物物种，以及地方狭域植物种类分布，也无古树名木。无大型野生哺乳动物、受国家和云南省重点保护及关注物种，同时也无当地特有物种，无生态环境保护目标。</w:t>
            </w:r>
          </w:p>
          <w:p w14:paraId="332442C0">
            <w:pPr>
              <w:spacing w:line="360" w:lineRule="auto"/>
              <w:ind w:firstLine="480" w:firstLineChars="200"/>
              <w:jc w:val="left"/>
              <w:rPr>
                <w:color w:val="auto"/>
                <w:sz w:val="24"/>
              </w:rPr>
            </w:pPr>
            <w:r>
              <w:rPr>
                <w:color w:val="auto"/>
                <w:sz w:val="24"/>
              </w:rPr>
              <w:t>根据现场踏勘，本项目主要环境保护目标具体见表3-</w:t>
            </w:r>
            <w:r>
              <w:rPr>
                <w:rFonts w:hint="eastAsia"/>
                <w:color w:val="auto"/>
                <w:sz w:val="24"/>
              </w:rPr>
              <w:t>6～表</w:t>
            </w:r>
            <w:r>
              <w:rPr>
                <w:color w:val="auto"/>
                <w:sz w:val="24"/>
              </w:rPr>
              <w:t>3-</w:t>
            </w:r>
            <w:r>
              <w:rPr>
                <w:rFonts w:hint="eastAsia"/>
                <w:color w:val="auto"/>
                <w:sz w:val="24"/>
              </w:rPr>
              <w:t>9</w:t>
            </w:r>
            <w:r>
              <w:rPr>
                <w:color w:val="auto"/>
                <w:sz w:val="24"/>
              </w:rPr>
              <w:t>，周边关系</w:t>
            </w:r>
            <w:r>
              <w:rPr>
                <w:rFonts w:hint="eastAsia"/>
                <w:color w:val="auto"/>
                <w:sz w:val="24"/>
              </w:rPr>
              <w:t>及保护目标示意</w:t>
            </w:r>
            <w:r>
              <w:rPr>
                <w:color w:val="auto"/>
                <w:sz w:val="24"/>
              </w:rPr>
              <w:t>图见附图</w:t>
            </w:r>
            <w:r>
              <w:rPr>
                <w:rFonts w:hint="eastAsia"/>
                <w:color w:val="auto"/>
                <w:sz w:val="24"/>
              </w:rPr>
              <w:t>5-1～附图5-4</w:t>
            </w:r>
            <w:r>
              <w:rPr>
                <w:color w:val="auto"/>
                <w:sz w:val="24"/>
              </w:rPr>
              <w:t>。</w:t>
            </w:r>
          </w:p>
          <w:p w14:paraId="75C41879">
            <w:pPr>
              <w:pStyle w:val="18"/>
              <w:spacing w:line="360" w:lineRule="auto"/>
              <w:jc w:val="center"/>
              <w:rPr>
                <w:rFonts w:hAnsi="Times New Roman" w:eastAsia="宋体"/>
                <w:b/>
                <w:color w:val="auto"/>
                <w:sz w:val="24"/>
              </w:rPr>
            </w:pPr>
          </w:p>
          <w:p w14:paraId="567B3B73">
            <w:pPr>
              <w:pStyle w:val="18"/>
              <w:spacing w:line="360" w:lineRule="auto"/>
              <w:jc w:val="center"/>
              <w:rPr>
                <w:rFonts w:hAnsi="Times New Roman" w:eastAsia="宋体"/>
                <w:b/>
                <w:color w:val="auto"/>
                <w:sz w:val="24"/>
              </w:rPr>
            </w:pPr>
          </w:p>
          <w:p w14:paraId="6A8B9A4E">
            <w:pPr>
              <w:pStyle w:val="18"/>
              <w:spacing w:line="360" w:lineRule="auto"/>
              <w:jc w:val="center"/>
              <w:rPr>
                <w:rFonts w:hAnsi="Times New Roman" w:eastAsia="宋体"/>
                <w:b/>
                <w:color w:val="auto"/>
                <w:sz w:val="24"/>
              </w:rPr>
            </w:pPr>
          </w:p>
          <w:p w14:paraId="545635A3">
            <w:pPr>
              <w:pStyle w:val="18"/>
              <w:spacing w:line="360" w:lineRule="auto"/>
              <w:jc w:val="center"/>
              <w:rPr>
                <w:rFonts w:hAnsi="Times New Roman" w:eastAsia="宋体"/>
                <w:b/>
                <w:color w:val="auto"/>
                <w:sz w:val="24"/>
              </w:rPr>
            </w:pPr>
          </w:p>
          <w:p w14:paraId="11219732">
            <w:pPr>
              <w:pStyle w:val="18"/>
              <w:spacing w:line="360" w:lineRule="auto"/>
              <w:jc w:val="center"/>
              <w:rPr>
                <w:rFonts w:hAnsi="Times New Roman"/>
                <w:color w:val="auto"/>
              </w:rPr>
            </w:pPr>
            <w:r>
              <w:rPr>
                <w:rFonts w:hAnsi="Times New Roman" w:eastAsia="宋体"/>
                <w:b/>
                <w:color w:val="auto"/>
                <w:sz w:val="24"/>
              </w:rPr>
              <w:t>表3-</w:t>
            </w:r>
            <w:r>
              <w:rPr>
                <w:rFonts w:hint="eastAsia" w:hAnsi="Times New Roman" w:eastAsia="宋体"/>
                <w:b/>
                <w:color w:val="auto"/>
                <w:sz w:val="24"/>
              </w:rPr>
              <w:t>6项目（四街卫生院）</w:t>
            </w:r>
            <w:r>
              <w:rPr>
                <w:rFonts w:hAnsi="Times New Roman" w:eastAsia="宋体"/>
                <w:b/>
                <w:color w:val="auto"/>
                <w:sz w:val="24"/>
              </w:rPr>
              <w:t>主要环境保护目标情况</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500"/>
              <w:gridCol w:w="1581"/>
              <w:gridCol w:w="1476"/>
              <w:gridCol w:w="426"/>
              <w:gridCol w:w="426"/>
              <w:gridCol w:w="846"/>
              <w:gridCol w:w="741"/>
              <w:gridCol w:w="1791"/>
            </w:tblGrid>
            <w:tr w14:paraId="7394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3" w:type="dxa"/>
                  <w:vMerge w:val="restart"/>
                  <w:vAlign w:val="center"/>
                </w:tcPr>
                <w:p w14:paraId="50B20BAA">
                  <w:pPr>
                    <w:pStyle w:val="32"/>
                    <w:adjustRightInd w:val="0"/>
                    <w:snapToGrid w:val="0"/>
                    <w:spacing w:after="0"/>
                    <w:ind w:left="0" w:leftChars="0" w:firstLine="0" w:firstLineChars="0"/>
                    <w:jc w:val="center"/>
                    <w:rPr>
                      <w:rFonts w:hint="eastAsia" w:ascii="宋体" w:hAnsi="宋体" w:cs="宋体"/>
                      <w:color w:val="auto"/>
                      <w:sz w:val="21"/>
                      <w:szCs w:val="21"/>
                    </w:rPr>
                  </w:pPr>
                  <w:bookmarkStart w:id="65" w:name="_Hlk192512100"/>
                  <w:r>
                    <w:rPr>
                      <w:rFonts w:hint="eastAsia" w:ascii="宋体" w:hAnsi="宋体" w:cs="宋体"/>
                      <w:color w:val="auto"/>
                      <w:sz w:val="21"/>
                      <w:szCs w:val="21"/>
                    </w:rPr>
                    <w:t>保护内容</w:t>
                  </w:r>
                </w:p>
              </w:tc>
              <w:tc>
                <w:tcPr>
                  <w:tcW w:w="500" w:type="dxa"/>
                  <w:vMerge w:val="restart"/>
                  <w:vAlign w:val="center"/>
                </w:tcPr>
                <w:p w14:paraId="597662E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名称</w:t>
                  </w:r>
                </w:p>
              </w:tc>
              <w:tc>
                <w:tcPr>
                  <w:tcW w:w="3057" w:type="dxa"/>
                  <w:gridSpan w:val="2"/>
                  <w:vAlign w:val="center"/>
                </w:tcPr>
                <w:p w14:paraId="2DBE2D1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坐标</w:t>
                  </w:r>
                </w:p>
              </w:tc>
              <w:tc>
                <w:tcPr>
                  <w:tcW w:w="426" w:type="dxa"/>
                  <w:vMerge w:val="restart"/>
                  <w:vAlign w:val="center"/>
                </w:tcPr>
                <w:p w14:paraId="73D3882A">
                  <w:pPr>
                    <w:pStyle w:val="32"/>
                    <w:adjustRightInd w:val="0"/>
                    <w:snapToGrid w:val="0"/>
                    <w:spacing w:after="0"/>
                    <w:ind w:left="0" w:leftChars="0" w:firstLine="0" w:firstLineChars="0"/>
                    <w:rPr>
                      <w:rFonts w:hint="eastAsia" w:ascii="宋体" w:hAnsi="宋体" w:cs="宋体"/>
                      <w:color w:val="auto"/>
                      <w:sz w:val="21"/>
                      <w:szCs w:val="21"/>
                    </w:rPr>
                  </w:pPr>
                  <w:r>
                    <w:rPr>
                      <w:rFonts w:hint="eastAsia" w:ascii="宋体" w:hAnsi="宋体" w:cs="宋体"/>
                      <w:color w:val="auto"/>
                      <w:sz w:val="21"/>
                      <w:szCs w:val="21"/>
                    </w:rPr>
                    <w:t>保护对象</w:t>
                  </w:r>
                </w:p>
              </w:tc>
              <w:tc>
                <w:tcPr>
                  <w:tcW w:w="426" w:type="dxa"/>
                  <w:vMerge w:val="restart"/>
                  <w:vAlign w:val="center"/>
                </w:tcPr>
                <w:p w14:paraId="151BACC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相对本项目方位</w:t>
                  </w:r>
                </w:p>
              </w:tc>
              <w:tc>
                <w:tcPr>
                  <w:tcW w:w="846" w:type="dxa"/>
                  <w:vMerge w:val="restart"/>
                  <w:vAlign w:val="center"/>
                </w:tcPr>
                <w:p w14:paraId="61C0B33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人口（人）</w:t>
                  </w:r>
                </w:p>
              </w:tc>
              <w:tc>
                <w:tcPr>
                  <w:tcW w:w="741" w:type="dxa"/>
                  <w:vMerge w:val="restart"/>
                  <w:vAlign w:val="center"/>
                </w:tcPr>
                <w:p w14:paraId="38A781F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相对厂址距离（m）</w:t>
                  </w:r>
                </w:p>
              </w:tc>
              <w:tc>
                <w:tcPr>
                  <w:tcW w:w="1791" w:type="dxa"/>
                  <w:vMerge w:val="restart"/>
                  <w:vAlign w:val="center"/>
                </w:tcPr>
                <w:p w14:paraId="0D32DEA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保护级别</w:t>
                  </w:r>
                </w:p>
              </w:tc>
            </w:tr>
            <w:tr w14:paraId="0074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3" w:type="dxa"/>
                  <w:vMerge w:val="continue"/>
                  <w:vAlign w:val="center"/>
                </w:tcPr>
                <w:p w14:paraId="11B42D51">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500" w:type="dxa"/>
                  <w:vMerge w:val="continue"/>
                  <w:vAlign w:val="center"/>
                </w:tcPr>
                <w:p w14:paraId="483B26E9">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581" w:type="dxa"/>
                  <w:vAlign w:val="center"/>
                </w:tcPr>
                <w:p w14:paraId="2050921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东经（</w:t>
                  </w:r>
                  <w:r>
                    <w:rPr>
                      <w:color w:val="auto"/>
                    </w:rPr>
                    <w:t>°</w:t>
                  </w:r>
                  <w:r>
                    <w:rPr>
                      <w:rFonts w:hint="eastAsia" w:ascii="宋体" w:hAnsi="宋体" w:cs="宋体"/>
                      <w:color w:val="auto"/>
                      <w:sz w:val="21"/>
                      <w:szCs w:val="21"/>
                    </w:rPr>
                    <w:t>）</w:t>
                  </w:r>
                </w:p>
              </w:tc>
              <w:tc>
                <w:tcPr>
                  <w:tcW w:w="1476" w:type="dxa"/>
                  <w:vAlign w:val="center"/>
                </w:tcPr>
                <w:p w14:paraId="4E02115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北纬（</w:t>
                  </w:r>
                  <w:r>
                    <w:rPr>
                      <w:color w:val="auto"/>
                    </w:rPr>
                    <w:t>°</w:t>
                  </w:r>
                  <w:r>
                    <w:rPr>
                      <w:rFonts w:hint="eastAsia" w:ascii="宋体" w:hAnsi="宋体" w:cs="宋体"/>
                      <w:color w:val="auto"/>
                      <w:sz w:val="21"/>
                      <w:szCs w:val="21"/>
                    </w:rPr>
                    <w:t>）</w:t>
                  </w:r>
                </w:p>
              </w:tc>
              <w:tc>
                <w:tcPr>
                  <w:tcW w:w="426" w:type="dxa"/>
                  <w:vMerge w:val="continue"/>
                  <w:vAlign w:val="center"/>
                </w:tcPr>
                <w:p w14:paraId="40610AC8">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65E76702">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846" w:type="dxa"/>
                  <w:vMerge w:val="continue"/>
                  <w:vAlign w:val="center"/>
                </w:tcPr>
                <w:p w14:paraId="79679516">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741" w:type="dxa"/>
                  <w:vMerge w:val="continue"/>
                  <w:vAlign w:val="center"/>
                </w:tcPr>
                <w:p w14:paraId="15CF5346">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791" w:type="dxa"/>
                  <w:vMerge w:val="continue"/>
                  <w:vAlign w:val="center"/>
                </w:tcPr>
                <w:p w14:paraId="4DBA55A8">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0581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restart"/>
                  <w:vAlign w:val="center"/>
                </w:tcPr>
                <w:p w14:paraId="21E17150">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大气环境</w:t>
                  </w:r>
                </w:p>
              </w:tc>
              <w:tc>
                <w:tcPr>
                  <w:tcW w:w="500" w:type="dxa"/>
                  <w:vAlign w:val="center"/>
                </w:tcPr>
                <w:p w14:paraId="60C4CD0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四街镇</w:t>
                  </w:r>
                </w:p>
              </w:tc>
              <w:tc>
                <w:tcPr>
                  <w:tcW w:w="1581" w:type="dxa"/>
                  <w:vAlign w:val="center"/>
                </w:tcPr>
                <w:p w14:paraId="78FB3988">
                  <w:pPr>
                    <w:pStyle w:val="53"/>
                    <w:ind w:left="0" w:leftChars="0"/>
                    <w:rPr>
                      <w:rFonts w:hint="eastAsia" w:ascii="宋体" w:hAnsi="宋体" w:cs="宋体"/>
                      <w:color w:val="auto"/>
                      <w:szCs w:val="21"/>
                    </w:rPr>
                  </w:pPr>
                  <w:r>
                    <w:rPr>
                      <w:rFonts w:hint="eastAsia" w:ascii="宋体" w:hAnsi="宋体" w:cs="宋体"/>
                      <w:color w:val="auto"/>
                      <w:szCs w:val="21"/>
                    </w:rPr>
                    <w:t>102.699716831</w:t>
                  </w:r>
                </w:p>
              </w:tc>
              <w:tc>
                <w:tcPr>
                  <w:tcW w:w="1476" w:type="dxa"/>
                  <w:vAlign w:val="center"/>
                </w:tcPr>
                <w:p w14:paraId="58DB1BC7">
                  <w:pPr>
                    <w:pStyle w:val="53"/>
                    <w:ind w:left="0" w:leftChars="0"/>
                    <w:rPr>
                      <w:rFonts w:hint="eastAsia" w:ascii="宋体" w:hAnsi="宋体" w:cs="宋体"/>
                      <w:color w:val="auto"/>
                      <w:szCs w:val="21"/>
                    </w:rPr>
                  </w:pPr>
                  <w:r>
                    <w:rPr>
                      <w:rFonts w:hint="eastAsia" w:ascii="宋体" w:hAnsi="宋体" w:cs="宋体"/>
                      <w:color w:val="auto"/>
                      <w:szCs w:val="21"/>
                    </w:rPr>
                    <w:t>24.163593470</w:t>
                  </w:r>
                </w:p>
              </w:tc>
              <w:tc>
                <w:tcPr>
                  <w:tcW w:w="426" w:type="dxa"/>
                  <w:vAlign w:val="center"/>
                </w:tcPr>
                <w:p w14:paraId="68C5876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7CE903D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西面</w:t>
                  </w:r>
                </w:p>
              </w:tc>
              <w:tc>
                <w:tcPr>
                  <w:tcW w:w="846" w:type="dxa"/>
                  <w:vAlign w:val="center"/>
                </w:tcPr>
                <w:p w14:paraId="12442AA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860</w:t>
                  </w:r>
                </w:p>
              </w:tc>
              <w:tc>
                <w:tcPr>
                  <w:tcW w:w="741" w:type="dxa"/>
                  <w:vAlign w:val="center"/>
                </w:tcPr>
                <w:p w14:paraId="5C24949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37</w:t>
                  </w:r>
                </w:p>
              </w:tc>
              <w:tc>
                <w:tcPr>
                  <w:tcW w:w="1791" w:type="dxa"/>
                  <w:vMerge w:val="restart"/>
                  <w:vAlign w:val="center"/>
                </w:tcPr>
                <w:p w14:paraId="02655BD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《环境空气质量标准》GB3095-2012二级标准</w:t>
                  </w:r>
                </w:p>
              </w:tc>
            </w:tr>
            <w:tr w14:paraId="2323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4869181A">
                  <w:pPr>
                    <w:pStyle w:val="85"/>
                    <w:adjustRightInd w:val="0"/>
                    <w:snapToGrid w:val="0"/>
                    <w:spacing w:line="240" w:lineRule="auto"/>
                    <w:rPr>
                      <w:rFonts w:hint="eastAsia" w:ascii="宋体" w:hAnsi="宋体" w:cs="宋体"/>
                      <w:color w:val="auto"/>
                      <w:szCs w:val="21"/>
                    </w:rPr>
                  </w:pPr>
                </w:p>
              </w:tc>
              <w:tc>
                <w:tcPr>
                  <w:tcW w:w="500" w:type="dxa"/>
                  <w:vAlign w:val="center"/>
                </w:tcPr>
                <w:p w14:paraId="02CE7AF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四街村</w:t>
                  </w:r>
                </w:p>
              </w:tc>
              <w:tc>
                <w:tcPr>
                  <w:tcW w:w="1581" w:type="dxa"/>
                  <w:vAlign w:val="center"/>
                </w:tcPr>
                <w:p w14:paraId="464F7AD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102.705081249</w:t>
                  </w:r>
                </w:p>
              </w:tc>
              <w:tc>
                <w:tcPr>
                  <w:tcW w:w="1476" w:type="dxa"/>
                  <w:vAlign w:val="center"/>
                </w:tcPr>
                <w:p w14:paraId="72287DA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24.166447340</w:t>
                  </w:r>
                </w:p>
              </w:tc>
              <w:tc>
                <w:tcPr>
                  <w:tcW w:w="426" w:type="dxa"/>
                  <w:vAlign w:val="center"/>
                </w:tcPr>
                <w:p w14:paraId="1669173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58AD08A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东面</w:t>
                  </w:r>
                </w:p>
              </w:tc>
              <w:tc>
                <w:tcPr>
                  <w:tcW w:w="846" w:type="dxa"/>
                  <w:vAlign w:val="center"/>
                </w:tcPr>
                <w:p w14:paraId="0132B15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752</w:t>
                  </w:r>
                </w:p>
              </w:tc>
              <w:tc>
                <w:tcPr>
                  <w:tcW w:w="741" w:type="dxa"/>
                  <w:vAlign w:val="center"/>
                </w:tcPr>
                <w:p w14:paraId="10C9031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w:t>
                  </w:r>
                </w:p>
              </w:tc>
              <w:tc>
                <w:tcPr>
                  <w:tcW w:w="1791" w:type="dxa"/>
                  <w:vMerge w:val="continue"/>
                  <w:vAlign w:val="center"/>
                </w:tcPr>
                <w:p w14:paraId="0A881F3D">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7C16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16B46A74">
                  <w:pPr>
                    <w:pStyle w:val="85"/>
                    <w:adjustRightInd w:val="0"/>
                    <w:snapToGrid w:val="0"/>
                    <w:spacing w:line="240" w:lineRule="auto"/>
                    <w:rPr>
                      <w:rFonts w:hint="eastAsia" w:ascii="宋体" w:hAnsi="宋体" w:cs="宋体"/>
                      <w:color w:val="auto"/>
                      <w:szCs w:val="21"/>
                    </w:rPr>
                  </w:pPr>
                </w:p>
              </w:tc>
              <w:tc>
                <w:tcPr>
                  <w:tcW w:w="500" w:type="dxa"/>
                  <w:vAlign w:val="center"/>
                </w:tcPr>
                <w:p w14:paraId="226491E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四街中心幼儿园</w:t>
                  </w:r>
                </w:p>
              </w:tc>
              <w:tc>
                <w:tcPr>
                  <w:tcW w:w="1581" w:type="dxa"/>
                  <w:vAlign w:val="center"/>
                </w:tcPr>
                <w:p w14:paraId="073D73F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102.703949357</w:t>
                  </w:r>
                </w:p>
              </w:tc>
              <w:tc>
                <w:tcPr>
                  <w:tcW w:w="1476" w:type="dxa"/>
                  <w:vAlign w:val="center"/>
                </w:tcPr>
                <w:p w14:paraId="5B96994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24.168839870</w:t>
                  </w:r>
                </w:p>
              </w:tc>
              <w:tc>
                <w:tcPr>
                  <w:tcW w:w="426" w:type="dxa"/>
                  <w:vAlign w:val="center"/>
                </w:tcPr>
                <w:p w14:paraId="3B83AA2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45244CE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北面</w:t>
                  </w:r>
                </w:p>
              </w:tc>
              <w:tc>
                <w:tcPr>
                  <w:tcW w:w="846" w:type="dxa"/>
                  <w:vAlign w:val="center"/>
                </w:tcPr>
                <w:p w14:paraId="1CA7EC0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85</w:t>
                  </w:r>
                </w:p>
              </w:tc>
              <w:tc>
                <w:tcPr>
                  <w:tcW w:w="741" w:type="dxa"/>
                  <w:vAlign w:val="center"/>
                </w:tcPr>
                <w:p w14:paraId="711595E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381</w:t>
                  </w:r>
                </w:p>
              </w:tc>
              <w:tc>
                <w:tcPr>
                  <w:tcW w:w="1791" w:type="dxa"/>
                  <w:vMerge w:val="continue"/>
                  <w:vAlign w:val="center"/>
                </w:tcPr>
                <w:p w14:paraId="64250AA5">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747F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002D50E1">
                  <w:pPr>
                    <w:pStyle w:val="85"/>
                    <w:adjustRightInd w:val="0"/>
                    <w:snapToGrid w:val="0"/>
                    <w:spacing w:line="240" w:lineRule="auto"/>
                    <w:rPr>
                      <w:rFonts w:hint="eastAsia" w:ascii="宋体" w:hAnsi="宋体" w:cs="宋体"/>
                      <w:color w:val="auto"/>
                      <w:szCs w:val="21"/>
                    </w:rPr>
                  </w:pPr>
                </w:p>
              </w:tc>
              <w:tc>
                <w:tcPr>
                  <w:tcW w:w="500" w:type="dxa"/>
                  <w:vAlign w:val="center"/>
                </w:tcPr>
                <w:p w14:paraId="658465A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四街中心小学</w:t>
                  </w:r>
                </w:p>
              </w:tc>
              <w:tc>
                <w:tcPr>
                  <w:tcW w:w="1581" w:type="dxa"/>
                  <w:vAlign w:val="center"/>
                </w:tcPr>
                <w:p w14:paraId="233BE3E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102.704872036</w:t>
                  </w:r>
                </w:p>
              </w:tc>
              <w:tc>
                <w:tcPr>
                  <w:tcW w:w="1476" w:type="dxa"/>
                  <w:vAlign w:val="center"/>
                </w:tcPr>
                <w:p w14:paraId="4BA2D3E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24.169236837</w:t>
                  </w:r>
                </w:p>
              </w:tc>
              <w:tc>
                <w:tcPr>
                  <w:tcW w:w="426" w:type="dxa"/>
                  <w:vAlign w:val="center"/>
                </w:tcPr>
                <w:p w14:paraId="40A9487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394D285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东北面</w:t>
                  </w:r>
                </w:p>
              </w:tc>
              <w:tc>
                <w:tcPr>
                  <w:tcW w:w="846" w:type="dxa"/>
                  <w:vAlign w:val="center"/>
                </w:tcPr>
                <w:p w14:paraId="60114CC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290</w:t>
                  </w:r>
                </w:p>
              </w:tc>
              <w:tc>
                <w:tcPr>
                  <w:tcW w:w="741" w:type="dxa"/>
                  <w:vAlign w:val="center"/>
                </w:tcPr>
                <w:p w14:paraId="12BC1AF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430</w:t>
                  </w:r>
                </w:p>
              </w:tc>
              <w:tc>
                <w:tcPr>
                  <w:tcW w:w="1791" w:type="dxa"/>
                  <w:vMerge w:val="continue"/>
                  <w:vAlign w:val="center"/>
                </w:tcPr>
                <w:p w14:paraId="5563E619">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77CB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510FCED9">
                  <w:pPr>
                    <w:pStyle w:val="85"/>
                    <w:adjustRightInd w:val="0"/>
                    <w:snapToGrid w:val="0"/>
                    <w:spacing w:line="240" w:lineRule="auto"/>
                    <w:rPr>
                      <w:rFonts w:hint="eastAsia" w:ascii="宋体" w:hAnsi="宋体" w:cs="宋体"/>
                      <w:color w:val="auto"/>
                      <w:szCs w:val="21"/>
                    </w:rPr>
                  </w:pPr>
                </w:p>
              </w:tc>
              <w:tc>
                <w:tcPr>
                  <w:tcW w:w="500" w:type="dxa"/>
                  <w:vAlign w:val="center"/>
                </w:tcPr>
                <w:p w14:paraId="667F40F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通海三中</w:t>
                  </w:r>
                </w:p>
              </w:tc>
              <w:tc>
                <w:tcPr>
                  <w:tcW w:w="1581" w:type="dxa"/>
                  <w:vAlign w:val="center"/>
                </w:tcPr>
                <w:p w14:paraId="3AEBE6F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102.704764748</w:t>
                  </w:r>
                </w:p>
              </w:tc>
              <w:tc>
                <w:tcPr>
                  <w:tcW w:w="1476" w:type="dxa"/>
                  <w:vAlign w:val="center"/>
                </w:tcPr>
                <w:p w14:paraId="0707B9F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24.170052229</w:t>
                  </w:r>
                </w:p>
              </w:tc>
              <w:tc>
                <w:tcPr>
                  <w:tcW w:w="426" w:type="dxa"/>
                  <w:vAlign w:val="center"/>
                </w:tcPr>
                <w:p w14:paraId="4E77043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46E97BA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东北</w:t>
                  </w:r>
                </w:p>
              </w:tc>
              <w:tc>
                <w:tcPr>
                  <w:tcW w:w="846" w:type="dxa"/>
                  <w:vAlign w:val="center"/>
                </w:tcPr>
                <w:p w14:paraId="0638E4E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420</w:t>
                  </w:r>
                </w:p>
              </w:tc>
              <w:tc>
                <w:tcPr>
                  <w:tcW w:w="741" w:type="dxa"/>
                  <w:vAlign w:val="center"/>
                </w:tcPr>
                <w:p w14:paraId="4FB2065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495</w:t>
                  </w:r>
                </w:p>
              </w:tc>
              <w:tc>
                <w:tcPr>
                  <w:tcW w:w="1791" w:type="dxa"/>
                  <w:vMerge w:val="continue"/>
                  <w:vAlign w:val="center"/>
                </w:tcPr>
                <w:p w14:paraId="7BAB5AE7">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1B06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restart"/>
                  <w:vAlign w:val="center"/>
                </w:tcPr>
                <w:p w14:paraId="4AB42AB4">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声环境</w:t>
                  </w:r>
                </w:p>
              </w:tc>
              <w:tc>
                <w:tcPr>
                  <w:tcW w:w="500" w:type="dxa"/>
                  <w:vAlign w:val="center"/>
                </w:tcPr>
                <w:p w14:paraId="7CD70E5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四街村</w:t>
                  </w:r>
                </w:p>
              </w:tc>
              <w:tc>
                <w:tcPr>
                  <w:tcW w:w="1581" w:type="dxa"/>
                  <w:vAlign w:val="center"/>
                </w:tcPr>
                <w:p w14:paraId="614DD60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102.705081249</w:t>
                  </w:r>
                </w:p>
              </w:tc>
              <w:tc>
                <w:tcPr>
                  <w:tcW w:w="1476" w:type="dxa"/>
                  <w:vAlign w:val="center"/>
                </w:tcPr>
                <w:p w14:paraId="0217B96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24.166447340</w:t>
                  </w:r>
                </w:p>
              </w:tc>
              <w:tc>
                <w:tcPr>
                  <w:tcW w:w="426" w:type="dxa"/>
                  <w:vAlign w:val="center"/>
                </w:tcPr>
                <w:p w14:paraId="6330AAD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5D16CEB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东面</w:t>
                  </w:r>
                </w:p>
              </w:tc>
              <w:tc>
                <w:tcPr>
                  <w:tcW w:w="846" w:type="dxa"/>
                  <w:vAlign w:val="center"/>
                </w:tcPr>
                <w:p w14:paraId="4F049CA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752</w:t>
                  </w:r>
                </w:p>
              </w:tc>
              <w:tc>
                <w:tcPr>
                  <w:tcW w:w="741" w:type="dxa"/>
                  <w:vAlign w:val="center"/>
                </w:tcPr>
                <w:p w14:paraId="7EFA23D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w:t>
                  </w:r>
                </w:p>
              </w:tc>
              <w:tc>
                <w:tcPr>
                  <w:tcW w:w="1791" w:type="dxa"/>
                  <w:vMerge w:val="restart"/>
                  <w:vAlign w:val="center"/>
                </w:tcPr>
                <w:p w14:paraId="5D3D7D9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《声环境质量标准》（GB3096-2008）2类标准</w:t>
                  </w:r>
                </w:p>
              </w:tc>
            </w:tr>
            <w:tr w14:paraId="5A9F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768EBEBE">
                  <w:pPr>
                    <w:pStyle w:val="85"/>
                    <w:adjustRightInd w:val="0"/>
                    <w:snapToGrid w:val="0"/>
                    <w:spacing w:line="240" w:lineRule="auto"/>
                    <w:rPr>
                      <w:rFonts w:hint="eastAsia" w:ascii="宋体" w:hAnsi="宋体" w:cs="宋体"/>
                      <w:color w:val="auto"/>
                      <w:szCs w:val="21"/>
                    </w:rPr>
                  </w:pPr>
                </w:p>
              </w:tc>
              <w:tc>
                <w:tcPr>
                  <w:tcW w:w="500" w:type="dxa"/>
                  <w:vAlign w:val="center"/>
                </w:tcPr>
                <w:p w14:paraId="5D38763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四街镇</w:t>
                  </w:r>
                </w:p>
              </w:tc>
              <w:tc>
                <w:tcPr>
                  <w:tcW w:w="1581" w:type="dxa"/>
                  <w:vAlign w:val="center"/>
                </w:tcPr>
                <w:p w14:paraId="5A1CB556">
                  <w:pPr>
                    <w:pStyle w:val="53"/>
                    <w:ind w:left="0" w:leftChars="0"/>
                    <w:rPr>
                      <w:rFonts w:hint="eastAsia" w:ascii="宋体" w:hAnsi="宋体" w:cs="宋体"/>
                      <w:color w:val="auto"/>
                      <w:szCs w:val="21"/>
                    </w:rPr>
                  </w:pPr>
                  <w:r>
                    <w:rPr>
                      <w:rFonts w:hint="eastAsia" w:ascii="宋体" w:hAnsi="宋体" w:cs="宋体"/>
                      <w:color w:val="auto"/>
                      <w:szCs w:val="21"/>
                    </w:rPr>
                    <w:t>102.699716831</w:t>
                  </w:r>
                </w:p>
              </w:tc>
              <w:tc>
                <w:tcPr>
                  <w:tcW w:w="1476" w:type="dxa"/>
                  <w:vAlign w:val="center"/>
                </w:tcPr>
                <w:p w14:paraId="1A658068">
                  <w:pPr>
                    <w:pStyle w:val="53"/>
                    <w:ind w:left="0" w:leftChars="0"/>
                    <w:rPr>
                      <w:rFonts w:hint="eastAsia" w:ascii="宋体" w:hAnsi="宋体" w:cs="宋体"/>
                      <w:color w:val="auto"/>
                      <w:szCs w:val="21"/>
                    </w:rPr>
                  </w:pPr>
                  <w:r>
                    <w:rPr>
                      <w:rFonts w:hint="eastAsia" w:ascii="宋体" w:hAnsi="宋体" w:cs="宋体"/>
                      <w:color w:val="auto"/>
                      <w:szCs w:val="21"/>
                    </w:rPr>
                    <w:t>24.163593470</w:t>
                  </w:r>
                </w:p>
              </w:tc>
              <w:tc>
                <w:tcPr>
                  <w:tcW w:w="426" w:type="dxa"/>
                  <w:vAlign w:val="center"/>
                </w:tcPr>
                <w:p w14:paraId="42FBD94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52CBDEF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西面</w:t>
                  </w:r>
                </w:p>
              </w:tc>
              <w:tc>
                <w:tcPr>
                  <w:tcW w:w="846" w:type="dxa"/>
                  <w:vAlign w:val="center"/>
                </w:tcPr>
                <w:p w14:paraId="7235D04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860</w:t>
                  </w:r>
                </w:p>
              </w:tc>
              <w:tc>
                <w:tcPr>
                  <w:tcW w:w="741" w:type="dxa"/>
                  <w:vAlign w:val="center"/>
                </w:tcPr>
                <w:p w14:paraId="1584C54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37</w:t>
                  </w:r>
                </w:p>
              </w:tc>
              <w:tc>
                <w:tcPr>
                  <w:tcW w:w="1791" w:type="dxa"/>
                  <w:vMerge w:val="continue"/>
                  <w:vAlign w:val="center"/>
                </w:tcPr>
                <w:p w14:paraId="219134B3">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0CF3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573" w:type="dxa"/>
                  <w:vMerge w:val="restart"/>
                  <w:vAlign w:val="center"/>
                </w:tcPr>
                <w:p w14:paraId="311EC487">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地表水环境</w:t>
                  </w:r>
                </w:p>
              </w:tc>
              <w:tc>
                <w:tcPr>
                  <w:tcW w:w="500" w:type="dxa"/>
                  <w:vAlign w:val="center"/>
                </w:tcPr>
                <w:p w14:paraId="04663BC6">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者湾河</w:t>
                  </w:r>
                </w:p>
              </w:tc>
              <w:tc>
                <w:tcPr>
                  <w:tcW w:w="1581" w:type="dxa"/>
                  <w:vAlign w:val="center"/>
                </w:tcPr>
                <w:p w14:paraId="610FCE67">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1476" w:type="dxa"/>
                  <w:vAlign w:val="center"/>
                </w:tcPr>
                <w:p w14:paraId="366E3D74">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426" w:type="dxa"/>
                  <w:vAlign w:val="center"/>
                </w:tcPr>
                <w:p w14:paraId="3E386488">
                  <w:pPr>
                    <w:adjustRightInd w:val="0"/>
                    <w:snapToGrid w:val="0"/>
                    <w:jc w:val="center"/>
                    <w:rPr>
                      <w:rFonts w:hint="eastAsia" w:ascii="宋体" w:hAnsi="宋体" w:cs="宋体"/>
                      <w:color w:val="auto"/>
                      <w:szCs w:val="21"/>
                    </w:rPr>
                  </w:pPr>
                  <w:r>
                    <w:rPr>
                      <w:rFonts w:hint="eastAsia" w:ascii="宋体" w:hAnsi="宋体" w:cs="宋体"/>
                      <w:color w:val="auto"/>
                      <w:szCs w:val="21"/>
                    </w:rPr>
                    <w:t>河流</w:t>
                  </w:r>
                </w:p>
              </w:tc>
              <w:tc>
                <w:tcPr>
                  <w:tcW w:w="426" w:type="dxa"/>
                  <w:vAlign w:val="center"/>
                </w:tcPr>
                <w:p w14:paraId="147583A2">
                  <w:pPr>
                    <w:adjustRightInd w:val="0"/>
                    <w:snapToGrid w:val="0"/>
                    <w:jc w:val="center"/>
                    <w:rPr>
                      <w:rFonts w:hint="eastAsia" w:ascii="宋体" w:hAnsi="宋体" w:cs="宋体"/>
                      <w:color w:val="auto"/>
                      <w:szCs w:val="21"/>
                    </w:rPr>
                  </w:pPr>
                  <w:r>
                    <w:rPr>
                      <w:rFonts w:hint="eastAsia" w:ascii="宋体" w:hAnsi="宋体" w:cs="宋体"/>
                      <w:color w:val="auto"/>
                      <w:szCs w:val="21"/>
                    </w:rPr>
                    <w:t>东面</w:t>
                  </w:r>
                </w:p>
              </w:tc>
              <w:tc>
                <w:tcPr>
                  <w:tcW w:w="846" w:type="dxa"/>
                  <w:vAlign w:val="center"/>
                </w:tcPr>
                <w:p w14:paraId="7B47A99A">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741" w:type="dxa"/>
                  <w:vAlign w:val="center"/>
                </w:tcPr>
                <w:p w14:paraId="07426B4A">
                  <w:pPr>
                    <w:adjustRightInd w:val="0"/>
                    <w:snapToGrid w:val="0"/>
                    <w:jc w:val="center"/>
                    <w:rPr>
                      <w:rFonts w:hint="eastAsia" w:ascii="宋体" w:hAnsi="宋体" w:cs="宋体"/>
                      <w:color w:val="auto"/>
                      <w:szCs w:val="21"/>
                    </w:rPr>
                  </w:pPr>
                  <w:r>
                    <w:rPr>
                      <w:rFonts w:hint="eastAsia" w:ascii="宋体" w:hAnsi="宋体" w:cs="宋体"/>
                      <w:color w:val="auto"/>
                      <w:szCs w:val="21"/>
                    </w:rPr>
                    <w:t>610m</w:t>
                  </w:r>
                </w:p>
              </w:tc>
              <w:tc>
                <w:tcPr>
                  <w:tcW w:w="1791" w:type="dxa"/>
                  <w:vAlign w:val="center"/>
                </w:tcPr>
                <w:p w14:paraId="1A1AB08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《地表水环境质量标准》（GB3838-2002）Ⅲ类标准</w:t>
                  </w:r>
                </w:p>
              </w:tc>
            </w:tr>
            <w:tr w14:paraId="5265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573" w:type="dxa"/>
                  <w:vMerge w:val="continue"/>
                  <w:vAlign w:val="center"/>
                </w:tcPr>
                <w:p w14:paraId="05D8279E">
                  <w:pPr>
                    <w:pStyle w:val="85"/>
                    <w:adjustRightInd w:val="0"/>
                    <w:snapToGrid w:val="0"/>
                    <w:spacing w:line="240" w:lineRule="auto"/>
                    <w:rPr>
                      <w:rFonts w:hint="eastAsia" w:ascii="宋体" w:hAnsi="宋体" w:cs="宋体"/>
                      <w:color w:val="auto"/>
                      <w:szCs w:val="21"/>
                    </w:rPr>
                  </w:pPr>
                </w:p>
              </w:tc>
              <w:tc>
                <w:tcPr>
                  <w:tcW w:w="500" w:type="dxa"/>
                  <w:vAlign w:val="center"/>
                </w:tcPr>
                <w:p w14:paraId="50747DDD">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杞麓湖</w:t>
                  </w:r>
                </w:p>
              </w:tc>
              <w:tc>
                <w:tcPr>
                  <w:tcW w:w="1581" w:type="dxa"/>
                  <w:vAlign w:val="center"/>
                </w:tcPr>
                <w:p w14:paraId="200D5A3C">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1476" w:type="dxa"/>
                  <w:vAlign w:val="center"/>
                </w:tcPr>
                <w:p w14:paraId="3B4B6632">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426" w:type="dxa"/>
                  <w:vAlign w:val="center"/>
                </w:tcPr>
                <w:p w14:paraId="569C610F">
                  <w:pPr>
                    <w:adjustRightInd w:val="0"/>
                    <w:snapToGrid w:val="0"/>
                    <w:jc w:val="center"/>
                    <w:rPr>
                      <w:rFonts w:hint="eastAsia" w:ascii="宋体" w:hAnsi="宋体" w:cs="宋体"/>
                      <w:color w:val="auto"/>
                      <w:szCs w:val="21"/>
                    </w:rPr>
                  </w:pPr>
                  <w:r>
                    <w:rPr>
                      <w:rFonts w:hint="eastAsia" w:ascii="宋体" w:hAnsi="宋体" w:cs="宋体"/>
                      <w:color w:val="auto"/>
                      <w:szCs w:val="21"/>
                    </w:rPr>
                    <w:t>湖泊</w:t>
                  </w:r>
                </w:p>
              </w:tc>
              <w:tc>
                <w:tcPr>
                  <w:tcW w:w="426" w:type="dxa"/>
                  <w:vAlign w:val="center"/>
                </w:tcPr>
                <w:p w14:paraId="48444E92">
                  <w:pPr>
                    <w:adjustRightInd w:val="0"/>
                    <w:snapToGrid w:val="0"/>
                    <w:jc w:val="center"/>
                    <w:rPr>
                      <w:rFonts w:hint="eastAsia" w:ascii="宋体" w:hAnsi="宋体" w:cs="宋体"/>
                      <w:color w:val="auto"/>
                      <w:szCs w:val="21"/>
                    </w:rPr>
                  </w:pPr>
                  <w:r>
                    <w:rPr>
                      <w:rFonts w:hint="eastAsia" w:ascii="宋体" w:hAnsi="宋体" w:cs="宋体"/>
                      <w:color w:val="auto"/>
                      <w:szCs w:val="21"/>
                    </w:rPr>
                    <w:t>东南面</w:t>
                  </w:r>
                </w:p>
              </w:tc>
              <w:tc>
                <w:tcPr>
                  <w:tcW w:w="846" w:type="dxa"/>
                  <w:vAlign w:val="center"/>
                </w:tcPr>
                <w:p w14:paraId="7F8713DF">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741" w:type="dxa"/>
                  <w:vAlign w:val="center"/>
                </w:tcPr>
                <w:p w14:paraId="7C12543C">
                  <w:pPr>
                    <w:adjustRightInd w:val="0"/>
                    <w:snapToGrid w:val="0"/>
                    <w:jc w:val="center"/>
                    <w:rPr>
                      <w:rFonts w:hint="eastAsia" w:ascii="宋体" w:hAnsi="宋体" w:cs="宋体"/>
                      <w:color w:val="auto"/>
                      <w:szCs w:val="21"/>
                    </w:rPr>
                  </w:pPr>
                  <w:r>
                    <w:rPr>
                      <w:rFonts w:hint="eastAsia" w:ascii="宋体" w:hAnsi="宋体" w:cs="宋体"/>
                      <w:color w:val="auto"/>
                      <w:szCs w:val="21"/>
                    </w:rPr>
                    <w:t>1965m</w:t>
                  </w:r>
                </w:p>
              </w:tc>
              <w:tc>
                <w:tcPr>
                  <w:tcW w:w="1791" w:type="dxa"/>
                  <w:vAlign w:val="center"/>
                </w:tcPr>
                <w:p w14:paraId="6636764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《地表水环境质量标准》（GB3838-2002）Ⅲ类标准</w:t>
                  </w:r>
                </w:p>
              </w:tc>
            </w:tr>
            <w:bookmarkEnd w:id="65"/>
          </w:tbl>
          <w:p w14:paraId="1FB4F7CE">
            <w:pPr>
              <w:pStyle w:val="18"/>
              <w:spacing w:line="360" w:lineRule="auto"/>
              <w:jc w:val="center"/>
              <w:rPr>
                <w:rFonts w:hAnsi="Times New Roman"/>
                <w:color w:val="auto"/>
              </w:rPr>
            </w:pPr>
            <w:r>
              <w:rPr>
                <w:rFonts w:hAnsi="Times New Roman" w:eastAsia="宋体"/>
                <w:b/>
                <w:color w:val="auto"/>
                <w:sz w:val="24"/>
              </w:rPr>
              <w:t>表3-</w:t>
            </w:r>
            <w:r>
              <w:rPr>
                <w:rFonts w:hint="eastAsia" w:hAnsi="Times New Roman" w:eastAsia="宋体"/>
                <w:b/>
                <w:color w:val="auto"/>
                <w:sz w:val="24"/>
              </w:rPr>
              <w:t>7项目（九龙卫生院）</w:t>
            </w:r>
            <w:r>
              <w:rPr>
                <w:rFonts w:hAnsi="Times New Roman" w:eastAsia="宋体"/>
                <w:b/>
                <w:color w:val="auto"/>
                <w:sz w:val="24"/>
              </w:rPr>
              <w:t>主要环境保护目标情况</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500"/>
              <w:gridCol w:w="1581"/>
              <w:gridCol w:w="1476"/>
              <w:gridCol w:w="426"/>
              <w:gridCol w:w="426"/>
              <w:gridCol w:w="846"/>
              <w:gridCol w:w="741"/>
              <w:gridCol w:w="1791"/>
            </w:tblGrid>
            <w:tr w14:paraId="5D10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3" w:type="dxa"/>
                  <w:vMerge w:val="restart"/>
                  <w:vAlign w:val="center"/>
                </w:tcPr>
                <w:p w14:paraId="7C934FDB">
                  <w:pPr>
                    <w:pStyle w:val="32"/>
                    <w:adjustRightInd w:val="0"/>
                    <w:snapToGrid w:val="0"/>
                    <w:spacing w:after="0"/>
                    <w:ind w:left="0" w:leftChars="0" w:firstLine="0" w:firstLineChars="0"/>
                    <w:jc w:val="center"/>
                    <w:rPr>
                      <w:rFonts w:hint="eastAsia" w:ascii="宋体" w:hAnsi="宋体" w:cs="宋体"/>
                      <w:color w:val="auto"/>
                      <w:sz w:val="21"/>
                      <w:szCs w:val="21"/>
                    </w:rPr>
                  </w:pPr>
                  <w:bookmarkStart w:id="66" w:name="_Hlk192512876"/>
                  <w:r>
                    <w:rPr>
                      <w:rFonts w:hint="eastAsia" w:ascii="宋体" w:hAnsi="宋体" w:cs="宋体"/>
                      <w:color w:val="auto"/>
                      <w:sz w:val="21"/>
                      <w:szCs w:val="21"/>
                    </w:rPr>
                    <w:t>保护内容</w:t>
                  </w:r>
                </w:p>
              </w:tc>
              <w:tc>
                <w:tcPr>
                  <w:tcW w:w="500" w:type="dxa"/>
                  <w:vMerge w:val="restart"/>
                  <w:vAlign w:val="center"/>
                </w:tcPr>
                <w:p w14:paraId="3A6B835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名称</w:t>
                  </w:r>
                </w:p>
              </w:tc>
              <w:tc>
                <w:tcPr>
                  <w:tcW w:w="3057" w:type="dxa"/>
                  <w:gridSpan w:val="2"/>
                  <w:vAlign w:val="center"/>
                </w:tcPr>
                <w:p w14:paraId="499A60F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坐标</w:t>
                  </w:r>
                </w:p>
              </w:tc>
              <w:tc>
                <w:tcPr>
                  <w:tcW w:w="426" w:type="dxa"/>
                  <w:vMerge w:val="restart"/>
                  <w:vAlign w:val="center"/>
                </w:tcPr>
                <w:p w14:paraId="4286E50F">
                  <w:pPr>
                    <w:pStyle w:val="32"/>
                    <w:adjustRightInd w:val="0"/>
                    <w:snapToGrid w:val="0"/>
                    <w:spacing w:after="0"/>
                    <w:ind w:left="0" w:leftChars="0" w:firstLine="0" w:firstLineChars="0"/>
                    <w:rPr>
                      <w:rFonts w:hint="eastAsia" w:ascii="宋体" w:hAnsi="宋体" w:cs="宋体"/>
                      <w:color w:val="auto"/>
                      <w:sz w:val="21"/>
                      <w:szCs w:val="21"/>
                    </w:rPr>
                  </w:pPr>
                  <w:r>
                    <w:rPr>
                      <w:rFonts w:hint="eastAsia" w:ascii="宋体" w:hAnsi="宋体" w:cs="宋体"/>
                      <w:color w:val="auto"/>
                      <w:sz w:val="21"/>
                      <w:szCs w:val="21"/>
                    </w:rPr>
                    <w:t>保护对象</w:t>
                  </w:r>
                </w:p>
              </w:tc>
              <w:tc>
                <w:tcPr>
                  <w:tcW w:w="426" w:type="dxa"/>
                  <w:vMerge w:val="restart"/>
                  <w:vAlign w:val="center"/>
                </w:tcPr>
                <w:p w14:paraId="4C0E378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相对本项目方位</w:t>
                  </w:r>
                </w:p>
              </w:tc>
              <w:tc>
                <w:tcPr>
                  <w:tcW w:w="846" w:type="dxa"/>
                  <w:vMerge w:val="restart"/>
                  <w:vAlign w:val="center"/>
                </w:tcPr>
                <w:p w14:paraId="58762AE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人口（人）</w:t>
                  </w:r>
                </w:p>
              </w:tc>
              <w:tc>
                <w:tcPr>
                  <w:tcW w:w="741" w:type="dxa"/>
                  <w:vMerge w:val="restart"/>
                  <w:vAlign w:val="center"/>
                </w:tcPr>
                <w:p w14:paraId="48581A4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相对厂址距离（m）</w:t>
                  </w:r>
                </w:p>
              </w:tc>
              <w:tc>
                <w:tcPr>
                  <w:tcW w:w="1791" w:type="dxa"/>
                  <w:vMerge w:val="restart"/>
                  <w:vAlign w:val="center"/>
                </w:tcPr>
                <w:p w14:paraId="76F62C5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保护级别</w:t>
                  </w:r>
                </w:p>
              </w:tc>
            </w:tr>
            <w:tr w14:paraId="3CA6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3" w:type="dxa"/>
                  <w:vMerge w:val="continue"/>
                  <w:vAlign w:val="center"/>
                </w:tcPr>
                <w:p w14:paraId="5993BCFA">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500" w:type="dxa"/>
                  <w:vMerge w:val="continue"/>
                  <w:vAlign w:val="center"/>
                </w:tcPr>
                <w:p w14:paraId="13C5A2BB">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581" w:type="dxa"/>
                  <w:vAlign w:val="center"/>
                </w:tcPr>
                <w:p w14:paraId="2000A69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东经（</w:t>
                  </w:r>
                  <w:r>
                    <w:rPr>
                      <w:color w:val="auto"/>
                    </w:rPr>
                    <w:t>°</w:t>
                  </w:r>
                  <w:r>
                    <w:rPr>
                      <w:rFonts w:hint="eastAsia" w:ascii="宋体" w:hAnsi="宋体" w:cs="宋体"/>
                      <w:color w:val="auto"/>
                      <w:sz w:val="21"/>
                      <w:szCs w:val="21"/>
                    </w:rPr>
                    <w:t>）</w:t>
                  </w:r>
                </w:p>
              </w:tc>
              <w:tc>
                <w:tcPr>
                  <w:tcW w:w="1476" w:type="dxa"/>
                  <w:vAlign w:val="center"/>
                </w:tcPr>
                <w:p w14:paraId="5403D3B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北纬（</w:t>
                  </w:r>
                  <w:r>
                    <w:rPr>
                      <w:color w:val="auto"/>
                    </w:rPr>
                    <w:t>°</w:t>
                  </w:r>
                  <w:r>
                    <w:rPr>
                      <w:rFonts w:hint="eastAsia" w:ascii="宋体" w:hAnsi="宋体" w:cs="宋体"/>
                      <w:color w:val="auto"/>
                      <w:sz w:val="21"/>
                      <w:szCs w:val="21"/>
                    </w:rPr>
                    <w:t>）</w:t>
                  </w:r>
                </w:p>
              </w:tc>
              <w:tc>
                <w:tcPr>
                  <w:tcW w:w="426" w:type="dxa"/>
                  <w:vMerge w:val="continue"/>
                  <w:vAlign w:val="center"/>
                </w:tcPr>
                <w:p w14:paraId="31DDB354">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21355890">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846" w:type="dxa"/>
                  <w:vMerge w:val="continue"/>
                  <w:vAlign w:val="center"/>
                </w:tcPr>
                <w:p w14:paraId="169344E3">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741" w:type="dxa"/>
                  <w:vMerge w:val="continue"/>
                  <w:vAlign w:val="center"/>
                </w:tcPr>
                <w:p w14:paraId="2AC67143">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791" w:type="dxa"/>
                  <w:vMerge w:val="continue"/>
                  <w:vAlign w:val="center"/>
                </w:tcPr>
                <w:p w14:paraId="19F3E50B">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63EE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restart"/>
                  <w:vAlign w:val="center"/>
                </w:tcPr>
                <w:p w14:paraId="5E2EDDB4">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大气环境</w:t>
                  </w:r>
                </w:p>
              </w:tc>
              <w:tc>
                <w:tcPr>
                  <w:tcW w:w="500" w:type="dxa"/>
                  <w:vAlign w:val="center"/>
                </w:tcPr>
                <w:p w14:paraId="46FC20A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通海县九龙中学</w:t>
                  </w:r>
                </w:p>
              </w:tc>
              <w:tc>
                <w:tcPr>
                  <w:tcW w:w="1581" w:type="dxa"/>
                  <w:vAlign w:val="center"/>
                </w:tcPr>
                <w:p w14:paraId="517D6D79">
                  <w:pPr>
                    <w:pStyle w:val="53"/>
                    <w:ind w:left="0" w:leftChars="0"/>
                    <w:rPr>
                      <w:rFonts w:hint="eastAsia" w:ascii="宋体" w:hAnsi="宋体" w:cs="宋体"/>
                      <w:color w:val="auto"/>
                      <w:szCs w:val="21"/>
                    </w:rPr>
                  </w:pPr>
                  <w:r>
                    <w:rPr>
                      <w:rFonts w:hint="eastAsia" w:ascii="宋体" w:hAnsi="宋体" w:cs="宋体"/>
                      <w:color w:val="auto"/>
                      <w:szCs w:val="21"/>
                    </w:rPr>
                    <w:t>102.690964783</w:t>
                  </w:r>
                </w:p>
              </w:tc>
              <w:tc>
                <w:tcPr>
                  <w:tcW w:w="1476" w:type="dxa"/>
                  <w:vAlign w:val="center"/>
                </w:tcPr>
                <w:p w14:paraId="53DDADBF">
                  <w:pPr>
                    <w:pStyle w:val="53"/>
                    <w:ind w:left="0" w:leftChars="0"/>
                    <w:rPr>
                      <w:rFonts w:hint="eastAsia" w:ascii="宋体" w:hAnsi="宋体" w:cs="宋体"/>
                      <w:color w:val="auto"/>
                      <w:szCs w:val="21"/>
                    </w:rPr>
                  </w:pPr>
                  <w:r>
                    <w:rPr>
                      <w:rFonts w:hint="eastAsia" w:ascii="宋体" w:hAnsi="宋体" w:cs="宋体"/>
                      <w:color w:val="auto"/>
                      <w:szCs w:val="21"/>
                    </w:rPr>
                    <w:t>24.116058020</w:t>
                  </w:r>
                </w:p>
              </w:tc>
              <w:tc>
                <w:tcPr>
                  <w:tcW w:w="426" w:type="dxa"/>
                  <w:vAlign w:val="center"/>
                </w:tcPr>
                <w:p w14:paraId="7A5F5CB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3774BAA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北面</w:t>
                  </w:r>
                </w:p>
              </w:tc>
              <w:tc>
                <w:tcPr>
                  <w:tcW w:w="846" w:type="dxa"/>
                  <w:vAlign w:val="center"/>
                </w:tcPr>
                <w:p w14:paraId="1428D74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147</w:t>
                  </w:r>
                </w:p>
              </w:tc>
              <w:tc>
                <w:tcPr>
                  <w:tcW w:w="741" w:type="dxa"/>
                  <w:vAlign w:val="center"/>
                </w:tcPr>
                <w:p w14:paraId="7DD6C2D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258</w:t>
                  </w:r>
                </w:p>
              </w:tc>
              <w:tc>
                <w:tcPr>
                  <w:tcW w:w="1791" w:type="dxa"/>
                  <w:vMerge w:val="restart"/>
                  <w:vAlign w:val="center"/>
                </w:tcPr>
                <w:p w14:paraId="32FE617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《环境空气质量标准》GB3095-2012二级标准</w:t>
                  </w:r>
                </w:p>
              </w:tc>
            </w:tr>
            <w:tr w14:paraId="12E7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5EB0D424">
                  <w:pPr>
                    <w:pStyle w:val="85"/>
                    <w:adjustRightInd w:val="0"/>
                    <w:snapToGrid w:val="0"/>
                    <w:spacing w:line="240" w:lineRule="auto"/>
                    <w:rPr>
                      <w:rFonts w:hint="eastAsia" w:ascii="宋体" w:hAnsi="宋体" w:cs="宋体"/>
                      <w:color w:val="auto"/>
                      <w:szCs w:val="21"/>
                    </w:rPr>
                  </w:pPr>
                </w:p>
              </w:tc>
              <w:tc>
                <w:tcPr>
                  <w:tcW w:w="500" w:type="dxa"/>
                  <w:vAlign w:val="center"/>
                </w:tcPr>
                <w:p w14:paraId="40C7531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九龙街道</w:t>
                  </w:r>
                </w:p>
              </w:tc>
              <w:tc>
                <w:tcPr>
                  <w:tcW w:w="1581" w:type="dxa"/>
                  <w:vAlign w:val="center"/>
                </w:tcPr>
                <w:p w14:paraId="39CBE71C">
                  <w:pPr>
                    <w:pStyle w:val="53"/>
                    <w:ind w:left="0" w:leftChars="0"/>
                    <w:rPr>
                      <w:rFonts w:hint="eastAsia" w:ascii="宋体" w:hAnsi="宋体" w:cs="宋体"/>
                      <w:color w:val="auto"/>
                      <w:szCs w:val="21"/>
                    </w:rPr>
                  </w:pPr>
                  <w:r>
                    <w:rPr>
                      <w:rFonts w:hint="eastAsia" w:ascii="宋体" w:hAnsi="宋体" w:cs="宋体"/>
                      <w:color w:val="auto"/>
                      <w:szCs w:val="21"/>
                    </w:rPr>
                    <w:t>102.688668812</w:t>
                  </w:r>
                </w:p>
              </w:tc>
              <w:tc>
                <w:tcPr>
                  <w:tcW w:w="1476" w:type="dxa"/>
                  <w:vAlign w:val="center"/>
                </w:tcPr>
                <w:p w14:paraId="5E6DEEC4">
                  <w:pPr>
                    <w:pStyle w:val="53"/>
                    <w:ind w:left="0" w:leftChars="0"/>
                    <w:rPr>
                      <w:rFonts w:hint="eastAsia" w:ascii="宋体" w:hAnsi="宋体" w:cs="宋体"/>
                      <w:color w:val="auto"/>
                      <w:szCs w:val="21"/>
                    </w:rPr>
                  </w:pPr>
                  <w:r>
                    <w:rPr>
                      <w:rFonts w:hint="eastAsia" w:ascii="宋体" w:hAnsi="宋体" w:cs="宋体"/>
                      <w:color w:val="auto"/>
                      <w:szCs w:val="21"/>
                    </w:rPr>
                    <w:t>24.114293127</w:t>
                  </w:r>
                </w:p>
              </w:tc>
              <w:tc>
                <w:tcPr>
                  <w:tcW w:w="426" w:type="dxa"/>
                  <w:vAlign w:val="center"/>
                </w:tcPr>
                <w:p w14:paraId="3A6DCDF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2184354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东面</w:t>
                  </w:r>
                </w:p>
              </w:tc>
              <w:tc>
                <w:tcPr>
                  <w:tcW w:w="846" w:type="dxa"/>
                  <w:vAlign w:val="center"/>
                </w:tcPr>
                <w:p w14:paraId="67FBF05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785</w:t>
                  </w:r>
                </w:p>
              </w:tc>
              <w:tc>
                <w:tcPr>
                  <w:tcW w:w="741" w:type="dxa"/>
                  <w:vAlign w:val="center"/>
                </w:tcPr>
                <w:p w14:paraId="4740A28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791" w:type="dxa"/>
                  <w:vMerge w:val="continue"/>
                  <w:vAlign w:val="center"/>
                </w:tcPr>
                <w:p w14:paraId="15A91714">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478F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43F3101C">
                  <w:pPr>
                    <w:pStyle w:val="85"/>
                    <w:adjustRightInd w:val="0"/>
                    <w:snapToGrid w:val="0"/>
                    <w:spacing w:line="240" w:lineRule="auto"/>
                    <w:rPr>
                      <w:rFonts w:hint="eastAsia" w:ascii="宋体" w:hAnsi="宋体" w:cs="宋体"/>
                      <w:color w:val="auto"/>
                      <w:szCs w:val="21"/>
                    </w:rPr>
                  </w:pPr>
                </w:p>
              </w:tc>
              <w:tc>
                <w:tcPr>
                  <w:tcW w:w="500" w:type="dxa"/>
                  <w:vAlign w:val="center"/>
                </w:tcPr>
                <w:p w14:paraId="5EBDE78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沈家营</w:t>
                  </w:r>
                </w:p>
              </w:tc>
              <w:tc>
                <w:tcPr>
                  <w:tcW w:w="1581" w:type="dxa"/>
                  <w:vAlign w:val="center"/>
                </w:tcPr>
                <w:p w14:paraId="3668DCD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102.686405027</w:t>
                  </w:r>
                </w:p>
              </w:tc>
              <w:tc>
                <w:tcPr>
                  <w:tcW w:w="1476" w:type="dxa"/>
                  <w:vAlign w:val="center"/>
                </w:tcPr>
                <w:p w14:paraId="6FED356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24.117404489</w:t>
                  </w:r>
                </w:p>
              </w:tc>
              <w:tc>
                <w:tcPr>
                  <w:tcW w:w="426" w:type="dxa"/>
                  <w:vAlign w:val="center"/>
                </w:tcPr>
                <w:p w14:paraId="7A261EE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237BB12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西北面</w:t>
                  </w:r>
                </w:p>
              </w:tc>
              <w:tc>
                <w:tcPr>
                  <w:tcW w:w="846" w:type="dxa"/>
                  <w:vAlign w:val="center"/>
                </w:tcPr>
                <w:p w14:paraId="5B46D73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402</w:t>
                  </w:r>
                </w:p>
              </w:tc>
              <w:tc>
                <w:tcPr>
                  <w:tcW w:w="741" w:type="dxa"/>
                  <w:vAlign w:val="center"/>
                </w:tcPr>
                <w:p w14:paraId="47BA3FF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415</w:t>
                  </w:r>
                </w:p>
              </w:tc>
              <w:tc>
                <w:tcPr>
                  <w:tcW w:w="1791" w:type="dxa"/>
                  <w:vMerge w:val="continue"/>
                  <w:vAlign w:val="center"/>
                </w:tcPr>
                <w:p w14:paraId="4F35371B">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193D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767BE888">
                  <w:pPr>
                    <w:pStyle w:val="85"/>
                    <w:adjustRightInd w:val="0"/>
                    <w:snapToGrid w:val="0"/>
                    <w:spacing w:line="240" w:lineRule="auto"/>
                    <w:rPr>
                      <w:rFonts w:hint="eastAsia" w:ascii="宋体" w:hAnsi="宋体" w:cs="宋体"/>
                      <w:color w:val="auto"/>
                      <w:szCs w:val="21"/>
                    </w:rPr>
                  </w:pPr>
                </w:p>
              </w:tc>
              <w:tc>
                <w:tcPr>
                  <w:tcW w:w="500" w:type="dxa"/>
                  <w:vAlign w:val="center"/>
                </w:tcPr>
                <w:p w14:paraId="0A94AF3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九街村</w:t>
                  </w:r>
                </w:p>
              </w:tc>
              <w:tc>
                <w:tcPr>
                  <w:tcW w:w="1581" w:type="dxa"/>
                  <w:vAlign w:val="center"/>
                </w:tcPr>
                <w:p w14:paraId="05132DC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102.685584271</w:t>
                  </w:r>
                </w:p>
              </w:tc>
              <w:tc>
                <w:tcPr>
                  <w:tcW w:w="1476" w:type="dxa"/>
                  <w:vAlign w:val="center"/>
                </w:tcPr>
                <w:p w14:paraId="4BD0A9E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24.114057092</w:t>
                  </w:r>
                </w:p>
              </w:tc>
              <w:tc>
                <w:tcPr>
                  <w:tcW w:w="426" w:type="dxa"/>
                  <w:vAlign w:val="center"/>
                </w:tcPr>
                <w:p w14:paraId="1F12BEA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2D28442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西面</w:t>
                  </w:r>
                </w:p>
              </w:tc>
              <w:tc>
                <w:tcPr>
                  <w:tcW w:w="846" w:type="dxa"/>
                  <w:vAlign w:val="center"/>
                </w:tcPr>
                <w:p w14:paraId="7CCAD32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285</w:t>
                  </w:r>
                </w:p>
              </w:tc>
              <w:tc>
                <w:tcPr>
                  <w:tcW w:w="741" w:type="dxa"/>
                  <w:vAlign w:val="center"/>
                </w:tcPr>
                <w:p w14:paraId="0C1329E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299</w:t>
                  </w:r>
                </w:p>
              </w:tc>
              <w:tc>
                <w:tcPr>
                  <w:tcW w:w="1791" w:type="dxa"/>
                  <w:vMerge w:val="continue"/>
                  <w:vAlign w:val="center"/>
                </w:tcPr>
                <w:p w14:paraId="563A64E5">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04C4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66C94CE1">
                  <w:pPr>
                    <w:pStyle w:val="85"/>
                    <w:adjustRightInd w:val="0"/>
                    <w:snapToGrid w:val="0"/>
                    <w:spacing w:line="240" w:lineRule="auto"/>
                    <w:rPr>
                      <w:rFonts w:hint="eastAsia" w:ascii="宋体" w:hAnsi="宋体" w:cs="宋体"/>
                      <w:color w:val="auto"/>
                      <w:szCs w:val="21"/>
                    </w:rPr>
                  </w:pPr>
                </w:p>
              </w:tc>
              <w:tc>
                <w:tcPr>
                  <w:tcW w:w="500" w:type="dxa"/>
                  <w:vAlign w:val="center"/>
                </w:tcPr>
                <w:p w14:paraId="53973CA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杨家营</w:t>
                  </w:r>
                </w:p>
              </w:tc>
              <w:tc>
                <w:tcPr>
                  <w:tcW w:w="1581" w:type="dxa"/>
                  <w:vAlign w:val="center"/>
                </w:tcPr>
                <w:p w14:paraId="6BFE1E7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102.692702854</w:t>
                  </w:r>
                </w:p>
              </w:tc>
              <w:tc>
                <w:tcPr>
                  <w:tcW w:w="1476" w:type="dxa"/>
                  <w:vAlign w:val="center"/>
                </w:tcPr>
                <w:p w14:paraId="0EE2BE1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24.110677509</w:t>
                  </w:r>
                </w:p>
              </w:tc>
              <w:tc>
                <w:tcPr>
                  <w:tcW w:w="426" w:type="dxa"/>
                  <w:vAlign w:val="center"/>
                </w:tcPr>
                <w:p w14:paraId="2BA3B86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42E5E97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东南面</w:t>
                  </w:r>
                </w:p>
              </w:tc>
              <w:tc>
                <w:tcPr>
                  <w:tcW w:w="846" w:type="dxa"/>
                  <w:vAlign w:val="center"/>
                </w:tcPr>
                <w:p w14:paraId="0939330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96</w:t>
                  </w:r>
                </w:p>
              </w:tc>
              <w:tc>
                <w:tcPr>
                  <w:tcW w:w="741" w:type="dxa"/>
                  <w:vAlign w:val="center"/>
                </w:tcPr>
                <w:p w14:paraId="72663B2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250</w:t>
                  </w:r>
                </w:p>
              </w:tc>
              <w:tc>
                <w:tcPr>
                  <w:tcW w:w="1791" w:type="dxa"/>
                  <w:vMerge w:val="continue"/>
                  <w:vAlign w:val="center"/>
                </w:tcPr>
                <w:p w14:paraId="56F80AD4">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4B31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781B61AD">
                  <w:pPr>
                    <w:pStyle w:val="85"/>
                    <w:adjustRightInd w:val="0"/>
                    <w:snapToGrid w:val="0"/>
                    <w:spacing w:line="240" w:lineRule="auto"/>
                    <w:rPr>
                      <w:rFonts w:hint="eastAsia" w:ascii="宋体" w:hAnsi="宋体" w:cs="宋体"/>
                      <w:color w:val="auto"/>
                      <w:szCs w:val="21"/>
                    </w:rPr>
                  </w:pPr>
                </w:p>
              </w:tc>
              <w:tc>
                <w:tcPr>
                  <w:tcW w:w="500" w:type="dxa"/>
                  <w:vAlign w:val="center"/>
                </w:tcPr>
                <w:p w14:paraId="4D7F1E8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佟家营</w:t>
                  </w:r>
                </w:p>
              </w:tc>
              <w:tc>
                <w:tcPr>
                  <w:tcW w:w="1581" w:type="dxa"/>
                  <w:vAlign w:val="center"/>
                </w:tcPr>
                <w:p w14:paraId="20C25A6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102.691114986</w:t>
                  </w:r>
                </w:p>
              </w:tc>
              <w:tc>
                <w:tcPr>
                  <w:tcW w:w="1476" w:type="dxa"/>
                  <w:vAlign w:val="center"/>
                </w:tcPr>
                <w:p w14:paraId="5B1256C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24.109304218</w:t>
                  </w:r>
                </w:p>
              </w:tc>
              <w:tc>
                <w:tcPr>
                  <w:tcW w:w="426" w:type="dxa"/>
                  <w:vAlign w:val="center"/>
                </w:tcPr>
                <w:p w14:paraId="6998608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15BB9FB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南面</w:t>
                  </w:r>
                </w:p>
              </w:tc>
              <w:tc>
                <w:tcPr>
                  <w:tcW w:w="846" w:type="dxa"/>
                  <w:vAlign w:val="center"/>
                </w:tcPr>
                <w:p w14:paraId="59EA06D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125</w:t>
                  </w:r>
                </w:p>
              </w:tc>
              <w:tc>
                <w:tcPr>
                  <w:tcW w:w="741" w:type="dxa"/>
                  <w:vAlign w:val="center"/>
                </w:tcPr>
                <w:p w14:paraId="02145EA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334</w:t>
                  </w:r>
                </w:p>
              </w:tc>
              <w:tc>
                <w:tcPr>
                  <w:tcW w:w="1791" w:type="dxa"/>
                  <w:vMerge w:val="continue"/>
                  <w:vAlign w:val="center"/>
                </w:tcPr>
                <w:p w14:paraId="627F5D78">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2E78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Align w:val="center"/>
                </w:tcPr>
                <w:p w14:paraId="49A0909C">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声环境</w:t>
                  </w:r>
                </w:p>
              </w:tc>
              <w:tc>
                <w:tcPr>
                  <w:tcW w:w="500" w:type="dxa"/>
                  <w:vAlign w:val="center"/>
                </w:tcPr>
                <w:p w14:paraId="2FD89AF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九龙街道</w:t>
                  </w:r>
                </w:p>
              </w:tc>
              <w:tc>
                <w:tcPr>
                  <w:tcW w:w="1581" w:type="dxa"/>
                  <w:vAlign w:val="center"/>
                </w:tcPr>
                <w:p w14:paraId="23BEF8D0">
                  <w:pPr>
                    <w:pStyle w:val="53"/>
                    <w:ind w:left="0" w:leftChars="0"/>
                    <w:rPr>
                      <w:rFonts w:hint="eastAsia" w:ascii="宋体" w:hAnsi="宋体" w:cs="宋体"/>
                      <w:color w:val="auto"/>
                      <w:szCs w:val="21"/>
                    </w:rPr>
                  </w:pPr>
                  <w:r>
                    <w:rPr>
                      <w:rFonts w:hint="eastAsia" w:ascii="宋体" w:hAnsi="宋体" w:cs="宋体"/>
                      <w:color w:val="auto"/>
                      <w:szCs w:val="21"/>
                    </w:rPr>
                    <w:t>102.688668812</w:t>
                  </w:r>
                </w:p>
              </w:tc>
              <w:tc>
                <w:tcPr>
                  <w:tcW w:w="1476" w:type="dxa"/>
                  <w:vAlign w:val="center"/>
                </w:tcPr>
                <w:p w14:paraId="705C04AC">
                  <w:pPr>
                    <w:pStyle w:val="53"/>
                    <w:ind w:left="0" w:leftChars="0"/>
                    <w:rPr>
                      <w:rFonts w:hint="eastAsia" w:ascii="宋体" w:hAnsi="宋体" w:cs="宋体"/>
                      <w:color w:val="auto"/>
                      <w:szCs w:val="21"/>
                    </w:rPr>
                  </w:pPr>
                  <w:r>
                    <w:rPr>
                      <w:rFonts w:hint="eastAsia" w:ascii="宋体" w:hAnsi="宋体" w:cs="宋体"/>
                      <w:color w:val="auto"/>
                      <w:szCs w:val="21"/>
                    </w:rPr>
                    <w:t>24.114293127</w:t>
                  </w:r>
                </w:p>
              </w:tc>
              <w:tc>
                <w:tcPr>
                  <w:tcW w:w="426" w:type="dxa"/>
                  <w:vAlign w:val="center"/>
                </w:tcPr>
                <w:p w14:paraId="152C34C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5BF12DD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东面</w:t>
                  </w:r>
                </w:p>
              </w:tc>
              <w:tc>
                <w:tcPr>
                  <w:tcW w:w="846" w:type="dxa"/>
                  <w:vAlign w:val="center"/>
                </w:tcPr>
                <w:p w14:paraId="4E77E3B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785</w:t>
                  </w:r>
                </w:p>
              </w:tc>
              <w:tc>
                <w:tcPr>
                  <w:tcW w:w="741" w:type="dxa"/>
                  <w:vAlign w:val="center"/>
                </w:tcPr>
                <w:p w14:paraId="6867210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791" w:type="dxa"/>
                  <w:vAlign w:val="center"/>
                </w:tcPr>
                <w:p w14:paraId="576A923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《声环境质量标准》（GB3096-2008）2类标准</w:t>
                  </w:r>
                </w:p>
              </w:tc>
            </w:tr>
            <w:tr w14:paraId="7D19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573" w:type="dxa"/>
                  <w:vAlign w:val="center"/>
                </w:tcPr>
                <w:p w14:paraId="6EDC773A">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地表水环境</w:t>
                  </w:r>
                </w:p>
              </w:tc>
              <w:tc>
                <w:tcPr>
                  <w:tcW w:w="500" w:type="dxa"/>
                  <w:vAlign w:val="center"/>
                </w:tcPr>
                <w:p w14:paraId="1AD6F0EC">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杞麓湖</w:t>
                  </w:r>
                </w:p>
              </w:tc>
              <w:tc>
                <w:tcPr>
                  <w:tcW w:w="1581" w:type="dxa"/>
                  <w:vAlign w:val="center"/>
                </w:tcPr>
                <w:p w14:paraId="42E54329">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1476" w:type="dxa"/>
                  <w:vAlign w:val="center"/>
                </w:tcPr>
                <w:p w14:paraId="704E42ED">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426" w:type="dxa"/>
                  <w:vAlign w:val="center"/>
                </w:tcPr>
                <w:p w14:paraId="056A5F6F">
                  <w:pPr>
                    <w:adjustRightInd w:val="0"/>
                    <w:snapToGrid w:val="0"/>
                    <w:jc w:val="center"/>
                    <w:rPr>
                      <w:rFonts w:hint="eastAsia" w:ascii="宋体" w:hAnsi="宋体" w:cs="宋体"/>
                      <w:color w:val="auto"/>
                      <w:szCs w:val="21"/>
                    </w:rPr>
                  </w:pPr>
                  <w:r>
                    <w:rPr>
                      <w:rFonts w:hint="eastAsia" w:ascii="宋体" w:hAnsi="宋体" w:cs="宋体"/>
                      <w:color w:val="auto"/>
                      <w:szCs w:val="21"/>
                    </w:rPr>
                    <w:t>湖泊</w:t>
                  </w:r>
                </w:p>
              </w:tc>
              <w:tc>
                <w:tcPr>
                  <w:tcW w:w="426" w:type="dxa"/>
                  <w:vAlign w:val="center"/>
                </w:tcPr>
                <w:p w14:paraId="5CDBD700">
                  <w:pPr>
                    <w:adjustRightInd w:val="0"/>
                    <w:snapToGrid w:val="0"/>
                    <w:jc w:val="center"/>
                    <w:rPr>
                      <w:rFonts w:hint="eastAsia" w:ascii="宋体" w:hAnsi="宋体" w:cs="宋体"/>
                      <w:color w:val="auto"/>
                      <w:szCs w:val="21"/>
                    </w:rPr>
                  </w:pPr>
                  <w:r>
                    <w:rPr>
                      <w:rFonts w:hint="eastAsia" w:ascii="宋体" w:hAnsi="宋体" w:cs="宋体"/>
                      <w:color w:val="auto"/>
                      <w:szCs w:val="21"/>
                    </w:rPr>
                    <w:t>东北面</w:t>
                  </w:r>
                </w:p>
              </w:tc>
              <w:tc>
                <w:tcPr>
                  <w:tcW w:w="846" w:type="dxa"/>
                  <w:vAlign w:val="center"/>
                </w:tcPr>
                <w:p w14:paraId="78D4053F">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741" w:type="dxa"/>
                  <w:vAlign w:val="center"/>
                </w:tcPr>
                <w:p w14:paraId="78DA3174">
                  <w:pPr>
                    <w:adjustRightInd w:val="0"/>
                    <w:snapToGrid w:val="0"/>
                    <w:jc w:val="center"/>
                    <w:rPr>
                      <w:rFonts w:hint="eastAsia" w:ascii="宋体" w:hAnsi="宋体" w:cs="宋体"/>
                      <w:color w:val="auto"/>
                      <w:szCs w:val="21"/>
                    </w:rPr>
                  </w:pPr>
                  <w:r>
                    <w:rPr>
                      <w:rFonts w:hint="eastAsia" w:ascii="宋体" w:hAnsi="宋体" w:cs="宋体"/>
                      <w:color w:val="auto"/>
                      <w:szCs w:val="21"/>
                    </w:rPr>
                    <w:t>4646m</w:t>
                  </w:r>
                </w:p>
              </w:tc>
              <w:tc>
                <w:tcPr>
                  <w:tcW w:w="1791" w:type="dxa"/>
                  <w:vAlign w:val="center"/>
                </w:tcPr>
                <w:p w14:paraId="65A81AD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《地表水环境质量标准》（GB3838-2002）Ⅲ类标准</w:t>
                  </w:r>
                </w:p>
              </w:tc>
            </w:tr>
            <w:bookmarkEnd w:id="66"/>
          </w:tbl>
          <w:p w14:paraId="5BD72C17">
            <w:pPr>
              <w:pStyle w:val="18"/>
              <w:spacing w:line="360" w:lineRule="auto"/>
              <w:jc w:val="center"/>
              <w:rPr>
                <w:rFonts w:hAnsi="Times New Roman" w:eastAsia="宋体"/>
                <w:b/>
                <w:color w:val="auto"/>
                <w:sz w:val="24"/>
              </w:rPr>
            </w:pPr>
          </w:p>
          <w:p w14:paraId="489CC7C8">
            <w:pPr>
              <w:pStyle w:val="18"/>
              <w:spacing w:line="360" w:lineRule="auto"/>
              <w:jc w:val="center"/>
              <w:rPr>
                <w:rFonts w:hAnsi="Times New Roman" w:eastAsia="宋体"/>
                <w:b/>
                <w:color w:val="auto"/>
                <w:sz w:val="24"/>
              </w:rPr>
            </w:pPr>
          </w:p>
          <w:p w14:paraId="5E53C9D5">
            <w:pPr>
              <w:pStyle w:val="18"/>
              <w:spacing w:line="360" w:lineRule="auto"/>
              <w:jc w:val="center"/>
              <w:rPr>
                <w:rFonts w:hAnsi="Times New Roman" w:eastAsia="宋体"/>
                <w:b/>
                <w:color w:val="auto"/>
                <w:sz w:val="24"/>
              </w:rPr>
            </w:pPr>
          </w:p>
          <w:p w14:paraId="0F4FE887">
            <w:pPr>
              <w:pStyle w:val="18"/>
              <w:spacing w:line="360" w:lineRule="auto"/>
              <w:jc w:val="center"/>
              <w:rPr>
                <w:rFonts w:hAnsi="Times New Roman" w:eastAsia="宋体"/>
                <w:b/>
                <w:color w:val="auto"/>
                <w:sz w:val="24"/>
              </w:rPr>
            </w:pPr>
          </w:p>
          <w:p w14:paraId="55233ACC">
            <w:pPr>
              <w:pStyle w:val="18"/>
              <w:spacing w:line="360" w:lineRule="auto"/>
              <w:jc w:val="center"/>
              <w:rPr>
                <w:rFonts w:hAnsi="Times New Roman"/>
                <w:color w:val="auto"/>
              </w:rPr>
            </w:pPr>
            <w:r>
              <w:rPr>
                <w:rFonts w:hAnsi="Times New Roman" w:eastAsia="宋体"/>
                <w:b/>
                <w:color w:val="auto"/>
                <w:sz w:val="24"/>
              </w:rPr>
              <w:t>表3-</w:t>
            </w:r>
            <w:r>
              <w:rPr>
                <w:rFonts w:hint="eastAsia" w:hAnsi="Times New Roman" w:eastAsia="宋体"/>
                <w:b/>
                <w:color w:val="auto"/>
                <w:sz w:val="24"/>
              </w:rPr>
              <w:t>8项目（杨广卫生院）</w:t>
            </w:r>
            <w:r>
              <w:rPr>
                <w:rFonts w:hAnsi="Times New Roman" w:eastAsia="宋体"/>
                <w:b/>
                <w:color w:val="auto"/>
                <w:sz w:val="24"/>
              </w:rPr>
              <w:t>主要环境保护目标情况</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426"/>
              <w:gridCol w:w="1581"/>
              <w:gridCol w:w="1476"/>
              <w:gridCol w:w="426"/>
              <w:gridCol w:w="426"/>
              <w:gridCol w:w="846"/>
              <w:gridCol w:w="741"/>
              <w:gridCol w:w="1791"/>
            </w:tblGrid>
            <w:tr w14:paraId="4322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dxa"/>
                  <w:vMerge w:val="restart"/>
                  <w:vAlign w:val="center"/>
                </w:tcPr>
                <w:p w14:paraId="43937AA7">
                  <w:pPr>
                    <w:pStyle w:val="32"/>
                    <w:adjustRightInd w:val="0"/>
                    <w:snapToGrid w:val="0"/>
                    <w:spacing w:after="0"/>
                    <w:ind w:left="0" w:leftChars="0" w:firstLine="0" w:firstLineChars="0"/>
                    <w:jc w:val="center"/>
                    <w:rPr>
                      <w:rFonts w:hint="eastAsia" w:ascii="宋体" w:hAnsi="宋体" w:cs="宋体"/>
                      <w:color w:val="auto"/>
                      <w:sz w:val="21"/>
                      <w:szCs w:val="21"/>
                    </w:rPr>
                  </w:pPr>
                  <w:bookmarkStart w:id="67" w:name="_Hlk192512891"/>
                  <w:r>
                    <w:rPr>
                      <w:rFonts w:hint="eastAsia" w:ascii="宋体" w:hAnsi="宋体" w:cs="宋体"/>
                      <w:color w:val="auto"/>
                      <w:sz w:val="21"/>
                      <w:szCs w:val="21"/>
                    </w:rPr>
                    <w:t>保护内容</w:t>
                  </w:r>
                </w:p>
              </w:tc>
              <w:tc>
                <w:tcPr>
                  <w:tcW w:w="426" w:type="dxa"/>
                  <w:vMerge w:val="restart"/>
                  <w:vAlign w:val="center"/>
                </w:tcPr>
                <w:p w14:paraId="0BD52AA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名称</w:t>
                  </w:r>
                </w:p>
              </w:tc>
              <w:tc>
                <w:tcPr>
                  <w:tcW w:w="3057" w:type="dxa"/>
                  <w:gridSpan w:val="2"/>
                  <w:vAlign w:val="center"/>
                </w:tcPr>
                <w:p w14:paraId="0BD1A47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坐标</w:t>
                  </w:r>
                </w:p>
              </w:tc>
              <w:tc>
                <w:tcPr>
                  <w:tcW w:w="426" w:type="dxa"/>
                  <w:vMerge w:val="restart"/>
                  <w:vAlign w:val="center"/>
                </w:tcPr>
                <w:p w14:paraId="049FC06E">
                  <w:pPr>
                    <w:pStyle w:val="32"/>
                    <w:adjustRightInd w:val="0"/>
                    <w:snapToGrid w:val="0"/>
                    <w:spacing w:after="0"/>
                    <w:ind w:left="0" w:leftChars="0" w:firstLine="0" w:firstLineChars="0"/>
                    <w:rPr>
                      <w:rFonts w:hint="eastAsia" w:ascii="宋体" w:hAnsi="宋体" w:cs="宋体"/>
                      <w:color w:val="auto"/>
                      <w:sz w:val="21"/>
                      <w:szCs w:val="21"/>
                    </w:rPr>
                  </w:pPr>
                  <w:r>
                    <w:rPr>
                      <w:rFonts w:hint="eastAsia" w:ascii="宋体" w:hAnsi="宋体" w:cs="宋体"/>
                      <w:color w:val="auto"/>
                      <w:sz w:val="21"/>
                      <w:szCs w:val="21"/>
                    </w:rPr>
                    <w:t>保护对象</w:t>
                  </w:r>
                </w:p>
              </w:tc>
              <w:tc>
                <w:tcPr>
                  <w:tcW w:w="426" w:type="dxa"/>
                  <w:vMerge w:val="restart"/>
                  <w:vAlign w:val="center"/>
                </w:tcPr>
                <w:p w14:paraId="7FA5E2D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相对本项目方位</w:t>
                  </w:r>
                </w:p>
              </w:tc>
              <w:tc>
                <w:tcPr>
                  <w:tcW w:w="846" w:type="dxa"/>
                  <w:vMerge w:val="restart"/>
                  <w:vAlign w:val="center"/>
                </w:tcPr>
                <w:p w14:paraId="19FC831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人口（人）</w:t>
                  </w:r>
                </w:p>
              </w:tc>
              <w:tc>
                <w:tcPr>
                  <w:tcW w:w="741" w:type="dxa"/>
                  <w:vMerge w:val="restart"/>
                  <w:vAlign w:val="center"/>
                </w:tcPr>
                <w:p w14:paraId="073DBE5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相对厂址距离（m）</w:t>
                  </w:r>
                </w:p>
              </w:tc>
              <w:tc>
                <w:tcPr>
                  <w:tcW w:w="1791" w:type="dxa"/>
                  <w:vMerge w:val="restart"/>
                  <w:vAlign w:val="center"/>
                </w:tcPr>
                <w:p w14:paraId="66BB867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保护级别</w:t>
                  </w:r>
                </w:p>
              </w:tc>
            </w:tr>
            <w:tr w14:paraId="6558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dxa"/>
                  <w:vMerge w:val="continue"/>
                  <w:vAlign w:val="center"/>
                </w:tcPr>
                <w:p w14:paraId="176D97D2">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6265FEF8">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581" w:type="dxa"/>
                  <w:vAlign w:val="center"/>
                </w:tcPr>
                <w:p w14:paraId="7DF36C5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东经（</w:t>
                  </w:r>
                  <w:r>
                    <w:rPr>
                      <w:color w:val="auto"/>
                    </w:rPr>
                    <w:t>°</w:t>
                  </w:r>
                  <w:r>
                    <w:rPr>
                      <w:rFonts w:hint="eastAsia" w:ascii="宋体" w:hAnsi="宋体" w:cs="宋体"/>
                      <w:color w:val="auto"/>
                      <w:sz w:val="21"/>
                      <w:szCs w:val="21"/>
                    </w:rPr>
                    <w:t>）</w:t>
                  </w:r>
                </w:p>
              </w:tc>
              <w:tc>
                <w:tcPr>
                  <w:tcW w:w="1476" w:type="dxa"/>
                  <w:vAlign w:val="center"/>
                </w:tcPr>
                <w:p w14:paraId="7E8F8C2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北纬（</w:t>
                  </w:r>
                  <w:r>
                    <w:rPr>
                      <w:color w:val="auto"/>
                    </w:rPr>
                    <w:t>°</w:t>
                  </w:r>
                  <w:r>
                    <w:rPr>
                      <w:rFonts w:hint="eastAsia" w:ascii="宋体" w:hAnsi="宋体" w:cs="宋体"/>
                      <w:color w:val="auto"/>
                      <w:sz w:val="21"/>
                      <w:szCs w:val="21"/>
                    </w:rPr>
                    <w:t>）</w:t>
                  </w:r>
                </w:p>
              </w:tc>
              <w:tc>
                <w:tcPr>
                  <w:tcW w:w="426" w:type="dxa"/>
                  <w:vMerge w:val="continue"/>
                  <w:vAlign w:val="center"/>
                </w:tcPr>
                <w:p w14:paraId="63FFE86A">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6B841248">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846" w:type="dxa"/>
                  <w:vMerge w:val="continue"/>
                  <w:vAlign w:val="center"/>
                </w:tcPr>
                <w:p w14:paraId="44BE43F3">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741" w:type="dxa"/>
                  <w:vMerge w:val="continue"/>
                  <w:vAlign w:val="center"/>
                </w:tcPr>
                <w:p w14:paraId="52419B6A">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791" w:type="dxa"/>
                  <w:vMerge w:val="continue"/>
                  <w:vAlign w:val="center"/>
                </w:tcPr>
                <w:p w14:paraId="39F41F0E">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6E8C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restart"/>
                  <w:vAlign w:val="center"/>
                </w:tcPr>
                <w:p w14:paraId="018FF400">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大气环境</w:t>
                  </w:r>
                </w:p>
              </w:tc>
              <w:tc>
                <w:tcPr>
                  <w:tcW w:w="426" w:type="dxa"/>
                  <w:vAlign w:val="center"/>
                </w:tcPr>
                <w:p w14:paraId="0A9061A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通海县杨广小学</w:t>
                  </w:r>
                </w:p>
              </w:tc>
              <w:tc>
                <w:tcPr>
                  <w:tcW w:w="1581" w:type="dxa"/>
                  <w:vAlign w:val="center"/>
                </w:tcPr>
                <w:p w14:paraId="5FFFA367">
                  <w:pPr>
                    <w:pStyle w:val="53"/>
                    <w:ind w:left="0" w:leftChars="0"/>
                    <w:rPr>
                      <w:rFonts w:hint="eastAsia" w:ascii="宋体" w:hAnsi="宋体" w:cs="宋体"/>
                      <w:color w:val="auto"/>
                      <w:szCs w:val="21"/>
                    </w:rPr>
                  </w:pPr>
                  <w:r>
                    <w:rPr>
                      <w:rFonts w:hint="eastAsia" w:ascii="宋体" w:hAnsi="宋体" w:cs="宋体"/>
                      <w:color w:val="auto"/>
                      <w:szCs w:val="21"/>
                    </w:rPr>
                    <w:t>102.794130588</w:t>
                  </w:r>
                </w:p>
              </w:tc>
              <w:tc>
                <w:tcPr>
                  <w:tcW w:w="1476" w:type="dxa"/>
                  <w:vAlign w:val="center"/>
                </w:tcPr>
                <w:p w14:paraId="6D2C9A4B">
                  <w:pPr>
                    <w:pStyle w:val="53"/>
                    <w:ind w:left="0" w:leftChars="0"/>
                    <w:rPr>
                      <w:rFonts w:hint="eastAsia" w:ascii="宋体" w:hAnsi="宋体" w:cs="宋体"/>
                      <w:color w:val="auto"/>
                      <w:szCs w:val="21"/>
                    </w:rPr>
                  </w:pPr>
                  <w:r>
                    <w:rPr>
                      <w:rFonts w:hint="eastAsia" w:ascii="宋体" w:hAnsi="宋体" w:cs="宋体"/>
                      <w:color w:val="auto"/>
                      <w:szCs w:val="21"/>
                    </w:rPr>
                    <w:t>24.138522862</w:t>
                  </w:r>
                </w:p>
              </w:tc>
              <w:tc>
                <w:tcPr>
                  <w:tcW w:w="426" w:type="dxa"/>
                  <w:vAlign w:val="center"/>
                </w:tcPr>
                <w:p w14:paraId="632818B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144A27A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西面</w:t>
                  </w:r>
                </w:p>
              </w:tc>
              <w:tc>
                <w:tcPr>
                  <w:tcW w:w="846" w:type="dxa"/>
                  <w:vAlign w:val="center"/>
                </w:tcPr>
                <w:p w14:paraId="7BDF604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108</w:t>
                  </w:r>
                </w:p>
              </w:tc>
              <w:tc>
                <w:tcPr>
                  <w:tcW w:w="741" w:type="dxa"/>
                  <w:vAlign w:val="center"/>
                </w:tcPr>
                <w:p w14:paraId="437E136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322</w:t>
                  </w:r>
                </w:p>
              </w:tc>
              <w:tc>
                <w:tcPr>
                  <w:tcW w:w="1791" w:type="dxa"/>
                  <w:vMerge w:val="restart"/>
                  <w:vAlign w:val="center"/>
                </w:tcPr>
                <w:p w14:paraId="56BB67D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《环境空气质量标准》GB3095-2012二级标准</w:t>
                  </w:r>
                </w:p>
              </w:tc>
            </w:tr>
            <w:tr w14:paraId="568D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continue"/>
                  <w:vAlign w:val="center"/>
                </w:tcPr>
                <w:p w14:paraId="0CC31592">
                  <w:pPr>
                    <w:pStyle w:val="85"/>
                    <w:adjustRightInd w:val="0"/>
                    <w:snapToGrid w:val="0"/>
                    <w:spacing w:line="240" w:lineRule="auto"/>
                    <w:rPr>
                      <w:rFonts w:hint="eastAsia" w:ascii="宋体" w:hAnsi="宋体" w:cs="宋体"/>
                      <w:color w:val="auto"/>
                      <w:szCs w:val="21"/>
                    </w:rPr>
                  </w:pPr>
                </w:p>
              </w:tc>
              <w:tc>
                <w:tcPr>
                  <w:tcW w:w="426" w:type="dxa"/>
                  <w:vAlign w:val="center"/>
                </w:tcPr>
                <w:p w14:paraId="331F336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通海县杨广中学</w:t>
                  </w:r>
                </w:p>
              </w:tc>
              <w:tc>
                <w:tcPr>
                  <w:tcW w:w="1581" w:type="dxa"/>
                  <w:vAlign w:val="center"/>
                </w:tcPr>
                <w:p w14:paraId="4F045E3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102.793835545</w:t>
                  </w:r>
                </w:p>
              </w:tc>
              <w:tc>
                <w:tcPr>
                  <w:tcW w:w="1476" w:type="dxa"/>
                  <w:vAlign w:val="center"/>
                </w:tcPr>
                <w:p w14:paraId="75A0709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24.139896153</w:t>
                  </w:r>
                </w:p>
              </w:tc>
              <w:tc>
                <w:tcPr>
                  <w:tcW w:w="426" w:type="dxa"/>
                  <w:vAlign w:val="center"/>
                </w:tcPr>
                <w:p w14:paraId="270BA18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043F8D2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西面</w:t>
                  </w:r>
                </w:p>
              </w:tc>
              <w:tc>
                <w:tcPr>
                  <w:tcW w:w="846" w:type="dxa"/>
                  <w:vAlign w:val="center"/>
                </w:tcPr>
                <w:p w14:paraId="15161ED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228</w:t>
                  </w:r>
                </w:p>
              </w:tc>
              <w:tc>
                <w:tcPr>
                  <w:tcW w:w="741" w:type="dxa"/>
                  <w:vAlign w:val="center"/>
                </w:tcPr>
                <w:p w14:paraId="0CA97DD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305</w:t>
                  </w:r>
                </w:p>
              </w:tc>
              <w:tc>
                <w:tcPr>
                  <w:tcW w:w="1791" w:type="dxa"/>
                  <w:vMerge w:val="continue"/>
                  <w:vAlign w:val="center"/>
                </w:tcPr>
                <w:p w14:paraId="5D4C6363">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687A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trPr>
              <w:tc>
                <w:tcPr>
                  <w:tcW w:w="426" w:type="dxa"/>
                  <w:vMerge w:val="continue"/>
                  <w:vAlign w:val="center"/>
                </w:tcPr>
                <w:p w14:paraId="13C378D2">
                  <w:pPr>
                    <w:pStyle w:val="85"/>
                    <w:adjustRightInd w:val="0"/>
                    <w:snapToGrid w:val="0"/>
                    <w:spacing w:line="240" w:lineRule="auto"/>
                    <w:rPr>
                      <w:rFonts w:hint="eastAsia" w:ascii="宋体" w:hAnsi="宋体" w:cs="宋体"/>
                      <w:color w:val="auto"/>
                      <w:szCs w:val="21"/>
                    </w:rPr>
                  </w:pPr>
                </w:p>
              </w:tc>
              <w:tc>
                <w:tcPr>
                  <w:tcW w:w="426" w:type="dxa"/>
                  <w:vAlign w:val="center"/>
                </w:tcPr>
                <w:p w14:paraId="4CFECDC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杨广镇</w:t>
                  </w:r>
                </w:p>
              </w:tc>
              <w:tc>
                <w:tcPr>
                  <w:tcW w:w="1581" w:type="dxa"/>
                  <w:vAlign w:val="center"/>
                </w:tcPr>
                <w:p w14:paraId="662A368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102.795981312</w:t>
                  </w:r>
                </w:p>
              </w:tc>
              <w:tc>
                <w:tcPr>
                  <w:tcW w:w="1476" w:type="dxa"/>
                  <w:vAlign w:val="center"/>
                </w:tcPr>
                <w:p w14:paraId="7C7B631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24.138125895</w:t>
                  </w:r>
                </w:p>
              </w:tc>
              <w:tc>
                <w:tcPr>
                  <w:tcW w:w="426" w:type="dxa"/>
                  <w:vAlign w:val="center"/>
                </w:tcPr>
                <w:p w14:paraId="2496299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2FC6B94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w:t>
                  </w:r>
                </w:p>
              </w:tc>
              <w:tc>
                <w:tcPr>
                  <w:tcW w:w="846" w:type="dxa"/>
                  <w:vAlign w:val="center"/>
                </w:tcPr>
                <w:p w14:paraId="75BFE6A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858</w:t>
                  </w:r>
                </w:p>
              </w:tc>
              <w:tc>
                <w:tcPr>
                  <w:tcW w:w="741" w:type="dxa"/>
                  <w:vAlign w:val="center"/>
                </w:tcPr>
                <w:p w14:paraId="5E00CED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w:t>
                  </w:r>
                </w:p>
              </w:tc>
              <w:tc>
                <w:tcPr>
                  <w:tcW w:w="1791" w:type="dxa"/>
                  <w:vMerge w:val="continue"/>
                  <w:vAlign w:val="center"/>
                </w:tcPr>
                <w:p w14:paraId="600CDCA9">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79E7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trPr>
              <w:tc>
                <w:tcPr>
                  <w:tcW w:w="647" w:type="dxa"/>
                  <w:vAlign w:val="center"/>
                </w:tcPr>
                <w:p w14:paraId="2F4C42CA">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声环境</w:t>
                  </w:r>
                </w:p>
              </w:tc>
              <w:tc>
                <w:tcPr>
                  <w:tcW w:w="426" w:type="dxa"/>
                  <w:vAlign w:val="center"/>
                </w:tcPr>
                <w:p w14:paraId="1BAB099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杨广镇</w:t>
                  </w:r>
                </w:p>
              </w:tc>
              <w:tc>
                <w:tcPr>
                  <w:tcW w:w="1581" w:type="dxa"/>
                  <w:vAlign w:val="center"/>
                </w:tcPr>
                <w:p w14:paraId="0B9AAC6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102.795981312</w:t>
                  </w:r>
                </w:p>
              </w:tc>
              <w:tc>
                <w:tcPr>
                  <w:tcW w:w="1476" w:type="dxa"/>
                  <w:vAlign w:val="center"/>
                </w:tcPr>
                <w:p w14:paraId="47D4FC7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24.138125895</w:t>
                  </w:r>
                </w:p>
              </w:tc>
              <w:tc>
                <w:tcPr>
                  <w:tcW w:w="426" w:type="dxa"/>
                  <w:vAlign w:val="center"/>
                </w:tcPr>
                <w:p w14:paraId="50E6C75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407A011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w:t>
                  </w:r>
                </w:p>
              </w:tc>
              <w:tc>
                <w:tcPr>
                  <w:tcW w:w="846" w:type="dxa"/>
                  <w:vAlign w:val="center"/>
                </w:tcPr>
                <w:p w14:paraId="23898B5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858</w:t>
                  </w:r>
                </w:p>
              </w:tc>
              <w:tc>
                <w:tcPr>
                  <w:tcW w:w="741" w:type="dxa"/>
                  <w:vAlign w:val="center"/>
                </w:tcPr>
                <w:p w14:paraId="6EB2EE8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w:t>
                  </w:r>
                </w:p>
              </w:tc>
              <w:tc>
                <w:tcPr>
                  <w:tcW w:w="1791" w:type="dxa"/>
                  <w:vAlign w:val="center"/>
                </w:tcPr>
                <w:p w14:paraId="6175A92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《声环境质量标准》（GB3096-2008）2类标准</w:t>
                  </w:r>
                </w:p>
              </w:tc>
            </w:tr>
            <w:tr w14:paraId="4139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647" w:type="dxa"/>
                  <w:vAlign w:val="center"/>
                </w:tcPr>
                <w:p w14:paraId="32676E05">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地表水环境</w:t>
                  </w:r>
                </w:p>
              </w:tc>
              <w:tc>
                <w:tcPr>
                  <w:tcW w:w="426" w:type="dxa"/>
                  <w:vAlign w:val="center"/>
                </w:tcPr>
                <w:p w14:paraId="44F47DF9">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杞麓湖</w:t>
                  </w:r>
                </w:p>
              </w:tc>
              <w:tc>
                <w:tcPr>
                  <w:tcW w:w="1581" w:type="dxa"/>
                  <w:vAlign w:val="center"/>
                </w:tcPr>
                <w:p w14:paraId="72919039">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1476" w:type="dxa"/>
                  <w:vAlign w:val="center"/>
                </w:tcPr>
                <w:p w14:paraId="5556C195">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426" w:type="dxa"/>
                  <w:vAlign w:val="center"/>
                </w:tcPr>
                <w:p w14:paraId="7C4D5A1A">
                  <w:pPr>
                    <w:adjustRightInd w:val="0"/>
                    <w:snapToGrid w:val="0"/>
                    <w:jc w:val="center"/>
                    <w:rPr>
                      <w:rFonts w:hint="eastAsia" w:ascii="宋体" w:hAnsi="宋体" w:cs="宋体"/>
                      <w:color w:val="auto"/>
                      <w:szCs w:val="21"/>
                    </w:rPr>
                  </w:pPr>
                  <w:r>
                    <w:rPr>
                      <w:rFonts w:hint="eastAsia" w:ascii="宋体" w:hAnsi="宋体" w:cs="宋体"/>
                      <w:color w:val="auto"/>
                      <w:szCs w:val="21"/>
                    </w:rPr>
                    <w:t>湖泊</w:t>
                  </w:r>
                </w:p>
              </w:tc>
              <w:tc>
                <w:tcPr>
                  <w:tcW w:w="426" w:type="dxa"/>
                  <w:vAlign w:val="center"/>
                </w:tcPr>
                <w:p w14:paraId="3E8683A4">
                  <w:pPr>
                    <w:adjustRightInd w:val="0"/>
                    <w:snapToGrid w:val="0"/>
                    <w:jc w:val="center"/>
                    <w:rPr>
                      <w:rFonts w:hint="eastAsia" w:ascii="宋体" w:hAnsi="宋体" w:cs="宋体"/>
                      <w:color w:val="auto"/>
                      <w:szCs w:val="21"/>
                    </w:rPr>
                  </w:pPr>
                  <w:r>
                    <w:rPr>
                      <w:rFonts w:hint="eastAsia" w:ascii="宋体" w:hAnsi="宋体" w:cs="宋体"/>
                      <w:color w:val="auto"/>
                      <w:szCs w:val="21"/>
                    </w:rPr>
                    <w:t>西北面</w:t>
                  </w:r>
                </w:p>
              </w:tc>
              <w:tc>
                <w:tcPr>
                  <w:tcW w:w="846" w:type="dxa"/>
                  <w:vAlign w:val="center"/>
                </w:tcPr>
                <w:p w14:paraId="49750F82">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741" w:type="dxa"/>
                  <w:vAlign w:val="center"/>
                </w:tcPr>
                <w:p w14:paraId="2AE0BB68">
                  <w:pPr>
                    <w:adjustRightInd w:val="0"/>
                    <w:snapToGrid w:val="0"/>
                    <w:jc w:val="center"/>
                    <w:rPr>
                      <w:rFonts w:hint="eastAsia" w:ascii="宋体" w:hAnsi="宋体" w:cs="宋体"/>
                      <w:color w:val="auto"/>
                      <w:szCs w:val="21"/>
                    </w:rPr>
                  </w:pPr>
                  <w:r>
                    <w:rPr>
                      <w:rFonts w:hint="eastAsia" w:ascii="宋体" w:hAnsi="宋体" w:cs="宋体"/>
                      <w:color w:val="auto"/>
                      <w:szCs w:val="21"/>
                    </w:rPr>
                    <w:t>1568m</w:t>
                  </w:r>
                </w:p>
              </w:tc>
              <w:tc>
                <w:tcPr>
                  <w:tcW w:w="1791" w:type="dxa"/>
                  <w:vAlign w:val="center"/>
                </w:tcPr>
                <w:p w14:paraId="0A823BB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《地表水环境质量标准》（GB3838-2002）Ⅲ类标准</w:t>
                  </w:r>
                </w:p>
              </w:tc>
            </w:tr>
            <w:bookmarkEnd w:id="67"/>
          </w:tbl>
          <w:p w14:paraId="4D8079AA">
            <w:pPr>
              <w:pStyle w:val="18"/>
              <w:spacing w:line="360" w:lineRule="auto"/>
              <w:jc w:val="center"/>
              <w:rPr>
                <w:rFonts w:hAnsi="Times New Roman"/>
                <w:color w:val="auto"/>
              </w:rPr>
            </w:pPr>
            <w:r>
              <w:rPr>
                <w:rFonts w:hAnsi="Times New Roman" w:eastAsia="宋体"/>
                <w:b/>
                <w:color w:val="auto"/>
                <w:sz w:val="24"/>
              </w:rPr>
              <w:t>表3-</w:t>
            </w:r>
            <w:r>
              <w:rPr>
                <w:rFonts w:hint="eastAsia" w:hAnsi="Times New Roman" w:eastAsia="宋体"/>
                <w:b/>
                <w:color w:val="auto"/>
                <w:sz w:val="24"/>
              </w:rPr>
              <w:t>9项目（纳古卫生院）</w:t>
            </w:r>
            <w:r>
              <w:rPr>
                <w:rFonts w:hAnsi="Times New Roman" w:eastAsia="宋体"/>
                <w:b/>
                <w:color w:val="auto"/>
                <w:sz w:val="24"/>
              </w:rPr>
              <w:t>主要环境保护目标情况</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426"/>
              <w:gridCol w:w="1581"/>
              <w:gridCol w:w="1476"/>
              <w:gridCol w:w="426"/>
              <w:gridCol w:w="426"/>
              <w:gridCol w:w="846"/>
              <w:gridCol w:w="741"/>
              <w:gridCol w:w="1791"/>
            </w:tblGrid>
            <w:tr w14:paraId="2B42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dxa"/>
                  <w:vMerge w:val="restart"/>
                  <w:vAlign w:val="center"/>
                </w:tcPr>
                <w:p w14:paraId="54C84E37">
                  <w:pPr>
                    <w:pStyle w:val="32"/>
                    <w:adjustRightInd w:val="0"/>
                    <w:snapToGrid w:val="0"/>
                    <w:spacing w:after="0"/>
                    <w:ind w:left="0" w:leftChars="0" w:firstLine="0" w:firstLineChars="0"/>
                    <w:jc w:val="center"/>
                    <w:rPr>
                      <w:rFonts w:hint="eastAsia" w:ascii="宋体" w:hAnsi="宋体" w:cs="宋体"/>
                      <w:color w:val="auto"/>
                      <w:sz w:val="21"/>
                      <w:szCs w:val="21"/>
                    </w:rPr>
                  </w:pPr>
                  <w:bookmarkStart w:id="68" w:name="_Hlk192512900"/>
                  <w:r>
                    <w:rPr>
                      <w:rFonts w:hint="eastAsia" w:ascii="宋体" w:hAnsi="宋体" w:cs="宋体"/>
                      <w:color w:val="auto"/>
                      <w:sz w:val="21"/>
                      <w:szCs w:val="21"/>
                    </w:rPr>
                    <w:t>保护内容</w:t>
                  </w:r>
                </w:p>
              </w:tc>
              <w:tc>
                <w:tcPr>
                  <w:tcW w:w="426" w:type="dxa"/>
                  <w:vMerge w:val="restart"/>
                  <w:vAlign w:val="center"/>
                </w:tcPr>
                <w:p w14:paraId="236D7D8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名称</w:t>
                  </w:r>
                </w:p>
              </w:tc>
              <w:tc>
                <w:tcPr>
                  <w:tcW w:w="3057" w:type="dxa"/>
                  <w:gridSpan w:val="2"/>
                  <w:vAlign w:val="center"/>
                </w:tcPr>
                <w:p w14:paraId="3A7687C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坐标</w:t>
                  </w:r>
                </w:p>
              </w:tc>
              <w:tc>
                <w:tcPr>
                  <w:tcW w:w="426" w:type="dxa"/>
                  <w:vMerge w:val="restart"/>
                  <w:vAlign w:val="center"/>
                </w:tcPr>
                <w:p w14:paraId="7044ADCB">
                  <w:pPr>
                    <w:pStyle w:val="32"/>
                    <w:adjustRightInd w:val="0"/>
                    <w:snapToGrid w:val="0"/>
                    <w:spacing w:after="0"/>
                    <w:ind w:left="0" w:leftChars="0" w:firstLine="0" w:firstLineChars="0"/>
                    <w:rPr>
                      <w:rFonts w:hint="eastAsia" w:ascii="宋体" w:hAnsi="宋体" w:cs="宋体"/>
                      <w:color w:val="auto"/>
                      <w:sz w:val="21"/>
                      <w:szCs w:val="21"/>
                    </w:rPr>
                  </w:pPr>
                  <w:r>
                    <w:rPr>
                      <w:rFonts w:hint="eastAsia" w:ascii="宋体" w:hAnsi="宋体" w:cs="宋体"/>
                      <w:color w:val="auto"/>
                      <w:sz w:val="21"/>
                      <w:szCs w:val="21"/>
                    </w:rPr>
                    <w:t>保护对象</w:t>
                  </w:r>
                </w:p>
              </w:tc>
              <w:tc>
                <w:tcPr>
                  <w:tcW w:w="426" w:type="dxa"/>
                  <w:vMerge w:val="restart"/>
                  <w:vAlign w:val="center"/>
                </w:tcPr>
                <w:p w14:paraId="15CC3B4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相对本项目方位</w:t>
                  </w:r>
                </w:p>
              </w:tc>
              <w:tc>
                <w:tcPr>
                  <w:tcW w:w="846" w:type="dxa"/>
                  <w:vMerge w:val="restart"/>
                  <w:vAlign w:val="center"/>
                </w:tcPr>
                <w:p w14:paraId="570B20C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人口（人）</w:t>
                  </w:r>
                </w:p>
              </w:tc>
              <w:tc>
                <w:tcPr>
                  <w:tcW w:w="741" w:type="dxa"/>
                  <w:vMerge w:val="restart"/>
                  <w:vAlign w:val="center"/>
                </w:tcPr>
                <w:p w14:paraId="60F57A8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相对厂址距离（m）</w:t>
                  </w:r>
                </w:p>
              </w:tc>
              <w:tc>
                <w:tcPr>
                  <w:tcW w:w="1791" w:type="dxa"/>
                  <w:vMerge w:val="restart"/>
                  <w:vAlign w:val="center"/>
                </w:tcPr>
                <w:p w14:paraId="4469D5F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保护级别</w:t>
                  </w:r>
                </w:p>
              </w:tc>
            </w:tr>
            <w:tr w14:paraId="63C5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dxa"/>
                  <w:vMerge w:val="continue"/>
                  <w:vAlign w:val="center"/>
                </w:tcPr>
                <w:p w14:paraId="2FFE35C7">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4661E5DD">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581" w:type="dxa"/>
                  <w:vAlign w:val="center"/>
                </w:tcPr>
                <w:p w14:paraId="34BC2F9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东经（</w:t>
                  </w:r>
                  <w:r>
                    <w:rPr>
                      <w:color w:val="auto"/>
                    </w:rPr>
                    <w:t>°</w:t>
                  </w:r>
                  <w:r>
                    <w:rPr>
                      <w:rFonts w:hint="eastAsia" w:ascii="宋体" w:hAnsi="宋体" w:cs="宋体"/>
                      <w:color w:val="auto"/>
                      <w:sz w:val="21"/>
                      <w:szCs w:val="21"/>
                    </w:rPr>
                    <w:t>）</w:t>
                  </w:r>
                </w:p>
              </w:tc>
              <w:tc>
                <w:tcPr>
                  <w:tcW w:w="1476" w:type="dxa"/>
                  <w:vAlign w:val="center"/>
                </w:tcPr>
                <w:p w14:paraId="3279B72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北纬（</w:t>
                  </w:r>
                  <w:r>
                    <w:rPr>
                      <w:color w:val="auto"/>
                    </w:rPr>
                    <w:t>°</w:t>
                  </w:r>
                  <w:r>
                    <w:rPr>
                      <w:rFonts w:hint="eastAsia" w:ascii="宋体" w:hAnsi="宋体" w:cs="宋体"/>
                      <w:color w:val="auto"/>
                      <w:sz w:val="21"/>
                      <w:szCs w:val="21"/>
                    </w:rPr>
                    <w:t>）</w:t>
                  </w:r>
                </w:p>
              </w:tc>
              <w:tc>
                <w:tcPr>
                  <w:tcW w:w="426" w:type="dxa"/>
                  <w:vMerge w:val="continue"/>
                  <w:vAlign w:val="center"/>
                </w:tcPr>
                <w:p w14:paraId="0275099A">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5EFDFAA9">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846" w:type="dxa"/>
                  <w:vMerge w:val="continue"/>
                  <w:vAlign w:val="center"/>
                </w:tcPr>
                <w:p w14:paraId="50861B8F">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741" w:type="dxa"/>
                  <w:vMerge w:val="continue"/>
                  <w:vAlign w:val="center"/>
                </w:tcPr>
                <w:p w14:paraId="43DC1896">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791" w:type="dxa"/>
                  <w:vMerge w:val="continue"/>
                  <w:vAlign w:val="center"/>
                </w:tcPr>
                <w:p w14:paraId="6DA811F3">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2169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restart"/>
                  <w:vAlign w:val="center"/>
                </w:tcPr>
                <w:p w14:paraId="2AED027D">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大气环境</w:t>
                  </w:r>
                </w:p>
              </w:tc>
              <w:tc>
                <w:tcPr>
                  <w:tcW w:w="426" w:type="dxa"/>
                  <w:vAlign w:val="center"/>
                </w:tcPr>
                <w:p w14:paraId="6185405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通海纳古中心小学</w:t>
                  </w:r>
                </w:p>
              </w:tc>
              <w:tc>
                <w:tcPr>
                  <w:tcW w:w="1581" w:type="dxa"/>
                  <w:vAlign w:val="center"/>
                </w:tcPr>
                <w:p w14:paraId="500215A8">
                  <w:pPr>
                    <w:pStyle w:val="53"/>
                    <w:ind w:left="0" w:leftChars="0"/>
                    <w:rPr>
                      <w:rFonts w:hint="eastAsia" w:ascii="宋体" w:hAnsi="宋体" w:cs="宋体"/>
                      <w:color w:val="auto"/>
                      <w:szCs w:val="21"/>
                    </w:rPr>
                  </w:pPr>
                  <w:r>
                    <w:rPr>
                      <w:rFonts w:hint="eastAsia" w:ascii="宋体" w:hAnsi="宋体" w:cs="宋体"/>
                      <w:color w:val="auto"/>
                      <w:szCs w:val="21"/>
                    </w:rPr>
                    <w:t>102.733619953</w:t>
                  </w:r>
                </w:p>
              </w:tc>
              <w:tc>
                <w:tcPr>
                  <w:tcW w:w="1476" w:type="dxa"/>
                  <w:vAlign w:val="center"/>
                </w:tcPr>
                <w:p w14:paraId="7B05B5E1">
                  <w:pPr>
                    <w:pStyle w:val="53"/>
                    <w:ind w:left="0" w:leftChars="0"/>
                    <w:rPr>
                      <w:rFonts w:hint="eastAsia" w:ascii="宋体" w:hAnsi="宋体" w:cs="宋体"/>
                      <w:color w:val="auto"/>
                      <w:szCs w:val="21"/>
                    </w:rPr>
                  </w:pPr>
                  <w:r>
                    <w:rPr>
                      <w:rFonts w:hint="eastAsia" w:ascii="宋体" w:hAnsi="宋体" w:cs="宋体"/>
                      <w:color w:val="auto"/>
                      <w:szCs w:val="21"/>
                    </w:rPr>
                    <w:t>24.184230386</w:t>
                  </w:r>
                </w:p>
              </w:tc>
              <w:tc>
                <w:tcPr>
                  <w:tcW w:w="426" w:type="dxa"/>
                  <w:vAlign w:val="center"/>
                </w:tcPr>
                <w:p w14:paraId="251F6F8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4205579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东北</w:t>
                  </w:r>
                </w:p>
              </w:tc>
              <w:tc>
                <w:tcPr>
                  <w:tcW w:w="846" w:type="dxa"/>
                  <w:vAlign w:val="center"/>
                </w:tcPr>
                <w:p w14:paraId="61FE30B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138</w:t>
                  </w:r>
                </w:p>
              </w:tc>
              <w:tc>
                <w:tcPr>
                  <w:tcW w:w="741" w:type="dxa"/>
                  <w:vAlign w:val="center"/>
                </w:tcPr>
                <w:p w14:paraId="6FA0D0A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244</w:t>
                  </w:r>
                </w:p>
              </w:tc>
              <w:tc>
                <w:tcPr>
                  <w:tcW w:w="1791" w:type="dxa"/>
                  <w:vMerge w:val="restart"/>
                  <w:vAlign w:val="center"/>
                </w:tcPr>
                <w:p w14:paraId="0771522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《环境空气质量标准》GB3095-2012二级标准</w:t>
                  </w:r>
                </w:p>
              </w:tc>
            </w:tr>
            <w:tr w14:paraId="1C85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continue"/>
                  <w:vAlign w:val="center"/>
                </w:tcPr>
                <w:p w14:paraId="739416F7">
                  <w:pPr>
                    <w:pStyle w:val="85"/>
                    <w:adjustRightInd w:val="0"/>
                    <w:snapToGrid w:val="0"/>
                    <w:spacing w:line="240" w:lineRule="auto"/>
                    <w:rPr>
                      <w:rFonts w:hint="eastAsia" w:ascii="宋体" w:hAnsi="宋体" w:cs="宋体"/>
                      <w:color w:val="auto"/>
                      <w:szCs w:val="21"/>
                    </w:rPr>
                  </w:pPr>
                </w:p>
              </w:tc>
              <w:tc>
                <w:tcPr>
                  <w:tcW w:w="426" w:type="dxa"/>
                  <w:vAlign w:val="center"/>
                </w:tcPr>
                <w:p w14:paraId="1341EFC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纳古镇</w:t>
                  </w:r>
                </w:p>
              </w:tc>
              <w:tc>
                <w:tcPr>
                  <w:tcW w:w="1581" w:type="dxa"/>
                  <w:vAlign w:val="center"/>
                </w:tcPr>
                <w:p w14:paraId="63995ED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102.731678033</w:t>
                  </w:r>
                </w:p>
              </w:tc>
              <w:tc>
                <w:tcPr>
                  <w:tcW w:w="1476" w:type="dxa"/>
                  <w:vAlign w:val="center"/>
                </w:tcPr>
                <w:p w14:paraId="0DD94AD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24.181424795</w:t>
                  </w:r>
                </w:p>
              </w:tc>
              <w:tc>
                <w:tcPr>
                  <w:tcW w:w="426" w:type="dxa"/>
                  <w:vAlign w:val="center"/>
                </w:tcPr>
                <w:p w14:paraId="6419961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449FC4B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北面</w:t>
                  </w:r>
                </w:p>
              </w:tc>
              <w:tc>
                <w:tcPr>
                  <w:tcW w:w="846" w:type="dxa"/>
                  <w:vAlign w:val="center"/>
                </w:tcPr>
                <w:p w14:paraId="404ADB4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678</w:t>
                  </w:r>
                </w:p>
              </w:tc>
              <w:tc>
                <w:tcPr>
                  <w:tcW w:w="741" w:type="dxa"/>
                  <w:vAlign w:val="center"/>
                </w:tcPr>
                <w:p w14:paraId="12CB061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791" w:type="dxa"/>
                  <w:vMerge w:val="continue"/>
                  <w:vAlign w:val="center"/>
                </w:tcPr>
                <w:p w14:paraId="11B65FC7">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5146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continue"/>
                  <w:vAlign w:val="center"/>
                </w:tcPr>
                <w:p w14:paraId="3899C920">
                  <w:pPr>
                    <w:pStyle w:val="85"/>
                    <w:adjustRightInd w:val="0"/>
                    <w:snapToGrid w:val="0"/>
                    <w:spacing w:line="240" w:lineRule="auto"/>
                    <w:rPr>
                      <w:rFonts w:hint="eastAsia" w:ascii="宋体" w:hAnsi="宋体" w:cs="宋体"/>
                      <w:color w:val="auto"/>
                      <w:szCs w:val="21"/>
                    </w:rPr>
                  </w:pPr>
                </w:p>
              </w:tc>
              <w:tc>
                <w:tcPr>
                  <w:tcW w:w="426" w:type="dxa"/>
                  <w:vAlign w:val="center"/>
                </w:tcPr>
                <w:p w14:paraId="7EC59BD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纳家营村</w:t>
                  </w:r>
                </w:p>
              </w:tc>
              <w:tc>
                <w:tcPr>
                  <w:tcW w:w="1581" w:type="dxa"/>
                  <w:vAlign w:val="center"/>
                </w:tcPr>
                <w:p w14:paraId="7DF8E21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102.734124208</w:t>
                  </w:r>
                </w:p>
              </w:tc>
              <w:tc>
                <w:tcPr>
                  <w:tcW w:w="1476" w:type="dxa"/>
                  <w:vAlign w:val="center"/>
                </w:tcPr>
                <w:p w14:paraId="500796B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24.179171739</w:t>
                  </w:r>
                </w:p>
              </w:tc>
              <w:tc>
                <w:tcPr>
                  <w:tcW w:w="426" w:type="dxa"/>
                  <w:vAlign w:val="center"/>
                </w:tcPr>
                <w:p w14:paraId="4E2D505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3B6F97A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南面</w:t>
                  </w:r>
                </w:p>
              </w:tc>
              <w:tc>
                <w:tcPr>
                  <w:tcW w:w="846" w:type="dxa"/>
                  <w:vAlign w:val="center"/>
                </w:tcPr>
                <w:p w14:paraId="4319EC8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541</w:t>
                  </w:r>
                </w:p>
              </w:tc>
              <w:tc>
                <w:tcPr>
                  <w:tcW w:w="741" w:type="dxa"/>
                  <w:vAlign w:val="center"/>
                </w:tcPr>
                <w:p w14:paraId="5493275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183</w:t>
                  </w:r>
                </w:p>
              </w:tc>
              <w:tc>
                <w:tcPr>
                  <w:tcW w:w="1791" w:type="dxa"/>
                  <w:vMerge w:val="continue"/>
                  <w:vAlign w:val="center"/>
                </w:tcPr>
                <w:p w14:paraId="2C584470">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2BD7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647" w:type="dxa"/>
                  <w:vAlign w:val="center"/>
                </w:tcPr>
                <w:p w14:paraId="12EDE528">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声环境</w:t>
                  </w:r>
                </w:p>
              </w:tc>
              <w:tc>
                <w:tcPr>
                  <w:tcW w:w="426" w:type="dxa"/>
                  <w:vAlign w:val="center"/>
                </w:tcPr>
                <w:p w14:paraId="4B7CF12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纳古镇</w:t>
                  </w:r>
                </w:p>
              </w:tc>
              <w:tc>
                <w:tcPr>
                  <w:tcW w:w="1581" w:type="dxa"/>
                  <w:vAlign w:val="center"/>
                </w:tcPr>
                <w:p w14:paraId="133CDCF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102.731678033</w:t>
                  </w:r>
                </w:p>
              </w:tc>
              <w:tc>
                <w:tcPr>
                  <w:tcW w:w="1476" w:type="dxa"/>
                  <w:vAlign w:val="center"/>
                </w:tcPr>
                <w:p w14:paraId="20F570C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24.181424795</w:t>
                  </w:r>
                </w:p>
              </w:tc>
              <w:tc>
                <w:tcPr>
                  <w:tcW w:w="426" w:type="dxa"/>
                  <w:vAlign w:val="center"/>
                </w:tcPr>
                <w:p w14:paraId="02F470F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769E721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北面</w:t>
                  </w:r>
                </w:p>
              </w:tc>
              <w:tc>
                <w:tcPr>
                  <w:tcW w:w="846" w:type="dxa"/>
                  <w:vAlign w:val="center"/>
                </w:tcPr>
                <w:p w14:paraId="378AFB2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678</w:t>
                  </w:r>
                </w:p>
              </w:tc>
              <w:tc>
                <w:tcPr>
                  <w:tcW w:w="741" w:type="dxa"/>
                  <w:vAlign w:val="center"/>
                </w:tcPr>
                <w:p w14:paraId="69D2C7A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791" w:type="dxa"/>
                  <w:vAlign w:val="center"/>
                </w:tcPr>
                <w:p w14:paraId="56418D5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《声环境质量标准》（GB3096-2008）2类标准</w:t>
                  </w:r>
                </w:p>
              </w:tc>
            </w:tr>
            <w:tr w14:paraId="02E3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647" w:type="dxa"/>
                  <w:vAlign w:val="center"/>
                </w:tcPr>
                <w:p w14:paraId="134280C2">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地表水环境</w:t>
                  </w:r>
                </w:p>
              </w:tc>
              <w:tc>
                <w:tcPr>
                  <w:tcW w:w="426" w:type="dxa"/>
                  <w:vAlign w:val="center"/>
                </w:tcPr>
                <w:p w14:paraId="79524919">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杞麓湖</w:t>
                  </w:r>
                </w:p>
              </w:tc>
              <w:tc>
                <w:tcPr>
                  <w:tcW w:w="1581" w:type="dxa"/>
                  <w:vAlign w:val="center"/>
                </w:tcPr>
                <w:p w14:paraId="64CB2DE1">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1476" w:type="dxa"/>
                  <w:vAlign w:val="center"/>
                </w:tcPr>
                <w:p w14:paraId="61ABFCDC">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426" w:type="dxa"/>
                  <w:vAlign w:val="center"/>
                </w:tcPr>
                <w:p w14:paraId="1E1061E2">
                  <w:pPr>
                    <w:adjustRightInd w:val="0"/>
                    <w:snapToGrid w:val="0"/>
                    <w:jc w:val="center"/>
                    <w:rPr>
                      <w:rFonts w:hint="eastAsia" w:ascii="宋体" w:hAnsi="宋体" w:cs="宋体"/>
                      <w:color w:val="auto"/>
                      <w:szCs w:val="21"/>
                    </w:rPr>
                  </w:pPr>
                  <w:r>
                    <w:rPr>
                      <w:rFonts w:hint="eastAsia" w:ascii="宋体" w:hAnsi="宋体" w:cs="宋体"/>
                      <w:color w:val="auto"/>
                      <w:szCs w:val="21"/>
                    </w:rPr>
                    <w:t>湖泊</w:t>
                  </w:r>
                </w:p>
              </w:tc>
              <w:tc>
                <w:tcPr>
                  <w:tcW w:w="426" w:type="dxa"/>
                  <w:vAlign w:val="center"/>
                </w:tcPr>
                <w:p w14:paraId="7587EC65">
                  <w:pPr>
                    <w:adjustRightInd w:val="0"/>
                    <w:snapToGrid w:val="0"/>
                    <w:jc w:val="center"/>
                    <w:rPr>
                      <w:rFonts w:hint="eastAsia" w:ascii="宋体" w:hAnsi="宋体" w:cs="宋体"/>
                      <w:color w:val="auto"/>
                      <w:szCs w:val="21"/>
                    </w:rPr>
                  </w:pPr>
                  <w:r>
                    <w:rPr>
                      <w:rFonts w:hint="eastAsia" w:ascii="宋体" w:hAnsi="宋体" w:cs="宋体"/>
                      <w:color w:val="auto"/>
                      <w:szCs w:val="21"/>
                    </w:rPr>
                    <w:t>东南面</w:t>
                  </w:r>
                </w:p>
              </w:tc>
              <w:tc>
                <w:tcPr>
                  <w:tcW w:w="846" w:type="dxa"/>
                  <w:vAlign w:val="center"/>
                </w:tcPr>
                <w:p w14:paraId="7A84E1F6">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741" w:type="dxa"/>
                  <w:vAlign w:val="center"/>
                </w:tcPr>
                <w:p w14:paraId="56DDA38F">
                  <w:pPr>
                    <w:adjustRightInd w:val="0"/>
                    <w:snapToGrid w:val="0"/>
                    <w:jc w:val="center"/>
                    <w:rPr>
                      <w:rFonts w:hint="eastAsia" w:ascii="宋体" w:hAnsi="宋体" w:cs="宋体"/>
                      <w:color w:val="auto"/>
                      <w:szCs w:val="21"/>
                    </w:rPr>
                  </w:pPr>
                  <w:r>
                    <w:rPr>
                      <w:rFonts w:hint="eastAsia" w:ascii="宋体" w:hAnsi="宋体" w:cs="宋体"/>
                      <w:color w:val="auto"/>
                      <w:szCs w:val="21"/>
                    </w:rPr>
                    <w:t>1328m</w:t>
                  </w:r>
                </w:p>
              </w:tc>
              <w:tc>
                <w:tcPr>
                  <w:tcW w:w="1791" w:type="dxa"/>
                  <w:vAlign w:val="center"/>
                </w:tcPr>
                <w:p w14:paraId="0FD8954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《地表水环境质量标准》（GB3838-2002）Ⅲ类标准</w:t>
                  </w:r>
                </w:p>
              </w:tc>
            </w:tr>
            <w:bookmarkEnd w:id="68"/>
          </w:tbl>
          <w:p w14:paraId="61A552AC">
            <w:pPr>
              <w:adjustRightInd w:val="0"/>
              <w:snapToGrid w:val="0"/>
              <w:rPr>
                <w:color w:val="auto"/>
                <w:kern w:val="0"/>
                <w:szCs w:val="21"/>
              </w:rPr>
            </w:pPr>
          </w:p>
        </w:tc>
      </w:tr>
      <w:bookmarkEnd w:id="64"/>
      <w:tr w14:paraId="09795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38" w:type="dxa"/>
            <w:tcMar>
              <w:left w:w="28" w:type="dxa"/>
              <w:right w:w="28" w:type="dxa"/>
            </w:tcMar>
            <w:vAlign w:val="center"/>
          </w:tcPr>
          <w:p w14:paraId="1DD39151">
            <w:pPr>
              <w:adjustRightInd w:val="0"/>
              <w:snapToGrid w:val="0"/>
              <w:jc w:val="center"/>
              <w:rPr>
                <w:color w:val="auto"/>
                <w:kern w:val="0"/>
                <w:szCs w:val="21"/>
              </w:rPr>
            </w:pPr>
            <w:r>
              <w:rPr>
                <w:color w:val="auto"/>
                <w:kern w:val="0"/>
                <w:szCs w:val="21"/>
              </w:rPr>
              <w:t>污染</w:t>
            </w:r>
          </w:p>
          <w:p w14:paraId="587A8E3E">
            <w:pPr>
              <w:adjustRightInd w:val="0"/>
              <w:snapToGrid w:val="0"/>
              <w:jc w:val="center"/>
              <w:rPr>
                <w:color w:val="auto"/>
                <w:kern w:val="0"/>
                <w:szCs w:val="21"/>
              </w:rPr>
            </w:pPr>
            <w:r>
              <w:rPr>
                <w:color w:val="auto"/>
                <w:kern w:val="0"/>
                <w:szCs w:val="21"/>
              </w:rPr>
              <w:t>物排</w:t>
            </w:r>
          </w:p>
          <w:p w14:paraId="70AFB4BD">
            <w:pPr>
              <w:adjustRightInd w:val="0"/>
              <w:snapToGrid w:val="0"/>
              <w:jc w:val="center"/>
              <w:rPr>
                <w:color w:val="auto"/>
                <w:kern w:val="0"/>
                <w:szCs w:val="21"/>
              </w:rPr>
            </w:pPr>
            <w:r>
              <w:rPr>
                <w:color w:val="auto"/>
                <w:kern w:val="0"/>
                <w:szCs w:val="21"/>
              </w:rPr>
              <w:t>放控</w:t>
            </w:r>
          </w:p>
          <w:p w14:paraId="1FB5BD29">
            <w:pPr>
              <w:adjustRightInd w:val="0"/>
              <w:snapToGrid w:val="0"/>
              <w:jc w:val="center"/>
              <w:rPr>
                <w:color w:val="auto"/>
                <w:kern w:val="0"/>
                <w:szCs w:val="21"/>
              </w:rPr>
            </w:pPr>
            <w:r>
              <w:rPr>
                <w:color w:val="auto"/>
                <w:kern w:val="0"/>
                <w:szCs w:val="21"/>
              </w:rPr>
              <w:t>制标</w:t>
            </w:r>
          </w:p>
          <w:p w14:paraId="1A26832C">
            <w:pPr>
              <w:adjustRightInd w:val="0"/>
              <w:snapToGrid w:val="0"/>
              <w:jc w:val="center"/>
              <w:rPr>
                <w:color w:val="auto"/>
                <w:kern w:val="0"/>
                <w:szCs w:val="21"/>
              </w:rPr>
            </w:pPr>
            <w:r>
              <w:rPr>
                <w:color w:val="auto"/>
                <w:kern w:val="0"/>
                <w:szCs w:val="21"/>
              </w:rPr>
              <w:t>准</w:t>
            </w:r>
          </w:p>
        </w:tc>
        <w:tc>
          <w:tcPr>
            <w:tcW w:w="8321" w:type="dxa"/>
            <w:vAlign w:val="center"/>
          </w:tcPr>
          <w:p w14:paraId="5282E814">
            <w:pPr>
              <w:pStyle w:val="8"/>
              <w:spacing w:line="360" w:lineRule="auto"/>
              <w:ind w:firstLine="0" w:firstLineChars="0"/>
              <w:rPr>
                <w:b/>
                <w:bCs/>
                <w:color w:val="auto"/>
                <w:kern w:val="0"/>
                <w:szCs w:val="24"/>
              </w:rPr>
            </w:pPr>
            <w:bookmarkStart w:id="69" w:name="OLE_LINK118"/>
            <w:bookmarkStart w:id="70" w:name="OLE_LINK117"/>
            <w:bookmarkStart w:id="71" w:name="OLE_LINK119"/>
            <w:r>
              <w:rPr>
                <w:b/>
                <w:bCs/>
                <w:color w:val="auto"/>
                <w:kern w:val="0"/>
                <w:szCs w:val="24"/>
              </w:rPr>
              <w:t>1、废气排放标准</w:t>
            </w:r>
          </w:p>
          <w:p w14:paraId="030E30D8">
            <w:pPr>
              <w:pStyle w:val="8"/>
              <w:spacing w:line="360" w:lineRule="auto"/>
              <w:ind w:firstLine="480" w:firstLineChars="0"/>
              <w:rPr>
                <w:b/>
                <w:bCs/>
                <w:color w:val="auto"/>
                <w:kern w:val="0"/>
                <w:szCs w:val="24"/>
              </w:rPr>
            </w:pPr>
            <w:r>
              <w:rPr>
                <w:b/>
                <w:bCs/>
                <w:color w:val="auto"/>
                <w:kern w:val="0"/>
                <w:szCs w:val="24"/>
              </w:rPr>
              <w:t>（1）施工期</w:t>
            </w:r>
          </w:p>
          <w:p w14:paraId="52747F52">
            <w:pPr>
              <w:spacing w:line="360" w:lineRule="auto"/>
              <w:ind w:firstLine="480"/>
              <w:rPr>
                <w:b/>
                <w:color w:val="auto"/>
              </w:rPr>
            </w:pPr>
            <w:r>
              <w:rPr>
                <w:color w:val="auto"/>
                <w:sz w:val="24"/>
              </w:rPr>
              <w:t>施工期无组织粉尘排放执行《大气污染物综合排放标准》（GB16297-1996）表2中的无组织排放监控浓度限值标准。</w:t>
            </w:r>
          </w:p>
          <w:p w14:paraId="5A45571D">
            <w:pPr>
              <w:spacing w:line="360" w:lineRule="auto"/>
              <w:jc w:val="center"/>
              <w:rPr>
                <w:bCs/>
                <w:color w:val="auto"/>
                <w:kern w:val="0"/>
                <w:sz w:val="24"/>
              </w:rPr>
            </w:pPr>
            <w:r>
              <w:rPr>
                <w:b/>
                <w:color w:val="auto"/>
                <w:sz w:val="24"/>
              </w:rPr>
              <w:t>表3-</w:t>
            </w:r>
            <w:r>
              <w:rPr>
                <w:rFonts w:hint="eastAsia"/>
                <w:b/>
                <w:color w:val="auto"/>
                <w:sz w:val="24"/>
              </w:rPr>
              <w:t>10</w:t>
            </w:r>
            <w:r>
              <w:rPr>
                <w:b/>
                <w:color w:val="auto"/>
                <w:sz w:val="24"/>
              </w:rPr>
              <w:t>大气污染物排放限值单位：mg/m</w:t>
            </w:r>
            <w:r>
              <w:rPr>
                <w:b/>
                <w:color w:val="auto"/>
                <w:sz w:val="24"/>
                <w:vertAlign w:val="superscript"/>
              </w:rPr>
              <w:t>3</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3159"/>
              <w:gridCol w:w="2787"/>
            </w:tblGrid>
            <w:tr w14:paraId="0F6E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dxa"/>
                  <w:vMerge w:val="restart"/>
                  <w:vAlign w:val="center"/>
                </w:tcPr>
                <w:p w14:paraId="312BDAB6">
                  <w:pPr>
                    <w:spacing w:line="288" w:lineRule="auto"/>
                    <w:jc w:val="center"/>
                    <w:rPr>
                      <w:b/>
                      <w:bCs/>
                      <w:color w:val="auto"/>
                      <w:szCs w:val="22"/>
                    </w:rPr>
                  </w:pPr>
                  <w:r>
                    <w:rPr>
                      <w:b/>
                      <w:bCs/>
                      <w:color w:val="auto"/>
                      <w:szCs w:val="22"/>
                    </w:rPr>
                    <w:t>污染物</w:t>
                  </w:r>
                </w:p>
              </w:tc>
              <w:tc>
                <w:tcPr>
                  <w:tcW w:w="5946" w:type="dxa"/>
                  <w:gridSpan w:val="2"/>
                  <w:vAlign w:val="center"/>
                </w:tcPr>
                <w:p w14:paraId="7A725686">
                  <w:pPr>
                    <w:spacing w:line="288" w:lineRule="auto"/>
                    <w:jc w:val="center"/>
                    <w:rPr>
                      <w:b/>
                      <w:bCs/>
                      <w:color w:val="auto"/>
                      <w:szCs w:val="22"/>
                    </w:rPr>
                  </w:pPr>
                  <w:r>
                    <w:rPr>
                      <w:b/>
                      <w:bCs/>
                      <w:color w:val="auto"/>
                      <w:szCs w:val="22"/>
                    </w:rPr>
                    <w:t>无组织排放监控浓度限值</w:t>
                  </w:r>
                </w:p>
              </w:tc>
            </w:tr>
            <w:tr w14:paraId="5A92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dxa"/>
                  <w:vMerge w:val="continue"/>
                  <w:vAlign w:val="center"/>
                </w:tcPr>
                <w:p w14:paraId="15AB02A5">
                  <w:pPr>
                    <w:spacing w:line="288" w:lineRule="auto"/>
                    <w:jc w:val="center"/>
                    <w:rPr>
                      <w:b/>
                      <w:bCs/>
                      <w:color w:val="auto"/>
                      <w:szCs w:val="22"/>
                    </w:rPr>
                  </w:pPr>
                </w:p>
              </w:tc>
              <w:tc>
                <w:tcPr>
                  <w:tcW w:w="3159" w:type="dxa"/>
                  <w:vAlign w:val="center"/>
                </w:tcPr>
                <w:p w14:paraId="5C9139A0">
                  <w:pPr>
                    <w:spacing w:line="288" w:lineRule="auto"/>
                    <w:jc w:val="center"/>
                    <w:rPr>
                      <w:b/>
                      <w:bCs/>
                      <w:color w:val="auto"/>
                      <w:kern w:val="0"/>
                      <w:szCs w:val="22"/>
                    </w:rPr>
                  </w:pPr>
                  <w:r>
                    <w:rPr>
                      <w:b/>
                      <w:bCs/>
                      <w:color w:val="auto"/>
                      <w:szCs w:val="22"/>
                    </w:rPr>
                    <w:t>监控点</w:t>
                  </w:r>
                </w:p>
              </w:tc>
              <w:tc>
                <w:tcPr>
                  <w:tcW w:w="2787" w:type="dxa"/>
                  <w:vAlign w:val="center"/>
                </w:tcPr>
                <w:p w14:paraId="4A5C861E">
                  <w:pPr>
                    <w:spacing w:line="288" w:lineRule="auto"/>
                    <w:jc w:val="center"/>
                    <w:rPr>
                      <w:b/>
                      <w:bCs/>
                      <w:color w:val="auto"/>
                      <w:kern w:val="0"/>
                      <w:szCs w:val="22"/>
                    </w:rPr>
                  </w:pPr>
                  <w:r>
                    <w:rPr>
                      <w:b/>
                      <w:bCs/>
                      <w:color w:val="auto"/>
                      <w:szCs w:val="22"/>
                    </w:rPr>
                    <w:t>浓度</w:t>
                  </w:r>
                </w:p>
              </w:tc>
            </w:tr>
            <w:tr w14:paraId="3950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dxa"/>
                  <w:vAlign w:val="center"/>
                </w:tcPr>
                <w:p w14:paraId="2E6FB9F7">
                  <w:pPr>
                    <w:spacing w:line="288" w:lineRule="auto"/>
                    <w:jc w:val="center"/>
                    <w:rPr>
                      <w:color w:val="auto"/>
                      <w:szCs w:val="22"/>
                    </w:rPr>
                  </w:pPr>
                  <w:r>
                    <w:rPr>
                      <w:color w:val="auto"/>
                      <w:szCs w:val="22"/>
                    </w:rPr>
                    <w:t>颗粒物</w:t>
                  </w:r>
                </w:p>
              </w:tc>
              <w:tc>
                <w:tcPr>
                  <w:tcW w:w="3159" w:type="dxa"/>
                  <w:vAlign w:val="center"/>
                </w:tcPr>
                <w:p w14:paraId="0F3DF8B9">
                  <w:pPr>
                    <w:spacing w:line="288" w:lineRule="auto"/>
                    <w:jc w:val="center"/>
                    <w:rPr>
                      <w:bCs/>
                      <w:color w:val="auto"/>
                      <w:kern w:val="0"/>
                      <w:szCs w:val="22"/>
                    </w:rPr>
                  </w:pPr>
                  <w:r>
                    <w:rPr>
                      <w:color w:val="auto"/>
                      <w:szCs w:val="22"/>
                    </w:rPr>
                    <w:t>周界外浓度最高点</w:t>
                  </w:r>
                </w:p>
              </w:tc>
              <w:tc>
                <w:tcPr>
                  <w:tcW w:w="2787" w:type="dxa"/>
                  <w:vAlign w:val="center"/>
                </w:tcPr>
                <w:p w14:paraId="577B8954">
                  <w:pPr>
                    <w:spacing w:line="288" w:lineRule="auto"/>
                    <w:jc w:val="center"/>
                    <w:rPr>
                      <w:bCs/>
                      <w:color w:val="auto"/>
                      <w:kern w:val="0"/>
                      <w:szCs w:val="22"/>
                    </w:rPr>
                  </w:pPr>
                  <w:r>
                    <w:rPr>
                      <w:color w:val="auto"/>
                      <w:szCs w:val="22"/>
                    </w:rPr>
                    <w:t>1.0</w:t>
                  </w:r>
                </w:p>
              </w:tc>
            </w:tr>
          </w:tbl>
          <w:p w14:paraId="5563927F">
            <w:pPr>
              <w:pStyle w:val="8"/>
              <w:spacing w:before="0" w:after="0" w:line="360" w:lineRule="auto"/>
              <w:ind w:firstLine="480" w:firstLineChars="0"/>
              <w:rPr>
                <w:b/>
                <w:bCs/>
                <w:color w:val="auto"/>
                <w:kern w:val="0"/>
                <w:szCs w:val="24"/>
              </w:rPr>
            </w:pPr>
            <w:r>
              <w:rPr>
                <w:b/>
                <w:bCs/>
                <w:color w:val="auto"/>
                <w:kern w:val="0"/>
                <w:szCs w:val="24"/>
              </w:rPr>
              <w:t>（2）运营期</w:t>
            </w:r>
          </w:p>
          <w:bookmarkEnd w:id="69"/>
          <w:bookmarkEnd w:id="70"/>
          <w:bookmarkEnd w:id="71"/>
          <w:p w14:paraId="67F7F796">
            <w:pPr>
              <w:spacing w:line="360" w:lineRule="auto"/>
              <w:ind w:firstLine="470" w:firstLineChars="196"/>
              <w:rPr>
                <w:color w:val="auto"/>
                <w:sz w:val="24"/>
              </w:rPr>
            </w:pPr>
            <w:r>
              <w:rPr>
                <w:rFonts w:hint="eastAsia" w:ascii="宋体" w:hAnsi="宋体" w:cs="宋体"/>
                <w:color w:val="auto"/>
                <w:sz w:val="24"/>
              </w:rPr>
              <w:t>①</w:t>
            </w:r>
            <w:r>
              <w:rPr>
                <w:color w:val="auto"/>
                <w:sz w:val="24"/>
              </w:rPr>
              <w:t>异味：</w:t>
            </w:r>
            <w:r>
              <w:rPr>
                <w:rFonts w:hint="eastAsia"/>
                <w:color w:val="auto"/>
                <w:sz w:val="24"/>
              </w:rPr>
              <w:t>化粪池及垃圾收集桶/箱运行时产生的</w:t>
            </w:r>
            <w:r>
              <w:rPr>
                <w:color w:val="auto"/>
                <w:sz w:val="24"/>
              </w:rPr>
              <w:t>异味执行</w:t>
            </w:r>
            <w:r>
              <w:rPr>
                <w:rFonts w:hint="eastAsia"/>
                <w:color w:val="auto"/>
                <w:sz w:val="24"/>
              </w:rPr>
              <w:t>《恶臭污染物排放标准》GB14554-1993）中的</w:t>
            </w:r>
            <w:r>
              <w:rPr>
                <w:color w:val="auto"/>
                <w:sz w:val="24"/>
              </w:rPr>
              <w:t>二级标准，</w:t>
            </w:r>
            <w:r>
              <w:rPr>
                <w:rFonts w:hint="eastAsia"/>
                <w:color w:val="auto"/>
                <w:sz w:val="24"/>
              </w:rPr>
              <w:t>即</w:t>
            </w:r>
            <w:r>
              <w:rPr>
                <w:color w:val="auto"/>
                <w:sz w:val="24"/>
              </w:rPr>
              <w:t>臭气浓度无量纲≤20（无量纲）。</w:t>
            </w:r>
          </w:p>
          <w:p w14:paraId="2EE23373">
            <w:pPr>
              <w:tabs>
                <w:tab w:val="center" w:pos="4153"/>
                <w:tab w:val="right" w:pos="8306"/>
              </w:tabs>
              <w:spacing w:line="360" w:lineRule="auto"/>
              <w:ind w:firstLine="480" w:firstLineChars="200"/>
              <w:rPr>
                <w:color w:val="auto"/>
                <w:sz w:val="24"/>
              </w:rPr>
            </w:pPr>
            <w:r>
              <w:rPr>
                <w:rFonts w:hint="eastAsia" w:ascii="宋体" w:hAnsi="宋体" w:cs="宋体"/>
                <w:color w:val="auto"/>
                <w:sz w:val="24"/>
              </w:rPr>
              <w:t>②</w:t>
            </w:r>
            <w:r>
              <w:rPr>
                <w:rFonts w:hint="eastAsia"/>
                <w:color w:val="auto"/>
                <w:sz w:val="24"/>
              </w:rPr>
              <w:t>污水处理站</w:t>
            </w:r>
            <w:r>
              <w:rPr>
                <w:color w:val="auto"/>
                <w:sz w:val="24"/>
              </w:rPr>
              <w:t>运营期污水处理站</w:t>
            </w:r>
            <w:r>
              <w:rPr>
                <w:rFonts w:hint="eastAsia"/>
                <w:color w:val="auto"/>
                <w:sz w:val="24"/>
              </w:rPr>
              <w:t>周边空气中</w:t>
            </w:r>
            <w:r>
              <w:rPr>
                <w:rFonts w:hint="eastAsia"/>
                <w:bCs/>
                <w:color w:val="auto"/>
                <w:sz w:val="24"/>
              </w:rPr>
              <w:t>无组织恶臭</w:t>
            </w:r>
            <w:r>
              <w:rPr>
                <w:color w:val="auto"/>
                <w:sz w:val="24"/>
              </w:rPr>
              <w:t>执行</w:t>
            </w:r>
            <w:r>
              <w:rPr>
                <w:color w:val="auto"/>
                <w:spacing w:val="-20"/>
                <w:sz w:val="24"/>
              </w:rPr>
              <w:t>《</w:t>
            </w:r>
            <w:r>
              <w:rPr>
                <w:color w:val="auto"/>
                <w:sz w:val="24"/>
              </w:rPr>
              <w:t>医疗机构水污染物排放标准</w:t>
            </w:r>
            <w:r>
              <w:rPr>
                <w:color w:val="auto"/>
                <w:spacing w:val="-20"/>
                <w:sz w:val="24"/>
              </w:rPr>
              <w:t>》</w:t>
            </w:r>
            <w:r>
              <w:rPr>
                <w:color w:val="auto"/>
                <w:sz w:val="24"/>
              </w:rPr>
              <w:t>（GB 18466-2005）表3要求，标准值</w:t>
            </w:r>
            <w:r>
              <w:rPr>
                <w:rFonts w:hint="eastAsia"/>
                <w:color w:val="auto"/>
                <w:sz w:val="24"/>
              </w:rPr>
              <w:t>详</w:t>
            </w:r>
            <w:r>
              <w:rPr>
                <w:color w:val="auto"/>
                <w:sz w:val="24"/>
              </w:rPr>
              <w:t>见</w:t>
            </w:r>
            <w:r>
              <w:rPr>
                <w:rFonts w:hint="eastAsia"/>
                <w:color w:val="auto"/>
                <w:sz w:val="24"/>
              </w:rPr>
              <w:t>下</w:t>
            </w:r>
            <w:r>
              <w:rPr>
                <w:color w:val="auto"/>
                <w:sz w:val="24"/>
              </w:rPr>
              <w:t>表。</w:t>
            </w:r>
          </w:p>
          <w:p w14:paraId="36DC8337">
            <w:pPr>
              <w:jc w:val="center"/>
              <w:rPr>
                <w:b/>
                <w:bCs/>
                <w:color w:val="auto"/>
                <w:kern w:val="0"/>
                <w:sz w:val="24"/>
              </w:rPr>
            </w:pPr>
            <w:r>
              <w:rPr>
                <w:b/>
                <w:bCs/>
                <w:color w:val="auto"/>
                <w:kern w:val="0"/>
                <w:sz w:val="24"/>
              </w:rPr>
              <w:t>表</w:t>
            </w:r>
            <w:r>
              <w:rPr>
                <w:rFonts w:hint="eastAsia"/>
                <w:b/>
                <w:bCs/>
                <w:color w:val="auto"/>
                <w:kern w:val="0"/>
                <w:sz w:val="24"/>
              </w:rPr>
              <w:t>3</w:t>
            </w:r>
            <w:r>
              <w:rPr>
                <w:b/>
                <w:bCs/>
                <w:color w:val="auto"/>
                <w:kern w:val="0"/>
                <w:sz w:val="24"/>
              </w:rPr>
              <w:t>-</w:t>
            </w:r>
            <w:r>
              <w:rPr>
                <w:rFonts w:hint="eastAsia"/>
                <w:b/>
                <w:bCs/>
                <w:color w:val="auto"/>
                <w:kern w:val="0"/>
                <w:sz w:val="24"/>
              </w:rPr>
              <w:t>11 污水处理站周边大气污染物最高允许浓度</w:t>
            </w:r>
          </w:p>
          <w:tbl>
            <w:tblPr>
              <w:tblStyle w:val="33"/>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2594"/>
              <w:gridCol w:w="3237"/>
            </w:tblGrid>
            <w:tr w14:paraId="1936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44A2B6E9">
                  <w:pPr>
                    <w:jc w:val="center"/>
                    <w:rPr>
                      <w:color w:val="auto"/>
                      <w:szCs w:val="21"/>
                    </w:rPr>
                  </w:pPr>
                  <w:r>
                    <w:rPr>
                      <w:color w:val="auto"/>
                      <w:szCs w:val="21"/>
                    </w:rPr>
                    <w:t>序号</w:t>
                  </w:r>
                </w:p>
              </w:tc>
              <w:tc>
                <w:tcPr>
                  <w:tcW w:w="2594" w:type="dxa"/>
                  <w:vAlign w:val="center"/>
                </w:tcPr>
                <w:p w14:paraId="314FF1FF">
                  <w:pPr>
                    <w:jc w:val="center"/>
                    <w:rPr>
                      <w:color w:val="auto"/>
                      <w:szCs w:val="21"/>
                    </w:rPr>
                  </w:pPr>
                  <w:r>
                    <w:rPr>
                      <w:color w:val="auto"/>
                      <w:szCs w:val="21"/>
                    </w:rPr>
                    <w:t>污染物</w:t>
                  </w:r>
                </w:p>
              </w:tc>
              <w:tc>
                <w:tcPr>
                  <w:tcW w:w="3237" w:type="dxa"/>
                  <w:vAlign w:val="center"/>
                </w:tcPr>
                <w:p w14:paraId="630385F2">
                  <w:pPr>
                    <w:jc w:val="center"/>
                    <w:rPr>
                      <w:color w:val="auto"/>
                      <w:szCs w:val="21"/>
                    </w:rPr>
                  </w:pPr>
                  <w:r>
                    <w:rPr>
                      <w:color w:val="auto"/>
                      <w:szCs w:val="21"/>
                    </w:rPr>
                    <w:t>三级标准</w:t>
                  </w:r>
                </w:p>
              </w:tc>
            </w:tr>
            <w:tr w14:paraId="64D8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5C9661FE">
                  <w:pPr>
                    <w:jc w:val="center"/>
                    <w:rPr>
                      <w:color w:val="auto"/>
                      <w:szCs w:val="21"/>
                    </w:rPr>
                  </w:pPr>
                  <w:r>
                    <w:rPr>
                      <w:color w:val="auto"/>
                      <w:szCs w:val="21"/>
                    </w:rPr>
                    <w:t>1</w:t>
                  </w:r>
                </w:p>
              </w:tc>
              <w:tc>
                <w:tcPr>
                  <w:tcW w:w="2594" w:type="dxa"/>
                  <w:vAlign w:val="center"/>
                </w:tcPr>
                <w:p w14:paraId="103A3F51">
                  <w:pPr>
                    <w:jc w:val="center"/>
                    <w:rPr>
                      <w:color w:val="auto"/>
                      <w:szCs w:val="21"/>
                    </w:rPr>
                  </w:pPr>
                  <w:r>
                    <w:rPr>
                      <w:color w:val="auto"/>
                      <w:szCs w:val="21"/>
                    </w:rPr>
                    <w:t>氨</w:t>
                  </w:r>
                </w:p>
              </w:tc>
              <w:tc>
                <w:tcPr>
                  <w:tcW w:w="3237" w:type="dxa"/>
                  <w:vAlign w:val="center"/>
                </w:tcPr>
                <w:p w14:paraId="259BCB70">
                  <w:pPr>
                    <w:jc w:val="center"/>
                    <w:rPr>
                      <w:color w:val="auto"/>
                      <w:szCs w:val="21"/>
                    </w:rPr>
                  </w:pPr>
                  <w:r>
                    <w:rPr>
                      <w:color w:val="auto"/>
                      <w:szCs w:val="21"/>
                    </w:rPr>
                    <w:t>1.0mg/m</w:t>
                  </w:r>
                  <w:r>
                    <w:rPr>
                      <w:color w:val="auto"/>
                      <w:szCs w:val="21"/>
                      <w:vertAlign w:val="superscript"/>
                    </w:rPr>
                    <w:t>3</w:t>
                  </w:r>
                </w:p>
              </w:tc>
            </w:tr>
            <w:tr w14:paraId="3A87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580ED8A9">
                  <w:pPr>
                    <w:jc w:val="center"/>
                    <w:rPr>
                      <w:color w:val="auto"/>
                      <w:szCs w:val="21"/>
                    </w:rPr>
                  </w:pPr>
                  <w:r>
                    <w:rPr>
                      <w:color w:val="auto"/>
                      <w:szCs w:val="21"/>
                    </w:rPr>
                    <w:t>2</w:t>
                  </w:r>
                </w:p>
              </w:tc>
              <w:tc>
                <w:tcPr>
                  <w:tcW w:w="2594" w:type="dxa"/>
                  <w:vAlign w:val="center"/>
                </w:tcPr>
                <w:p w14:paraId="4C9AA48F">
                  <w:pPr>
                    <w:jc w:val="center"/>
                    <w:rPr>
                      <w:color w:val="auto"/>
                      <w:szCs w:val="21"/>
                    </w:rPr>
                  </w:pPr>
                  <w:r>
                    <w:rPr>
                      <w:color w:val="auto"/>
                      <w:szCs w:val="21"/>
                    </w:rPr>
                    <w:t>硫化氢</w:t>
                  </w:r>
                </w:p>
              </w:tc>
              <w:tc>
                <w:tcPr>
                  <w:tcW w:w="3237" w:type="dxa"/>
                  <w:vAlign w:val="center"/>
                </w:tcPr>
                <w:p w14:paraId="63A7E1A1">
                  <w:pPr>
                    <w:jc w:val="center"/>
                    <w:rPr>
                      <w:color w:val="auto"/>
                      <w:szCs w:val="21"/>
                    </w:rPr>
                  </w:pPr>
                  <w:r>
                    <w:rPr>
                      <w:color w:val="auto"/>
                      <w:szCs w:val="21"/>
                    </w:rPr>
                    <w:t>0.03mg/m</w:t>
                  </w:r>
                  <w:r>
                    <w:rPr>
                      <w:color w:val="auto"/>
                      <w:szCs w:val="21"/>
                      <w:vertAlign w:val="superscript"/>
                    </w:rPr>
                    <w:t>3</w:t>
                  </w:r>
                </w:p>
              </w:tc>
            </w:tr>
            <w:tr w14:paraId="219F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090E83F3">
                  <w:pPr>
                    <w:jc w:val="center"/>
                    <w:rPr>
                      <w:color w:val="auto"/>
                      <w:szCs w:val="21"/>
                    </w:rPr>
                  </w:pPr>
                  <w:r>
                    <w:rPr>
                      <w:color w:val="auto"/>
                      <w:szCs w:val="21"/>
                    </w:rPr>
                    <w:t>3</w:t>
                  </w:r>
                </w:p>
              </w:tc>
              <w:tc>
                <w:tcPr>
                  <w:tcW w:w="2594" w:type="dxa"/>
                  <w:vAlign w:val="center"/>
                </w:tcPr>
                <w:p w14:paraId="0CE8C65D">
                  <w:pPr>
                    <w:jc w:val="center"/>
                    <w:rPr>
                      <w:color w:val="auto"/>
                      <w:szCs w:val="21"/>
                    </w:rPr>
                  </w:pPr>
                  <w:r>
                    <w:rPr>
                      <w:color w:val="auto"/>
                      <w:szCs w:val="21"/>
                    </w:rPr>
                    <w:t>臭气浓度</w:t>
                  </w:r>
                </w:p>
              </w:tc>
              <w:tc>
                <w:tcPr>
                  <w:tcW w:w="3237" w:type="dxa"/>
                  <w:vAlign w:val="center"/>
                </w:tcPr>
                <w:p w14:paraId="590EA364">
                  <w:pPr>
                    <w:jc w:val="center"/>
                    <w:rPr>
                      <w:color w:val="auto"/>
                      <w:szCs w:val="21"/>
                    </w:rPr>
                  </w:pPr>
                  <w:r>
                    <w:rPr>
                      <w:color w:val="auto"/>
                      <w:szCs w:val="21"/>
                    </w:rPr>
                    <w:t>10（无量纲）</w:t>
                  </w:r>
                </w:p>
              </w:tc>
            </w:tr>
            <w:tr w14:paraId="31C0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72102B04">
                  <w:pPr>
                    <w:jc w:val="center"/>
                    <w:rPr>
                      <w:color w:val="auto"/>
                      <w:szCs w:val="21"/>
                    </w:rPr>
                  </w:pPr>
                  <w:r>
                    <w:rPr>
                      <w:color w:val="auto"/>
                      <w:szCs w:val="21"/>
                    </w:rPr>
                    <w:t>4</w:t>
                  </w:r>
                </w:p>
              </w:tc>
              <w:tc>
                <w:tcPr>
                  <w:tcW w:w="2594" w:type="dxa"/>
                  <w:vAlign w:val="center"/>
                </w:tcPr>
                <w:p w14:paraId="714F3AFA">
                  <w:pPr>
                    <w:jc w:val="center"/>
                    <w:rPr>
                      <w:color w:val="auto"/>
                      <w:szCs w:val="21"/>
                    </w:rPr>
                  </w:pPr>
                  <w:r>
                    <w:rPr>
                      <w:color w:val="auto"/>
                      <w:szCs w:val="21"/>
                    </w:rPr>
                    <w:t>甲烷</w:t>
                  </w:r>
                </w:p>
              </w:tc>
              <w:tc>
                <w:tcPr>
                  <w:tcW w:w="3237" w:type="dxa"/>
                  <w:vAlign w:val="center"/>
                </w:tcPr>
                <w:p w14:paraId="079672D9">
                  <w:pPr>
                    <w:jc w:val="center"/>
                    <w:rPr>
                      <w:color w:val="auto"/>
                      <w:szCs w:val="21"/>
                    </w:rPr>
                  </w:pPr>
                  <w:r>
                    <w:rPr>
                      <w:color w:val="auto"/>
                      <w:szCs w:val="21"/>
                    </w:rPr>
                    <w:t>1%（处理站内最高体积百分数%）</w:t>
                  </w:r>
                </w:p>
              </w:tc>
            </w:tr>
            <w:tr w14:paraId="68D0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464200D2">
                  <w:pPr>
                    <w:jc w:val="center"/>
                    <w:rPr>
                      <w:color w:val="auto"/>
                      <w:szCs w:val="21"/>
                    </w:rPr>
                  </w:pPr>
                  <w:r>
                    <w:rPr>
                      <w:rFonts w:hint="eastAsia"/>
                      <w:color w:val="auto"/>
                      <w:szCs w:val="21"/>
                    </w:rPr>
                    <w:t>5</w:t>
                  </w:r>
                </w:p>
              </w:tc>
              <w:tc>
                <w:tcPr>
                  <w:tcW w:w="2594" w:type="dxa"/>
                  <w:vAlign w:val="center"/>
                </w:tcPr>
                <w:p w14:paraId="6D264696">
                  <w:pPr>
                    <w:jc w:val="center"/>
                    <w:rPr>
                      <w:color w:val="auto"/>
                      <w:szCs w:val="21"/>
                    </w:rPr>
                  </w:pPr>
                  <w:r>
                    <w:rPr>
                      <w:rFonts w:hint="eastAsia"/>
                      <w:color w:val="auto"/>
                      <w:szCs w:val="21"/>
                    </w:rPr>
                    <w:t>氯气</w:t>
                  </w:r>
                </w:p>
              </w:tc>
              <w:tc>
                <w:tcPr>
                  <w:tcW w:w="3237" w:type="dxa"/>
                  <w:vAlign w:val="center"/>
                </w:tcPr>
                <w:p w14:paraId="706EE193">
                  <w:pPr>
                    <w:jc w:val="center"/>
                    <w:rPr>
                      <w:color w:val="auto"/>
                      <w:szCs w:val="21"/>
                    </w:rPr>
                  </w:pPr>
                  <w:r>
                    <w:rPr>
                      <w:rFonts w:hint="eastAsia"/>
                      <w:color w:val="auto"/>
                      <w:szCs w:val="21"/>
                    </w:rPr>
                    <w:t>0</w:t>
                  </w:r>
                  <w:r>
                    <w:rPr>
                      <w:color w:val="auto"/>
                      <w:szCs w:val="21"/>
                    </w:rPr>
                    <w:t>.</w:t>
                  </w:r>
                  <w:r>
                    <w:rPr>
                      <w:rFonts w:hint="eastAsia"/>
                      <w:color w:val="auto"/>
                      <w:szCs w:val="21"/>
                    </w:rPr>
                    <w:t>1</w:t>
                  </w:r>
                  <w:r>
                    <w:rPr>
                      <w:color w:val="auto"/>
                      <w:szCs w:val="21"/>
                    </w:rPr>
                    <w:t>mg/m</w:t>
                  </w:r>
                  <w:r>
                    <w:rPr>
                      <w:color w:val="auto"/>
                      <w:szCs w:val="21"/>
                      <w:vertAlign w:val="superscript"/>
                    </w:rPr>
                    <w:t>3</w:t>
                  </w:r>
                </w:p>
              </w:tc>
            </w:tr>
          </w:tbl>
          <w:p w14:paraId="29615F18">
            <w:pPr>
              <w:pStyle w:val="74"/>
              <w:kinsoku w:val="0"/>
              <w:overflowPunct w:val="0"/>
              <w:spacing w:line="364" w:lineRule="auto"/>
              <w:ind w:left="112" w:right="89" w:firstLine="480" w:firstLineChars="200"/>
              <w:rPr>
                <w:color w:val="auto"/>
                <w:spacing w:val="-2"/>
                <w:sz w:val="24"/>
              </w:rPr>
            </w:pPr>
            <w:r>
              <w:rPr>
                <w:rFonts w:hint="eastAsia" w:ascii="宋体" w:hAnsi="宋体" w:cs="宋体"/>
                <w:color w:val="auto"/>
                <w:sz w:val="24"/>
              </w:rPr>
              <w:t>③</w:t>
            </w:r>
            <w:r>
              <w:rPr>
                <w:rFonts w:hint="eastAsia"/>
                <w:color w:val="auto"/>
                <w:sz w:val="24"/>
              </w:rPr>
              <w:t>备用发电机废气：根据原国家环保局</w:t>
            </w:r>
            <w:r>
              <w:rPr>
                <w:color w:val="auto"/>
                <w:sz w:val="24"/>
              </w:rPr>
              <w:t>2007</w:t>
            </w:r>
            <w:r>
              <w:rPr>
                <w:rFonts w:hint="eastAsia"/>
                <w:color w:val="auto"/>
                <w:sz w:val="24"/>
              </w:rPr>
              <w:t>年</w:t>
            </w:r>
            <w:r>
              <w:rPr>
                <w:color w:val="auto"/>
                <w:sz w:val="24"/>
              </w:rPr>
              <w:t>4</w:t>
            </w:r>
            <w:r>
              <w:rPr>
                <w:rFonts w:hint="eastAsia"/>
                <w:color w:val="auto"/>
                <w:sz w:val="24"/>
              </w:rPr>
              <w:t>月</w:t>
            </w:r>
            <w:r>
              <w:rPr>
                <w:color w:val="auto"/>
                <w:sz w:val="24"/>
              </w:rPr>
              <w:t>28</w:t>
            </w:r>
            <w:r>
              <w:rPr>
                <w:rFonts w:hint="eastAsia"/>
                <w:color w:val="auto"/>
                <w:sz w:val="24"/>
              </w:rPr>
              <w:t>日发布的《关于柴油发电机排气执行标准的复函》（环函</w:t>
            </w:r>
            <w:r>
              <w:rPr>
                <w:color w:val="auto"/>
                <w:sz w:val="24"/>
              </w:rPr>
              <w:t>[2005]350</w:t>
            </w:r>
            <w:r>
              <w:rPr>
                <w:rFonts w:hint="eastAsia"/>
                <w:color w:val="auto"/>
                <w:sz w:val="24"/>
              </w:rPr>
              <w:t>号），项目备用柴油发电机烟气污染物排放参照执行《大气污染物综合排放标准</w:t>
            </w:r>
            <w:r>
              <w:rPr>
                <w:rFonts w:hint="eastAsia"/>
                <w:color w:val="auto"/>
                <w:spacing w:val="-135"/>
                <w:sz w:val="24"/>
              </w:rPr>
              <w:t>》</w:t>
            </w:r>
            <w:r>
              <w:rPr>
                <w:rFonts w:hint="eastAsia"/>
                <w:color w:val="auto"/>
                <w:sz w:val="24"/>
              </w:rPr>
              <w:t>（</w:t>
            </w:r>
            <w:r>
              <w:rPr>
                <w:rFonts w:eastAsia="Times New Roman"/>
                <w:color w:val="auto"/>
                <w:sz w:val="24"/>
              </w:rPr>
              <w:t>GB 16297-1996</w:t>
            </w:r>
            <w:r>
              <w:rPr>
                <w:rFonts w:hint="eastAsia"/>
                <w:color w:val="auto"/>
                <w:sz w:val="24"/>
              </w:rPr>
              <w:t>）</w:t>
            </w:r>
            <w:r>
              <w:rPr>
                <w:rFonts w:hint="eastAsia"/>
                <w:color w:val="auto"/>
                <w:spacing w:val="-32"/>
                <w:sz w:val="24"/>
              </w:rPr>
              <w:t xml:space="preserve">表 </w:t>
            </w:r>
            <w:r>
              <w:rPr>
                <w:rFonts w:eastAsia="Times New Roman"/>
                <w:color w:val="auto"/>
                <w:sz w:val="24"/>
              </w:rPr>
              <w:t>2</w:t>
            </w:r>
            <w:r>
              <w:rPr>
                <w:rFonts w:hint="eastAsia"/>
                <w:color w:val="auto"/>
                <w:spacing w:val="-2"/>
                <w:sz w:val="24"/>
              </w:rPr>
              <w:t>大气污染排放限值标准，具体指标详见下表。</w:t>
            </w:r>
          </w:p>
          <w:p w14:paraId="1789F3B0">
            <w:pPr>
              <w:ind w:firstLine="2168" w:firstLineChars="900"/>
              <w:rPr>
                <w:b/>
                <w:bCs/>
                <w:color w:val="auto"/>
                <w:kern w:val="0"/>
                <w:sz w:val="24"/>
              </w:rPr>
            </w:pPr>
            <w:r>
              <w:rPr>
                <w:b/>
                <w:bCs/>
                <w:color w:val="auto"/>
                <w:kern w:val="0"/>
                <w:sz w:val="24"/>
              </w:rPr>
              <w:t>表</w:t>
            </w:r>
            <w:r>
              <w:rPr>
                <w:rFonts w:hint="eastAsia"/>
                <w:b/>
                <w:bCs/>
                <w:color w:val="auto"/>
                <w:kern w:val="0"/>
                <w:sz w:val="24"/>
              </w:rPr>
              <w:t>3</w:t>
            </w:r>
            <w:r>
              <w:rPr>
                <w:b/>
                <w:bCs/>
                <w:color w:val="auto"/>
                <w:kern w:val="0"/>
                <w:sz w:val="24"/>
              </w:rPr>
              <w:t>-</w:t>
            </w:r>
            <w:r>
              <w:rPr>
                <w:rFonts w:hint="eastAsia"/>
                <w:b/>
                <w:bCs/>
                <w:color w:val="auto"/>
                <w:kern w:val="0"/>
                <w:sz w:val="24"/>
              </w:rPr>
              <w:t>12备用柴油发电机废气排放限值</w:t>
            </w:r>
          </w:p>
          <w:p w14:paraId="225663DB">
            <w:pPr>
              <w:pStyle w:val="14"/>
              <w:rPr>
                <w:color w:val="auto"/>
                <w:sz w:val="24"/>
              </w:rPr>
            </w:pPr>
            <w:r>
              <w:rPr>
                <w:rFonts w:hint="eastAsia"/>
                <w:color w:val="auto"/>
                <w:sz w:val="24"/>
              </w:rPr>
              <w:drawing>
                <wp:inline distT="0" distB="0" distL="0" distR="0">
                  <wp:extent cx="5229225" cy="1085850"/>
                  <wp:effectExtent l="0" t="0" r="0" b="0"/>
                  <wp:docPr id="12" name="图片 1" descr="1657797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16577978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29225" cy="1085850"/>
                          </a:xfrm>
                          <a:prstGeom prst="rect">
                            <a:avLst/>
                          </a:prstGeom>
                          <a:noFill/>
                          <a:ln>
                            <a:noFill/>
                          </a:ln>
                        </pic:spPr>
                      </pic:pic>
                    </a:graphicData>
                  </a:graphic>
                </wp:inline>
              </w:drawing>
            </w:r>
          </w:p>
          <w:p w14:paraId="674195E2">
            <w:pPr>
              <w:tabs>
                <w:tab w:val="left" w:pos="8515"/>
              </w:tabs>
              <w:adjustRightInd w:val="0"/>
              <w:snapToGrid w:val="0"/>
              <w:spacing w:line="360" w:lineRule="auto"/>
              <w:rPr>
                <w:b/>
                <w:bCs/>
                <w:color w:val="auto"/>
                <w:sz w:val="24"/>
              </w:rPr>
            </w:pPr>
            <w:r>
              <w:rPr>
                <w:b/>
                <w:bCs/>
                <w:color w:val="auto"/>
                <w:sz w:val="24"/>
              </w:rPr>
              <w:t>2、废水排放标准</w:t>
            </w:r>
          </w:p>
          <w:p w14:paraId="5A1FEA53">
            <w:pPr>
              <w:spacing w:line="360" w:lineRule="auto"/>
              <w:ind w:firstLine="480" w:firstLineChars="200"/>
              <w:rPr>
                <w:color w:val="auto"/>
                <w:sz w:val="24"/>
              </w:rPr>
            </w:pPr>
            <w:r>
              <w:rPr>
                <w:rFonts w:hint="eastAsia"/>
                <w:color w:val="auto"/>
                <w:sz w:val="24"/>
              </w:rPr>
              <w:t>本项目涉及4个卫生院，每个卫生院均</w:t>
            </w:r>
            <w:r>
              <w:rPr>
                <w:color w:val="auto"/>
                <w:sz w:val="24"/>
              </w:rPr>
              <w:t>采用雨污分流制排水系统。项目运营期废（污）水经</w:t>
            </w:r>
            <w:r>
              <w:rPr>
                <w:rFonts w:hint="eastAsia"/>
                <w:color w:val="auto"/>
                <w:sz w:val="24"/>
              </w:rPr>
              <w:t>化粪池预处理后排入</w:t>
            </w:r>
            <w:r>
              <w:rPr>
                <w:color w:val="auto"/>
                <w:sz w:val="24"/>
              </w:rPr>
              <w:t>院内</w:t>
            </w:r>
            <w:r>
              <w:rPr>
                <w:rFonts w:hint="eastAsia"/>
                <w:color w:val="auto"/>
                <w:sz w:val="24"/>
              </w:rPr>
              <w:t>自建的污水处理站</w:t>
            </w:r>
            <w:r>
              <w:rPr>
                <w:color w:val="auto"/>
                <w:sz w:val="24"/>
              </w:rPr>
              <w:t>处理达《医疗机构水污染物排放标准》（GB18466-2005）表2预处理标准</w:t>
            </w:r>
            <w:r>
              <w:rPr>
                <w:bCs/>
                <w:color w:val="auto"/>
                <w:sz w:val="24"/>
              </w:rPr>
              <w:t>及《污水排入城镇下水道水质标准》（GB/T31962-2015）表1B等级标准</w:t>
            </w:r>
            <w:r>
              <w:rPr>
                <w:color w:val="auto"/>
                <w:sz w:val="24"/>
              </w:rPr>
              <w:t>限值要求后，</w:t>
            </w:r>
            <w:r>
              <w:rPr>
                <w:rFonts w:hint="eastAsia"/>
                <w:color w:val="auto"/>
                <w:sz w:val="24"/>
              </w:rPr>
              <w:t>通过市政污水管，最终进</w:t>
            </w:r>
            <w:r>
              <w:rPr>
                <w:color w:val="auto"/>
                <w:sz w:val="24"/>
              </w:rPr>
              <w:t>入</w:t>
            </w:r>
            <w:r>
              <w:rPr>
                <w:rFonts w:hint="eastAsia"/>
                <w:color w:val="auto"/>
                <w:sz w:val="24"/>
              </w:rPr>
              <w:t>污水处理厂处理</w:t>
            </w:r>
            <w:r>
              <w:rPr>
                <w:color w:val="auto"/>
                <w:sz w:val="24"/>
              </w:rPr>
              <w:t>。</w:t>
            </w:r>
            <w:r>
              <w:rPr>
                <w:rFonts w:hint="eastAsia"/>
                <w:color w:val="auto"/>
                <w:sz w:val="24"/>
              </w:rPr>
              <w:t>总排放口执行标准为</w:t>
            </w:r>
            <w:r>
              <w:rPr>
                <w:color w:val="auto"/>
                <w:sz w:val="24"/>
              </w:rPr>
              <w:t>《医疗机构水污染物排放标准》（GB18466-2005）表2预处理标准</w:t>
            </w:r>
            <w:r>
              <w:rPr>
                <w:bCs/>
                <w:color w:val="auto"/>
                <w:sz w:val="24"/>
              </w:rPr>
              <w:t>及《污水排入城镇下水道水质标准》（GB/T31962-2015）表1B等级标准</w:t>
            </w:r>
            <w:r>
              <w:rPr>
                <w:rFonts w:hint="eastAsia"/>
                <w:bCs/>
                <w:color w:val="auto"/>
                <w:sz w:val="24"/>
              </w:rPr>
              <w:t>较严值。标准值如下：</w:t>
            </w:r>
          </w:p>
          <w:p w14:paraId="156D4939">
            <w:pPr>
              <w:jc w:val="center"/>
              <w:rPr>
                <w:rFonts w:hint="eastAsia" w:ascii="宋体" w:hAnsi="宋体" w:cs="宋体"/>
                <w:b/>
                <w:bCs/>
                <w:color w:val="auto"/>
                <w:kern w:val="0"/>
                <w:sz w:val="24"/>
              </w:rPr>
            </w:pPr>
            <w:r>
              <w:rPr>
                <w:rFonts w:ascii="宋体" w:hAnsi="宋体" w:cs="宋体"/>
                <w:b/>
                <w:bCs/>
                <w:color w:val="auto"/>
                <w:kern w:val="0"/>
                <w:sz w:val="24"/>
              </w:rPr>
              <w:t>表</w:t>
            </w:r>
            <w:r>
              <w:rPr>
                <w:rFonts w:hint="eastAsia" w:ascii="宋体" w:hAnsi="宋体" w:cs="宋体"/>
                <w:b/>
                <w:bCs/>
                <w:color w:val="auto"/>
                <w:kern w:val="0"/>
                <w:sz w:val="24"/>
              </w:rPr>
              <w:t>3</w:t>
            </w:r>
            <w:r>
              <w:rPr>
                <w:rFonts w:ascii="宋体" w:hAnsi="宋体" w:cs="宋体"/>
                <w:b/>
                <w:bCs/>
                <w:color w:val="auto"/>
                <w:kern w:val="0"/>
                <w:sz w:val="24"/>
              </w:rPr>
              <w:t>-</w:t>
            </w:r>
            <w:r>
              <w:rPr>
                <w:rFonts w:hint="eastAsia" w:cs="宋体"/>
                <w:b/>
                <w:bCs/>
                <w:color w:val="auto"/>
                <w:kern w:val="0"/>
                <w:sz w:val="24"/>
              </w:rPr>
              <w:t>13</w:t>
            </w:r>
            <w:r>
              <w:rPr>
                <w:rFonts w:ascii="宋体" w:hAnsi="宋体" w:cs="宋体"/>
                <w:b/>
                <w:bCs/>
                <w:color w:val="auto"/>
                <w:kern w:val="0"/>
                <w:sz w:val="24"/>
              </w:rPr>
              <w:t xml:space="preserve">  医疗机构水污染物排放标准（日均值）   单位：mg/L</w:t>
            </w:r>
          </w:p>
          <w:tbl>
            <w:tblPr>
              <w:tblStyle w:val="33"/>
              <w:tblW w:w="8294"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26"/>
              <w:gridCol w:w="822"/>
              <w:gridCol w:w="905"/>
              <w:gridCol w:w="829"/>
              <w:gridCol w:w="1000"/>
              <w:gridCol w:w="821"/>
              <w:gridCol w:w="821"/>
              <w:gridCol w:w="821"/>
              <w:gridCol w:w="822"/>
              <w:gridCol w:w="827"/>
            </w:tblGrid>
            <w:tr w14:paraId="47270B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626" w:type="dxa"/>
                  <w:vAlign w:val="center"/>
                </w:tcPr>
                <w:p w14:paraId="1C9EC5BC">
                  <w:pPr>
                    <w:jc w:val="center"/>
                    <w:rPr>
                      <w:color w:val="auto"/>
                      <w:szCs w:val="21"/>
                    </w:rPr>
                  </w:pPr>
                  <w:r>
                    <w:rPr>
                      <w:color w:val="auto"/>
                      <w:szCs w:val="21"/>
                    </w:rPr>
                    <w:t>项目</w:t>
                  </w:r>
                </w:p>
              </w:tc>
              <w:tc>
                <w:tcPr>
                  <w:tcW w:w="822" w:type="dxa"/>
                  <w:vAlign w:val="center"/>
                </w:tcPr>
                <w:p w14:paraId="12146F5A">
                  <w:pPr>
                    <w:jc w:val="center"/>
                    <w:rPr>
                      <w:color w:val="auto"/>
                      <w:szCs w:val="21"/>
                    </w:rPr>
                  </w:pPr>
                  <w:r>
                    <w:rPr>
                      <w:color w:val="auto"/>
                      <w:szCs w:val="21"/>
                    </w:rPr>
                    <w:t>pH</w:t>
                  </w:r>
                </w:p>
              </w:tc>
              <w:tc>
                <w:tcPr>
                  <w:tcW w:w="905" w:type="dxa"/>
                  <w:vAlign w:val="center"/>
                </w:tcPr>
                <w:p w14:paraId="3500900F">
                  <w:pPr>
                    <w:jc w:val="center"/>
                    <w:rPr>
                      <w:color w:val="auto"/>
                      <w:szCs w:val="21"/>
                    </w:rPr>
                  </w:pPr>
                  <w:r>
                    <w:rPr>
                      <w:color w:val="auto"/>
                      <w:szCs w:val="21"/>
                    </w:rPr>
                    <w:t>COD</w:t>
                  </w:r>
                  <w:r>
                    <w:rPr>
                      <w:rFonts w:hint="eastAsia"/>
                      <w:color w:val="auto"/>
                      <w:szCs w:val="21"/>
                    </w:rPr>
                    <w:t>/最高允许排放负荷[g/(床位.d)]</w:t>
                  </w:r>
                </w:p>
              </w:tc>
              <w:tc>
                <w:tcPr>
                  <w:tcW w:w="829" w:type="dxa"/>
                  <w:vAlign w:val="center"/>
                </w:tcPr>
                <w:p w14:paraId="71A36A69">
                  <w:pPr>
                    <w:jc w:val="center"/>
                    <w:rPr>
                      <w:color w:val="auto"/>
                      <w:szCs w:val="21"/>
                    </w:rPr>
                  </w:pPr>
                  <w:r>
                    <w:rPr>
                      <w:color w:val="auto"/>
                      <w:szCs w:val="21"/>
                    </w:rPr>
                    <w:t>SS</w:t>
                  </w:r>
                  <w:r>
                    <w:rPr>
                      <w:rFonts w:hint="eastAsia"/>
                      <w:color w:val="auto"/>
                      <w:szCs w:val="21"/>
                    </w:rPr>
                    <w:t>/最高允许排放负荷[g/(床位.d)]</w:t>
                  </w:r>
                </w:p>
              </w:tc>
              <w:tc>
                <w:tcPr>
                  <w:tcW w:w="1000" w:type="dxa"/>
                  <w:vAlign w:val="center"/>
                </w:tcPr>
                <w:p w14:paraId="25362B9E">
                  <w:pPr>
                    <w:jc w:val="center"/>
                    <w:rPr>
                      <w:color w:val="auto"/>
                      <w:szCs w:val="21"/>
                      <w:vertAlign w:val="subscript"/>
                    </w:rPr>
                  </w:pPr>
                  <w:r>
                    <w:rPr>
                      <w:color w:val="auto"/>
                      <w:szCs w:val="21"/>
                    </w:rPr>
                    <w:t>BOD</w:t>
                  </w:r>
                  <w:r>
                    <w:rPr>
                      <w:color w:val="auto"/>
                      <w:szCs w:val="21"/>
                      <w:vertAlign w:val="subscript"/>
                    </w:rPr>
                    <w:t>5</w:t>
                  </w:r>
                  <w:r>
                    <w:rPr>
                      <w:rFonts w:hint="eastAsia"/>
                      <w:color w:val="auto"/>
                      <w:szCs w:val="21"/>
                    </w:rPr>
                    <w:t>/最高允许排放负荷[g/(床位.d)]</w:t>
                  </w:r>
                </w:p>
              </w:tc>
              <w:tc>
                <w:tcPr>
                  <w:tcW w:w="821" w:type="dxa"/>
                  <w:vAlign w:val="center"/>
                </w:tcPr>
                <w:p w14:paraId="2A340E69">
                  <w:pPr>
                    <w:jc w:val="center"/>
                    <w:rPr>
                      <w:color w:val="auto"/>
                      <w:szCs w:val="21"/>
                    </w:rPr>
                  </w:pPr>
                  <w:r>
                    <w:rPr>
                      <w:color w:val="auto"/>
                      <w:szCs w:val="21"/>
                    </w:rPr>
                    <w:t>总余氯</w:t>
                  </w:r>
                </w:p>
              </w:tc>
              <w:tc>
                <w:tcPr>
                  <w:tcW w:w="821" w:type="dxa"/>
                  <w:vAlign w:val="center"/>
                </w:tcPr>
                <w:p w14:paraId="2A19ACF6">
                  <w:pPr>
                    <w:jc w:val="center"/>
                    <w:rPr>
                      <w:color w:val="auto"/>
                      <w:szCs w:val="21"/>
                    </w:rPr>
                  </w:pPr>
                  <w:r>
                    <w:rPr>
                      <w:color w:val="auto"/>
                      <w:szCs w:val="21"/>
                    </w:rPr>
                    <w:t>氨氮</w:t>
                  </w:r>
                </w:p>
              </w:tc>
              <w:tc>
                <w:tcPr>
                  <w:tcW w:w="821" w:type="dxa"/>
                  <w:vAlign w:val="center"/>
                </w:tcPr>
                <w:p w14:paraId="360D128A">
                  <w:pPr>
                    <w:jc w:val="center"/>
                    <w:rPr>
                      <w:color w:val="auto"/>
                      <w:szCs w:val="21"/>
                    </w:rPr>
                  </w:pPr>
                  <w:r>
                    <w:rPr>
                      <w:color w:val="auto"/>
                      <w:szCs w:val="21"/>
                    </w:rPr>
                    <w:t>色度</w:t>
                  </w:r>
                </w:p>
              </w:tc>
              <w:tc>
                <w:tcPr>
                  <w:tcW w:w="822" w:type="dxa"/>
                  <w:vAlign w:val="center"/>
                </w:tcPr>
                <w:p w14:paraId="2E8D0250">
                  <w:pPr>
                    <w:jc w:val="center"/>
                    <w:rPr>
                      <w:color w:val="auto"/>
                      <w:szCs w:val="21"/>
                    </w:rPr>
                  </w:pPr>
                  <w:r>
                    <w:rPr>
                      <w:color w:val="auto"/>
                      <w:szCs w:val="21"/>
                    </w:rPr>
                    <w:t>石油类</w:t>
                  </w:r>
                </w:p>
              </w:tc>
              <w:tc>
                <w:tcPr>
                  <w:tcW w:w="827" w:type="dxa"/>
                  <w:vAlign w:val="center"/>
                </w:tcPr>
                <w:p w14:paraId="729E8A28">
                  <w:pPr>
                    <w:jc w:val="center"/>
                    <w:rPr>
                      <w:color w:val="auto"/>
                      <w:szCs w:val="21"/>
                    </w:rPr>
                  </w:pPr>
                  <w:r>
                    <w:rPr>
                      <w:color w:val="auto"/>
                      <w:szCs w:val="21"/>
                    </w:rPr>
                    <w:t>动植物油</w:t>
                  </w:r>
                </w:p>
              </w:tc>
            </w:tr>
            <w:tr w14:paraId="4BD6D8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trPr>
              <w:tc>
                <w:tcPr>
                  <w:tcW w:w="626" w:type="dxa"/>
                  <w:vAlign w:val="center"/>
                </w:tcPr>
                <w:p w14:paraId="3FE6A316">
                  <w:pPr>
                    <w:jc w:val="center"/>
                    <w:rPr>
                      <w:color w:val="auto"/>
                      <w:szCs w:val="21"/>
                    </w:rPr>
                  </w:pPr>
                  <w:r>
                    <w:rPr>
                      <w:color w:val="auto"/>
                      <w:szCs w:val="21"/>
                    </w:rPr>
                    <w:t>标准</w:t>
                  </w:r>
                </w:p>
              </w:tc>
              <w:tc>
                <w:tcPr>
                  <w:tcW w:w="822" w:type="dxa"/>
                  <w:vAlign w:val="center"/>
                </w:tcPr>
                <w:p w14:paraId="0E0B55DE">
                  <w:pPr>
                    <w:jc w:val="center"/>
                    <w:rPr>
                      <w:color w:val="auto"/>
                      <w:szCs w:val="21"/>
                    </w:rPr>
                  </w:pPr>
                  <w:r>
                    <w:rPr>
                      <w:color w:val="auto"/>
                      <w:szCs w:val="21"/>
                    </w:rPr>
                    <w:t>6-9</w:t>
                  </w:r>
                </w:p>
              </w:tc>
              <w:tc>
                <w:tcPr>
                  <w:tcW w:w="905" w:type="dxa"/>
                  <w:vAlign w:val="center"/>
                </w:tcPr>
                <w:p w14:paraId="63E9D514">
                  <w:pPr>
                    <w:jc w:val="center"/>
                    <w:rPr>
                      <w:color w:val="auto"/>
                      <w:szCs w:val="21"/>
                    </w:rPr>
                  </w:pPr>
                  <w:r>
                    <w:rPr>
                      <w:color w:val="auto"/>
                      <w:szCs w:val="21"/>
                    </w:rPr>
                    <w:t>250</w:t>
                  </w:r>
                  <w:r>
                    <w:rPr>
                      <w:rFonts w:hint="eastAsia"/>
                      <w:color w:val="auto"/>
                      <w:szCs w:val="21"/>
                    </w:rPr>
                    <w:t>/250</w:t>
                  </w:r>
                </w:p>
              </w:tc>
              <w:tc>
                <w:tcPr>
                  <w:tcW w:w="829" w:type="dxa"/>
                  <w:vAlign w:val="center"/>
                </w:tcPr>
                <w:p w14:paraId="1CA03948">
                  <w:pPr>
                    <w:jc w:val="center"/>
                    <w:rPr>
                      <w:color w:val="auto"/>
                      <w:szCs w:val="21"/>
                    </w:rPr>
                  </w:pPr>
                  <w:r>
                    <w:rPr>
                      <w:color w:val="auto"/>
                      <w:szCs w:val="21"/>
                    </w:rPr>
                    <w:t>60</w:t>
                  </w:r>
                  <w:r>
                    <w:rPr>
                      <w:rFonts w:hint="eastAsia"/>
                      <w:color w:val="auto"/>
                      <w:szCs w:val="21"/>
                    </w:rPr>
                    <w:t>/60</w:t>
                  </w:r>
                </w:p>
              </w:tc>
              <w:tc>
                <w:tcPr>
                  <w:tcW w:w="1000" w:type="dxa"/>
                  <w:vAlign w:val="center"/>
                </w:tcPr>
                <w:p w14:paraId="49C250E7">
                  <w:pPr>
                    <w:jc w:val="center"/>
                    <w:rPr>
                      <w:color w:val="auto"/>
                      <w:szCs w:val="21"/>
                    </w:rPr>
                  </w:pPr>
                  <w:r>
                    <w:rPr>
                      <w:color w:val="auto"/>
                      <w:szCs w:val="21"/>
                    </w:rPr>
                    <w:t>100</w:t>
                  </w:r>
                  <w:r>
                    <w:rPr>
                      <w:rFonts w:hint="eastAsia"/>
                      <w:color w:val="auto"/>
                      <w:szCs w:val="21"/>
                    </w:rPr>
                    <w:t>/100</w:t>
                  </w:r>
                </w:p>
              </w:tc>
              <w:tc>
                <w:tcPr>
                  <w:tcW w:w="821" w:type="dxa"/>
                  <w:vAlign w:val="center"/>
                </w:tcPr>
                <w:p w14:paraId="3EA68E47">
                  <w:pPr>
                    <w:jc w:val="center"/>
                    <w:rPr>
                      <w:color w:val="auto"/>
                      <w:szCs w:val="21"/>
                    </w:rPr>
                  </w:pPr>
                  <w:r>
                    <w:rPr>
                      <w:color w:val="auto"/>
                      <w:szCs w:val="21"/>
                    </w:rPr>
                    <w:t>/</w:t>
                  </w:r>
                </w:p>
              </w:tc>
              <w:tc>
                <w:tcPr>
                  <w:tcW w:w="821" w:type="dxa"/>
                  <w:vAlign w:val="center"/>
                </w:tcPr>
                <w:p w14:paraId="16AD03E6">
                  <w:pPr>
                    <w:jc w:val="center"/>
                    <w:rPr>
                      <w:color w:val="auto"/>
                      <w:szCs w:val="21"/>
                    </w:rPr>
                  </w:pPr>
                  <w:r>
                    <w:rPr>
                      <w:color w:val="auto"/>
                      <w:szCs w:val="21"/>
                    </w:rPr>
                    <w:t>/</w:t>
                  </w:r>
                </w:p>
              </w:tc>
              <w:tc>
                <w:tcPr>
                  <w:tcW w:w="821" w:type="dxa"/>
                  <w:vAlign w:val="center"/>
                </w:tcPr>
                <w:p w14:paraId="067B5AB0">
                  <w:pPr>
                    <w:jc w:val="center"/>
                    <w:rPr>
                      <w:color w:val="auto"/>
                      <w:szCs w:val="21"/>
                    </w:rPr>
                  </w:pPr>
                  <w:r>
                    <w:rPr>
                      <w:color w:val="auto"/>
                      <w:szCs w:val="21"/>
                    </w:rPr>
                    <w:t>/</w:t>
                  </w:r>
                </w:p>
              </w:tc>
              <w:tc>
                <w:tcPr>
                  <w:tcW w:w="822" w:type="dxa"/>
                  <w:vAlign w:val="center"/>
                </w:tcPr>
                <w:p w14:paraId="4552B408">
                  <w:pPr>
                    <w:jc w:val="center"/>
                    <w:rPr>
                      <w:color w:val="auto"/>
                      <w:szCs w:val="21"/>
                    </w:rPr>
                  </w:pPr>
                  <w:r>
                    <w:rPr>
                      <w:color w:val="auto"/>
                      <w:szCs w:val="21"/>
                    </w:rPr>
                    <w:t>20</w:t>
                  </w:r>
                </w:p>
              </w:tc>
              <w:tc>
                <w:tcPr>
                  <w:tcW w:w="827" w:type="dxa"/>
                  <w:vAlign w:val="center"/>
                </w:tcPr>
                <w:p w14:paraId="10D16330">
                  <w:pPr>
                    <w:jc w:val="center"/>
                    <w:rPr>
                      <w:color w:val="auto"/>
                      <w:szCs w:val="21"/>
                    </w:rPr>
                  </w:pPr>
                  <w:r>
                    <w:rPr>
                      <w:color w:val="auto"/>
                      <w:szCs w:val="21"/>
                    </w:rPr>
                    <w:t>20</w:t>
                  </w:r>
                </w:p>
              </w:tc>
            </w:tr>
            <w:tr w14:paraId="774722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97" w:hRule="atLeast"/>
              </w:trPr>
              <w:tc>
                <w:tcPr>
                  <w:tcW w:w="626" w:type="dxa"/>
                  <w:vAlign w:val="center"/>
                </w:tcPr>
                <w:p w14:paraId="0C3B37A2">
                  <w:pPr>
                    <w:jc w:val="center"/>
                    <w:rPr>
                      <w:color w:val="auto"/>
                      <w:szCs w:val="21"/>
                    </w:rPr>
                  </w:pPr>
                  <w:r>
                    <w:rPr>
                      <w:color w:val="auto"/>
                      <w:szCs w:val="21"/>
                    </w:rPr>
                    <w:t>项目</w:t>
                  </w:r>
                </w:p>
              </w:tc>
              <w:tc>
                <w:tcPr>
                  <w:tcW w:w="822" w:type="dxa"/>
                  <w:vAlign w:val="center"/>
                </w:tcPr>
                <w:p w14:paraId="56D1F2A1">
                  <w:pPr>
                    <w:jc w:val="center"/>
                    <w:rPr>
                      <w:color w:val="auto"/>
                      <w:szCs w:val="21"/>
                    </w:rPr>
                  </w:pPr>
                  <w:r>
                    <w:rPr>
                      <w:color w:val="auto"/>
                      <w:szCs w:val="21"/>
                    </w:rPr>
                    <w:t>阴离子表面活性剂</w:t>
                  </w:r>
                </w:p>
              </w:tc>
              <w:tc>
                <w:tcPr>
                  <w:tcW w:w="905" w:type="dxa"/>
                  <w:vAlign w:val="center"/>
                </w:tcPr>
                <w:p w14:paraId="4F55EDD8">
                  <w:pPr>
                    <w:jc w:val="center"/>
                    <w:rPr>
                      <w:color w:val="auto"/>
                      <w:szCs w:val="21"/>
                    </w:rPr>
                  </w:pPr>
                  <w:r>
                    <w:rPr>
                      <w:color w:val="auto"/>
                      <w:szCs w:val="21"/>
                    </w:rPr>
                    <w:t>氰化物</w:t>
                  </w:r>
                </w:p>
              </w:tc>
              <w:tc>
                <w:tcPr>
                  <w:tcW w:w="829" w:type="dxa"/>
                  <w:vAlign w:val="center"/>
                </w:tcPr>
                <w:p w14:paraId="2E924BC4">
                  <w:pPr>
                    <w:jc w:val="center"/>
                    <w:rPr>
                      <w:color w:val="auto"/>
                      <w:szCs w:val="21"/>
                    </w:rPr>
                  </w:pPr>
                  <w:r>
                    <w:rPr>
                      <w:color w:val="auto"/>
                      <w:szCs w:val="21"/>
                    </w:rPr>
                    <w:t>挥发酚</w:t>
                  </w:r>
                </w:p>
              </w:tc>
              <w:tc>
                <w:tcPr>
                  <w:tcW w:w="1000" w:type="dxa"/>
                  <w:vAlign w:val="center"/>
                </w:tcPr>
                <w:p w14:paraId="3D715EF1">
                  <w:pPr>
                    <w:jc w:val="center"/>
                    <w:rPr>
                      <w:color w:val="auto"/>
                      <w:szCs w:val="21"/>
                    </w:rPr>
                  </w:pPr>
                  <w:r>
                    <w:rPr>
                      <w:color w:val="auto"/>
                      <w:szCs w:val="21"/>
                    </w:rPr>
                    <w:t>总汞</w:t>
                  </w:r>
                </w:p>
              </w:tc>
              <w:tc>
                <w:tcPr>
                  <w:tcW w:w="821" w:type="dxa"/>
                  <w:vAlign w:val="center"/>
                </w:tcPr>
                <w:p w14:paraId="41541AFE">
                  <w:pPr>
                    <w:jc w:val="center"/>
                    <w:rPr>
                      <w:color w:val="auto"/>
                      <w:szCs w:val="21"/>
                    </w:rPr>
                  </w:pPr>
                  <w:r>
                    <w:rPr>
                      <w:color w:val="auto"/>
                      <w:szCs w:val="21"/>
                    </w:rPr>
                    <w:t>总砷</w:t>
                  </w:r>
                </w:p>
              </w:tc>
              <w:tc>
                <w:tcPr>
                  <w:tcW w:w="821" w:type="dxa"/>
                  <w:vAlign w:val="center"/>
                </w:tcPr>
                <w:p w14:paraId="529C5B23">
                  <w:pPr>
                    <w:jc w:val="center"/>
                    <w:rPr>
                      <w:color w:val="auto"/>
                      <w:szCs w:val="21"/>
                    </w:rPr>
                  </w:pPr>
                  <w:r>
                    <w:rPr>
                      <w:color w:val="auto"/>
                      <w:szCs w:val="21"/>
                    </w:rPr>
                    <w:t>总铬</w:t>
                  </w:r>
                </w:p>
              </w:tc>
              <w:tc>
                <w:tcPr>
                  <w:tcW w:w="821" w:type="dxa"/>
                  <w:vAlign w:val="center"/>
                </w:tcPr>
                <w:p w14:paraId="536137E3">
                  <w:pPr>
                    <w:jc w:val="center"/>
                    <w:rPr>
                      <w:color w:val="auto"/>
                      <w:szCs w:val="21"/>
                    </w:rPr>
                  </w:pPr>
                  <w:r>
                    <w:rPr>
                      <w:color w:val="auto"/>
                      <w:szCs w:val="21"/>
                    </w:rPr>
                    <w:t>六价铬</w:t>
                  </w:r>
                </w:p>
              </w:tc>
              <w:tc>
                <w:tcPr>
                  <w:tcW w:w="822" w:type="dxa"/>
                  <w:vAlign w:val="center"/>
                </w:tcPr>
                <w:p w14:paraId="53A9E810">
                  <w:pPr>
                    <w:jc w:val="center"/>
                    <w:rPr>
                      <w:color w:val="auto"/>
                      <w:szCs w:val="21"/>
                    </w:rPr>
                  </w:pPr>
                  <w:r>
                    <w:rPr>
                      <w:color w:val="auto"/>
                      <w:szCs w:val="21"/>
                    </w:rPr>
                    <w:t>总铅</w:t>
                  </w:r>
                </w:p>
              </w:tc>
              <w:tc>
                <w:tcPr>
                  <w:tcW w:w="827" w:type="dxa"/>
                  <w:vAlign w:val="center"/>
                </w:tcPr>
                <w:p w14:paraId="38389D88">
                  <w:pPr>
                    <w:jc w:val="center"/>
                    <w:rPr>
                      <w:rFonts w:hint="eastAsia" w:ascii="宋体" w:hAnsi="宋体" w:cs="宋体"/>
                      <w:color w:val="auto"/>
                      <w:szCs w:val="21"/>
                    </w:rPr>
                  </w:pPr>
                  <w:r>
                    <w:rPr>
                      <w:rFonts w:hint="eastAsia" w:ascii="宋体" w:hAnsi="宋体" w:cs="宋体"/>
                      <w:color w:val="auto"/>
                      <w:szCs w:val="21"/>
                    </w:rPr>
                    <w:t>粪大肠菌群/（ＭＰＮ／Ｌ）</w:t>
                  </w:r>
                </w:p>
                <w:p w14:paraId="6F003D93">
                  <w:pPr>
                    <w:jc w:val="center"/>
                    <w:rPr>
                      <w:color w:val="auto"/>
                      <w:szCs w:val="21"/>
                    </w:rPr>
                  </w:pPr>
                </w:p>
              </w:tc>
            </w:tr>
            <w:tr w14:paraId="729F79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626" w:type="dxa"/>
                  <w:vAlign w:val="center"/>
                </w:tcPr>
                <w:p w14:paraId="7EF2D524">
                  <w:pPr>
                    <w:jc w:val="center"/>
                    <w:rPr>
                      <w:color w:val="auto"/>
                      <w:szCs w:val="21"/>
                    </w:rPr>
                  </w:pPr>
                  <w:r>
                    <w:rPr>
                      <w:color w:val="auto"/>
                      <w:szCs w:val="21"/>
                    </w:rPr>
                    <w:t>标准</w:t>
                  </w:r>
                </w:p>
              </w:tc>
              <w:tc>
                <w:tcPr>
                  <w:tcW w:w="822" w:type="dxa"/>
                  <w:vAlign w:val="center"/>
                </w:tcPr>
                <w:p w14:paraId="44E7C6BB">
                  <w:pPr>
                    <w:jc w:val="center"/>
                    <w:rPr>
                      <w:color w:val="auto"/>
                      <w:szCs w:val="21"/>
                    </w:rPr>
                  </w:pPr>
                  <w:r>
                    <w:rPr>
                      <w:color w:val="auto"/>
                      <w:szCs w:val="21"/>
                    </w:rPr>
                    <w:t>10</w:t>
                  </w:r>
                </w:p>
              </w:tc>
              <w:tc>
                <w:tcPr>
                  <w:tcW w:w="905" w:type="dxa"/>
                  <w:vAlign w:val="center"/>
                </w:tcPr>
                <w:p w14:paraId="0ABFC921">
                  <w:pPr>
                    <w:jc w:val="center"/>
                    <w:rPr>
                      <w:color w:val="auto"/>
                      <w:szCs w:val="21"/>
                    </w:rPr>
                  </w:pPr>
                  <w:r>
                    <w:rPr>
                      <w:color w:val="auto"/>
                      <w:szCs w:val="21"/>
                    </w:rPr>
                    <w:t>0.5</w:t>
                  </w:r>
                </w:p>
              </w:tc>
              <w:tc>
                <w:tcPr>
                  <w:tcW w:w="829" w:type="dxa"/>
                  <w:vAlign w:val="center"/>
                </w:tcPr>
                <w:p w14:paraId="7A93BE9E">
                  <w:pPr>
                    <w:jc w:val="center"/>
                    <w:rPr>
                      <w:color w:val="auto"/>
                      <w:szCs w:val="21"/>
                    </w:rPr>
                  </w:pPr>
                  <w:r>
                    <w:rPr>
                      <w:color w:val="auto"/>
                      <w:szCs w:val="21"/>
                    </w:rPr>
                    <w:t>1.0</w:t>
                  </w:r>
                </w:p>
              </w:tc>
              <w:tc>
                <w:tcPr>
                  <w:tcW w:w="1000" w:type="dxa"/>
                  <w:vAlign w:val="center"/>
                </w:tcPr>
                <w:p w14:paraId="1104A61E">
                  <w:pPr>
                    <w:jc w:val="center"/>
                    <w:rPr>
                      <w:color w:val="auto"/>
                      <w:szCs w:val="21"/>
                    </w:rPr>
                  </w:pPr>
                  <w:r>
                    <w:rPr>
                      <w:color w:val="auto"/>
                      <w:szCs w:val="21"/>
                    </w:rPr>
                    <w:t>0.05</w:t>
                  </w:r>
                </w:p>
              </w:tc>
              <w:tc>
                <w:tcPr>
                  <w:tcW w:w="821" w:type="dxa"/>
                  <w:vAlign w:val="center"/>
                </w:tcPr>
                <w:p w14:paraId="7A6583F8">
                  <w:pPr>
                    <w:jc w:val="center"/>
                    <w:rPr>
                      <w:color w:val="auto"/>
                      <w:szCs w:val="21"/>
                    </w:rPr>
                  </w:pPr>
                  <w:r>
                    <w:rPr>
                      <w:color w:val="auto"/>
                      <w:szCs w:val="21"/>
                    </w:rPr>
                    <w:t>0.5</w:t>
                  </w:r>
                </w:p>
              </w:tc>
              <w:tc>
                <w:tcPr>
                  <w:tcW w:w="821" w:type="dxa"/>
                  <w:vAlign w:val="center"/>
                </w:tcPr>
                <w:p w14:paraId="2384AE57">
                  <w:pPr>
                    <w:jc w:val="center"/>
                    <w:rPr>
                      <w:color w:val="auto"/>
                      <w:szCs w:val="21"/>
                    </w:rPr>
                  </w:pPr>
                  <w:r>
                    <w:rPr>
                      <w:color w:val="auto"/>
                      <w:szCs w:val="21"/>
                    </w:rPr>
                    <w:t>1.5</w:t>
                  </w:r>
                </w:p>
              </w:tc>
              <w:tc>
                <w:tcPr>
                  <w:tcW w:w="821" w:type="dxa"/>
                  <w:vAlign w:val="center"/>
                </w:tcPr>
                <w:p w14:paraId="34211327">
                  <w:pPr>
                    <w:jc w:val="center"/>
                    <w:rPr>
                      <w:color w:val="auto"/>
                      <w:szCs w:val="21"/>
                    </w:rPr>
                  </w:pPr>
                  <w:r>
                    <w:rPr>
                      <w:color w:val="auto"/>
                      <w:szCs w:val="21"/>
                    </w:rPr>
                    <w:t>0.5</w:t>
                  </w:r>
                </w:p>
              </w:tc>
              <w:tc>
                <w:tcPr>
                  <w:tcW w:w="822" w:type="dxa"/>
                  <w:vAlign w:val="center"/>
                </w:tcPr>
                <w:p w14:paraId="73E886F2">
                  <w:pPr>
                    <w:jc w:val="center"/>
                    <w:rPr>
                      <w:color w:val="auto"/>
                      <w:szCs w:val="21"/>
                    </w:rPr>
                  </w:pPr>
                  <w:r>
                    <w:rPr>
                      <w:color w:val="auto"/>
                      <w:szCs w:val="21"/>
                    </w:rPr>
                    <w:t>1.0</w:t>
                  </w:r>
                </w:p>
              </w:tc>
              <w:tc>
                <w:tcPr>
                  <w:tcW w:w="827" w:type="dxa"/>
                  <w:vAlign w:val="center"/>
                </w:tcPr>
                <w:p w14:paraId="3A8DF291">
                  <w:pPr>
                    <w:jc w:val="center"/>
                    <w:rPr>
                      <w:color w:val="auto"/>
                      <w:szCs w:val="21"/>
                    </w:rPr>
                  </w:pPr>
                  <w:r>
                    <w:rPr>
                      <w:color w:val="auto"/>
                      <w:szCs w:val="21"/>
                    </w:rPr>
                    <w:t>5000</w:t>
                  </w:r>
                </w:p>
              </w:tc>
            </w:tr>
          </w:tbl>
          <w:p w14:paraId="6B1327A4">
            <w:pPr>
              <w:jc w:val="center"/>
              <w:rPr>
                <w:rFonts w:hint="eastAsia" w:ascii="宋体" w:hAnsi="宋体" w:cs="宋体"/>
                <w:b/>
                <w:bCs/>
                <w:color w:val="auto"/>
                <w:kern w:val="0"/>
                <w:sz w:val="24"/>
              </w:rPr>
            </w:pPr>
            <w:r>
              <w:rPr>
                <w:rFonts w:ascii="宋体" w:hAnsi="宋体" w:cs="宋体"/>
                <w:b/>
                <w:bCs/>
                <w:color w:val="auto"/>
                <w:kern w:val="0"/>
                <w:sz w:val="24"/>
              </w:rPr>
              <w:t>表</w:t>
            </w:r>
            <w:r>
              <w:rPr>
                <w:rFonts w:hint="eastAsia" w:cs="宋体"/>
                <w:b/>
                <w:bCs/>
                <w:color w:val="auto"/>
                <w:kern w:val="0"/>
                <w:sz w:val="24"/>
              </w:rPr>
              <w:t>3</w:t>
            </w:r>
            <w:r>
              <w:rPr>
                <w:rFonts w:ascii="宋体" w:hAnsi="宋体" w:cs="宋体"/>
                <w:b/>
                <w:bCs/>
                <w:color w:val="auto"/>
                <w:kern w:val="0"/>
                <w:sz w:val="24"/>
              </w:rPr>
              <w:t>-</w:t>
            </w:r>
            <w:r>
              <w:rPr>
                <w:rFonts w:hint="eastAsia" w:cs="宋体"/>
                <w:b/>
                <w:bCs/>
                <w:color w:val="auto"/>
                <w:kern w:val="0"/>
                <w:sz w:val="24"/>
              </w:rPr>
              <w:t>14</w:t>
            </w:r>
            <w:r>
              <w:rPr>
                <w:rFonts w:ascii="宋体" w:hAnsi="宋体" w:cs="宋体"/>
                <w:b/>
                <w:bCs/>
                <w:color w:val="auto"/>
                <w:kern w:val="0"/>
                <w:sz w:val="24"/>
              </w:rPr>
              <w:t xml:space="preserve">  污水排入城镇下水道水质标准    单位：mg/L（pH除外）</w:t>
            </w:r>
          </w:p>
          <w:tbl>
            <w:tblPr>
              <w:tblStyle w:val="33"/>
              <w:tblW w:w="828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36"/>
              <w:gridCol w:w="1033"/>
              <w:gridCol w:w="695"/>
              <w:gridCol w:w="823"/>
              <w:gridCol w:w="804"/>
              <w:gridCol w:w="919"/>
              <w:gridCol w:w="670"/>
              <w:gridCol w:w="726"/>
              <w:gridCol w:w="778"/>
            </w:tblGrid>
            <w:tr w14:paraId="0E038A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1" w:hRule="atLeast"/>
                <w:jc w:val="center"/>
              </w:trPr>
              <w:tc>
                <w:tcPr>
                  <w:tcW w:w="1836" w:type="dxa"/>
                  <w:vAlign w:val="center"/>
                </w:tcPr>
                <w:p w14:paraId="58E4B14B">
                  <w:pPr>
                    <w:adjustRightInd w:val="0"/>
                    <w:snapToGrid w:val="0"/>
                    <w:jc w:val="center"/>
                    <w:rPr>
                      <w:b/>
                      <w:color w:val="auto"/>
                      <w:szCs w:val="21"/>
                    </w:rPr>
                  </w:pPr>
                  <w:r>
                    <w:rPr>
                      <w:b/>
                      <w:color w:val="auto"/>
                      <w:szCs w:val="21"/>
                    </w:rPr>
                    <w:t>指标</w:t>
                  </w:r>
                </w:p>
              </w:tc>
              <w:tc>
                <w:tcPr>
                  <w:tcW w:w="1033" w:type="dxa"/>
                  <w:vAlign w:val="center"/>
                </w:tcPr>
                <w:p w14:paraId="587267AE">
                  <w:pPr>
                    <w:adjustRightInd w:val="0"/>
                    <w:snapToGrid w:val="0"/>
                    <w:jc w:val="center"/>
                    <w:rPr>
                      <w:b/>
                      <w:color w:val="auto"/>
                      <w:szCs w:val="21"/>
                    </w:rPr>
                  </w:pPr>
                  <w:r>
                    <w:rPr>
                      <w:b/>
                      <w:color w:val="auto"/>
                      <w:szCs w:val="21"/>
                    </w:rPr>
                    <w:t>pH</w:t>
                  </w:r>
                </w:p>
              </w:tc>
              <w:tc>
                <w:tcPr>
                  <w:tcW w:w="695" w:type="dxa"/>
                  <w:vAlign w:val="center"/>
                </w:tcPr>
                <w:p w14:paraId="38006B75">
                  <w:pPr>
                    <w:adjustRightInd w:val="0"/>
                    <w:snapToGrid w:val="0"/>
                    <w:jc w:val="center"/>
                    <w:rPr>
                      <w:b/>
                      <w:color w:val="auto"/>
                      <w:szCs w:val="21"/>
                    </w:rPr>
                  </w:pPr>
                  <w:r>
                    <w:rPr>
                      <w:b/>
                      <w:color w:val="auto"/>
                      <w:szCs w:val="21"/>
                    </w:rPr>
                    <w:t>SS</w:t>
                  </w:r>
                </w:p>
              </w:tc>
              <w:tc>
                <w:tcPr>
                  <w:tcW w:w="823" w:type="dxa"/>
                  <w:vAlign w:val="center"/>
                </w:tcPr>
                <w:p w14:paraId="03273AE7">
                  <w:pPr>
                    <w:adjustRightInd w:val="0"/>
                    <w:snapToGrid w:val="0"/>
                    <w:jc w:val="center"/>
                    <w:rPr>
                      <w:b/>
                      <w:color w:val="auto"/>
                      <w:szCs w:val="21"/>
                    </w:rPr>
                  </w:pPr>
                  <w:r>
                    <w:rPr>
                      <w:b/>
                      <w:color w:val="auto"/>
                      <w:szCs w:val="21"/>
                    </w:rPr>
                    <w:t>BOD</w:t>
                  </w:r>
                  <w:r>
                    <w:rPr>
                      <w:b/>
                      <w:color w:val="auto"/>
                      <w:szCs w:val="21"/>
                      <w:vertAlign w:val="subscript"/>
                    </w:rPr>
                    <w:t>5</w:t>
                  </w:r>
                </w:p>
              </w:tc>
              <w:tc>
                <w:tcPr>
                  <w:tcW w:w="804" w:type="dxa"/>
                  <w:vAlign w:val="center"/>
                </w:tcPr>
                <w:p w14:paraId="130B69C4">
                  <w:pPr>
                    <w:adjustRightInd w:val="0"/>
                    <w:snapToGrid w:val="0"/>
                    <w:jc w:val="center"/>
                    <w:rPr>
                      <w:b/>
                      <w:color w:val="auto"/>
                      <w:szCs w:val="21"/>
                    </w:rPr>
                  </w:pPr>
                  <w:r>
                    <w:rPr>
                      <w:b/>
                      <w:color w:val="auto"/>
                      <w:szCs w:val="21"/>
                    </w:rPr>
                    <w:t>COD</w:t>
                  </w:r>
                </w:p>
              </w:tc>
              <w:tc>
                <w:tcPr>
                  <w:tcW w:w="919" w:type="dxa"/>
                  <w:vAlign w:val="center"/>
                </w:tcPr>
                <w:p w14:paraId="37E54060">
                  <w:pPr>
                    <w:adjustRightInd w:val="0"/>
                    <w:snapToGrid w:val="0"/>
                    <w:jc w:val="center"/>
                    <w:rPr>
                      <w:b/>
                      <w:color w:val="auto"/>
                      <w:szCs w:val="21"/>
                    </w:rPr>
                  </w:pPr>
                  <w:r>
                    <w:rPr>
                      <w:b/>
                      <w:color w:val="auto"/>
                      <w:szCs w:val="21"/>
                    </w:rPr>
                    <w:t>NH</w:t>
                  </w:r>
                  <w:r>
                    <w:rPr>
                      <w:b/>
                      <w:color w:val="auto"/>
                      <w:szCs w:val="21"/>
                      <w:vertAlign w:val="subscript"/>
                    </w:rPr>
                    <w:t>3</w:t>
                  </w:r>
                  <w:r>
                    <w:rPr>
                      <w:b/>
                      <w:color w:val="auto"/>
                      <w:szCs w:val="21"/>
                    </w:rPr>
                    <w:t>-N</w:t>
                  </w:r>
                </w:p>
              </w:tc>
              <w:tc>
                <w:tcPr>
                  <w:tcW w:w="670" w:type="dxa"/>
                  <w:vAlign w:val="center"/>
                </w:tcPr>
                <w:p w14:paraId="70E367E2">
                  <w:pPr>
                    <w:adjustRightInd w:val="0"/>
                    <w:snapToGrid w:val="0"/>
                    <w:jc w:val="center"/>
                    <w:rPr>
                      <w:b/>
                      <w:color w:val="auto"/>
                      <w:szCs w:val="21"/>
                    </w:rPr>
                  </w:pPr>
                  <w:r>
                    <w:rPr>
                      <w:b/>
                      <w:color w:val="auto"/>
                      <w:szCs w:val="21"/>
                    </w:rPr>
                    <w:t>LAS</w:t>
                  </w:r>
                </w:p>
              </w:tc>
              <w:tc>
                <w:tcPr>
                  <w:tcW w:w="726" w:type="dxa"/>
                  <w:vAlign w:val="center"/>
                </w:tcPr>
                <w:p w14:paraId="5F152E1A">
                  <w:pPr>
                    <w:pStyle w:val="11"/>
                    <w:jc w:val="center"/>
                    <w:rPr>
                      <w:b/>
                      <w:color w:val="auto"/>
                      <w:sz w:val="21"/>
                      <w:szCs w:val="21"/>
                    </w:rPr>
                  </w:pPr>
                  <w:r>
                    <w:rPr>
                      <w:rFonts w:hint="eastAsia"/>
                      <w:color w:val="auto"/>
                    </w:rPr>
                    <w:t>TP</w:t>
                  </w:r>
                </w:p>
              </w:tc>
              <w:tc>
                <w:tcPr>
                  <w:tcW w:w="778" w:type="dxa"/>
                  <w:vAlign w:val="center"/>
                </w:tcPr>
                <w:p w14:paraId="4A9695F4">
                  <w:pPr>
                    <w:adjustRightInd w:val="0"/>
                    <w:snapToGrid w:val="0"/>
                    <w:jc w:val="center"/>
                    <w:rPr>
                      <w:b/>
                      <w:color w:val="auto"/>
                      <w:szCs w:val="21"/>
                    </w:rPr>
                  </w:pPr>
                  <w:r>
                    <w:rPr>
                      <w:b/>
                      <w:color w:val="auto"/>
                      <w:szCs w:val="21"/>
                    </w:rPr>
                    <w:t>动植物油</w:t>
                  </w:r>
                </w:p>
              </w:tc>
            </w:tr>
            <w:tr w14:paraId="7170CD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836" w:type="dxa"/>
                  <w:vAlign w:val="center"/>
                </w:tcPr>
                <w:p w14:paraId="38F0E085">
                  <w:pPr>
                    <w:adjustRightInd w:val="0"/>
                    <w:snapToGrid w:val="0"/>
                    <w:jc w:val="center"/>
                    <w:rPr>
                      <w:color w:val="auto"/>
                      <w:szCs w:val="21"/>
                    </w:rPr>
                  </w:pPr>
                  <w:r>
                    <w:rPr>
                      <w:bCs/>
                      <w:color w:val="auto"/>
                      <w:szCs w:val="21"/>
                    </w:rPr>
                    <w:t>GB/T31962-2015表1B等级</w:t>
                  </w:r>
                </w:p>
              </w:tc>
              <w:tc>
                <w:tcPr>
                  <w:tcW w:w="1033" w:type="dxa"/>
                  <w:vAlign w:val="center"/>
                </w:tcPr>
                <w:p w14:paraId="0BE22670">
                  <w:pPr>
                    <w:adjustRightInd w:val="0"/>
                    <w:snapToGrid w:val="0"/>
                    <w:jc w:val="center"/>
                    <w:rPr>
                      <w:color w:val="auto"/>
                      <w:szCs w:val="21"/>
                    </w:rPr>
                  </w:pPr>
                  <w:r>
                    <w:rPr>
                      <w:color w:val="auto"/>
                      <w:szCs w:val="21"/>
                    </w:rPr>
                    <w:t>/</w:t>
                  </w:r>
                </w:p>
              </w:tc>
              <w:tc>
                <w:tcPr>
                  <w:tcW w:w="695" w:type="dxa"/>
                  <w:vAlign w:val="center"/>
                </w:tcPr>
                <w:p w14:paraId="7DE93B2D">
                  <w:pPr>
                    <w:adjustRightInd w:val="0"/>
                    <w:snapToGrid w:val="0"/>
                    <w:jc w:val="center"/>
                    <w:rPr>
                      <w:color w:val="auto"/>
                      <w:szCs w:val="21"/>
                    </w:rPr>
                  </w:pPr>
                  <w:r>
                    <w:rPr>
                      <w:color w:val="auto"/>
                      <w:szCs w:val="21"/>
                    </w:rPr>
                    <w:t>/</w:t>
                  </w:r>
                </w:p>
              </w:tc>
              <w:tc>
                <w:tcPr>
                  <w:tcW w:w="823" w:type="dxa"/>
                  <w:vAlign w:val="center"/>
                </w:tcPr>
                <w:p w14:paraId="779018CB">
                  <w:pPr>
                    <w:adjustRightInd w:val="0"/>
                    <w:snapToGrid w:val="0"/>
                    <w:jc w:val="center"/>
                    <w:rPr>
                      <w:color w:val="auto"/>
                      <w:szCs w:val="21"/>
                    </w:rPr>
                  </w:pPr>
                  <w:r>
                    <w:rPr>
                      <w:color w:val="auto"/>
                      <w:szCs w:val="21"/>
                    </w:rPr>
                    <w:t>/</w:t>
                  </w:r>
                </w:p>
              </w:tc>
              <w:tc>
                <w:tcPr>
                  <w:tcW w:w="804" w:type="dxa"/>
                  <w:vAlign w:val="center"/>
                </w:tcPr>
                <w:p w14:paraId="6E140FDD">
                  <w:pPr>
                    <w:adjustRightInd w:val="0"/>
                    <w:snapToGrid w:val="0"/>
                    <w:jc w:val="center"/>
                    <w:rPr>
                      <w:color w:val="auto"/>
                      <w:szCs w:val="21"/>
                    </w:rPr>
                  </w:pPr>
                  <w:r>
                    <w:rPr>
                      <w:color w:val="auto"/>
                      <w:szCs w:val="21"/>
                    </w:rPr>
                    <w:t>/</w:t>
                  </w:r>
                </w:p>
              </w:tc>
              <w:tc>
                <w:tcPr>
                  <w:tcW w:w="919" w:type="dxa"/>
                  <w:vAlign w:val="center"/>
                </w:tcPr>
                <w:p w14:paraId="12B195B0">
                  <w:pPr>
                    <w:adjustRightInd w:val="0"/>
                    <w:snapToGrid w:val="0"/>
                    <w:jc w:val="center"/>
                    <w:rPr>
                      <w:color w:val="auto"/>
                      <w:szCs w:val="21"/>
                    </w:rPr>
                  </w:pPr>
                  <w:r>
                    <w:rPr>
                      <w:color w:val="auto"/>
                      <w:szCs w:val="21"/>
                    </w:rPr>
                    <w:t>45</w:t>
                  </w:r>
                </w:p>
              </w:tc>
              <w:tc>
                <w:tcPr>
                  <w:tcW w:w="670" w:type="dxa"/>
                  <w:vAlign w:val="center"/>
                </w:tcPr>
                <w:p w14:paraId="41C832EA">
                  <w:pPr>
                    <w:adjustRightInd w:val="0"/>
                    <w:snapToGrid w:val="0"/>
                    <w:jc w:val="center"/>
                    <w:rPr>
                      <w:color w:val="auto"/>
                      <w:szCs w:val="21"/>
                    </w:rPr>
                  </w:pPr>
                  <w:r>
                    <w:rPr>
                      <w:color w:val="auto"/>
                      <w:szCs w:val="21"/>
                    </w:rPr>
                    <w:t>/</w:t>
                  </w:r>
                </w:p>
              </w:tc>
              <w:tc>
                <w:tcPr>
                  <w:tcW w:w="726" w:type="dxa"/>
                  <w:vAlign w:val="center"/>
                </w:tcPr>
                <w:p w14:paraId="38561AC4">
                  <w:pPr>
                    <w:adjustRightInd w:val="0"/>
                    <w:snapToGrid w:val="0"/>
                    <w:jc w:val="center"/>
                    <w:rPr>
                      <w:color w:val="auto"/>
                      <w:szCs w:val="21"/>
                    </w:rPr>
                  </w:pPr>
                  <w:r>
                    <w:rPr>
                      <w:color w:val="auto"/>
                      <w:szCs w:val="21"/>
                    </w:rPr>
                    <w:t>8</w:t>
                  </w:r>
                </w:p>
              </w:tc>
              <w:tc>
                <w:tcPr>
                  <w:tcW w:w="778" w:type="dxa"/>
                  <w:vAlign w:val="center"/>
                </w:tcPr>
                <w:p w14:paraId="5A4DB049">
                  <w:pPr>
                    <w:adjustRightInd w:val="0"/>
                    <w:snapToGrid w:val="0"/>
                    <w:jc w:val="center"/>
                    <w:rPr>
                      <w:color w:val="auto"/>
                      <w:szCs w:val="21"/>
                    </w:rPr>
                  </w:pPr>
                  <w:r>
                    <w:rPr>
                      <w:color w:val="auto"/>
                      <w:szCs w:val="21"/>
                    </w:rPr>
                    <w:t>/</w:t>
                  </w:r>
                </w:p>
              </w:tc>
            </w:tr>
          </w:tbl>
          <w:p w14:paraId="0F8CEBDC">
            <w:pPr>
              <w:tabs>
                <w:tab w:val="left" w:pos="8515"/>
              </w:tabs>
              <w:adjustRightInd w:val="0"/>
              <w:snapToGrid w:val="0"/>
              <w:spacing w:line="360" w:lineRule="auto"/>
              <w:rPr>
                <w:b/>
                <w:bCs/>
                <w:color w:val="auto"/>
                <w:sz w:val="24"/>
              </w:rPr>
            </w:pPr>
            <w:r>
              <w:rPr>
                <w:b/>
                <w:bCs/>
                <w:color w:val="auto"/>
                <w:sz w:val="24"/>
              </w:rPr>
              <w:t>3、噪声排放标准</w:t>
            </w:r>
          </w:p>
          <w:p w14:paraId="2C411916">
            <w:pPr>
              <w:spacing w:line="360" w:lineRule="auto"/>
              <w:ind w:firstLine="480" w:firstLineChars="200"/>
              <w:jc w:val="left"/>
              <w:rPr>
                <w:color w:val="auto"/>
                <w:sz w:val="24"/>
              </w:rPr>
            </w:pPr>
            <w:r>
              <w:rPr>
                <w:color w:val="auto"/>
                <w:sz w:val="24"/>
              </w:rPr>
              <w:t>项目施工期噪声排放执行《建筑施工场界环境噪声排放标准》（GB12523-2011）表1中规定的排放限值，具体值见表3-1</w:t>
            </w:r>
            <w:r>
              <w:rPr>
                <w:rFonts w:hint="eastAsia"/>
                <w:color w:val="auto"/>
                <w:sz w:val="24"/>
              </w:rPr>
              <w:t>5</w:t>
            </w:r>
            <w:r>
              <w:rPr>
                <w:color w:val="auto"/>
                <w:sz w:val="24"/>
              </w:rPr>
              <w:t>。</w:t>
            </w:r>
          </w:p>
          <w:p w14:paraId="586C2361">
            <w:pPr>
              <w:spacing w:line="360" w:lineRule="auto"/>
              <w:ind w:firstLine="482" w:firstLineChars="200"/>
              <w:jc w:val="center"/>
              <w:rPr>
                <w:color w:val="auto"/>
                <w:sz w:val="24"/>
              </w:rPr>
            </w:pPr>
            <w:r>
              <w:rPr>
                <w:b/>
                <w:color w:val="auto"/>
                <w:sz w:val="24"/>
              </w:rPr>
              <w:t>表3-1</w:t>
            </w:r>
            <w:r>
              <w:rPr>
                <w:rFonts w:hint="eastAsia"/>
                <w:b/>
                <w:color w:val="auto"/>
                <w:sz w:val="24"/>
              </w:rPr>
              <w:t>5</w:t>
            </w:r>
            <w:r>
              <w:rPr>
                <w:b/>
                <w:color w:val="auto"/>
                <w:sz w:val="24"/>
              </w:rPr>
              <w:t>建筑施工场界环境噪声排放限值</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1"/>
              <w:gridCol w:w="2691"/>
              <w:gridCol w:w="2691"/>
            </w:tblGrid>
            <w:tr w14:paraId="7ED4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1" w:type="dxa"/>
                  <w:vAlign w:val="center"/>
                </w:tcPr>
                <w:p w14:paraId="47961788">
                  <w:pPr>
                    <w:spacing w:line="360" w:lineRule="auto"/>
                    <w:jc w:val="center"/>
                    <w:rPr>
                      <w:color w:val="auto"/>
                      <w:szCs w:val="21"/>
                    </w:rPr>
                  </w:pPr>
                  <w:r>
                    <w:rPr>
                      <w:color w:val="auto"/>
                      <w:szCs w:val="21"/>
                    </w:rPr>
                    <w:t>施工阶段</w:t>
                  </w:r>
                </w:p>
              </w:tc>
              <w:tc>
                <w:tcPr>
                  <w:tcW w:w="2691" w:type="dxa"/>
                  <w:vAlign w:val="center"/>
                </w:tcPr>
                <w:p w14:paraId="64118755">
                  <w:pPr>
                    <w:spacing w:line="360" w:lineRule="auto"/>
                    <w:jc w:val="center"/>
                    <w:rPr>
                      <w:color w:val="auto"/>
                      <w:szCs w:val="21"/>
                    </w:rPr>
                  </w:pPr>
                  <w:r>
                    <w:rPr>
                      <w:color w:val="auto"/>
                      <w:szCs w:val="21"/>
                    </w:rPr>
                    <w:t>昼间</w:t>
                  </w:r>
                </w:p>
              </w:tc>
              <w:tc>
                <w:tcPr>
                  <w:tcW w:w="2691" w:type="dxa"/>
                  <w:vAlign w:val="center"/>
                </w:tcPr>
                <w:p w14:paraId="0F81BA4C">
                  <w:pPr>
                    <w:tabs>
                      <w:tab w:val="left" w:pos="361"/>
                    </w:tabs>
                    <w:spacing w:line="360" w:lineRule="auto"/>
                    <w:jc w:val="center"/>
                    <w:rPr>
                      <w:color w:val="auto"/>
                      <w:szCs w:val="21"/>
                    </w:rPr>
                  </w:pPr>
                  <w:r>
                    <w:rPr>
                      <w:color w:val="auto"/>
                      <w:szCs w:val="21"/>
                    </w:rPr>
                    <w:t>夜间</w:t>
                  </w:r>
                </w:p>
              </w:tc>
            </w:tr>
            <w:tr w14:paraId="3F7D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1" w:type="dxa"/>
                  <w:vAlign w:val="center"/>
                </w:tcPr>
                <w:p w14:paraId="41810A7B">
                  <w:pPr>
                    <w:spacing w:line="360" w:lineRule="auto"/>
                    <w:jc w:val="center"/>
                    <w:rPr>
                      <w:color w:val="auto"/>
                      <w:szCs w:val="21"/>
                    </w:rPr>
                  </w:pPr>
                  <w:r>
                    <w:rPr>
                      <w:color w:val="auto"/>
                      <w:szCs w:val="21"/>
                    </w:rPr>
                    <w:t>排放限值dB(A)</w:t>
                  </w:r>
                </w:p>
              </w:tc>
              <w:tc>
                <w:tcPr>
                  <w:tcW w:w="2691" w:type="dxa"/>
                  <w:vAlign w:val="center"/>
                </w:tcPr>
                <w:p w14:paraId="0E7BE6C8">
                  <w:pPr>
                    <w:spacing w:line="360" w:lineRule="auto"/>
                    <w:jc w:val="center"/>
                    <w:rPr>
                      <w:color w:val="auto"/>
                      <w:szCs w:val="21"/>
                    </w:rPr>
                  </w:pPr>
                  <w:r>
                    <w:rPr>
                      <w:color w:val="auto"/>
                      <w:szCs w:val="21"/>
                    </w:rPr>
                    <w:t>70</w:t>
                  </w:r>
                </w:p>
              </w:tc>
              <w:tc>
                <w:tcPr>
                  <w:tcW w:w="2691" w:type="dxa"/>
                  <w:vAlign w:val="center"/>
                </w:tcPr>
                <w:p w14:paraId="42512ED1">
                  <w:pPr>
                    <w:spacing w:line="360" w:lineRule="auto"/>
                    <w:jc w:val="center"/>
                    <w:rPr>
                      <w:color w:val="auto"/>
                      <w:szCs w:val="21"/>
                    </w:rPr>
                  </w:pPr>
                  <w:r>
                    <w:rPr>
                      <w:color w:val="auto"/>
                      <w:szCs w:val="21"/>
                    </w:rPr>
                    <w:t>55</w:t>
                  </w:r>
                </w:p>
              </w:tc>
            </w:tr>
          </w:tbl>
          <w:p w14:paraId="5D5BD614">
            <w:pPr>
              <w:snapToGrid w:val="0"/>
              <w:spacing w:line="360" w:lineRule="auto"/>
              <w:ind w:firstLine="480" w:firstLineChars="200"/>
              <w:jc w:val="left"/>
              <w:rPr>
                <w:color w:val="auto"/>
                <w:sz w:val="24"/>
              </w:rPr>
            </w:pPr>
            <w:r>
              <w:rPr>
                <w:rFonts w:hint="eastAsia" w:ascii="宋体" w:hAnsi="宋体" w:cs="宋体"/>
                <w:color w:val="auto"/>
                <w:sz w:val="24"/>
              </w:rPr>
              <w:t>本项目属于卫生院建设项目，项目选址分别位于通海县纳古镇纳古卫生院内；四街街道四街卫生院内；杨广镇杨广卫生院内；九龙街道九龙卫生院内。</w:t>
            </w:r>
            <w:r>
              <w:rPr>
                <w:rFonts w:hint="eastAsia"/>
                <w:bCs/>
                <w:color w:val="auto"/>
                <w:sz w:val="24"/>
              </w:rPr>
              <w:t>四街卫生院西</w:t>
            </w:r>
            <w:r>
              <w:rPr>
                <w:color w:val="auto"/>
                <w:sz w:val="24"/>
              </w:rPr>
              <w:t>面</w:t>
            </w:r>
            <w:r>
              <w:rPr>
                <w:rFonts w:hint="eastAsia"/>
                <w:color w:val="auto"/>
                <w:sz w:val="24"/>
              </w:rPr>
              <w:t>为G245国道</w:t>
            </w:r>
            <w:r>
              <w:rPr>
                <w:color w:val="auto"/>
                <w:sz w:val="24"/>
              </w:rPr>
              <w:t>，</w:t>
            </w:r>
            <w:r>
              <w:rPr>
                <w:rFonts w:hint="eastAsia"/>
                <w:color w:val="auto"/>
                <w:sz w:val="24"/>
                <w:lang w:val="en-US" w:eastAsia="zh-CN"/>
              </w:rPr>
              <w:t>运营期</w:t>
            </w:r>
            <w:r>
              <w:rPr>
                <w:rFonts w:hint="eastAsia"/>
                <w:color w:val="auto"/>
                <w:sz w:val="24"/>
              </w:rPr>
              <w:t>四街卫生院西侧厂界</w:t>
            </w:r>
            <w:r>
              <w:rPr>
                <w:color w:val="auto"/>
                <w:sz w:val="24"/>
              </w:rPr>
              <w:t>执行《工业企业厂界环境噪声排放标准》（GB12348-2008）4类标准，</w:t>
            </w:r>
            <w:r>
              <w:rPr>
                <w:rFonts w:hint="eastAsia"/>
                <w:color w:val="auto"/>
                <w:sz w:val="24"/>
              </w:rPr>
              <w:t>四街卫生院东、北、南侧厂界</w:t>
            </w:r>
            <w:r>
              <w:rPr>
                <w:color w:val="auto"/>
                <w:sz w:val="24"/>
              </w:rPr>
              <w:t>区域执行2类标准</w:t>
            </w:r>
            <w:r>
              <w:rPr>
                <w:rFonts w:hint="eastAsia"/>
                <w:color w:val="auto"/>
                <w:sz w:val="24"/>
              </w:rPr>
              <w:t>。</w:t>
            </w:r>
            <w:r>
              <w:rPr>
                <w:rFonts w:hint="eastAsia"/>
                <w:color w:val="auto"/>
                <w:sz w:val="24"/>
                <w:lang w:val="en-US" w:eastAsia="zh-CN"/>
              </w:rPr>
              <w:t>运营期</w:t>
            </w:r>
            <w:r>
              <w:rPr>
                <w:rFonts w:hint="eastAsia"/>
                <w:color w:val="auto"/>
                <w:sz w:val="24"/>
              </w:rPr>
              <w:t>杨广卫生院、九龙卫生院、纳古卫生院东、南、西、北侧均执行</w:t>
            </w:r>
            <w:r>
              <w:rPr>
                <w:color w:val="auto"/>
                <w:sz w:val="24"/>
              </w:rPr>
              <w:t>《工业企业厂界环境噪声排放标准》（GB12348-2008）</w:t>
            </w:r>
            <w:r>
              <w:rPr>
                <w:rFonts w:hint="eastAsia"/>
                <w:color w:val="auto"/>
                <w:sz w:val="24"/>
              </w:rPr>
              <w:t>2</w:t>
            </w:r>
            <w:r>
              <w:rPr>
                <w:color w:val="auto"/>
                <w:sz w:val="24"/>
              </w:rPr>
              <w:t>类标准</w:t>
            </w:r>
            <w:r>
              <w:rPr>
                <w:rFonts w:hint="eastAsia"/>
                <w:color w:val="auto"/>
                <w:sz w:val="24"/>
              </w:rPr>
              <w:t>。</w:t>
            </w:r>
          </w:p>
          <w:p w14:paraId="27309FA6">
            <w:pPr>
              <w:jc w:val="center"/>
              <w:rPr>
                <w:rFonts w:hint="eastAsia" w:ascii="宋体" w:hAnsi="宋体" w:cs="宋体"/>
                <w:b/>
                <w:bCs/>
                <w:color w:val="auto"/>
                <w:kern w:val="0"/>
                <w:sz w:val="24"/>
              </w:rPr>
            </w:pPr>
            <w:r>
              <w:rPr>
                <w:rFonts w:ascii="宋体" w:hAnsi="宋体" w:cs="宋体"/>
                <w:b/>
                <w:bCs/>
                <w:color w:val="auto"/>
                <w:kern w:val="0"/>
                <w:sz w:val="24"/>
              </w:rPr>
              <w:t>表</w:t>
            </w:r>
            <w:r>
              <w:rPr>
                <w:rFonts w:hint="eastAsia" w:cs="宋体"/>
                <w:b/>
                <w:bCs/>
                <w:color w:val="auto"/>
                <w:kern w:val="0"/>
                <w:sz w:val="24"/>
              </w:rPr>
              <w:t>3</w:t>
            </w:r>
            <w:r>
              <w:rPr>
                <w:rFonts w:ascii="宋体" w:hAnsi="宋体" w:cs="宋体"/>
                <w:b/>
                <w:bCs/>
                <w:color w:val="auto"/>
                <w:kern w:val="0"/>
                <w:sz w:val="24"/>
              </w:rPr>
              <w:t>-</w:t>
            </w:r>
            <w:r>
              <w:rPr>
                <w:rFonts w:hint="eastAsia" w:cs="宋体"/>
                <w:b/>
                <w:bCs/>
                <w:color w:val="auto"/>
                <w:kern w:val="0"/>
                <w:sz w:val="24"/>
              </w:rPr>
              <w:t>16</w:t>
            </w:r>
            <w:r>
              <w:rPr>
                <w:rFonts w:ascii="宋体" w:hAnsi="宋体" w:cs="宋体"/>
                <w:b/>
                <w:bCs/>
                <w:color w:val="auto"/>
                <w:kern w:val="0"/>
                <w:sz w:val="24"/>
              </w:rPr>
              <w:t xml:space="preserve"> 噪声排放标准 单位：dB(A)</w:t>
            </w:r>
          </w:p>
          <w:tbl>
            <w:tblPr>
              <w:tblStyle w:val="33"/>
              <w:tblW w:w="837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338"/>
              <w:gridCol w:w="2460"/>
              <w:gridCol w:w="2572"/>
            </w:tblGrid>
            <w:tr w14:paraId="21337856">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3338" w:type="dxa"/>
                  <w:tcBorders>
                    <w:top w:val="single" w:color="auto" w:sz="4" w:space="0"/>
                    <w:left w:val="single" w:color="auto" w:sz="0" w:space="0"/>
                    <w:bottom w:val="single" w:color="auto" w:sz="6" w:space="0"/>
                    <w:tl2br w:val="single" w:color="auto" w:sz="6" w:space="0"/>
                  </w:tcBorders>
                </w:tcPr>
                <w:p w14:paraId="0F6969BE">
                  <w:pPr>
                    <w:spacing w:before="24" w:beforeLines="10"/>
                    <w:ind w:right="262"/>
                    <w:jc w:val="right"/>
                    <w:rPr>
                      <w:caps/>
                      <w:color w:val="auto"/>
                      <w:szCs w:val="21"/>
                    </w:rPr>
                  </w:pPr>
                  <w:r>
                    <w:rPr>
                      <w:caps/>
                      <w:color w:val="auto"/>
                      <w:szCs w:val="21"/>
                    </w:rPr>
                    <w:t>声环境功能区类别</w:t>
                  </w:r>
                </w:p>
                <w:p w14:paraId="5A0A479B">
                  <w:pPr>
                    <w:spacing w:before="24" w:beforeLines="10"/>
                    <w:ind w:right="262"/>
                    <w:rPr>
                      <w:caps/>
                      <w:color w:val="auto"/>
                      <w:szCs w:val="21"/>
                    </w:rPr>
                  </w:pPr>
                  <w:r>
                    <w:rPr>
                      <w:caps/>
                      <w:color w:val="auto"/>
                      <w:szCs w:val="21"/>
                    </w:rPr>
                    <w:t>时段</w:t>
                  </w:r>
                </w:p>
              </w:tc>
              <w:tc>
                <w:tcPr>
                  <w:tcW w:w="2460" w:type="dxa"/>
                  <w:tcBorders>
                    <w:top w:val="single" w:color="auto" w:sz="4" w:space="0"/>
                  </w:tcBorders>
                  <w:vAlign w:val="center"/>
                </w:tcPr>
                <w:p w14:paraId="5769FE3E">
                  <w:pPr>
                    <w:spacing w:before="24" w:beforeLines="10"/>
                    <w:jc w:val="center"/>
                    <w:rPr>
                      <w:caps/>
                      <w:color w:val="auto"/>
                      <w:szCs w:val="21"/>
                    </w:rPr>
                  </w:pPr>
                  <w:r>
                    <w:rPr>
                      <w:caps/>
                      <w:color w:val="auto"/>
                      <w:szCs w:val="21"/>
                    </w:rPr>
                    <w:t>昼间</w:t>
                  </w:r>
                </w:p>
              </w:tc>
              <w:tc>
                <w:tcPr>
                  <w:tcW w:w="2572" w:type="dxa"/>
                  <w:tcBorders>
                    <w:top w:val="single" w:color="auto" w:sz="4" w:space="0"/>
                    <w:right w:val="single" w:color="auto" w:sz="4" w:space="0"/>
                  </w:tcBorders>
                  <w:vAlign w:val="center"/>
                </w:tcPr>
                <w:p w14:paraId="184B70CF">
                  <w:pPr>
                    <w:spacing w:before="24" w:beforeLines="10"/>
                    <w:jc w:val="center"/>
                    <w:rPr>
                      <w:caps/>
                      <w:color w:val="auto"/>
                      <w:szCs w:val="21"/>
                    </w:rPr>
                  </w:pPr>
                  <w:r>
                    <w:rPr>
                      <w:caps/>
                      <w:color w:val="auto"/>
                      <w:szCs w:val="21"/>
                    </w:rPr>
                    <w:t>夜间</w:t>
                  </w:r>
                </w:p>
              </w:tc>
            </w:tr>
            <w:tr w14:paraId="77DA330E">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338" w:type="dxa"/>
                  <w:tcBorders>
                    <w:top w:val="single" w:color="auto" w:sz="6" w:space="0"/>
                    <w:left w:val="single" w:color="auto" w:sz="4" w:space="0"/>
                    <w:bottom w:val="single" w:color="auto" w:sz="6" w:space="0"/>
                  </w:tcBorders>
                  <w:vAlign w:val="center"/>
                </w:tcPr>
                <w:p w14:paraId="4E9C4B7D">
                  <w:pPr>
                    <w:spacing w:before="24" w:beforeLines="10"/>
                    <w:jc w:val="center"/>
                    <w:rPr>
                      <w:color w:val="auto"/>
                      <w:szCs w:val="21"/>
                    </w:rPr>
                  </w:pPr>
                  <w:r>
                    <w:rPr>
                      <w:color w:val="auto"/>
                      <w:szCs w:val="21"/>
                    </w:rPr>
                    <w:t>2类</w:t>
                  </w:r>
                </w:p>
              </w:tc>
              <w:tc>
                <w:tcPr>
                  <w:tcW w:w="2460" w:type="dxa"/>
                  <w:vAlign w:val="center"/>
                </w:tcPr>
                <w:p w14:paraId="5D08E8DA">
                  <w:pPr>
                    <w:adjustRightInd w:val="0"/>
                    <w:snapToGrid w:val="0"/>
                    <w:jc w:val="center"/>
                    <w:rPr>
                      <w:color w:val="auto"/>
                      <w:szCs w:val="21"/>
                    </w:rPr>
                  </w:pPr>
                  <w:r>
                    <w:rPr>
                      <w:color w:val="auto"/>
                      <w:szCs w:val="21"/>
                    </w:rPr>
                    <w:t>≤60</w:t>
                  </w:r>
                </w:p>
              </w:tc>
              <w:tc>
                <w:tcPr>
                  <w:tcW w:w="2572" w:type="dxa"/>
                  <w:tcBorders>
                    <w:right w:val="single" w:color="auto" w:sz="4" w:space="0"/>
                  </w:tcBorders>
                  <w:vAlign w:val="center"/>
                </w:tcPr>
                <w:p w14:paraId="39D9E95C">
                  <w:pPr>
                    <w:adjustRightInd w:val="0"/>
                    <w:snapToGrid w:val="0"/>
                    <w:jc w:val="center"/>
                    <w:rPr>
                      <w:color w:val="auto"/>
                      <w:szCs w:val="21"/>
                    </w:rPr>
                  </w:pPr>
                  <w:r>
                    <w:rPr>
                      <w:color w:val="auto"/>
                      <w:szCs w:val="21"/>
                    </w:rPr>
                    <w:t>≤50</w:t>
                  </w:r>
                </w:p>
              </w:tc>
            </w:tr>
            <w:tr w14:paraId="58F496DC">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338" w:type="dxa"/>
                  <w:tcBorders>
                    <w:top w:val="single" w:color="auto" w:sz="6" w:space="0"/>
                    <w:left w:val="single" w:color="auto" w:sz="4" w:space="0"/>
                    <w:bottom w:val="single" w:color="auto" w:sz="4" w:space="0"/>
                  </w:tcBorders>
                  <w:vAlign w:val="center"/>
                </w:tcPr>
                <w:p w14:paraId="08E5889D">
                  <w:pPr>
                    <w:spacing w:before="24" w:beforeLines="10"/>
                    <w:jc w:val="center"/>
                    <w:rPr>
                      <w:color w:val="auto"/>
                      <w:szCs w:val="21"/>
                    </w:rPr>
                  </w:pPr>
                  <w:r>
                    <w:rPr>
                      <w:color w:val="auto"/>
                      <w:szCs w:val="21"/>
                    </w:rPr>
                    <w:t>4类</w:t>
                  </w:r>
                </w:p>
              </w:tc>
              <w:tc>
                <w:tcPr>
                  <w:tcW w:w="2460" w:type="dxa"/>
                  <w:tcBorders>
                    <w:bottom w:val="single" w:color="auto" w:sz="4" w:space="0"/>
                  </w:tcBorders>
                  <w:vAlign w:val="center"/>
                </w:tcPr>
                <w:p w14:paraId="68B6B17F">
                  <w:pPr>
                    <w:adjustRightInd w:val="0"/>
                    <w:snapToGrid w:val="0"/>
                    <w:jc w:val="center"/>
                    <w:rPr>
                      <w:color w:val="auto"/>
                      <w:szCs w:val="21"/>
                    </w:rPr>
                  </w:pPr>
                  <w:r>
                    <w:rPr>
                      <w:color w:val="auto"/>
                      <w:szCs w:val="21"/>
                    </w:rPr>
                    <w:t>≤70</w:t>
                  </w:r>
                </w:p>
              </w:tc>
              <w:tc>
                <w:tcPr>
                  <w:tcW w:w="2572" w:type="dxa"/>
                  <w:tcBorders>
                    <w:bottom w:val="single" w:color="auto" w:sz="4" w:space="0"/>
                    <w:right w:val="single" w:color="auto" w:sz="4" w:space="0"/>
                  </w:tcBorders>
                  <w:vAlign w:val="center"/>
                </w:tcPr>
                <w:p w14:paraId="43C43366">
                  <w:pPr>
                    <w:adjustRightInd w:val="0"/>
                    <w:snapToGrid w:val="0"/>
                    <w:jc w:val="center"/>
                    <w:rPr>
                      <w:color w:val="auto"/>
                      <w:szCs w:val="21"/>
                    </w:rPr>
                  </w:pPr>
                  <w:r>
                    <w:rPr>
                      <w:color w:val="auto"/>
                      <w:szCs w:val="21"/>
                    </w:rPr>
                    <w:t>≤55</w:t>
                  </w:r>
                </w:p>
              </w:tc>
            </w:tr>
          </w:tbl>
          <w:p w14:paraId="3A4C68B6">
            <w:pPr>
              <w:tabs>
                <w:tab w:val="left" w:pos="8515"/>
              </w:tabs>
              <w:adjustRightInd w:val="0"/>
              <w:snapToGrid w:val="0"/>
              <w:spacing w:line="360" w:lineRule="auto"/>
              <w:rPr>
                <w:b/>
                <w:bCs/>
                <w:color w:val="auto"/>
                <w:sz w:val="24"/>
              </w:rPr>
            </w:pPr>
            <w:r>
              <w:rPr>
                <w:b/>
                <w:bCs/>
                <w:color w:val="auto"/>
                <w:sz w:val="24"/>
              </w:rPr>
              <w:t>4、固体废物控制标准</w:t>
            </w:r>
          </w:p>
          <w:p w14:paraId="2059F273">
            <w:pPr>
              <w:pStyle w:val="133"/>
              <w:ind w:firstLine="480"/>
              <w:jc w:val="left"/>
              <w:rPr>
                <w:color w:val="auto"/>
                <w:sz w:val="24"/>
              </w:rPr>
            </w:pPr>
            <w:r>
              <w:rPr>
                <w:color w:val="auto"/>
                <w:sz w:val="24"/>
              </w:rPr>
              <w:t>（</w:t>
            </w:r>
            <w:r>
              <w:rPr>
                <w:rFonts w:hint="eastAsia"/>
                <w:color w:val="auto"/>
                <w:sz w:val="24"/>
              </w:rPr>
              <w:t>1</w:t>
            </w:r>
            <w:r>
              <w:rPr>
                <w:color w:val="auto"/>
                <w:sz w:val="24"/>
              </w:rPr>
              <w:t>）医疗废物：</w:t>
            </w:r>
            <w:r>
              <w:rPr>
                <w:rFonts w:hint="eastAsia"/>
                <w:color w:val="auto"/>
                <w:kern w:val="0"/>
                <w:sz w:val="24"/>
              </w:rPr>
              <w:t>医疗废物暂存间严格执行</w:t>
            </w:r>
            <w:r>
              <w:rPr>
                <w:color w:val="auto"/>
                <w:kern w:val="0"/>
                <w:sz w:val="24"/>
              </w:rPr>
              <w:t>《医疗废物管理条例》</w:t>
            </w:r>
            <w:r>
              <w:rPr>
                <w:rFonts w:hint="eastAsia"/>
                <w:color w:val="auto"/>
                <w:kern w:val="0"/>
                <w:sz w:val="24"/>
              </w:rPr>
              <w:t>规定，危险废物暂存及处置执行《危险废物贮存污染控制标准》（GB18597-2023）的相关建设标准要求</w:t>
            </w:r>
            <w:r>
              <w:rPr>
                <w:color w:val="auto"/>
                <w:sz w:val="24"/>
              </w:rPr>
              <w:t>。</w:t>
            </w:r>
          </w:p>
          <w:p w14:paraId="35B6E192">
            <w:pPr>
              <w:spacing w:line="360" w:lineRule="auto"/>
              <w:ind w:firstLine="480" w:firstLineChars="200"/>
              <w:rPr>
                <w:color w:val="auto"/>
                <w:sz w:val="24"/>
              </w:rPr>
            </w:pPr>
            <w:r>
              <w:rPr>
                <w:snapToGrid w:val="0"/>
                <w:color w:val="auto"/>
                <w:sz w:val="24"/>
              </w:rPr>
              <w:t>（</w:t>
            </w:r>
            <w:r>
              <w:rPr>
                <w:rFonts w:hint="eastAsia"/>
                <w:snapToGrid w:val="0"/>
                <w:color w:val="auto"/>
                <w:sz w:val="24"/>
              </w:rPr>
              <w:t>2</w:t>
            </w:r>
            <w:r>
              <w:rPr>
                <w:snapToGrid w:val="0"/>
                <w:color w:val="auto"/>
                <w:sz w:val="24"/>
              </w:rPr>
              <w:t>）栅</w:t>
            </w:r>
            <w:r>
              <w:rPr>
                <w:color w:val="auto"/>
                <w:sz w:val="24"/>
              </w:rPr>
              <w:t>渣、化粪池和污水处理设施污泥属于危险废物，应按危险废物处理和处置，达到GB18466-2005《医疗机构水污染物排放标准》表4要求，详细见表</w:t>
            </w:r>
            <w:r>
              <w:rPr>
                <w:rFonts w:hint="eastAsia"/>
                <w:color w:val="auto"/>
                <w:sz w:val="24"/>
              </w:rPr>
              <w:t>3</w:t>
            </w:r>
            <w:r>
              <w:rPr>
                <w:color w:val="auto"/>
                <w:sz w:val="24"/>
              </w:rPr>
              <w:t>-1</w:t>
            </w:r>
            <w:r>
              <w:rPr>
                <w:rFonts w:hint="eastAsia"/>
                <w:color w:val="auto"/>
                <w:sz w:val="24"/>
              </w:rPr>
              <w:t>7</w:t>
            </w:r>
            <w:r>
              <w:rPr>
                <w:color w:val="auto"/>
                <w:sz w:val="24"/>
              </w:rPr>
              <w:t>。</w:t>
            </w:r>
          </w:p>
          <w:p w14:paraId="43F875EE">
            <w:pPr>
              <w:ind w:firstLine="475" w:firstLineChars="197"/>
              <w:jc w:val="center"/>
              <w:rPr>
                <w:b/>
                <w:color w:val="auto"/>
                <w:sz w:val="24"/>
              </w:rPr>
            </w:pPr>
            <w:r>
              <w:rPr>
                <w:b/>
                <w:color w:val="auto"/>
                <w:sz w:val="24"/>
              </w:rPr>
              <w:t>表</w:t>
            </w:r>
            <w:r>
              <w:rPr>
                <w:rFonts w:hint="eastAsia"/>
                <w:b/>
                <w:color w:val="auto"/>
                <w:sz w:val="24"/>
              </w:rPr>
              <w:t>3</w:t>
            </w:r>
            <w:r>
              <w:rPr>
                <w:b/>
                <w:color w:val="auto"/>
                <w:sz w:val="24"/>
              </w:rPr>
              <w:t>-1</w:t>
            </w:r>
            <w:r>
              <w:rPr>
                <w:rFonts w:hint="eastAsia"/>
                <w:b/>
                <w:color w:val="auto"/>
                <w:sz w:val="24"/>
              </w:rPr>
              <w:t>7</w:t>
            </w:r>
            <w:r>
              <w:rPr>
                <w:b/>
                <w:color w:val="auto"/>
                <w:sz w:val="24"/>
              </w:rPr>
              <w:t xml:space="preserve">  医疗机构污泥排放标准</w:t>
            </w:r>
          </w:p>
          <w:tbl>
            <w:tblPr>
              <w:tblStyle w:val="33"/>
              <w:tblW w:w="82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12"/>
              <w:gridCol w:w="1640"/>
              <w:gridCol w:w="1187"/>
              <w:gridCol w:w="1113"/>
              <w:gridCol w:w="1162"/>
              <w:gridCol w:w="1343"/>
            </w:tblGrid>
            <w:tr w14:paraId="453DAA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812" w:type="dxa"/>
                  <w:vAlign w:val="center"/>
                </w:tcPr>
                <w:p w14:paraId="2DD107C6">
                  <w:pPr>
                    <w:jc w:val="center"/>
                    <w:rPr>
                      <w:color w:val="auto"/>
                      <w:szCs w:val="21"/>
                    </w:rPr>
                  </w:pPr>
                  <w:r>
                    <w:rPr>
                      <w:color w:val="auto"/>
                      <w:szCs w:val="21"/>
                    </w:rPr>
                    <w:t>医疗机构类别</w:t>
                  </w:r>
                </w:p>
              </w:tc>
              <w:tc>
                <w:tcPr>
                  <w:tcW w:w="1640" w:type="dxa"/>
                  <w:vAlign w:val="center"/>
                </w:tcPr>
                <w:p w14:paraId="47240860">
                  <w:pPr>
                    <w:jc w:val="center"/>
                    <w:rPr>
                      <w:color w:val="auto"/>
                      <w:szCs w:val="21"/>
                    </w:rPr>
                  </w:pPr>
                  <w:r>
                    <w:rPr>
                      <w:color w:val="auto"/>
                      <w:szCs w:val="21"/>
                    </w:rPr>
                    <w:t>粪大肠菌群数</w:t>
                  </w:r>
                </w:p>
                <w:p w14:paraId="4C6235B9">
                  <w:pPr>
                    <w:jc w:val="center"/>
                    <w:rPr>
                      <w:color w:val="auto"/>
                      <w:szCs w:val="21"/>
                    </w:rPr>
                  </w:pPr>
                  <w:r>
                    <w:rPr>
                      <w:color w:val="auto"/>
                      <w:szCs w:val="21"/>
                    </w:rPr>
                    <w:t>（MPN／g）</w:t>
                  </w:r>
                </w:p>
              </w:tc>
              <w:tc>
                <w:tcPr>
                  <w:tcW w:w="1187" w:type="dxa"/>
                  <w:vAlign w:val="center"/>
                </w:tcPr>
                <w:p w14:paraId="6EB3D4CB">
                  <w:pPr>
                    <w:jc w:val="center"/>
                    <w:rPr>
                      <w:color w:val="auto"/>
                      <w:szCs w:val="21"/>
                    </w:rPr>
                  </w:pPr>
                  <w:r>
                    <w:rPr>
                      <w:color w:val="auto"/>
                      <w:szCs w:val="21"/>
                    </w:rPr>
                    <w:t>肠道致病菌</w:t>
                  </w:r>
                </w:p>
              </w:tc>
              <w:tc>
                <w:tcPr>
                  <w:tcW w:w="1113" w:type="dxa"/>
                  <w:vAlign w:val="center"/>
                </w:tcPr>
                <w:p w14:paraId="03F760BE">
                  <w:pPr>
                    <w:jc w:val="center"/>
                    <w:rPr>
                      <w:color w:val="auto"/>
                      <w:szCs w:val="21"/>
                    </w:rPr>
                  </w:pPr>
                  <w:r>
                    <w:rPr>
                      <w:color w:val="auto"/>
                      <w:szCs w:val="21"/>
                    </w:rPr>
                    <w:t>肠道病毒</w:t>
                  </w:r>
                </w:p>
              </w:tc>
              <w:tc>
                <w:tcPr>
                  <w:tcW w:w="1162" w:type="dxa"/>
                  <w:vAlign w:val="center"/>
                </w:tcPr>
                <w:p w14:paraId="44470934">
                  <w:pPr>
                    <w:jc w:val="center"/>
                    <w:rPr>
                      <w:color w:val="auto"/>
                      <w:szCs w:val="21"/>
                    </w:rPr>
                  </w:pPr>
                  <w:r>
                    <w:rPr>
                      <w:color w:val="auto"/>
                      <w:szCs w:val="21"/>
                    </w:rPr>
                    <w:t>结核杆菌</w:t>
                  </w:r>
                </w:p>
              </w:tc>
              <w:tc>
                <w:tcPr>
                  <w:tcW w:w="1343" w:type="dxa"/>
                  <w:vAlign w:val="center"/>
                </w:tcPr>
                <w:p w14:paraId="7438E1DC">
                  <w:pPr>
                    <w:jc w:val="center"/>
                    <w:rPr>
                      <w:color w:val="auto"/>
                      <w:szCs w:val="21"/>
                    </w:rPr>
                  </w:pPr>
                  <w:r>
                    <w:rPr>
                      <w:color w:val="auto"/>
                      <w:szCs w:val="21"/>
                    </w:rPr>
                    <w:t>蛔虫卵死亡率（％）</w:t>
                  </w:r>
                </w:p>
              </w:tc>
            </w:tr>
            <w:tr w14:paraId="6F0BEA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1812" w:type="dxa"/>
                  <w:vAlign w:val="center"/>
                </w:tcPr>
                <w:p w14:paraId="69B6B140">
                  <w:pPr>
                    <w:jc w:val="center"/>
                    <w:rPr>
                      <w:color w:val="auto"/>
                      <w:szCs w:val="21"/>
                    </w:rPr>
                  </w:pPr>
                  <w:r>
                    <w:rPr>
                      <w:color w:val="auto"/>
                      <w:szCs w:val="21"/>
                    </w:rPr>
                    <w:t>综合医疗机构和其他医疗机构</w:t>
                  </w:r>
                </w:p>
              </w:tc>
              <w:tc>
                <w:tcPr>
                  <w:tcW w:w="1640" w:type="dxa"/>
                  <w:vAlign w:val="center"/>
                </w:tcPr>
                <w:p w14:paraId="20BADED6">
                  <w:pPr>
                    <w:jc w:val="center"/>
                    <w:rPr>
                      <w:color w:val="auto"/>
                      <w:szCs w:val="21"/>
                    </w:rPr>
                  </w:pPr>
                  <w:r>
                    <w:rPr>
                      <w:color w:val="auto"/>
                      <w:szCs w:val="21"/>
                    </w:rPr>
                    <w:t>≤100</w:t>
                  </w:r>
                </w:p>
              </w:tc>
              <w:tc>
                <w:tcPr>
                  <w:tcW w:w="1187" w:type="dxa"/>
                  <w:vAlign w:val="center"/>
                </w:tcPr>
                <w:p w14:paraId="3C037183">
                  <w:pPr>
                    <w:jc w:val="center"/>
                    <w:rPr>
                      <w:color w:val="auto"/>
                      <w:szCs w:val="21"/>
                    </w:rPr>
                  </w:pPr>
                  <w:r>
                    <w:rPr>
                      <w:color w:val="auto"/>
                      <w:szCs w:val="21"/>
                    </w:rPr>
                    <w:t>—</w:t>
                  </w:r>
                </w:p>
              </w:tc>
              <w:tc>
                <w:tcPr>
                  <w:tcW w:w="1113" w:type="dxa"/>
                  <w:vAlign w:val="center"/>
                </w:tcPr>
                <w:p w14:paraId="6B268A26">
                  <w:pPr>
                    <w:jc w:val="center"/>
                    <w:rPr>
                      <w:color w:val="auto"/>
                      <w:szCs w:val="21"/>
                    </w:rPr>
                  </w:pPr>
                  <w:r>
                    <w:rPr>
                      <w:color w:val="auto"/>
                      <w:szCs w:val="21"/>
                    </w:rPr>
                    <w:t>—</w:t>
                  </w:r>
                </w:p>
              </w:tc>
              <w:tc>
                <w:tcPr>
                  <w:tcW w:w="1162" w:type="dxa"/>
                  <w:vAlign w:val="center"/>
                </w:tcPr>
                <w:p w14:paraId="408ED2A9">
                  <w:pPr>
                    <w:jc w:val="center"/>
                    <w:rPr>
                      <w:color w:val="auto"/>
                      <w:szCs w:val="21"/>
                    </w:rPr>
                  </w:pPr>
                  <w:r>
                    <w:rPr>
                      <w:color w:val="auto"/>
                      <w:szCs w:val="21"/>
                    </w:rPr>
                    <w:t>—</w:t>
                  </w:r>
                </w:p>
              </w:tc>
              <w:tc>
                <w:tcPr>
                  <w:tcW w:w="1343" w:type="dxa"/>
                  <w:vAlign w:val="center"/>
                </w:tcPr>
                <w:p w14:paraId="423464CD">
                  <w:pPr>
                    <w:jc w:val="center"/>
                    <w:rPr>
                      <w:color w:val="auto"/>
                      <w:szCs w:val="21"/>
                    </w:rPr>
                  </w:pPr>
                  <w:r>
                    <w:rPr>
                      <w:color w:val="auto"/>
                      <w:szCs w:val="21"/>
                    </w:rPr>
                    <w:t>＞95</w:t>
                  </w:r>
                </w:p>
              </w:tc>
            </w:tr>
          </w:tbl>
          <w:p w14:paraId="3727B5E2">
            <w:pPr>
              <w:spacing w:line="360" w:lineRule="auto"/>
              <w:ind w:firstLine="480" w:firstLineChars="200"/>
              <w:jc w:val="left"/>
              <w:rPr>
                <w:color w:val="auto"/>
                <w:sz w:val="24"/>
              </w:rPr>
            </w:pPr>
          </w:p>
        </w:tc>
      </w:tr>
      <w:tr w14:paraId="57129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1016B5C8">
            <w:pPr>
              <w:adjustRightInd w:val="0"/>
              <w:snapToGrid w:val="0"/>
              <w:jc w:val="center"/>
              <w:rPr>
                <w:color w:val="auto"/>
                <w:kern w:val="0"/>
                <w:szCs w:val="21"/>
              </w:rPr>
            </w:pPr>
            <w:r>
              <w:rPr>
                <w:color w:val="auto"/>
                <w:kern w:val="0"/>
                <w:szCs w:val="21"/>
              </w:rPr>
              <w:t>总量</w:t>
            </w:r>
          </w:p>
          <w:p w14:paraId="52488675">
            <w:pPr>
              <w:adjustRightInd w:val="0"/>
              <w:snapToGrid w:val="0"/>
              <w:jc w:val="center"/>
              <w:rPr>
                <w:color w:val="auto"/>
                <w:kern w:val="0"/>
                <w:szCs w:val="21"/>
              </w:rPr>
            </w:pPr>
            <w:r>
              <w:rPr>
                <w:color w:val="auto"/>
                <w:kern w:val="0"/>
                <w:szCs w:val="21"/>
              </w:rPr>
              <w:t>控制</w:t>
            </w:r>
          </w:p>
          <w:p w14:paraId="435B1750">
            <w:pPr>
              <w:adjustRightInd w:val="0"/>
              <w:snapToGrid w:val="0"/>
              <w:jc w:val="center"/>
              <w:rPr>
                <w:color w:val="auto"/>
                <w:kern w:val="0"/>
                <w:szCs w:val="21"/>
              </w:rPr>
            </w:pPr>
            <w:r>
              <w:rPr>
                <w:color w:val="auto"/>
                <w:kern w:val="0"/>
                <w:szCs w:val="21"/>
              </w:rPr>
              <w:t>指标</w:t>
            </w:r>
          </w:p>
        </w:tc>
        <w:tc>
          <w:tcPr>
            <w:tcW w:w="8321" w:type="dxa"/>
            <w:vAlign w:val="center"/>
          </w:tcPr>
          <w:p w14:paraId="189A259E">
            <w:pPr>
              <w:adjustRightInd w:val="0"/>
              <w:snapToGrid w:val="0"/>
              <w:spacing w:line="360" w:lineRule="auto"/>
              <w:ind w:firstLine="480" w:firstLineChars="200"/>
              <w:jc w:val="left"/>
              <w:rPr>
                <w:rFonts w:hint="eastAsia" w:ascii="宋体" w:hAnsi="宋体" w:cs="宋体"/>
                <w:color w:val="auto"/>
                <w:sz w:val="24"/>
              </w:rPr>
            </w:pPr>
            <w:bookmarkStart w:id="72" w:name="_Hlk194508718"/>
            <w:r>
              <w:rPr>
                <w:rFonts w:hint="eastAsia" w:ascii="宋体" w:hAnsi="宋体" w:cs="宋体"/>
                <w:color w:val="auto"/>
                <w:sz w:val="24"/>
              </w:rPr>
              <w:t>本项目处理后的废水经市政污水管网进入污水处理厂处理，总量纳入污水处理厂，故本项目不设置废水总量控制指标，废气主要为恶臭，无SO</w:t>
            </w:r>
            <w:r>
              <w:rPr>
                <w:rFonts w:hint="eastAsia" w:ascii="宋体" w:hAnsi="宋体" w:cs="宋体"/>
                <w:color w:val="auto"/>
                <w:sz w:val="24"/>
                <w:vertAlign w:val="subscript"/>
              </w:rPr>
              <w:t>2</w:t>
            </w:r>
            <w:r>
              <w:rPr>
                <w:rFonts w:hint="eastAsia" w:ascii="宋体" w:hAnsi="宋体" w:cs="宋体"/>
                <w:color w:val="auto"/>
                <w:sz w:val="24"/>
              </w:rPr>
              <w:t>、NO</w:t>
            </w:r>
            <w:r>
              <w:rPr>
                <w:rFonts w:hint="eastAsia" w:ascii="宋体" w:hAnsi="宋体" w:cs="宋体"/>
                <w:color w:val="auto"/>
                <w:sz w:val="24"/>
                <w:vertAlign w:val="subscript"/>
              </w:rPr>
              <w:t>X</w:t>
            </w:r>
            <w:r>
              <w:rPr>
                <w:rFonts w:hint="eastAsia" w:ascii="宋体" w:hAnsi="宋体" w:cs="宋体"/>
                <w:color w:val="auto"/>
                <w:sz w:val="24"/>
              </w:rPr>
              <w:t>排放，</w:t>
            </w:r>
            <w:r>
              <w:rPr>
                <w:rFonts w:hint="eastAsia" w:ascii="宋体" w:hAnsi="宋体" w:cs="宋体"/>
                <w:color w:val="auto"/>
                <w:sz w:val="24"/>
                <w:lang w:val="en-US" w:eastAsia="zh-CN"/>
              </w:rPr>
              <w:t>固废处置率100%，项目</w:t>
            </w:r>
            <w:r>
              <w:rPr>
                <w:rFonts w:hint="eastAsia" w:ascii="宋体" w:hAnsi="宋体" w:cs="宋体"/>
                <w:color w:val="auto"/>
                <w:sz w:val="24"/>
              </w:rPr>
              <w:t>无需要进行污染物排放总量控制</w:t>
            </w:r>
            <w:bookmarkEnd w:id="72"/>
            <w:r>
              <w:rPr>
                <w:rFonts w:hint="eastAsia" w:ascii="宋体" w:hAnsi="宋体" w:cs="宋体"/>
                <w:color w:val="auto"/>
                <w:sz w:val="24"/>
              </w:rPr>
              <w:t>。</w:t>
            </w:r>
          </w:p>
          <w:p w14:paraId="6CA1D1CC">
            <w:pPr>
              <w:adjustRightInd w:val="0"/>
              <w:snapToGrid w:val="0"/>
              <w:spacing w:line="360" w:lineRule="auto"/>
              <w:jc w:val="left"/>
              <w:rPr>
                <w:rFonts w:hint="eastAsia" w:ascii="宋体" w:hAnsi="宋体" w:cs="宋体"/>
                <w:color w:val="auto"/>
                <w:sz w:val="24"/>
              </w:rPr>
            </w:pPr>
          </w:p>
          <w:p w14:paraId="16FA702E">
            <w:pPr>
              <w:rPr>
                <w:rFonts w:hint="eastAsia" w:ascii="宋体" w:hAnsi="宋体" w:cs="宋体"/>
                <w:color w:val="auto"/>
                <w:sz w:val="24"/>
              </w:rPr>
            </w:pPr>
          </w:p>
          <w:p w14:paraId="702A2211">
            <w:pPr>
              <w:rPr>
                <w:rFonts w:hint="eastAsia" w:ascii="宋体" w:hAnsi="宋体" w:cs="宋体"/>
                <w:color w:val="auto"/>
                <w:sz w:val="24"/>
              </w:rPr>
            </w:pPr>
          </w:p>
          <w:p w14:paraId="25821F7F">
            <w:pPr>
              <w:rPr>
                <w:rFonts w:hint="eastAsia" w:ascii="宋体" w:hAnsi="宋体" w:cs="宋体"/>
                <w:color w:val="auto"/>
                <w:sz w:val="24"/>
              </w:rPr>
            </w:pPr>
          </w:p>
          <w:p w14:paraId="12001D33">
            <w:pPr>
              <w:rPr>
                <w:rFonts w:hint="eastAsia" w:ascii="宋体" w:hAnsi="宋体" w:cs="宋体"/>
                <w:color w:val="auto"/>
                <w:sz w:val="24"/>
              </w:rPr>
            </w:pPr>
          </w:p>
          <w:p w14:paraId="69B19AFB">
            <w:pPr>
              <w:rPr>
                <w:rFonts w:hint="eastAsia" w:ascii="宋体" w:hAnsi="宋体" w:cs="宋体"/>
                <w:color w:val="auto"/>
                <w:sz w:val="24"/>
              </w:rPr>
            </w:pPr>
          </w:p>
          <w:p w14:paraId="7238A20F">
            <w:pPr>
              <w:rPr>
                <w:rFonts w:hint="eastAsia" w:ascii="宋体" w:hAnsi="宋体" w:cs="宋体"/>
                <w:color w:val="auto"/>
                <w:sz w:val="24"/>
              </w:rPr>
            </w:pPr>
          </w:p>
          <w:p w14:paraId="35B30D7E">
            <w:pPr>
              <w:rPr>
                <w:rFonts w:hint="eastAsia" w:ascii="宋体" w:hAnsi="宋体" w:cs="宋体"/>
                <w:color w:val="auto"/>
                <w:sz w:val="24"/>
              </w:rPr>
            </w:pPr>
          </w:p>
          <w:p w14:paraId="4570C5E7">
            <w:pPr>
              <w:rPr>
                <w:rFonts w:hint="eastAsia" w:ascii="宋体" w:hAnsi="宋体" w:cs="宋体"/>
                <w:color w:val="auto"/>
                <w:sz w:val="24"/>
              </w:rPr>
            </w:pPr>
          </w:p>
          <w:p w14:paraId="376FA651">
            <w:pPr>
              <w:rPr>
                <w:rFonts w:hint="eastAsia" w:ascii="宋体" w:hAnsi="宋体" w:cs="宋体"/>
                <w:color w:val="auto"/>
                <w:sz w:val="24"/>
              </w:rPr>
            </w:pPr>
          </w:p>
          <w:p w14:paraId="5AD61A93">
            <w:pPr>
              <w:rPr>
                <w:rFonts w:hint="eastAsia" w:ascii="宋体" w:hAnsi="宋体" w:cs="宋体"/>
                <w:color w:val="auto"/>
                <w:sz w:val="24"/>
              </w:rPr>
            </w:pPr>
          </w:p>
          <w:p w14:paraId="5F37416B">
            <w:pPr>
              <w:rPr>
                <w:rFonts w:hint="eastAsia" w:ascii="宋体" w:hAnsi="宋体" w:cs="宋体"/>
                <w:color w:val="auto"/>
                <w:sz w:val="24"/>
              </w:rPr>
            </w:pPr>
          </w:p>
          <w:p w14:paraId="31E06837">
            <w:pPr>
              <w:rPr>
                <w:rFonts w:hint="eastAsia" w:ascii="宋体" w:hAnsi="宋体" w:cs="宋体"/>
                <w:color w:val="auto"/>
                <w:sz w:val="24"/>
              </w:rPr>
            </w:pPr>
          </w:p>
          <w:p w14:paraId="5F7878A5">
            <w:pPr>
              <w:rPr>
                <w:rFonts w:hint="eastAsia" w:ascii="宋体" w:hAnsi="宋体" w:cs="宋体"/>
                <w:color w:val="auto"/>
                <w:sz w:val="24"/>
              </w:rPr>
            </w:pPr>
          </w:p>
          <w:p w14:paraId="2FB1A468">
            <w:pPr>
              <w:rPr>
                <w:rFonts w:hint="eastAsia" w:ascii="宋体" w:hAnsi="宋体" w:cs="宋体"/>
                <w:color w:val="auto"/>
                <w:sz w:val="24"/>
              </w:rPr>
            </w:pPr>
          </w:p>
          <w:p w14:paraId="26AE5B2C">
            <w:pPr>
              <w:rPr>
                <w:rFonts w:hint="eastAsia" w:ascii="宋体" w:hAnsi="宋体" w:cs="宋体"/>
                <w:color w:val="auto"/>
                <w:sz w:val="24"/>
              </w:rPr>
            </w:pPr>
          </w:p>
          <w:p w14:paraId="54281E7E">
            <w:pPr>
              <w:rPr>
                <w:rFonts w:hint="eastAsia" w:ascii="宋体" w:hAnsi="宋体" w:cs="宋体"/>
                <w:color w:val="auto"/>
                <w:sz w:val="24"/>
              </w:rPr>
            </w:pPr>
          </w:p>
          <w:p w14:paraId="7BD82C69">
            <w:pPr>
              <w:rPr>
                <w:rFonts w:hint="eastAsia" w:ascii="宋体" w:hAnsi="宋体" w:cs="宋体"/>
                <w:color w:val="auto"/>
                <w:sz w:val="24"/>
              </w:rPr>
            </w:pPr>
          </w:p>
          <w:p w14:paraId="54D5420E">
            <w:pPr>
              <w:rPr>
                <w:rFonts w:hint="eastAsia" w:ascii="宋体" w:hAnsi="宋体" w:cs="宋体"/>
                <w:color w:val="auto"/>
                <w:sz w:val="24"/>
              </w:rPr>
            </w:pPr>
          </w:p>
          <w:p w14:paraId="30F63A7A">
            <w:pPr>
              <w:rPr>
                <w:rFonts w:hint="eastAsia" w:ascii="宋体" w:hAnsi="宋体" w:cs="宋体"/>
                <w:color w:val="auto"/>
                <w:sz w:val="24"/>
              </w:rPr>
            </w:pPr>
          </w:p>
          <w:p w14:paraId="1D8B21C3">
            <w:pPr>
              <w:rPr>
                <w:rFonts w:hint="eastAsia" w:ascii="宋体" w:hAnsi="宋体" w:cs="宋体"/>
                <w:color w:val="auto"/>
                <w:sz w:val="24"/>
              </w:rPr>
            </w:pPr>
          </w:p>
          <w:p w14:paraId="29353D63">
            <w:pPr>
              <w:rPr>
                <w:rFonts w:hint="eastAsia" w:ascii="宋体" w:hAnsi="宋体" w:cs="宋体"/>
                <w:color w:val="auto"/>
                <w:sz w:val="24"/>
              </w:rPr>
            </w:pPr>
          </w:p>
          <w:p w14:paraId="40E1859B">
            <w:pPr>
              <w:rPr>
                <w:rFonts w:hint="eastAsia" w:ascii="宋体" w:hAnsi="宋体" w:cs="宋体"/>
                <w:color w:val="auto"/>
                <w:sz w:val="24"/>
              </w:rPr>
            </w:pPr>
          </w:p>
          <w:p w14:paraId="0522EBA3">
            <w:pPr>
              <w:rPr>
                <w:rFonts w:hint="eastAsia" w:ascii="宋体" w:hAnsi="宋体" w:cs="宋体"/>
                <w:color w:val="auto"/>
                <w:sz w:val="24"/>
              </w:rPr>
            </w:pPr>
          </w:p>
          <w:p w14:paraId="7AB6E6AA">
            <w:pPr>
              <w:rPr>
                <w:rFonts w:hint="eastAsia" w:ascii="宋体" w:hAnsi="宋体" w:cs="宋体"/>
                <w:color w:val="auto"/>
                <w:sz w:val="24"/>
              </w:rPr>
            </w:pPr>
          </w:p>
          <w:p w14:paraId="20AE4BEF">
            <w:pPr>
              <w:pStyle w:val="14"/>
              <w:rPr>
                <w:rFonts w:hint="eastAsia" w:ascii="宋体" w:hAnsi="宋体" w:cs="宋体"/>
                <w:color w:val="auto"/>
                <w:sz w:val="24"/>
              </w:rPr>
            </w:pPr>
          </w:p>
          <w:p w14:paraId="59A3E4A4">
            <w:pPr>
              <w:rPr>
                <w:color w:val="auto"/>
              </w:rPr>
            </w:pPr>
          </w:p>
          <w:p w14:paraId="7F875917">
            <w:pPr>
              <w:pStyle w:val="14"/>
              <w:rPr>
                <w:color w:val="auto"/>
              </w:rPr>
            </w:pPr>
          </w:p>
          <w:p w14:paraId="0671CEAE">
            <w:pPr>
              <w:adjustRightInd w:val="0"/>
              <w:snapToGrid w:val="0"/>
              <w:spacing w:line="360" w:lineRule="auto"/>
              <w:ind w:firstLine="480" w:firstLineChars="200"/>
              <w:jc w:val="left"/>
              <w:rPr>
                <w:color w:val="auto"/>
                <w:sz w:val="24"/>
              </w:rPr>
            </w:pPr>
          </w:p>
        </w:tc>
      </w:tr>
    </w:tbl>
    <w:p w14:paraId="0056DA82">
      <w:pPr>
        <w:pStyle w:val="29"/>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73" w:name="_Toc10422"/>
      <w:r>
        <w:rPr>
          <w:rFonts w:ascii="Times New Roman" w:hAnsi="Times New Roman" w:eastAsia="黑体"/>
          <w:snapToGrid w:val="0"/>
          <w:color w:val="auto"/>
          <w:sz w:val="30"/>
          <w:szCs w:val="30"/>
        </w:rPr>
        <w:t>四、主要环境影响和保护措施</w:t>
      </w:r>
      <w:bookmarkEnd w:id="73"/>
    </w:p>
    <w:tbl>
      <w:tblPr>
        <w:tblStyle w:val="33"/>
        <w:tblW w:w="554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2"/>
        <w:gridCol w:w="9018"/>
      </w:tblGrid>
      <w:tr w14:paraId="49C1A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4" w:hRule="atLeast"/>
          <w:jc w:val="center"/>
        </w:trPr>
        <w:tc>
          <w:tcPr>
            <w:tcW w:w="473" w:type="pct"/>
            <w:tcMar>
              <w:left w:w="28" w:type="dxa"/>
              <w:right w:w="28" w:type="dxa"/>
            </w:tcMar>
            <w:vAlign w:val="center"/>
          </w:tcPr>
          <w:p w14:paraId="1F097071">
            <w:pPr>
              <w:pStyle w:val="2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14:paraId="482B4FE8">
            <w:pPr>
              <w:pStyle w:val="2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14:paraId="40A549A1">
            <w:pPr>
              <w:pStyle w:val="2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14:paraId="200670DE">
            <w:pPr>
              <w:pStyle w:val="2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14:paraId="3224C426">
            <w:pPr>
              <w:pStyle w:val="29"/>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w:t>
            </w:r>
          </w:p>
        </w:tc>
        <w:tc>
          <w:tcPr>
            <w:tcW w:w="4526" w:type="pct"/>
            <w:vAlign w:val="center"/>
          </w:tcPr>
          <w:p w14:paraId="4785B4EE">
            <w:pPr>
              <w:spacing w:before="190" w:line="360" w:lineRule="auto"/>
              <w:jc w:val="left"/>
              <w:rPr>
                <w:b/>
                <w:color w:val="auto"/>
                <w:sz w:val="24"/>
              </w:rPr>
            </w:pPr>
            <w:r>
              <w:rPr>
                <w:rFonts w:eastAsia="Times New Roman"/>
                <w:b/>
                <w:color w:val="auto"/>
                <w:sz w:val="24"/>
              </w:rPr>
              <w:t>1</w:t>
            </w:r>
            <w:r>
              <w:rPr>
                <w:b/>
                <w:color w:val="auto"/>
                <w:sz w:val="24"/>
              </w:rPr>
              <w:t>、</w:t>
            </w:r>
            <w:r>
              <w:rPr>
                <w:b/>
                <w:color w:val="auto"/>
                <w:kern w:val="24"/>
                <w:sz w:val="24"/>
              </w:rPr>
              <w:t>施工期大气环境保护措施</w:t>
            </w:r>
          </w:p>
          <w:p w14:paraId="6F7AE11B">
            <w:pPr>
              <w:pStyle w:val="31"/>
              <w:spacing w:before="0" w:after="0" w:line="360" w:lineRule="auto"/>
              <w:ind w:right="0" w:firstLine="480" w:firstLineChars="200"/>
              <w:rPr>
                <w:color w:val="auto"/>
                <w:sz w:val="24"/>
                <w:szCs w:val="24"/>
              </w:rPr>
            </w:pPr>
            <w:r>
              <w:rPr>
                <w:rFonts w:hint="eastAsia"/>
                <w:color w:val="auto"/>
                <w:sz w:val="24"/>
                <w:szCs w:val="24"/>
              </w:rPr>
              <w:t>施工过程中废气主要为无组织粉尘，为了减轻扬尘对周围环境影响，施工期应做到如下措施：</w:t>
            </w:r>
          </w:p>
          <w:p w14:paraId="581AB00F">
            <w:pPr>
              <w:pStyle w:val="31"/>
              <w:spacing w:before="0" w:after="0" w:line="360" w:lineRule="auto"/>
              <w:ind w:right="0" w:firstLine="480" w:firstLineChars="200"/>
              <w:rPr>
                <w:color w:val="auto"/>
                <w:sz w:val="24"/>
                <w:szCs w:val="24"/>
              </w:rPr>
            </w:pPr>
            <w:r>
              <w:rPr>
                <w:rFonts w:hint="eastAsia"/>
                <w:color w:val="auto"/>
                <w:sz w:val="24"/>
                <w:szCs w:val="24"/>
              </w:rPr>
              <w:t>（1）施工场地每天定时洒水，有效防止扬尘产生，在非雨天风大时，应加大洒水量及洒水频次。</w:t>
            </w:r>
          </w:p>
          <w:p w14:paraId="12E114FB">
            <w:pPr>
              <w:pStyle w:val="31"/>
              <w:spacing w:before="0" w:after="0" w:line="360" w:lineRule="auto"/>
              <w:ind w:right="0" w:firstLine="480" w:firstLineChars="200"/>
              <w:rPr>
                <w:color w:val="auto"/>
                <w:sz w:val="24"/>
                <w:szCs w:val="24"/>
              </w:rPr>
            </w:pPr>
            <w:r>
              <w:rPr>
                <w:rFonts w:hint="eastAsia"/>
                <w:color w:val="auto"/>
                <w:sz w:val="24"/>
                <w:szCs w:val="24"/>
              </w:rPr>
              <w:t>（2）在施工过程中，作业场地应布置临时围挡、围墙等设施以减少粉尘扩散。</w:t>
            </w:r>
          </w:p>
          <w:p w14:paraId="5FEE9961">
            <w:pPr>
              <w:pStyle w:val="31"/>
              <w:spacing w:before="0" w:after="0" w:line="360" w:lineRule="auto"/>
              <w:ind w:right="0" w:firstLine="480" w:firstLineChars="200"/>
              <w:rPr>
                <w:color w:val="auto"/>
                <w:sz w:val="24"/>
                <w:szCs w:val="24"/>
              </w:rPr>
            </w:pPr>
            <w:r>
              <w:rPr>
                <w:rFonts w:hint="eastAsia"/>
                <w:color w:val="auto"/>
                <w:sz w:val="24"/>
                <w:szCs w:val="24"/>
              </w:rPr>
              <w:t>（3）尽量避免在大风天气下进行施工作业。</w:t>
            </w:r>
          </w:p>
          <w:p w14:paraId="5F7F00EB">
            <w:pPr>
              <w:pStyle w:val="31"/>
              <w:spacing w:before="0" w:after="0" w:line="360" w:lineRule="auto"/>
              <w:ind w:right="0" w:firstLine="480" w:firstLineChars="200"/>
              <w:rPr>
                <w:color w:val="auto"/>
                <w:sz w:val="24"/>
                <w:szCs w:val="24"/>
              </w:rPr>
            </w:pPr>
            <w:r>
              <w:rPr>
                <w:rFonts w:hint="eastAsia"/>
                <w:color w:val="auto"/>
                <w:sz w:val="24"/>
                <w:szCs w:val="24"/>
              </w:rPr>
              <w:t>（4）材料、临时土方堆场进行遮盖并设置防护措施，加强临时土方的洒水降尘工作，防止大量扬尘产生。</w:t>
            </w:r>
          </w:p>
          <w:p w14:paraId="265319AE">
            <w:pPr>
              <w:pStyle w:val="31"/>
              <w:spacing w:before="0" w:after="0" w:line="360" w:lineRule="auto"/>
              <w:ind w:right="0" w:firstLine="480" w:firstLineChars="200"/>
              <w:rPr>
                <w:color w:val="auto"/>
                <w:sz w:val="24"/>
                <w:szCs w:val="24"/>
              </w:rPr>
            </w:pPr>
            <w:r>
              <w:rPr>
                <w:rFonts w:hint="eastAsia"/>
                <w:color w:val="auto"/>
                <w:sz w:val="24"/>
                <w:szCs w:val="24"/>
              </w:rPr>
              <w:t>（5）加强施工现场运输车辆管理。在项目范围内运输的车辆必须车身整洁，卸载车厢完好，装载货物堆码整齐，不得污染道路。</w:t>
            </w:r>
          </w:p>
          <w:p w14:paraId="5D0CE7AC">
            <w:pPr>
              <w:pStyle w:val="31"/>
              <w:adjustRightInd w:val="0"/>
              <w:spacing w:before="0" w:after="0" w:line="360" w:lineRule="auto"/>
              <w:ind w:firstLine="0" w:firstLineChars="0"/>
              <w:rPr>
                <w:b/>
                <w:color w:val="auto"/>
                <w:sz w:val="24"/>
              </w:rPr>
            </w:pPr>
            <w:r>
              <w:rPr>
                <w:b/>
                <w:color w:val="auto"/>
                <w:sz w:val="24"/>
              </w:rPr>
              <w:t>2、</w:t>
            </w:r>
            <w:r>
              <w:rPr>
                <w:b/>
                <w:color w:val="auto"/>
                <w:kern w:val="24"/>
                <w:sz w:val="24"/>
              </w:rPr>
              <w:t>施工期废水环境保护措施</w:t>
            </w:r>
          </w:p>
          <w:p w14:paraId="5320ABEB">
            <w:pPr>
              <w:pStyle w:val="58"/>
              <w:snapToGrid w:val="0"/>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施工期产生废水主要包括地面硬化阶段混凝土养护排水、各种运输车辆冲洗水以及施工人员的生活污水。</w:t>
            </w:r>
          </w:p>
          <w:p w14:paraId="27702892">
            <w:pPr>
              <w:pStyle w:val="61"/>
              <w:rPr>
                <w:rFonts w:hint="eastAsia" w:hAnsi="宋体" w:cs="宋体"/>
                <w:color w:val="auto"/>
                <w:sz w:val="24"/>
              </w:rPr>
            </w:pPr>
            <w:r>
              <w:rPr>
                <w:rFonts w:hint="eastAsia" w:hAnsi="宋体" w:cs="宋体"/>
                <w:color w:val="auto"/>
                <w:sz w:val="24"/>
              </w:rPr>
              <w:t>混凝土养护排水、各种运输车辆冲洗水及施工人员少量清洗废水经沉淀池沉淀后回用于场地洒水降尘，不外排。</w:t>
            </w:r>
          </w:p>
          <w:p w14:paraId="14D1267C">
            <w:pPr>
              <w:pStyle w:val="5"/>
              <w:spacing w:before="8" w:line="360" w:lineRule="auto"/>
              <w:ind w:left="0" w:firstLine="0"/>
              <w:rPr>
                <w:rFonts w:ascii="Times New Roman" w:hAnsi="Times New Roman" w:cs="Times New Roman"/>
                <w:color w:val="auto"/>
              </w:rPr>
            </w:pPr>
            <w:r>
              <w:rPr>
                <w:rFonts w:ascii="Times New Roman" w:hAnsi="Times New Roman" w:cs="Times New Roman"/>
                <w:color w:val="auto"/>
              </w:rPr>
              <w:t>3、</w:t>
            </w:r>
            <w:r>
              <w:rPr>
                <w:rFonts w:ascii="Times New Roman" w:hAnsi="Times New Roman" w:cs="Times New Roman"/>
                <w:color w:val="auto"/>
                <w:kern w:val="24"/>
              </w:rPr>
              <w:t>施工期噪声环境保护措施</w:t>
            </w:r>
          </w:p>
          <w:p w14:paraId="36BE146D">
            <w:pPr>
              <w:pStyle w:val="58"/>
              <w:spacing w:line="360" w:lineRule="auto"/>
              <w:ind w:firstLine="480" w:firstLineChars="200"/>
              <w:rPr>
                <w:rFonts w:ascii="Times New Roman" w:eastAsia="宋体" w:cs="Times New Roman"/>
                <w:color w:val="auto"/>
                <w:kern w:val="24"/>
              </w:rPr>
            </w:pPr>
            <w:r>
              <w:rPr>
                <w:rFonts w:hint="eastAsia" w:ascii="Times New Roman" w:eastAsia="宋体" w:cs="Times New Roman"/>
                <w:color w:val="auto"/>
                <w:kern w:val="24"/>
              </w:rPr>
              <w:t>工程施工过程中噪声影响主要来源于施工机械运行和运输车辆产生的噪声。为了减少施工期间噪声对周围环境的影响，采取以下措施：</w:t>
            </w:r>
          </w:p>
          <w:p w14:paraId="352267F9">
            <w:pPr>
              <w:pStyle w:val="58"/>
              <w:spacing w:line="360" w:lineRule="auto"/>
              <w:ind w:firstLine="480" w:firstLineChars="200"/>
              <w:rPr>
                <w:rFonts w:ascii="Times New Roman" w:eastAsia="宋体" w:cs="Times New Roman"/>
                <w:color w:val="auto"/>
                <w:kern w:val="24"/>
              </w:rPr>
            </w:pPr>
            <w:r>
              <w:rPr>
                <w:rFonts w:hint="eastAsia" w:ascii="Times New Roman" w:eastAsia="宋体" w:cs="Times New Roman"/>
                <w:color w:val="auto"/>
                <w:kern w:val="24"/>
              </w:rPr>
              <w:t>（1）选用低噪声设备，施工设备定期进行维护保养，避免因设备故障产生高噪声的现象，同时对现场工作人员进行培训，严格按操作规范使用各类机械；</w:t>
            </w:r>
          </w:p>
          <w:p w14:paraId="03FB9526">
            <w:pPr>
              <w:pStyle w:val="58"/>
              <w:spacing w:line="360" w:lineRule="auto"/>
              <w:ind w:firstLine="480" w:firstLineChars="200"/>
              <w:rPr>
                <w:rFonts w:ascii="Times New Roman" w:eastAsia="宋体" w:cs="Times New Roman"/>
                <w:color w:val="auto"/>
                <w:kern w:val="24"/>
              </w:rPr>
            </w:pPr>
            <w:r>
              <w:rPr>
                <w:rFonts w:hint="eastAsia" w:ascii="Times New Roman" w:eastAsia="宋体" w:cs="Times New Roman"/>
                <w:color w:val="auto"/>
                <w:kern w:val="24"/>
              </w:rPr>
              <w:t>（2）合理布局施工设备，在不影响施工的情况下将噪声设备尽量不集中安排；</w:t>
            </w:r>
          </w:p>
          <w:p w14:paraId="6595968A">
            <w:pPr>
              <w:pStyle w:val="58"/>
              <w:spacing w:line="360" w:lineRule="auto"/>
              <w:ind w:firstLine="480" w:firstLineChars="200"/>
              <w:rPr>
                <w:rFonts w:ascii="Times New Roman" w:eastAsia="宋体" w:cs="Times New Roman"/>
                <w:color w:val="auto"/>
                <w:kern w:val="24"/>
              </w:rPr>
            </w:pPr>
            <w:r>
              <w:rPr>
                <w:rFonts w:hint="eastAsia" w:ascii="Times New Roman" w:eastAsia="宋体" w:cs="Times New Roman"/>
                <w:color w:val="auto"/>
                <w:kern w:val="24"/>
              </w:rPr>
              <w:t>（3）合理布置施工作业面和安排施工时间，禁止昼间12:00～14:00及夜间22:00～次日6:00进行施工；</w:t>
            </w:r>
          </w:p>
          <w:p w14:paraId="36BD0DC4">
            <w:pPr>
              <w:pStyle w:val="58"/>
              <w:spacing w:line="360" w:lineRule="auto"/>
              <w:ind w:firstLine="480" w:firstLineChars="200"/>
              <w:rPr>
                <w:rFonts w:ascii="Times New Roman" w:eastAsia="宋体" w:cs="Times New Roman"/>
                <w:color w:val="auto"/>
                <w:kern w:val="24"/>
              </w:rPr>
            </w:pPr>
            <w:r>
              <w:rPr>
                <w:rFonts w:hint="eastAsia" w:ascii="Times New Roman" w:eastAsia="宋体" w:cs="Times New Roman"/>
                <w:color w:val="auto"/>
                <w:kern w:val="24"/>
              </w:rPr>
              <w:t>（4）应强化行车管理制度，运输车辆限速行驶，保证场内运输畅通，减少噪声对周围保护目标的影响。</w:t>
            </w:r>
          </w:p>
          <w:p w14:paraId="0DC5E5AF">
            <w:pPr>
              <w:pStyle w:val="5"/>
              <w:spacing w:before="92" w:line="360" w:lineRule="auto"/>
              <w:ind w:left="0" w:firstLine="0"/>
              <w:rPr>
                <w:rFonts w:ascii="Times New Roman" w:hAnsi="Times New Roman" w:cs="Times New Roman"/>
                <w:color w:val="auto"/>
              </w:rPr>
            </w:pPr>
            <w:r>
              <w:rPr>
                <w:rFonts w:ascii="Times New Roman" w:hAnsi="Times New Roman" w:cs="Times New Roman"/>
                <w:color w:val="auto"/>
              </w:rPr>
              <w:t>4、</w:t>
            </w:r>
            <w:r>
              <w:rPr>
                <w:rFonts w:ascii="Times New Roman" w:hAnsi="Times New Roman" w:cs="Times New Roman"/>
                <w:color w:val="auto"/>
                <w:kern w:val="24"/>
              </w:rPr>
              <w:t>施工期固体废物环境保护措施</w:t>
            </w:r>
          </w:p>
          <w:p w14:paraId="7C091701">
            <w:pPr>
              <w:spacing w:line="360" w:lineRule="auto"/>
              <w:ind w:firstLine="480" w:firstLineChars="200"/>
              <w:rPr>
                <w:color w:val="auto"/>
                <w:kern w:val="24"/>
                <w:sz w:val="24"/>
              </w:rPr>
            </w:pPr>
            <w:r>
              <w:rPr>
                <w:rFonts w:hint="eastAsia"/>
                <w:color w:val="auto"/>
                <w:kern w:val="24"/>
                <w:sz w:val="24"/>
              </w:rPr>
              <w:t>①建筑垃圾由建设单位要求施工单位规范运输，不能随路洒落，不能随意倾倒堆放建筑垃圾，及时清理和搬运至规定的指定地点，且严禁排入附近内河水体。施工结束后，应及时清运多余或废弃的建筑材料及建筑垃圾。</w:t>
            </w:r>
          </w:p>
          <w:p w14:paraId="03C4768E">
            <w:pPr>
              <w:spacing w:line="360" w:lineRule="auto"/>
              <w:ind w:firstLine="440" w:firstLineChars="200"/>
              <w:rPr>
                <w:rFonts w:hint="eastAsia" w:ascii="宋体" w:hAnsi="宋体" w:cs="宋体"/>
                <w:bCs/>
                <w:color w:val="auto"/>
                <w:spacing w:val="-10"/>
                <w:sz w:val="24"/>
              </w:rPr>
            </w:pPr>
            <w:r>
              <w:rPr>
                <w:rFonts w:hint="eastAsia" w:ascii="宋体" w:hAnsi="宋体" w:cs="宋体"/>
                <w:bCs/>
                <w:color w:val="auto"/>
                <w:spacing w:val="-10"/>
                <w:sz w:val="24"/>
              </w:rPr>
              <w:t>②包装废弃物应统一收集后出售废品回收站处理。</w:t>
            </w:r>
          </w:p>
          <w:p w14:paraId="2304DC5C">
            <w:pPr>
              <w:spacing w:line="360" w:lineRule="auto"/>
              <w:ind w:firstLine="440" w:firstLineChars="200"/>
              <w:rPr>
                <w:rFonts w:hint="eastAsia" w:ascii="宋体" w:hAnsi="宋体" w:cs="宋体"/>
                <w:bCs/>
                <w:color w:val="auto"/>
                <w:spacing w:val="-10"/>
                <w:sz w:val="24"/>
              </w:rPr>
            </w:pPr>
            <w:r>
              <w:rPr>
                <w:rFonts w:hint="eastAsia" w:ascii="宋体" w:hAnsi="宋体" w:cs="宋体"/>
                <w:bCs/>
                <w:color w:val="auto"/>
                <w:spacing w:val="-10"/>
                <w:sz w:val="24"/>
              </w:rPr>
              <w:t>③生活垃圾禁止随意堆弃，统一收集后，自行清运至生活垃圾集中处置点处置。</w:t>
            </w:r>
          </w:p>
          <w:p w14:paraId="0C8686CC">
            <w:pPr>
              <w:spacing w:line="360" w:lineRule="auto"/>
              <w:ind w:firstLine="440" w:firstLineChars="200"/>
              <w:rPr>
                <w:bCs/>
                <w:color w:val="auto"/>
                <w:spacing w:val="-10"/>
                <w:sz w:val="24"/>
              </w:rPr>
            </w:pPr>
            <w:r>
              <w:rPr>
                <w:rFonts w:hint="eastAsia" w:ascii="宋体" w:hAnsi="宋体" w:cs="宋体"/>
                <w:bCs/>
                <w:color w:val="auto"/>
                <w:spacing w:val="-10"/>
                <w:sz w:val="24"/>
              </w:rPr>
              <w:t>综上所述，项目施工期产生的各类污染物均采取了相应的处理措施，且项目施工期较短，施工期的影响随着施工期的结束而消除，对周边环境影响不大</w:t>
            </w:r>
            <w:r>
              <w:rPr>
                <w:bCs/>
                <w:color w:val="auto"/>
                <w:spacing w:val="-10"/>
                <w:sz w:val="24"/>
              </w:rPr>
              <w:t>。</w:t>
            </w:r>
          </w:p>
          <w:p w14:paraId="1FEDFDA1">
            <w:pPr>
              <w:pStyle w:val="14"/>
              <w:rPr>
                <w:bCs/>
                <w:color w:val="auto"/>
                <w:spacing w:val="-10"/>
                <w:sz w:val="24"/>
              </w:rPr>
            </w:pPr>
          </w:p>
          <w:p w14:paraId="0827C1D7">
            <w:pPr>
              <w:rPr>
                <w:bCs/>
                <w:color w:val="auto"/>
                <w:spacing w:val="-10"/>
                <w:sz w:val="24"/>
              </w:rPr>
            </w:pPr>
          </w:p>
          <w:p w14:paraId="7843F8FE">
            <w:pPr>
              <w:pStyle w:val="14"/>
              <w:rPr>
                <w:bCs/>
                <w:color w:val="auto"/>
                <w:spacing w:val="-10"/>
                <w:sz w:val="24"/>
              </w:rPr>
            </w:pPr>
          </w:p>
          <w:p w14:paraId="62B428B3">
            <w:pPr>
              <w:rPr>
                <w:bCs/>
                <w:color w:val="auto"/>
                <w:spacing w:val="-10"/>
                <w:sz w:val="24"/>
              </w:rPr>
            </w:pPr>
          </w:p>
          <w:p w14:paraId="348A41C1">
            <w:pPr>
              <w:pStyle w:val="14"/>
              <w:rPr>
                <w:bCs/>
                <w:color w:val="auto"/>
                <w:spacing w:val="-10"/>
                <w:sz w:val="24"/>
              </w:rPr>
            </w:pPr>
          </w:p>
          <w:p w14:paraId="37096414">
            <w:pPr>
              <w:rPr>
                <w:bCs/>
                <w:color w:val="auto"/>
                <w:spacing w:val="-10"/>
                <w:sz w:val="24"/>
              </w:rPr>
            </w:pPr>
          </w:p>
          <w:p w14:paraId="7E511A5E">
            <w:pPr>
              <w:pStyle w:val="14"/>
              <w:rPr>
                <w:bCs/>
                <w:color w:val="auto"/>
                <w:spacing w:val="-10"/>
                <w:sz w:val="24"/>
              </w:rPr>
            </w:pPr>
          </w:p>
          <w:p w14:paraId="086D96D1">
            <w:pPr>
              <w:rPr>
                <w:bCs/>
                <w:color w:val="auto"/>
                <w:spacing w:val="-10"/>
                <w:sz w:val="24"/>
              </w:rPr>
            </w:pPr>
          </w:p>
          <w:p w14:paraId="6F3F7D68">
            <w:pPr>
              <w:pStyle w:val="14"/>
              <w:rPr>
                <w:bCs/>
                <w:color w:val="auto"/>
                <w:spacing w:val="-10"/>
                <w:sz w:val="24"/>
              </w:rPr>
            </w:pPr>
          </w:p>
          <w:p w14:paraId="71BAE26F">
            <w:pPr>
              <w:rPr>
                <w:bCs/>
                <w:color w:val="auto"/>
                <w:spacing w:val="-10"/>
                <w:sz w:val="24"/>
              </w:rPr>
            </w:pPr>
          </w:p>
          <w:p w14:paraId="298DACA5">
            <w:pPr>
              <w:pStyle w:val="14"/>
              <w:rPr>
                <w:bCs/>
                <w:color w:val="auto"/>
                <w:spacing w:val="-10"/>
                <w:sz w:val="24"/>
              </w:rPr>
            </w:pPr>
          </w:p>
          <w:p w14:paraId="3B24F435">
            <w:pPr>
              <w:rPr>
                <w:bCs/>
                <w:color w:val="auto"/>
                <w:spacing w:val="-10"/>
                <w:sz w:val="24"/>
              </w:rPr>
            </w:pPr>
          </w:p>
          <w:p w14:paraId="13B96CEC">
            <w:pPr>
              <w:pStyle w:val="14"/>
              <w:rPr>
                <w:bCs/>
                <w:color w:val="auto"/>
                <w:spacing w:val="-10"/>
                <w:sz w:val="24"/>
              </w:rPr>
            </w:pPr>
          </w:p>
          <w:p w14:paraId="4B946124">
            <w:pPr>
              <w:rPr>
                <w:bCs/>
                <w:color w:val="auto"/>
                <w:spacing w:val="-10"/>
                <w:sz w:val="24"/>
              </w:rPr>
            </w:pPr>
          </w:p>
          <w:p w14:paraId="165F7FE4">
            <w:pPr>
              <w:pStyle w:val="14"/>
              <w:rPr>
                <w:bCs/>
                <w:color w:val="auto"/>
                <w:spacing w:val="-10"/>
                <w:sz w:val="24"/>
              </w:rPr>
            </w:pPr>
          </w:p>
          <w:p w14:paraId="68BA1130">
            <w:pPr>
              <w:rPr>
                <w:bCs/>
                <w:color w:val="auto"/>
                <w:spacing w:val="-10"/>
                <w:sz w:val="24"/>
              </w:rPr>
            </w:pPr>
          </w:p>
          <w:p w14:paraId="45324397">
            <w:pPr>
              <w:pStyle w:val="14"/>
              <w:rPr>
                <w:bCs/>
                <w:color w:val="auto"/>
                <w:spacing w:val="-10"/>
                <w:sz w:val="24"/>
              </w:rPr>
            </w:pPr>
          </w:p>
          <w:p w14:paraId="3457D9F0">
            <w:pPr>
              <w:rPr>
                <w:bCs/>
                <w:color w:val="auto"/>
                <w:spacing w:val="-10"/>
                <w:sz w:val="24"/>
              </w:rPr>
            </w:pPr>
          </w:p>
          <w:p w14:paraId="29509D1D">
            <w:pPr>
              <w:pStyle w:val="14"/>
              <w:rPr>
                <w:bCs/>
                <w:color w:val="auto"/>
                <w:spacing w:val="-10"/>
                <w:sz w:val="24"/>
              </w:rPr>
            </w:pPr>
          </w:p>
          <w:p w14:paraId="14A81B9C">
            <w:pPr>
              <w:rPr>
                <w:bCs/>
                <w:color w:val="auto"/>
                <w:spacing w:val="-10"/>
                <w:sz w:val="24"/>
              </w:rPr>
            </w:pPr>
          </w:p>
          <w:p w14:paraId="1037DA62">
            <w:pPr>
              <w:pStyle w:val="14"/>
              <w:rPr>
                <w:color w:val="auto"/>
              </w:rPr>
            </w:pPr>
          </w:p>
        </w:tc>
      </w:tr>
      <w:tr w14:paraId="72938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4" w:hRule="atLeast"/>
          <w:jc w:val="center"/>
        </w:trPr>
        <w:tc>
          <w:tcPr>
            <w:tcW w:w="473" w:type="pct"/>
            <w:tcMar>
              <w:left w:w="28" w:type="dxa"/>
              <w:right w:w="28" w:type="dxa"/>
            </w:tcMar>
            <w:vAlign w:val="center"/>
          </w:tcPr>
          <w:p w14:paraId="25948E81">
            <w:pPr>
              <w:adjustRightInd w:val="0"/>
              <w:snapToGrid w:val="0"/>
              <w:jc w:val="center"/>
              <w:rPr>
                <w:bCs/>
                <w:color w:val="auto"/>
                <w:szCs w:val="21"/>
              </w:rPr>
            </w:pPr>
            <w:r>
              <w:rPr>
                <w:bCs/>
                <w:color w:val="auto"/>
                <w:szCs w:val="21"/>
              </w:rPr>
              <w:t>运营</w:t>
            </w:r>
          </w:p>
          <w:p w14:paraId="4F2BB39E">
            <w:pPr>
              <w:adjustRightInd w:val="0"/>
              <w:snapToGrid w:val="0"/>
              <w:jc w:val="center"/>
              <w:rPr>
                <w:bCs/>
                <w:color w:val="auto"/>
                <w:szCs w:val="21"/>
              </w:rPr>
            </w:pPr>
            <w:r>
              <w:rPr>
                <w:bCs/>
                <w:color w:val="auto"/>
                <w:szCs w:val="21"/>
              </w:rPr>
              <w:t>期环</w:t>
            </w:r>
          </w:p>
          <w:p w14:paraId="5A969C8C">
            <w:pPr>
              <w:adjustRightInd w:val="0"/>
              <w:snapToGrid w:val="0"/>
              <w:jc w:val="center"/>
              <w:rPr>
                <w:bCs/>
                <w:color w:val="auto"/>
                <w:szCs w:val="21"/>
              </w:rPr>
            </w:pPr>
            <w:r>
              <w:rPr>
                <w:bCs/>
                <w:color w:val="auto"/>
                <w:szCs w:val="21"/>
              </w:rPr>
              <w:t>境影</w:t>
            </w:r>
          </w:p>
          <w:p w14:paraId="5F009321">
            <w:pPr>
              <w:adjustRightInd w:val="0"/>
              <w:snapToGrid w:val="0"/>
              <w:jc w:val="center"/>
              <w:rPr>
                <w:bCs/>
                <w:color w:val="auto"/>
                <w:szCs w:val="21"/>
              </w:rPr>
            </w:pPr>
            <w:r>
              <w:rPr>
                <w:bCs/>
                <w:color w:val="auto"/>
                <w:szCs w:val="21"/>
              </w:rPr>
              <w:t>响和</w:t>
            </w:r>
          </w:p>
          <w:p w14:paraId="341944E3">
            <w:pPr>
              <w:adjustRightInd w:val="0"/>
              <w:snapToGrid w:val="0"/>
              <w:jc w:val="center"/>
              <w:rPr>
                <w:bCs/>
                <w:color w:val="auto"/>
                <w:szCs w:val="21"/>
              </w:rPr>
            </w:pPr>
            <w:r>
              <w:rPr>
                <w:bCs/>
                <w:color w:val="auto"/>
                <w:szCs w:val="21"/>
              </w:rPr>
              <w:t>保护</w:t>
            </w:r>
          </w:p>
          <w:p w14:paraId="48748185">
            <w:pPr>
              <w:pStyle w:val="2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bCs/>
                <w:color w:val="auto"/>
                <w:sz w:val="21"/>
                <w:szCs w:val="21"/>
              </w:rPr>
              <w:t>措施</w:t>
            </w:r>
          </w:p>
        </w:tc>
        <w:tc>
          <w:tcPr>
            <w:tcW w:w="4526" w:type="pct"/>
            <w:vAlign w:val="center"/>
          </w:tcPr>
          <w:p w14:paraId="3899A8FA">
            <w:pPr>
              <w:pStyle w:val="56"/>
              <w:adjustRightInd w:val="0"/>
              <w:snapToGrid w:val="0"/>
              <w:ind w:firstLine="0" w:firstLineChars="0"/>
              <w:jc w:val="left"/>
              <w:rPr>
                <w:rFonts w:hint="eastAsia" w:ascii="宋体" w:hAnsi="宋体" w:eastAsia="宋体" w:cs="宋体"/>
                <w:color w:val="auto"/>
              </w:rPr>
            </w:pPr>
            <w:r>
              <w:rPr>
                <w:rFonts w:hint="eastAsia" w:ascii="宋体" w:hAnsi="宋体" w:eastAsia="宋体" w:cs="宋体"/>
                <w:b/>
                <w:bCs/>
                <w:color w:val="auto"/>
              </w:rPr>
              <w:t>1、大气环境影响和保护措施</w:t>
            </w:r>
          </w:p>
          <w:p w14:paraId="79F45A9B">
            <w:pPr>
              <w:pStyle w:val="32"/>
              <w:adjustRightInd w:val="0"/>
              <w:snapToGrid w:val="0"/>
              <w:spacing w:after="0" w:line="360" w:lineRule="auto"/>
              <w:ind w:left="0" w:leftChars="0" w:firstLine="361" w:firstLineChars="150"/>
              <w:rPr>
                <w:b/>
                <w:bCs/>
                <w:color w:val="auto"/>
                <w:szCs w:val="24"/>
              </w:rPr>
            </w:pPr>
            <w:r>
              <w:rPr>
                <w:b/>
                <w:bCs/>
                <w:color w:val="auto"/>
                <w:szCs w:val="24"/>
              </w:rPr>
              <w:t>（</w:t>
            </w:r>
            <w:r>
              <w:rPr>
                <w:rFonts w:hint="eastAsia"/>
                <w:b/>
                <w:bCs/>
                <w:color w:val="auto"/>
                <w:szCs w:val="24"/>
              </w:rPr>
              <w:t>1</w:t>
            </w:r>
            <w:r>
              <w:rPr>
                <w:b/>
                <w:bCs/>
                <w:color w:val="auto"/>
                <w:szCs w:val="24"/>
              </w:rPr>
              <w:t>）废气产排计算过程简述</w:t>
            </w:r>
          </w:p>
          <w:p w14:paraId="2E44D9B5">
            <w:pPr>
              <w:spacing w:line="360" w:lineRule="auto"/>
              <w:ind w:firstLine="482"/>
              <w:rPr>
                <w:b/>
                <w:color w:val="auto"/>
                <w:kern w:val="0"/>
                <w:sz w:val="24"/>
              </w:rPr>
            </w:pPr>
            <w:r>
              <w:rPr>
                <w:rFonts w:hint="eastAsia"/>
                <w:b/>
                <w:color w:val="auto"/>
                <w:kern w:val="0"/>
                <w:sz w:val="24"/>
              </w:rPr>
              <w:t>1）恶臭</w:t>
            </w:r>
          </w:p>
          <w:p w14:paraId="2260AFB9">
            <w:pPr>
              <w:spacing w:line="360" w:lineRule="auto"/>
              <w:ind w:firstLine="480"/>
              <w:rPr>
                <w:color w:val="auto"/>
                <w:sz w:val="24"/>
              </w:rPr>
            </w:pPr>
            <w:r>
              <w:rPr>
                <w:color w:val="auto"/>
                <w:sz w:val="24"/>
              </w:rPr>
              <w:t>项目运营期</w:t>
            </w:r>
            <w:r>
              <w:rPr>
                <w:rFonts w:hint="eastAsia"/>
                <w:color w:val="auto"/>
                <w:sz w:val="24"/>
              </w:rPr>
              <w:t>恶臭</w:t>
            </w:r>
            <w:r>
              <w:rPr>
                <w:color w:val="auto"/>
                <w:sz w:val="24"/>
              </w:rPr>
              <w:t>主要</w:t>
            </w:r>
            <w:r>
              <w:rPr>
                <w:rFonts w:hint="eastAsia"/>
                <w:color w:val="auto"/>
                <w:sz w:val="24"/>
              </w:rPr>
              <w:t>产生于</w:t>
            </w:r>
            <w:r>
              <w:rPr>
                <w:color w:val="auto"/>
                <w:sz w:val="24"/>
              </w:rPr>
              <w:t>化粪池、</w:t>
            </w:r>
            <w:r>
              <w:rPr>
                <w:rFonts w:hint="eastAsia"/>
                <w:color w:val="auto"/>
                <w:sz w:val="24"/>
              </w:rPr>
              <w:t>垃圾收集桶/箱及</w:t>
            </w:r>
            <w:r>
              <w:rPr>
                <w:color w:val="auto"/>
                <w:sz w:val="24"/>
              </w:rPr>
              <w:t>污水处理站</w:t>
            </w:r>
            <w:r>
              <w:rPr>
                <w:rFonts w:hint="eastAsia"/>
                <w:color w:val="auto"/>
                <w:sz w:val="24"/>
              </w:rPr>
              <w:t>运行过程中</w:t>
            </w:r>
            <w:r>
              <w:rPr>
                <w:color w:val="auto"/>
                <w:sz w:val="24"/>
              </w:rPr>
              <w:t>。</w:t>
            </w:r>
          </w:p>
          <w:p w14:paraId="7242242C">
            <w:pPr>
              <w:pStyle w:val="131"/>
              <w:ind w:firstLine="480"/>
              <w:rPr>
                <w:color w:val="auto"/>
              </w:rPr>
            </w:pPr>
            <w:r>
              <w:rPr>
                <w:color w:val="auto"/>
                <w:szCs w:val="24"/>
              </w:rPr>
              <w:t>项</w:t>
            </w:r>
            <w:r>
              <w:rPr>
                <w:color w:val="auto"/>
              </w:rPr>
              <w:t>目</w:t>
            </w:r>
            <w:r>
              <w:rPr>
                <w:rFonts w:hint="eastAsia"/>
                <w:color w:val="auto"/>
                <w:szCs w:val="24"/>
              </w:rPr>
              <w:t>化粪池</w:t>
            </w:r>
            <w:r>
              <w:rPr>
                <w:color w:val="auto"/>
                <w:szCs w:val="24"/>
              </w:rPr>
              <w:t>设置为地埋式</w:t>
            </w:r>
            <w:r>
              <w:rPr>
                <w:color w:val="auto"/>
              </w:rPr>
              <w:t>，密闭性较好，挥发到空气中的</w:t>
            </w:r>
            <w:r>
              <w:rPr>
                <w:rFonts w:hint="eastAsia"/>
                <w:color w:val="auto"/>
              </w:rPr>
              <w:t>恶臭</w:t>
            </w:r>
            <w:r>
              <w:rPr>
                <w:color w:val="auto"/>
              </w:rPr>
              <w:t>较少</w:t>
            </w:r>
            <w:r>
              <w:rPr>
                <w:rFonts w:hint="eastAsia"/>
                <w:color w:val="auto"/>
              </w:rPr>
              <w:t>；项目区垃圾桶/房内的垃圾能做到日产日清，通过及时清运可减轻对环境的不利影响。项目内</w:t>
            </w:r>
            <w:r>
              <w:rPr>
                <w:color w:val="auto"/>
              </w:rPr>
              <w:t>化粪池、</w:t>
            </w:r>
            <w:r>
              <w:rPr>
                <w:rFonts w:hint="eastAsia"/>
                <w:color w:val="auto"/>
              </w:rPr>
              <w:t xml:space="preserve">垃圾收集桶/箱产生的恶臭均可以得到很好的控制，对周围环境影响不大。 </w:t>
            </w:r>
          </w:p>
          <w:p w14:paraId="6E728F43">
            <w:pPr>
              <w:widowControl/>
              <w:spacing w:line="360" w:lineRule="auto"/>
              <w:ind w:firstLine="480" w:firstLineChars="200"/>
              <w:jc w:val="left"/>
              <w:rPr>
                <w:color w:val="auto"/>
                <w:sz w:val="24"/>
              </w:rPr>
            </w:pPr>
            <w:r>
              <w:rPr>
                <w:rFonts w:hint="eastAsia"/>
                <w:color w:val="auto"/>
                <w:sz w:val="24"/>
              </w:rPr>
              <w:t>恶臭主要产生于</w:t>
            </w:r>
            <w:r>
              <w:rPr>
                <w:color w:val="auto"/>
                <w:sz w:val="24"/>
              </w:rPr>
              <w:t>污水处理站</w:t>
            </w:r>
            <w:r>
              <w:rPr>
                <w:rFonts w:hint="eastAsia"/>
                <w:color w:val="auto"/>
                <w:sz w:val="24"/>
              </w:rPr>
              <w:t>，其</w:t>
            </w:r>
            <w:r>
              <w:rPr>
                <w:color w:val="auto"/>
                <w:sz w:val="24"/>
              </w:rPr>
              <w:t>运行过程中，由于伴随微生物、原生动物、菌胶团等生物的新陈代谢而产生恶臭污染物，成分</w:t>
            </w:r>
            <w:r>
              <w:rPr>
                <w:rFonts w:hint="eastAsia"/>
                <w:color w:val="auto"/>
                <w:sz w:val="24"/>
              </w:rPr>
              <w:t>含</w:t>
            </w:r>
            <w:r>
              <w:rPr>
                <w:color w:val="auto"/>
                <w:sz w:val="24"/>
              </w:rPr>
              <w:t>H</w:t>
            </w:r>
            <w:r>
              <w:rPr>
                <w:color w:val="auto"/>
                <w:sz w:val="24"/>
                <w:vertAlign w:val="subscript"/>
              </w:rPr>
              <w:t>2</w:t>
            </w:r>
            <w:r>
              <w:rPr>
                <w:color w:val="auto"/>
                <w:sz w:val="24"/>
              </w:rPr>
              <w:t>S、NH</w:t>
            </w:r>
            <w:r>
              <w:rPr>
                <w:color w:val="auto"/>
                <w:sz w:val="24"/>
                <w:vertAlign w:val="subscript"/>
              </w:rPr>
              <w:t>3</w:t>
            </w:r>
            <w:r>
              <w:rPr>
                <w:color w:val="auto"/>
                <w:sz w:val="24"/>
              </w:rPr>
              <w:t>、甲硫醇、甲基硫、甲基化二硫、三甲胺、苯乙烯乙醛等物质，恶臭主要来源于格栅、</w:t>
            </w:r>
            <w:r>
              <w:rPr>
                <w:rFonts w:hint="eastAsia"/>
                <w:color w:val="auto"/>
                <w:sz w:val="24"/>
              </w:rPr>
              <w:t>生化处理单元</w:t>
            </w:r>
            <w:r>
              <w:rPr>
                <w:color w:val="auto"/>
                <w:sz w:val="24"/>
              </w:rPr>
              <w:t>等。恶臭气体的主要成分为H</w:t>
            </w:r>
            <w:r>
              <w:rPr>
                <w:color w:val="auto"/>
                <w:sz w:val="24"/>
                <w:vertAlign w:val="subscript"/>
              </w:rPr>
              <w:t>2</w:t>
            </w:r>
            <w:r>
              <w:rPr>
                <w:color w:val="auto"/>
                <w:sz w:val="24"/>
              </w:rPr>
              <w:t>S和NH</w:t>
            </w:r>
            <w:r>
              <w:rPr>
                <w:color w:val="auto"/>
                <w:sz w:val="24"/>
                <w:vertAlign w:val="subscript"/>
              </w:rPr>
              <w:t>3</w:t>
            </w:r>
            <w:r>
              <w:rPr>
                <w:color w:val="auto"/>
                <w:sz w:val="24"/>
              </w:rPr>
              <w:t>，</w:t>
            </w:r>
            <w:r>
              <w:rPr>
                <w:rFonts w:hint="eastAsia"/>
                <w:color w:val="auto"/>
                <w:sz w:val="24"/>
              </w:rPr>
              <w:t>本次新建污水处理站（纳古卫生院污水处理站、杨广卫生院污水处理站）以及拆除重建的</w:t>
            </w:r>
            <w:r>
              <w:rPr>
                <w:color w:val="auto"/>
                <w:sz w:val="24"/>
              </w:rPr>
              <w:t>污水处理站</w:t>
            </w:r>
            <w:r>
              <w:rPr>
                <w:rFonts w:hint="eastAsia"/>
                <w:color w:val="auto"/>
                <w:sz w:val="24"/>
              </w:rPr>
              <w:t>（四街卫生院污水处理站、九龙卫生院污水处理站）</w:t>
            </w:r>
            <w:r>
              <w:rPr>
                <w:color w:val="auto"/>
                <w:sz w:val="24"/>
              </w:rPr>
              <w:t>设计</w:t>
            </w:r>
            <w:r>
              <w:rPr>
                <w:rFonts w:hint="eastAsia"/>
                <w:color w:val="auto"/>
                <w:sz w:val="24"/>
              </w:rPr>
              <w:t>在地下一层，为</w:t>
            </w:r>
            <w:r>
              <w:rPr>
                <w:color w:val="auto"/>
                <w:sz w:val="24"/>
              </w:rPr>
              <w:t>地埋式，加盖密闭，定期投放除臭剂</w:t>
            </w:r>
            <w:r>
              <w:rPr>
                <w:rFonts w:hint="eastAsia"/>
                <w:color w:val="auto"/>
                <w:sz w:val="24"/>
              </w:rPr>
              <w:t>，在</w:t>
            </w:r>
            <w:r>
              <w:rPr>
                <w:color w:val="auto"/>
                <w:sz w:val="24"/>
              </w:rPr>
              <w:t>盖板上留有换气口，异味产生量较小，呈无组织排放</w:t>
            </w:r>
            <w:r>
              <w:rPr>
                <w:rFonts w:hint="eastAsia"/>
                <w:color w:val="auto"/>
                <w:sz w:val="24"/>
              </w:rPr>
              <w:t>，要求换气口避开人员活动区、办公及病房等敏感区。</w:t>
            </w:r>
          </w:p>
          <w:p w14:paraId="3BEEF11B">
            <w:pPr>
              <w:pStyle w:val="131"/>
              <w:adjustRightInd w:val="0"/>
              <w:snapToGrid w:val="0"/>
              <w:ind w:firstLine="480"/>
              <w:rPr>
                <w:color w:val="auto"/>
              </w:rPr>
            </w:pPr>
            <w:r>
              <w:rPr>
                <w:color w:val="auto"/>
              </w:rPr>
              <w:t>根据美国EPA对城市污水处理站恶臭污染物产生情况的研究，每去除1.0g的BOD</w:t>
            </w:r>
            <w:r>
              <w:rPr>
                <w:color w:val="auto"/>
                <w:vertAlign w:val="subscript"/>
              </w:rPr>
              <w:t>5</w:t>
            </w:r>
            <w:r>
              <w:rPr>
                <w:color w:val="auto"/>
              </w:rPr>
              <w:t>可产生0.0031g的NH</w:t>
            </w:r>
            <w:r>
              <w:rPr>
                <w:color w:val="auto"/>
                <w:vertAlign w:val="subscript"/>
              </w:rPr>
              <w:t>3</w:t>
            </w:r>
            <w:r>
              <w:rPr>
                <w:rFonts w:hint="eastAsia"/>
                <w:color w:val="auto"/>
              </w:rPr>
              <w:t>和</w:t>
            </w:r>
            <w:r>
              <w:rPr>
                <w:color w:val="auto"/>
              </w:rPr>
              <w:t>0.00012gH</w:t>
            </w:r>
            <w:r>
              <w:rPr>
                <w:color w:val="auto"/>
                <w:vertAlign w:val="subscript"/>
              </w:rPr>
              <w:t>2</w:t>
            </w:r>
            <w:r>
              <w:rPr>
                <w:color w:val="auto"/>
              </w:rPr>
              <w:t>S</w:t>
            </w:r>
            <w:r>
              <w:rPr>
                <w:rFonts w:hint="eastAsia"/>
                <w:color w:val="auto"/>
                <w:szCs w:val="24"/>
              </w:rPr>
              <w:t>，本项目污水处理站设计进水水质</w:t>
            </w:r>
            <w:r>
              <w:rPr>
                <w:color w:val="auto"/>
              </w:rPr>
              <w:t>BOD</w:t>
            </w:r>
            <w:r>
              <w:rPr>
                <w:color w:val="auto"/>
                <w:vertAlign w:val="subscript"/>
              </w:rPr>
              <w:t>5</w:t>
            </w:r>
            <w:r>
              <w:rPr>
                <w:color w:val="auto"/>
              </w:rPr>
              <w:t>的进水浓度为1</w:t>
            </w:r>
            <w:r>
              <w:rPr>
                <w:rFonts w:hint="eastAsia"/>
                <w:color w:val="auto"/>
              </w:rPr>
              <w:t>43</w:t>
            </w:r>
            <w:r>
              <w:rPr>
                <w:color w:val="auto"/>
              </w:rPr>
              <w:t>mg/L，出水</w:t>
            </w:r>
            <w:r>
              <w:rPr>
                <w:rFonts w:hint="eastAsia"/>
                <w:color w:val="auto"/>
              </w:rPr>
              <w:t>水质</w:t>
            </w:r>
            <w:r>
              <w:rPr>
                <w:color w:val="auto"/>
              </w:rPr>
              <w:t>浓度</w:t>
            </w:r>
            <w:r>
              <w:rPr>
                <w:rFonts w:hint="eastAsia"/>
                <w:color w:val="auto"/>
              </w:rPr>
              <w:t>为7.2</w:t>
            </w:r>
            <w:r>
              <w:rPr>
                <w:color w:val="auto"/>
              </w:rPr>
              <w:t>mg/L，故</w:t>
            </w:r>
            <w:r>
              <w:rPr>
                <w:rFonts w:hint="eastAsia"/>
                <w:color w:val="auto"/>
              </w:rPr>
              <w:t>污水处理站</w:t>
            </w:r>
            <w:r>
              <w:rPr>
                <w:color w:val="auto"/>
              </w:rPr>
              <w:t>BOD</w:t>
            </w:r>
            <w:r>
              <w:rPr>
                <w:color w:val="auto"/>
                <w:vertAlign w:val="subscript"/>
              </w:rPr>
              <w:t>5</w:t>
            </w:r>
            <w:r>
              <w:rPr>
                <w:color w:val="auto"/>
              </w:rPr>
              <w:t>的去除率为</w:t>
            </w:r>
            <w:r>
              <w:rPr>
                <w:rFonts w:hint="eastAsia"/>
                <w:color w:val="auto"/>
              </w:rPr>
              <w:t>95</w:t>
            </w:r>
            <w:r>
              <w:rPr>
                <w:color w:val="auto"/>
              </w:rPr>
              <w:t>%，经计算，</w:t>
            </w:r>
            <w:r>
              <w:rPr>
                <w:rFonts w:hint="eastAsia"/>
                <w:color w:val="auto"/>
              </w:rPr>
              <w:t>项目</w:t>
            </w:r>
            <w:r>
              <w:rPr>
                <w:color w:val="auto"/>
              </w:rPr>
              <w:t>运营期污水处理站恶臭</w:t>
            </w:r>
            <w:r>
              <w:rPr>
                <w:rFonts w:hint="eastAsia"/>
                <w:color w:val="auto"/>
              </w:rPr>
              <w:t>污染物无组织</w:t>
            </w:r>
            <w:r>
              <w:rPr>
                <w:color w:val="auto"/>
              </w:rPr>
              <w:t>产</w:t>
            </w:r>
            <w:r>
              <w:rPr>
                <w:rFonts w:hint="eastAsia"/>
                <w:color w:val="auto"/>
              </w:rPr>
              <w:t>排</w:t>
            </w:r>
            <w:r>
              <w:rPr>
                <w:color w:val="auto"/>
              </w:rPr>
              <w:t>情况如下表：</w:t>
            </w:r>
          </w:p>
          <w:p w14:paraId="58A464B6">
            <w:pPr>
              <w:spacing w:line="360" w:lineRule="auto"/>
              <w:jc w:val="center"/>
              <w:rPr>
                <w:b/>
                <w:bCs/>
                <w:color w:val="auto"/>
                <w:sz w:val="24"/>
                <w:szCs w:val="32"/>
              </w:rPr>
            </w:pPr>
            <w:r>
              <w:rPr>
                <w:b/>
                <w:color w:val="auto"/>
                <w:sz w:val="24"/>
              </w:rPr>
              <w:t>表</w:t>
            </w:r>
            <w:r>
              <w:rPr>
                <w:rFonts w:hint="eastAsia"/>
                <w:b/>
                <w:color w:val="auto"/>
                <w:sz w:val="24"/>
              </w:rPr>
              <w:t>4</w:t>
            </w:r>
            <w:r>
              <w:rPr>
                <w:b/>
                <w:color w:val="auto"/>
                <w:sz w:val="24"/>
              </w:rPr>
              <w:t>-</w:t>
            </w:r>
            <w:r>
              <w:rPr>
                <w:rFonts w:hint="eastAsia"/>
                <w:b/>
                <w:color w:val="auto"/>
                <w:sz w:val="24"/>
              </w:rPr>
              <w:t>1</w:t>
            </w:r>
            <w:r>
              <w:rPr>
                <w:b/>
                <w:color w:val="auto"/>
                <w:sz w:val="24"/>
              </w:rPr>
              <w:t xml:space="preserve"> </w:t>
            </w:r>
            <w:r>
              <w:rPr>
                <w:b/>
                <w:bCs/>
                <w:color w:val="auto"/>
                <w:sz w:val="24"/>
                <w:szCs w:val="32"/>
              </w:rPr>
              <w:t xml:space="preserve"> </w:t>
            </w:r>
            <w:r>
              <w:rPr>
                <w:rFonts w:hint="eastAsia"/>
                <w:b/>
                <w:bCs/>
                <w:color w:val="auto"/>
                <w:sz w:val="24"/>
                <w:szCs w:val="32"/>
              </w:rPr>
              <w:t>本项目</w:t>
            </w:r>
            <w:r>
              <w:rPr>
                <w:b/>
                <w:bCs/>
                <w:color w:val="auto"/>
                <w:sz w:val="24"/>
                <w:szCs w:val="32"/>
              </w:rPr>
              <w:t>污水处理站恶臭污染物</w:t>
            </w:r>
            <w:r>
              <w:rPr>
                <w:rFonts w:hint="eastAsia"/>
                <w:b/>
                <w:bCs/>
                <w:color w:val="auto"/>
                <w:sz w:val="24"/>
                <w:szCs w:val="32"/>
              </w:rPr>
              <w:t>无组织</w:t>
            </w:r>
            <w:r>
              <w:rPr>
                <w:b/>
                <w:bCs/>
                <w:color w:val="auto"/>
                <w:sz w:val="24"/>
                <w:szCs w:val="32"/>
              </w:rPr>
              <w:t>产</w:t>
            </w:r>
            <w:r>
              <w:rPr>
                <w:rFonts w:hint="eastAsia"/>
                <w:b/>
                <w:bCs/>
                <w:color w:val="auto"/>
                <w:sz w:val="24"/>
                <w:szCs w:val="32"/>
              </w:rPr>
              <w:t>排情况一览表</w:t>
            </w:r>
          </w:p>
          <w:tbl>
            <w:tblPr>
              <w:tblStyle w:val="33"/>
              <w:tblW w:w="8446" w:type="dxa"/>
              <w:jc w:val="center"/>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134"/>
              <w:gridCol w:w="989"/>
              <w:gridCol w:w="1115"/>
              <w:gridCol w:w="1004"/>
              <w:gridCol w:w="2227"/>
              <w:gridCol w:w="1108"/>
            </w:tblGrid>
            <w:tr w14:paraId="6BAEAD85">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869" w:type="dxa"/>
                  <w:vAlign w:val="center"/>
                </w:tcPr>
                <w:p w14:paraId="35B87408">
                  <w:pPr>
                    <w:jc w:val="center"/>
                    <w:rPr>
                      <w:b/>
                      <w:bCs/>
                      <w:color w:val="auto"/>
                      <w:szCs w:val="21"/>
                    </w:rPr>
                  </w:pPr>
                  <w:r>
                    <w:rPr>
                      <w:rFonts w:hint="eastAsia"/>
                      <w:b/>
                      <w:bCs/>
                      <w:color w:val="auto"/>
                      <w:szCs w:val="21"/>
                    </w:rPr>
                    <w:t>分区</w:t>
                  </w:r>
                </w:p>
              </w:tc>
              <w:tc>
                <w:tcPr>
                  <w:tcW w:w="1134" w:type="dxa"/>
                  <w:vAlign w:val="center"/>
                </w:tcPr>
                <w:p w14:paraId="00482F8D">
                  <w:pPr>
                    <w:jc w:val="center"/>
                    <w:rPr>
                      <w:b/>
                      <w:bCs/>
                      <w:color w:val="auto"/>
                      <w:szCs w:val="21"/>
                    </w:rPr>
                  </w:pPr>
                  <w:r>
                    <w:rPr>
                      <w:b/>
                      <w:bCs/>
                      <w:color w:val="auto"/>
                      <w:szCs w:val="21"/>
                    </w:rPr>
                    <w:t>处理规模（m</w:t>
                  </w:r>
                  <w:r>
                    <w:rPr>
                      <w:b/>
                      <w:bCs/>
                      <w:color w:val="auto"/>
                      <w:szCs w:val="21"/>
                      <w:vertAlign w:val="superscript"/>
                    </w:rPr>
                    <w:t>3</w:t>
                  </w:r>
                  <w:r>
                    <w:rPr>
                      <w:b/>
                      <w:bCs/>
                      <w:color w:val="auto"/>
                      <w:szCs w:val="21"/>
                    </w:rPr>
                    <w:t>/d）</w:t>
                  </w:r>
                </w:p>
              </w:tc>
              <w:tc>
                <w:tcPr>
                  <w:tcW w:w="989" w:type="dxa"/>
                  <w:vAlign w:val="center"/>
                </w:tcPr>
                <w:p w14:paraId="6C54E320">
                  <w:pPr>
                    <w:jc w:val="center"/>
                    <w:rPr>
                      <w:b/>
                      <w:bCs/>
                      <w:color w:val="auto"/>
                      <w:szCs w:val="21"/>
                    </w:rPr>
                  </w:pPr>
                  <w:r>
                    <w:rPr>
                      <w:b/>
                      <w:bCs/>
                      <w:color w:val="auto"/>
                      <w:szCs w:val="21"/>
                    </w:rPr>
                    <w:t>BOD</w:t>
                  </w:r>
                  <w:r>
                    <w:rPr>
                      <w:b/>
                      <w:bCs/>
                      <w:color w:val="auto"/>
                      <w:szCs w:val="21"/>
                      <w:vertAlign w:val="subscript"/>
                    </w:rPr>
                    <w:t>5</w:t>
                  </w:r>
                  <w:r>
                    <w:rPr>
                      <w:b/>
                      <w:bCs/>
                      <w:color w:val="auto"/>
                      <w:szCs w:val="21"/>
                    </w:rPr>
                    <w:t>去除量（g/d）</w:t>
                  </w:r>
                </w:p>
              </w:tc>
              <w:tc>
                <w:tcPr>
                  <w:tcW w:w="1115" w:type="dxa"/>
                  <w:vAlign w:val="center"/>
                </w:tcPr>
                <w:p w14:paraId="0F9A3798">
                  <w:pPr>
                    <w:jc w:val="center"/>
                    <w:rPr>
                      <w:b/>
                      <w:bCs/>
                      <w:color w:val="auto"/>
                      <w:szCs w:val="21"/>
                    </w:rPr>
                  </w:pPr>
                  <w:r>
                    <w:rPr>
                      <w:b/>
                      <w:bCs/>
                      <w:color w:val="auto"/>
                      <w:szCs w:val="21"/>
                    </w:rPr>
                    <w:t>污染</w:t>
                  </w:r>
                </w:p>
                <w:p w14:paraId="2A53728D">
                  <w:pPr>
                    <w:jc w:val="center"/>
                    <w:rPr>
                      <w:b/>
                      <w:bCs/>
                      <w:color w:val="auto"/>
                      <w:szCs w:val="21"/>
                    </w:rPr>
                  </w:pPr>
                  <w:r>
                    <w:rPr>
                      <w:b/>
                      <w:bCs/>
                      <w:color w:val="auto"/>
                      <w:szCs w:val="21"/>
                    </w:rPr>
                    <w:t>因子</w:t>
                  </w:r>
                </w:p>
              </w:tc>
              <w:tc>
                <w:tcPr>
                  <w:tcW w:w="1004" w:type="dxa"/>
                  <w:vAlign w:val="center"/>
                </w:tcPr>
                <w:p w14:paraId="5E5E44C4">
                  <w:pPr>
                    <w:jc w:val="center"/>
                    <w:rPr>
                      <w:b/>
                      <w:bCs/>
                      <w:color w:val="auto"/>
                      <w:szCs w:val="21"/>
                    </w:rPr>
                  </w:pPr>
                  <w:r>
                    <w:rPr>
                      <w:b/>
                      <w:bCs/>
                      <w:color w:val="auto"/>
                      <w:szCs w:val="21"/>
                    </w:rPr>
                    <w:t>产生量（t/a）</w:t>
                  </w:r>
                </w:p>
              </w:tc>
              <w:tc>
                <w:tcPr>
                  <w:tcW w:w="2227" w:type="dxa"/>
                  <w:vAlign w:val="center"/>
                </w:tcPr>
                <w:p w14:paraId="61810039">
                  <w:pPr>
                    <w:jc w:val="center"/>
                    <w:rPr>
                      <w:b/>
                      <w:bCs/>
                      <w:color w:val="auto"/>
                      <w:szCs w:val="21"/>
                    </w:rPr>
                  </w:pPr>
                  <w:r>
                    <w:rPr>
                      <w:rFonts w:hint="eastAsia"/>
                      <w:b/>
                      <w:bCs/>
                      <w:color w:val="auto"/>
                      <w:szCs w:val="21"/>
                    </w:rPr>
                    <w:t>治理措施</w:t>
                  </w:r>
                </w:p>
              </w:tc>
              <w:tc>
                <w:tcPr>
                  <w:tcW w:w="1108" w:type="dxa"/>
                  <w:vAlign w:val="center"/>
                </w:tcPr>
                <w:p w14:paraId="2CF26F90">
                  <w:pPr>
                    <w:jc w:val="center"/>
                    <w:rPr>
                      <w:b/>
                      <w:bCs/>
                      <w:color w:val="auto"/>
                      <w:szCs w:val="21"/>
                    </w:rPr>
                  </w:pPr>
                  <w:r>
                    <w:rPr>
                      <w:rFonts w:hint="eastAsia"/>
                      <w:b/>
                      <w:bCs/>
                      <w:color w:val="auto"/>
                      <w:szCs w:val="21"/>
                    </w:rPr>
                    <w:t>排放量</w:t>
                  </w:r>
                  <w:r>
                    <w:rPr>
                      <w:b/>
                      <w:bCs/>
                      <w:color w:val="auto"/>
                      <w:szCs w:val="21"/>
                    </w:rPr>
                    <w:t>（t/a）</w:t>
                  </w:r>
                </w:p>
              </w:tc>
            </w:tr>
            <w:tr w14:paraId="0A69D6CB">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blHeader/>
                <w:jc w:val="center"/>
              </w:trPr>
              <w:tc>
                <w:tcPr>
                  <w:tcW w:w="869" w:type="dxa"/>
                  <w:vMerge w:val="restart"/>
                  <w:vAlign w:val="center"/>
                </w:tcPr>
                <w:p w14:paraId="2743A8BA">
                  <w:pPr>
                    <w:jc w:val="center"/>
                    <w:rPr>
                      <w:color w:val="auto"/>
                      <w:szCs w:val="21"/>
                      <w:lang w:bidi="ar"/>
                    </w:rPr>
                  </w:pPr>
                  <w:r>
                    <w:rPr>
                      <w:rFonts w:hint="eastAsia"/>
                      <w:color w:val="auto"/>
                      <w:szCs w:val="21"/>
                    </w:rPr>
                    <w:t>纳古卫生院</w:t>
                  </w:r>
                  <w:r>
                    <w:rPr>
                      <w:color w:val="auto"/>
                      <w:szCs w:val="21"/>
                    </w:rPr>
                    <w:t>污水处理站</w:t>
                  </w:r>
                </w:p>
              </w:tc>
              <w:tc>
                <w:tcPr>
                  <w:tcW w:w="1134" w:type="dxa"/>
                  <w:vMerge w:val="restart"/>
                  <w:vAlign w:val="center"/>
                </w:tcPr>
                <w:p w14:paraId="69ACA024">
                  <w:pPr>
                    <w:jc w:val="center"/>
                    <w:rPr>
                      <w:color w:val="auto"/>
                      <w:szCs w:val="21"/>
                    </w:rPr>
                  </w:pPr>
                  <w:r>
                    <w:rPr>
                      <w:rFonts w:hint="eastAsia"/>
                      <w:color w:val="auto"/>
                      <w:szCs w:val="21"/>
                    </w:rPr>
                    <w:t>7.007</w:t>
                  </w:r>
                </w:p>
              </w:tc>
              <w:tc>
                <w:tcPr>
                  <w:tcW w:w="989" w:type="dxa"/>
                  <w:vMerge w:val="restart"/>
                  <w:vAlign w:val="center"/>
                </w:tcPr>
                <w:p w14:paraId="1E88643D">
                  <w:pPr>
                    <w:jc w:val="center"/>
                    <w:rPr>
                      <w:color w:val="auto"/>
                    </w:rPr>
                  </w:pPr>
                  <w:r>
                    <w:rPr>
                      <w:rFonts w:hint="eastAsia"/>
                      <w:color w:val="auto"/>
                    </w:rPr>
                    <w:t>951</w:t>
                  </w:r>
                </w:p>
              </w:tc>
              <w:tc>
                <w:tcPr>
                  <w:tcW w:w="1115" w:type="dxa"/>
                  <w:vAlign w:val="center"/>
                </w:tcPr>
                <w:p w14:paraId="717A45DC">
                  <w:pPr>
                    <w:jc w:val="center"/>
                    <w:rPr>
                      <w:color w:val="auto"/>
                      <w:szCs w:val="21"/>
                    </w:rPr>
                  </w:pPr>
                  <w:r>
                    <w:rPr>
                      <w:color w:val="auto"/>
                      <w:szCs w:val="21"/>
                    </w:rPr>
                    <w:t>NH</w:t>
                  </w:r>
                  <w:r>
                    <w:rPr>
                      <w:color w:val="auto"/>
                      <w:szCs w:val="21"/>
                      <w:vertAlign w:val="subscript"/>
                    </w:rPr>
                    <w:t>3</w:t>
                  </w:r>
                </w:p>
              </w:tc>
              <w:tc>
                <w:tcPr>
                  <w:tcW w:w="1004" w:type="dxa"/>
                  <w:vAlign w:val="center"/>
                </w:tcPr>
                <w:p w14:paraId="7AD6F09F">
                  <w:pPr>
                    <w:jc w:val="center"/>
                    <w:rPr>
                      <w:color w:val="auto"/>
                      <w:szCs w:val="21"/>
                    </w:rPr>
                  </w:pPr>
                  <w:r>
                    <w:rPr>
                      <w:rFonts w:hint="eastAsia"/>
                      <w:color w:val="auto"/>
                      <w:szCs w:val="21"/>
                    </w:rPr>
                    <w:t>0.00108</w:t>
                  </w:r>
                </w:p>
              </w:tc>
              <w:tc>
                <w:tcPr>
                  <w:tcW w:w="2227" w:type="dxa"/>
                  <w:vMerge w:val="restart"/>
                  <w:vAlign w:val="center"/>
                </w:tcPr>
                <w:p w14:paraId="22D9EC97">
                  <w:pPr>
                    <w:jc w:val="center"/>
                    <w:rPr>
                      <w:color w:val="auto"/>
                      <w:szCs w:val="21"/>
                    </w:rPr>
                  </w:pPr>
                  <w:r>
                    <w:rPr>
                      <w:rFonts w:hint="eastAsia"/>
                      <w:color w:val="auto"/>
                      <w:kern w:val="0"/>
                      <w:szCs w:val="21"/>
                      <w:lang w:bidi="ar"/>
                    </w:rPr>
                    <w:t>位于地下一层，</w:t>
                  </w:r>
                  <w:r>
                    <w:rPr>
                      <w:color w:val="auto"/>
                      <w:kern w:val="0"/>
                      <w:szCs w:val="21"/>
                      <w:lang w:bidi="ar"/>
                    </w:rPr>
                    <w:t>地埋式，加盖密</w:t>
                  </w:r>
                  <w:r>
                    <w:rPr>
                      <w:rFonts w:hint="eastAsia"/>
                      <w:color w:val="auto"/>
                      <w:kern w:val="0"/>
                      <w:szCs w:val="21"/>
                      <w:lang w:bidi="ar"/>
                    </w:rPr>
                    <w:t>闭，在盖板上留有换气口，投放除臭剂（采取以上措施后，恶臭气体去除效率取60%）</w:t>
                  </w:r>
                </w:p>
              </w:tc>
              <w:tc>
                <w:tcPr>
                  <w:tcW w:w="1108" w:type="dxa"/>
                  <w:vAlign w:val="center"/>
                </w:tcPr>
                <w:p w14:paraId="1D5614D4">
                  <w:pPr>
                    <w:jc w:val="center"/>
                    <w:rPr>
                      <w:color w:val="auto"/>
                      <w:szCs w:val="21"/>
                    </w:rPr>
                  </w:pPr>
                  <w:r>
                    <w:rPr>
                      <w:rFonts w:hint="eastAsia"/>
                      <w:color w:val="auto"/>
                      <w:szCs w:val="21"/>
                    </w:rPr>
                    <w:t>0.00043</w:t>
                  </w:r>
                </w:p>
              </w:tc>
            </w:tr>
            <w:tr w14:paraId="695A531C">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869" w:type="dxa"/>
                  <w:vMerge w:val="continue"/>
                  <w:vAlign w:val="center"/>
                </w:tcPr>
                <w:p w14:paraId="1961F20E">
                  <w:pPr>
                    <w:jc w:val="center"/>
                    <w:rPr>
                      <w:color w:val="auto"/>
                      <w:szCs w:val="21"/>
                      <w:lang w:bidi="ar"/>
                    </w:rPr>
                  </w:pPr>
                </w:p>
              </w:tc>
              <w:tc>
                <w:tcPr>
                  <w:tcW w:w="1134" w:type="dxa"/>
                  <w:vMerge w:val="continue"/>
                  <w:vAlign w:val="center"/>
                </w:tcPr>
                <w:p w14:paraId="5D8FC16D">
                  <w:pPr>
                    <w:jc w:val="center"/>
                    <w:rPr>
                      <w:color w:val="auto"/>
                      <w:szCs w:val="21"/>
                    </w:rPr>
                  </w:pPr>
                </w:p>
              </w:tc>
              <w:tc>
                <w:tcPr>
                  <w:tcW w:w="989" w:type="dxa"/>
                  <w:vMerge w:val="continue"/>
                  <w:vAlign w:val="center"/>
                </w:tcPr>
                <w:p w14:paraId="6EFC513B">
                  <w:pPr>
                    <w:jc w:val="center"/>
                    <w:rPr>
                      <w:color w:val="auto"/>
                      <w:szCs w:val="21"/>
                      <w:lang w:bidi="ar"/>
                    </w:rPr>
                  </w:pPr>
                </w:p>
              </w:tc>
              <w:tc>
                <w:tcPr>
                  <w:tcW w:w="1115" w:type="dxa"/>
                  <w:vAlign w:val="center"/>
                </w:tcPr>
                <w:p w14:paraId="60C52E15">
                  <w:pPr>
                    <w:jc w:val="center"/>
                    <w:rPr>
                      <w:color w:val="auto"/>
                      <w:szCs w:val="21"/>
                    </w:rPr>
                  </w:pPr>
                  <w:r>
                    <w:rPr>
                      <w:color w:val="auto"/>
                      <w:szCs w:val="21"/>
                    </w:rPr>
                    <w:t>H</w:t>
                  </w:r>
                  <w:r>
                    <w:rPr>
                      <w:color w:val="auto"/>
                      <w:szCs w:val="21"/>
                      <w:vertAlign w:val="subscript"/>
                    </w:rPr>
                    <w:t>2</w:t>
                  </w:r>
                  <w:r>
                    <w:rPr>
                      <w:color w:val="auto"/>
                      <w:szCs w:val="21"/>
                    </w:rPr>
                    <w:t>S</w:t>
                  </w:r>
                </w:p>
              </w:tc>
              <w:tc>
                <w:tcPr>
                  <w:tcW w:w="1004" w:type="dxa"/>
                  <w:vAlign w:val="center"/>
                </w:tcPr>
                <w:p w14:paraId="0785B9F8">
                  <w:pPr>
                    <w:jc w:val="center"/>
                    <w:rPr>
                      <w:color w:val="auto"/>
                      <w:szCs w:val="21"/>
                    </w:rPr>
                  </w:pPr>
                  <w:r>
                    <w:rPr>
                      <w:rFonts w:hint="eastAsia"/>
                      <w:color w:val="auto"/>
                      <w:szCs w:val="21"/>
                    </w:rPr>
                    <w:t>0.000042</w:t>
                  </w:r>
                </w:p>
              </w:tc>
              <w:tc>
                <w:tcPr>
                  <w:tcW w:w="2227" w:type="dxa"/>
                  <w:vMerge w:val="continue"/>
                  <w:vAlign w:val="center"/>
                </w:tcPr>
                <w:p w14:paraId="303C0682">
                  <w:pPr>
                    <w:jc w:val="center"/>
                    <w:rPr>
                      <w:color w:val="auto"/>
                      <w:szCs w:val="21"/>
                    </w:rPr>
                  </w:pPr>
                </w:p>
              </w:tc>
              <w:tc>
                <w:tcPr>
                  <w:tcW w:w="1108" w:type="dxa"/>
                  <w:vAlign w:val="center"/>
                </w:tcPr>
                <w:p w14:paraId="09D27189">
                  <w:pPr>
                    <w:jc w:val="center"/>
                    <w:rPr>
                      <w:color w:val="auto"/>
                      <w:szCs w:val="21"/>
                    </w:rPr>
                  </w:pPr>
                  <w:r>
                    <w:rPr>
                      <w:rFonts w:hint="eastAsia"/>
                      <w:color w:val="auto"/>
                      <w:szCs w:val="21"/>
                    </w:rPr>
                    <w:t>0.000017</w:t>
                  </w:r>
                </w:p>
              </w:tc>
            </w:tr>
            <w:tr w14:paraId="684C84BA">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69" w:type="dxa"/>
                  <w:vMerge w:val="restart"/>
                  <w:vAlign w:val="center"/>
                </w:tcPr>
                <w:p w14:paraId="493337CE">
                  <w:pPr>
                    <w:jc w:val="center"/>
                    <w:rPr>
                      <w:color w:val="auto"/>
                      <w:szCs w:val="21"/>
                      <w:lang w:bidi="ar"/>
                    </w:rPr>
                  </w:pPr>
                  <w:r>
                    <w:rPr>
                      <w:rFonts w:hint="eastAsia"/>
                      <w:color w:val="auto"/>
                      <w:szCs w:val="21"/>
                    </w:rPr>
                    <w:t>四街卫生院</w:t>
                  </w:r>
                  <w:r>
                    <w:rPr>
                      <w:color w:val="auto"/>
                      <w:szCs w:val="21"/>
                    </w:rPr>
                    <w:t>污水处理站</w:t>
                  </w:r>
                </w:p>
              </w:tc>
              <w:tc>
                <w:tcPr>
                  <w:tcW w:w="1134" w:type="dxa"/>
                  <w:vMerge w:val="restart"/>
                  <w:vAlign w:val="center"/>
                </w:tcPr>
                <w:p w14:paraId="4CF0C37C">
                  <w:pPr>
                    <w:jc w:val="center"/>
                    <w:rPr>
                      <w:color w:val="auto"/>
                      <w:szCs w:val="21"/>
                    </w:rPr>
                  </w:pPr>
                  <w:r>
                    <w:rPr>
                      <w:rFonts w:hint="eastAsia"/>
                      <w:color w:val="auto"/>
                      <w:szCs w:val="21"/>
                    </w:rPr>
                    <w:t>13.475</w:t>
                  </w:r>
                </w:p>
              </w:tc>
              <w:tc>
                <w:tcPr>
                  <w:tcW w:w="989" w:type="dxa"/>
                  <w:vMerge w:val="restart"/>
                  <w:vAlign w:val="center"/>
                </w:tcPr>
                <w:p w14:paraId="4B884A3B">
                  <w:pPr>
                    <w:jc w:val="center"/>
                    <w:rPr>
                      <w:color w:val="auto"/>
                      <w:szCs w:val="21"/>
                      <w:lang w:bidi="ar"/>
                    </w:rPr>
                  </w:pPr>
                  <w:r>
                    <w:rPr>
                      <w:rFonts w:hint="eastAsia"/>
                      <w:color w:val="auto"/>
                      <w:szCs w:val="21"/>
                      <w:lang w:bidi="ar"/>
                    </w:rPr>
                    <w:t>1830</w:t>
                  </w:r>
                </w:p>
              </w:tc>
              <w:tc>
                <w:tcPr>
                  <w:tcW w:w="1115" w:type="dxa"/>
                  <w:vAlign w:val="center"/>
                </w:tcPr>
                <w:p w14:paraId="46949FA3">
                  <w:pPr>
                    <w:jc w:val="center"/>
                    <w:rPr>
                      <w:color w:val="auto"/>
                      <w:szCs w:val="21"/>
                    </w:rPr>
                  </w:pPr>
                  <w:r>
                    <w:rPr>
                      <w:color w:val="auto"/>
                      <w:szCs w:val="21"/>
                    </w:rPr>
                    <w:t>NH</w:t>
                  </w:r>
                  <w:r>
                    <w:rPr>
                      <w:color w:val="auto"/>
                      <w:szCs w:val="21"/>
                      <w:vertAlign w:val="subscript"/>
                    </w:rPr>
                    <w:t>3</w:t>
                  </w:r>
                </w:p>
              </w:tc>
              <w:tc>
                <w:tcPr>
                  <w:tcW w:w="1004" w:type="dxa"/>
                  <w:vAlign w:val="center"/>
                </w:tcPr>
                <w:p w14:paraId="4EBD00C3">
                  <w:pPr>
                    <w:jc w:val="center"/>
                    <w:rPr>
                      <w:color w:val="auto"/>
                      <w:szCs w:val="21"/>
                    </w:rPr>
                  </w:pPr>
                  <w:r>
                    <w:rPr>
                      <w:rFonts w:hint="eastAsia"/>
                      <w:color w:val="auto"/>
                      <w:szCs w:val="21"/>
                    </w:rPr>
                    <w:t>0.00208</w:t>
                  </w:r>
                </w:p>
              </w:tc>
              <w:tc>
                <w:tcPr>
                  <w:tcW w:w="2227" w:type="dxa"/>
                  <w:vMerge w:val="restart"/>
                  <w:vAlign w:val="center"/>
                </w:tcPr>
                <w:p w14:paraId="43D31CCB">
                  <w:pPr>
                    <w:jc w:val="center"/>
                    <w:rPr>
                      <w:color w:val="auto"/>
                      <w:szCs w:val="21"/>
                    </w:rPr>
                  </w:pPr>
                  <w:r>
                    <w:rPr>
                      <w:rFonts w:hint="eastAsia"/>
                      <w:color w:val="auto"/>
                      <w:kern w:val="0"/>
                      <w:szCs w:val="21"/>
                      <w:lang w:bidi="ar"/>
                    </w:rPr>
                    <w:t>位于地下一层，</w:t>
                  </w:r>
                  <w:r>
                    <w:rPr>
                      <w:color w:val="auto"/>
                      <w:kern w:val="0"/>
                      <w:szCs w:val="21"/>
                      <w:lang w:bidi="ar"/>
                    </w:rPr>
                    <w:t>地埋式，加盖密</w:t>
                  </w:r>
                  <w:r>
                    <w:rPr>
                      <w:rFonts w:hint="eastAsia"/>
                      <w:color w:val="auto"/>
                      <w:kern w:val="0"/>
                      <w:szCs w:val="21"/>
                      <w:lang w:bidi="ar"/>
                    </w:rPr>
                    <w:t>闭，在盖板上留有换气口，投放除臭剂（采取以上措施后，恶臭气体去除效率取60%）</w:t>
                  </w:r>
                </w:p>
              </w:tc>
              <w:tc>
                <w:tcPr>
                  <w:tcW w:w="1108" w:type="dxa"/>
                  <w:vAlign w:val="center"/>
                </w:tcPr>
                <w:p w14:paraId="15047D6D">
                  <w:pPr>
                    <w:jc w:val="center"/>
                    <w:rPr>
                      <w:color w:val="auto"/>
                      <w:szCs w:val="21"/>
                    </w:rPr>
                  </w:pPr>
                  <w:r>
                    <w:rPr>
                      <w:rFonts w:hint="eastAsia"/>
                      <w:color w:val="auto"/>
                      <w:szCs w:val="21"/>
                    </w:rPr>
                    <w:t>0.00083</w:t>
                  </w:r>
                </w:p>
              </w:tc>
            </w:tr>
            <w:tr w14:paraId="2E550E09">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69" w:type="dxa"/>
                  <w:vMerge w:val="continue"/>
                  <w:vAlign w:val="center"/>
                </w:tcPr>
                <w:p w14:paraId="5A8CD45F">
                  <w:pPr>
                    <w:jc w:val="center"/>
                    <w:rPr>
                      <w:color w:val="auto"/>
                      <w:szCs w:val="21"/>
                      <w:lang w:bidi="ar"/>
                    </w:rPr>
                  </w:pPr>
                </w:p>
              </w:tc>
              <w:tc>
                <w:tcPr>
                  <w:tcW w:w="1134" w:type="dxa"/>
                  <w:vMerge w:val="continue"/>
                  <w:vAlign w:val="center"/>
                </w:tcPr>
                <w:p w14:paraId="67BC2391">
                  <w:pPr>
                    <w:jc w:val="center"/>
                    <w:rPr>
                      <w:color w:val="auto"/>
                      <w:szCs w:val="21"/>
                    </w:rPr>
                  </w:pPr>
                </w:p>
              </w:tc>
              <w:tc>
                <w:tcPr>
                  <w:tcW w:w="989" w:type="dxa"/>
                  <w:vMerge w:val="continue"/>
                  <w:vAlign w:val="center"/>
                </w:tcPr>
                <w:p w14:paraId="37AD5076">
                  <w:pPr>
                    <w:jc w:val="center"/>
                    <w:rPr>
                      <w:color w:val="auto"/>
                      <w:szCs w:val="21"/>
                      <w:lang w:bidi="ar"/>
                    </w:rPr>
                  </w:pPr>
                </w:p>
              </w:tc>
              <w:tc>
                <w:tcPr>
                  <w:tcW w:w="1115" w:type="dxa"/>
                  <w:vAlign w:val="center"/>
                </w:tcPr>
                <w:p w14:paraId="0EF49018">
                  <w:pPr>
                    <w:jc w:val="center"/>
                    <w:rPr>
                      <w:color w:val="auto"/>
                      <w:szCs w:val="21"/>
                    </w:rPr>
                  </w:pPr>
                  <w:r>
                    <w:rPr>
                      <w:color w:val="auto"/>
                      <w:szCs w:val="21"/>
                    </w:rPr>
                    <w:t>H</w:t>
                  </w:r>
                  <w:r>
                    <w:rPr>
                      <w:color w:val="auto"/>
                      <w:szCs w:val="21"/>
                      <w:vertAlign w:val="subscript"/>
                    </w:rPr>
                    <w:t>2</w:t>
                  </w:r>
                  <w:r>
                    <w:rPr>
                      <w:color w:val="auto"/>
                      <w:szCs w:val="21"/>
                    </w:rPr>
                    <w:t>S</w:t>
                  </w:r>
                </w:p>
              </w:tc>
              <w:tc>
                <w:tcPr>
                  <w:tcW w:w="1004" w:type="dxa"/>
                  <w:vAlign w:val="center"/>
                </w:tcPr>
                <w:p w14:paraId="5748984C">
                  <w:pPr>
                    <w:jc w:val="center"/>
                    <w:rPr>
                      <w:color w:val="auto"/>
                      <w:szCs w:val="21"/>
                    </w:rPr>
                  </w:pPr>
                  <w:r>
                    <w:rPr>
                      <w:rFonts w:hint="eastAsia"/>
                      <w:color w:val="auto"/>
                      <w:szCs w:val="21"/>
                    </w:rPr>
                    <w:t>0.000081</w:t>
                  </w:r>
                </w:p>
              </w:tc>
              <w:tc>
                <w:tcPr>
                  <w:tcW w:w="2227" w:type="dxa"/>
                  <w:vMerge w:val="continue"/>
                  <w:vAlign w:val="center"/>
                </w:tcPr>
                <w:p w14:paraId="17078290">
                  <w:pPr>
                    <w:jc w:val="center"/>
                    <w:rPr>
                      <w:color w:val="auto"/>
                      <w:szCs w:val="21"/>
                    </w:rPr>
                  </w:pPr>
                </w:p>
              </w:tc>
              <w:tc>
                <w:tcPr>
                  <w:tcW w:w="1108" w:type="dxa"/>
                  <w:vAlign w:val="center"/>
                </w:tcPr>
                <w:p w14:paraId="162897D2">
                  <w:pPr>
                    <w:jc w:val="center"/>
                    <w:rPr>
                      <w:color w:val="auto"/>
                      <w:szCs w:val="21"/>
                    </w:rPr>
                  </w:pPr>
                  <w:r>
                    <w:rPr>
                      <w:rFonts w:hint="eastAsia"/>
                      <w:color w:val="auto"/>
                      <w:szCs w:val="21"/>
                    </w:rPr>
                    <w:t>0.000032</w:t>
                  </w:r>
                </w:p>
              </w:tc>
            </w:tr>
            <w:tr w14:paraId="209637D3">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69" w:type="dxa"/>
                  <w:vMerge w:val="restart"/>
                  <w:vAlign w:val="center"/>
                </w:tcPr>
                <w:p w14:paraId="10083255">
                  <w:pPr>
                    <w:jc w:val="center"/>
                    <w:rPr>
                      <w:color w:val="auto"/>
                      <w:szCs w:val="21"/>
                      <w:lang w:bidi="ar"/>
                    </w:rPr>
                  </w:pPr>
                  <w:r>
                    <w:rPr>
                      <w:rFonts w:hint="eastAsia"/>
                      <w:color w:val="auto"/>
                      <w:szCs w:val="21"/>
                      <w:lang w:bidi="ar"/>
                    </w:rPr>
                    <w:t>九龙卫生院污水处理站</w:t>
                  </w:r>
                </w:p>
              </w:tc>
              <w:tc>
                <w:tcPr>
                  <w:tcW w:w="1134" w:type="dxa"/>
                  <w:vMerge w:val="restart"/>
                  <w:vAlign w:val="center"/>
                </w:tcPr>
                <w:p w14:paraId="257FB029">
                  <w:pPr>
                    <w:jc w:val="center"/>
                    <w:rPr>
                      <w:color w:val="auto"/>
                      <w:szCs w:val="21"/>
                    </w:rPr>
                  </w:pPr>
                  <w:r>
                    <w:rPr>
                      <w:rFonts w:hint="eastAsia"/>
                      <w:color w:val="auto"/>
                      <w:szCs w:val="21"/>
                    </w:rPr>
                    <w:t>16.175</w:t>
                  </w:r>
                </w:p>
              </w:tc>
              <w:tc>
                <w:tcPr>
                  <w:tcW w:w="989" w:type="dxa"/>
                  <w:vMerge w:val="restart"/>
                  <w:vAlign w:val="center"/>
                </w:tcPr>
                <w:p w14:paraId="2E95E119">
                  <w:pPr>
                    <w:jc w:val="center"/>
                    <w:rPr>
                      <w:color w:val="auto"/>
                      <w:szCs w:val="21"/>
                      <w:lang w:bidi="ar"/>
                    </w:rPr>
                  </w:pPr>
                  <w:r>
                    <w:rPr>
                      <w:rFonts w:hint="eastAsia"/>
                      <w:color w:val="auto"/>
                      <w:szCs w:val="21"/>
                      <w:lang w:bidi="ar"/>
                    </w:rPr>
                    <w:t>2197</w:t>
                  </w:r>
                </w:p>
              </w:tc>
              <w:tc>
                <w:tcPr>
                  <w:tcW w:w="1115" w:type="dxa"/>
                  <w:vAlign w:val="center"/>
                </w:tcPr>
                <w:p w14:paraId="46E94B82">
                  <w:pPr>
                    <w:jc w:val="center"/>
                    <w:rPr>
                      <w:color w:val="auto"/>
                      <w:szCs w:val="21"/>
                    </w:rPr>
                  </w:pPr>
                  <w:r>
                    <w:rPr>
                      <w:color w:val="auto"/>
                      <w:szCs w:val="21"/>
                    </w:rPr>
                    <w:t>NH</w:t>
                  </w:r>
                  <w:r>
                    <w:rPr>
                      <w:color w:val="auto"/>
                      <w:szCs w:val="21"/>
                      <w:vertAlign w:val="subscript"/>
                    </w:rPr>
                    <w:t>3</w:t>
                  </w:r>
                </w:p>
              </w:tc>
              <w:tc>
                <w:tcPr>
                  <w:tcW w:w="1004" w:type="dxa"/>
                  <w:vAlign w:val="center"/>
                </w:tcPr>
                <w:p w14:paraId="7F028261">
                  <w:pPr>
                    <w:jc w:val="center"/>
                    <w:rPr>
                      <w:color w:val="auto"/>
                      <w:szCs w:val="21"/>
                    </w:rPr>
                  </w:pPr>
                  <w:r>
                    <w:rPr>
                      <w:rFonts w:hint="eastAsia"/>
                      <w:color w:val="auto"/>
                      <w:szCs w:val="21"/>
                    </w:rPr>
                    <w:t>0.0025</w:t>
                  </w:r>
                </w:p>
              </w:tc>
              <w:tc>
                <w:tcPr>
                  <w:tcW w:w="2227" w:type="dxa"/>
                  <w:vMerge w:val="restart"/>
                  <w:vAlign w:val="center"/>
                </w:tcPr>
                <w:p w14:paraId="1E50C05F">
                  <w:pPr>
                    <w:jc w:val="center"/>
                    <w:rPr>
                      <w:color w:val="auto"/>
                      <w:szCs w:val="21"/>
                    </w:rPr>
                  </w:pPr>
                  <w:r>
                    <w:rPr>
                      <w:rFonts w:hint="eastAsia"/>
                      <w:color w:val="auto"/>
                      <w:kern w:val="0"/>
                      <w:szCs w:val="21"/>
                      <w:lang w:bidi="ar"/>
                    </w:rPr>
                    <w:t>位于地下一层，</w:t>
                  </w:r>
                  <w:r>
                    <w:rPr>
                      <w:color w:val="auto"/>
                      <w:kern w:val="0"/>
                      <w:szCs w:val="21"/>
                      <w:lang w:bidi="ar"/>
                    </w:rPr>
                    <w:t>地埋式，加盖密</w:t>
                  </w:r>
                  <w:r>
                    <w:rPr>
                      <w:rFonts w:hint="eastAsia"/>
                      <w:color w:val="auto"/>
                      <w:kern w:val="0"/>
                      <w:szCs w:val="21"/>
                      <w:lang w:bidi="ar"/>
                    </w:rPr>
                    <w:t>闭，在盖板上留有换气口，投放除臭剂（采取以上措施后，恶臭气体去除效率取60%）</w:t>
                  </w:r>
                </w:p>
              </w:tc>
              <w:tc>
                <w:tcPr>
                  <w:tcW w:w="1108" w:type="dxa"/>
                  <w:vAlign w:val="center"/>
                </w:tcPr>
                <w:p w14:paraId="1AF0BD2D">
                  <w:pPr>
                    <w:jc w:val="center"/>
                    <w:rPr>
                      <w:color w:val="auto"/>
                      <w:szCs w:val="21"/>
                    </w:rPr>
                  </w:pPr>
                  <w:r>
                    <w:rPr>
                      <w:rFonts w:hint="eastAsia"/>
                      <w:color w:val="auto"/>
                      <w:szCs w:val="21"/>
                    </w:rPr>
                    <w:t>0.0001</w:t>
                  </w:r>
                </w:p>
              </w:tc>
            </w:tr>
            <w:tr w14:paraId="47DE0EF5">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69" w:type="dxa"/>
                  <w:vMerge w:val="continue"/>
                  <w:vAlign w:val="center"/>
                </w:tcPr>
                <w:p w14:paraId="3DE85047">
                  <w:pPr>
                    <w:jc w:val="center"/>
                    <w:rPr>
                      <w:color w:val="auto"/>
                      <w:szCs w:val="21"/>
                      <w:lang w:bidi="ar"/>
                    </w:rPr>
                  </w:pPr>
                </w:p>
              </w:tc>
              <w:tc>
                <w:tcPr>
                  <w:tcW w:w="1134" w:type="dxa"/>
                  <w:vMerge w:val="continue"/>
                  <w:vAlign w:val="center"/>
                </w:tcPr>
                <w:p w14:paraId="145C773B">
                  <w:pPr>
                    <w:jc w:val="center"/>
                    <w:rPr>
                      <w:color w:val="auto"/>
                      <w:szCs w:val="21"/>
                    </w:rPr>
                  </w:pPr>
                </w:p>
              </w:tc>
              <w:tc>
                <w:tcPr>
                  <w:tcW w:w="989" w:type="dxa"/>
                  <w:vMerge w:val="continue"/>
                  <w:vAlign w:val="center"/>
                </w:tcPr>
                <w:p w14:paraId="3A56D831">
                  <w:pPr>
                    <w:jc w:val="center"/>
                    <w:rPr>
                      <w:color w:val="auto"/>
                      <w:szCs w:val="21"/>
                      <w:lang w:bidi="ar"/>
                    </w:rPr>
                  </w:pPr>
                </w:p>
              </w:tc>
              <w:tc>
                <w:tcPr>
                  <w:tcW w:w="1115" w:type="dxa"/>
                  <w:vAlign w:val="center"/>
                </w:tcPr>
                <w:p w14:paraId="30B0ADC3">
                  <w:pPr>
                    <w:jc w:val="center"/>
                    <w:rPr>
                      <w:color w:val="auto"/>
                      <w:szCs w:val="21"/>
                    </w:rPr>
                  </w:pPr>
                  <w:r>
                    <w:rPr>
                      <w:color w:val="auto"/>
                      <w:szCs w:val="21"/>
                    </w:rPr>
                    <w:t>H</w:t>
                  </w:r>
                  <w:r>
                    <w:rPr>
                      <w:color w:val="auto"/>
                      <w:szCs w:val="21"/>
                      <w:vertAlign w:val="subscript"/>
                    </w:rPr>
                    <w:t>2</w:t>
                  </w:r>
                  <w:r>
                    <w:rPr>
                      <w:color w:val="auto"/>
                      <w:szCs w:val="21"/>
                    </w:rPr>
                    <w:t>S</w:t>
                  </w:r>
                </w:p>
              </w:tc>
              <w:tc>
                <w:tcPr>
                  <w:tcW w:w="1004" w:type="dxa"/>
                  <w:vAlign w:val="center"/>
                </w:tcPr>
                <w:p w14:paraId="0506E324">
                  <w:pPr>
                    <w:jc w:val="center"/>
                    <w:rPr>
                      <w:color w:val="auto"/>
                      <w:szCs w:val="21"/>
                    </w:rPr>
                  </w:pPr>
                  <w:r>
                    <w:rPr>
                      <w:rFonts w:hint="eastAsia"/>
                      <w:color w:val="auto"/>
                      <w:szCs w:val="21"/>
                    </w:rPr>
                    <w:t>0.000097</w:t>
                  </w:r>
                </w:p>
              </w:tc>
              <w:tc>
                <w:tcPr>
                  <w:tcW w:w="2227" w:type="dxa"/>
                  <w:vMerge w:val="continue"/>
                  <w:vAlign w:val="center"/>
                </w:tcPr>
                <w:p w14:paraId="744492A0">
                  <w:pPr>
                    <w:jc w:val="center"/>
                    <w:rPr>
                      <w:color w:val="auto"/>
                      <w:szCs w:val="21"/>
                    </w:rPr>
                  </w:pPr>
                </w:p>
              </w:tc>
              <w:tc>
                <w:tcPr>
                  <w:tcW w:w="1108" w:type="dxa"/>
                  <w:vAlign w:val="center"/>
                </w:tcPr>
                <w:p w14:paraId="05B9E6F6">
                  <w:pPr>
                    <w:jc w:val="center"/>
                    <w:rPr>
                      <w:color w:val="auto"/>
                      <w:szCs w:val="21"/>
                    </w:rPr>
                  </w:pPr>
                  <w:r>
                    <w:rPr>
                      <w:rFonts w:hint="eastAsia"/>
                      <w:color w:val="auto"/>
                      <w:szCs w:val="21"/>
                    </w:rPr>
                    <w:t>0.000039</w:t>
                  </w:r>
                </w:p>
              </w:tc>
            </w:tr>
            <w:tr w14:paraId="3EEC1D21">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blHeader/>
                <w:jc w:val="center"/>
              </w:trPr>
              <w:tc>
                <w:tcPr>
                  <w:tcW w:w="869" w:type="dxa"/>
                  <w:vMerge w:val="restart"/>
                  <w:vAlign w:val="center"/>
                </w:tcPr>
                <w:p w14:paraId="2CF0B18F">
                  <w:pPr>
                    <w:jc w:val="center"/>
                    <w:rPr>
                      <w:color w:val="auto"/>
                      <w:szCs w:val="21"/>
                      <w:lang w:bidi="ar"/>
                    </w:rPr>
                  </w:pPr>
                  <w:r>
                    <w:rPr>
                      <w:rFonts w:hint="eastAsia"/>
                      <w:color w:val="auto"/>
                      <w:szCs w:val="21"/>
                      <w:lang w:bidi="ar"/>
                    </w:rPr>
                    <w:t>杨广卫生院污水处理站</w:t>
                  </w:r>
                </w:p>
              </w:tc>
              <w:tc>
                <w:tcPr>
                  <w:tcW w:w="1134" w:type="dxa"/>
                  <w:vMerge w:val="restart"/>
                  <w:vAlign w:val="center"/>
                </w:tcPr>
                <w:p w14:paraId="28D88BA6">
                  <w:pPr>
                    <w:jc w:val="center"/>
                    <w:rPr>
                      <w:color w:val="auto"/>
                      <w:szCs w:val="21"/>
                    </w:rPr>
                  </w:pPr>
                  <w:r>
                    <w:rPr>
                      <w:rFonts w:hint="eastAsia"/>
                      <w:color w:val="auto"/>
                      <w:szCs w:val="21"/>
                    </w:rPr>
                    <w:t>6.805</w:t>
                  </w:r>
                </w:p>
              </w:tc>
              <w:tc>
                <w:tcPr>
                  <w:tcW w:w="989" w:type="dxa"/>
                  <w:vMerge w:val="restart"/>
                  <w:vAlign w:val="center"/>
                </w:tcPr>
                <w:p w14:paraId="16722AD6">
                  <w:pPr>
                    <w:jc w:val="center"/>
                    <w:rPr>
                      <w:color w:val="auto"/>
                      <w:szCs w:val="21"/>
                      <w:lang w:bidi="ar"/>
                    </w:rPr>
                  </w:pPr>
                  <w:r>
                    <w:rPr>
                      <w:rFonts w:hint="eastAsia"/>
                      <w:color w:val="auto"/>
                      <w:szCs w:val="21"/>
                      <w:lang w:bidi="ar"/>
                    </w:rPr>
                    <w:t>924</w:t>
                  </w:r>
                </w:p>
              </w:tc>
              <w:tc>
                <w:tcPr>
                  <w:tcW w:w="1115" w:type="dxa"/>
                  <w:vAlign w:val="center"/>
                </w:tcPr>
                <w:p w14:paraId="34E20AD1">
                  <w:pPr>
                    <w:jc w:val="center"/>
                    <w:rPr>
                      <w:color w:val="auto"/>
                      <w:szCs w:val="21"/>
                    </w:rPr>
                  </w:pPr>
                  <w:r>
                    <w:rPr>
                      <w:color w:val="auto"/>
                      <w:szCs w:val="21"/>
                    </w:rPr>
                    <w:t>NH</w:t>
                  </w:r>
                  <w:r>
                    <w:rPr>
                      <w:color w:val="auto"/>
                      <w:szCs w:val="21"/>
                      <w:vertAlign w:val="subscript"/>
                    </w:rPr>
                    <w:t>3</w:t>
                  </w:r>
                </w:p>
              </w:tc>
              <w:tc>
                <w:tcPr>
                  <w:tcW w:w="1004" w:type="dxa"/>
                  <w:vAlign w:val="center"/>
                </w:tcPr>
                <w:p w14:paraId="5EC5BACE">
                  <w:pPr>
                    <w:jc w:val="center"/>
                    <w:rPr>
                      <w:color w:val="auto"/>
                      <w:szCs w:val="21"/>
                    </w:rPr>
                  </w:pPr>
                  <w:r>
                    <w:rPr>
                      <w:rFonts w:hint="eastAsia"/>
                      <w:color w:val="auto"/>
                      <w:szCs w:val="21"/>
                    </w:rPr>
                    <w:t>0.00105</w:t>
                  </w:r>
                </w:p>
              </w:tc>
              <w:tc>
                <w:tcPr>
                  <w:tcW w:w="2227" w:type="dxa"/>
                  <w:vMerge w:val="restart"/>
                  <w:vAlign w:val="center"/>
                </w:tcPr>
                <w:p w14:paraId="629C6A98">
                  <w:pPr>
                    <w:jc w:val="center"/>
                    <w:rPr>
                      <w:color w:val="auto"/>
                      <w:szCs w:val="21"/>
                    </w:rPr>
                  </w:pPr>
                  <w:r>
                    <w:rPr>
                      <w:rFonts w:hint="eastAsia"/>
                      <w:color w:val="auto"/>
                      <w:szCs w:val="21"/>
                    </w:rPr>
                    <w:t>位于地下一层，</w:t>
                  </w:r>
                  <w:r>
                    <w:rPr>
                      <w:color w:val="auto"/>
                      <w:szCs w:val="21"/>
                    </w:rPr>
                    <w:t>地埋式，加盖密</w:t>
                  </w:r>
                  <w:r>
                    <w:rPr>
                      <w:rFonts w:hint="eastAsia"/>
                      <w:color w:val="auto"/>
                      <w:szCs w:val="21"/>
                    </w:rPr>
                    <w:t>闭，在盖板上留有换气口，投放除臭剂（采取以上措施后，恶臭气体去除效率取60%）</w:t>
                  </w:r>
                </w:p>
              </w:tc>
              <w:tc>
                <w:tcPr>
                  <w:tcW w:w="1108" w:type="dxa"/>
                  <w:vAlign w:val="center"/>
                </w:tcPr>
                <w:p w14:paraId="25B2296E">
                  <w:pPr>
                    <w:jc w:val="center"/>
                    <w:rPr>
                      <w:color w:val="auto"/>
                      <w:szCs w:val="21"/>
                    </w:rPr>
                  </w:pPr>
                  <w:r>
                    <w:rPr>
                      <w:rFonts w:hint="eastAsia"/>
                      <w:color w:val="auto"/>
                      <w:szCs w:val="21"/>
                    </w:rPr>
                    <w:t>0.00042</w:t>
                  </w:r>
                </w:p>
              </w:tc>
            </w:tr>
            <w:tr w14:paraId="604D5D0F">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69" w:type="dxa"/>
                  <w:vMerge w:val="continue"/>
                  <w:vAlign w:val="center"/>
                </w:tcPr>
                <w:p w14:paraId="03264F5D">
                  <w:pPr>
                    <w:jc w:val="center"/>
                    <w:rPr>
                      <w:color w:val="auto"/>
                      <w:szCs w:val="21"/>
                      <w:lang w:bidi="ar"/>
                    </w:rPr>
                  </w:pPr>
                </w:p>
              </w:tc>
              <w:tc>
                <w:tcPr>
                  <w:tcW w:w="1134" w:type="dxa"/>
                  <w:vMerge w:val="continue"/>
                  <w:vAlign w:val="center"/>
                </w:tcPr>
                <w:p w14:paraId="6FBF4420">
                  <w:pPr>
                    <w:jc w:val="center"/>
                    <w:rPr>
                      <w:color w:val="auto"/>
                      <w:szCs w:val="21"/>
                    </w:rPr>
                  </w:pPr>
                </w:p>
              </w:tc>
              <w:tc>
                <w:tcPr>
                  <w:tcW w:w="989" w:type="dxa"/>
                  <w:vMerge w:val="continue"/>
                  <w:vAlign w:val="center"/>
                </w:tcPr>
                <w:p w14:paraId="17A57950">
                  <w:pPr>
                    <w:jc w:val="center"/>
                    <w:rPr>
                      <w:color w:val="auto"/>
                      <w:szCs w:val="21"/>
                      <w:lang w:bidi="ar"/>
                    </w:rPr>
                  </w:pPr>
                </w:p>
              </w:tc>
              <w:tc>
                <w:tcPr>
                  <w:tcW w:w="1115" w:type="dxa"/>
                  <w:vAlign w:val="center"/>
                </w:tcPr>
                <w:p w14:paraId="422BBC04">
                  <w:pPr>
                    <w:jc w:val="center"/>
                    <w:rPr>
                      <w:color w:val="auto"/>
                      <w:szCs w:val="21"/>
                    </w:rPr>
                  </w:pPr>
                  <w:r>
                    <w:rPr>
                      <w:color w:val="auto"/>
                      <w:szCs w:val="21"/>
                    </w:rPr>
                    <w:t>H</w:t>
                  </w:r>
                  <w:r>
                    <w:rPr>
                      <w:color w:val="auto"/>
                      <w:szCs w:val="21"/>
                      <w:vertAlign w:val="subscript"/>
                    </w:rPr>
                    <w:t>2</w:t>
                  </w:r>
                  <w:r>
                    <w:rPr>
                      <w:color w:val="auto"/>
                      <w:szCs w:val="21"/>
                    </w:rPr>
                    <w:t>S</w:t>
                  </w:r>
                </w:p>
              </w:tc>
              <w:tc>
                <w:tcPr>
                  <w:tcW w:w="1004" w:type="dxa"/>
                  <w:vAlign w:val="center"/>
                </w:tcPr>
                <w:p w14:paraId="22D8CA02">
                  <w:pPr>
                    <w:jc w:val="center"/>
                    <w:rPr>
                      <w:color w:val="auto"/>
                      <w:szCs w:val="21"/>
                    </w:rPr>
                  </w:pPr>
                  <w:r>
                    <w:rPr>
                      <w:rFonts w:hint="eastAsia"/>
                      <w:color w:val="auto"/>
                      <w:szCs w:val="21"/>
                    </w:rPr>
                    <w:t>0.000041</w:t>
                  </w:r>
                </w:p>
              </w:tc>
              <w:tc>
                <w:tcPr>
                  <w:tcW w:w="2227" w:type="dxa"/>
                  <w:vMerge w:val="continue"/>
                  <w:vAlign w:val="center"/>
                </w:tcPr>
                <w:p w14:paraId="71CA7F6C">
                  <w:pPr>
                    <w:jc w:val="center"/>
                    <w:rPr>
                      <w:color w:val="auto"/>
                      <w:szCs w:val="21"/>
                    </w:rPr>
                  </w:pPr>
                </w:p>
              </w:tc>
              <w:tc>
                <w:tcPr>
                  <w:tcW w:w="1108" w:type="dxa"/>
                  <w:vAlign w:val="center"/>
                </w:tcPr>
                <w:p w14:paraId="00874421">
                  <w:pPr>
                    <w:jc w:val="center"/>
                    <w:rPr>
                      <w:color w:val="auto"/>
                      <w:szCs w:val="21"/>
                    </w:rPr>
                  </w:pPr>
                  <w:r>
                    <w:rPr>
                      <w:rFonts w:hint="eastAsia"/>
                      <w:color w:val="auto"/>
                      <w:szCs w:val="21"/>
                    </w:rPr>
                    <w:t>0.000016</w:t>
                  </w:r>
                </w:p>
              </w:tc>
            </w:tr>
          </w:tbl>
          <w:p w14:paraId="12F7F5B3">
            <w:pPr>
              <w:widowControl/>
              <w:spacing w:line="360" w:lineRule="auto"/>
              <w:ind w:firstLine="480" w:firstLineChars="200"/>
              <w:jc w:val="left"/>
              <w:rPr>
                <w:color w:val="auto"/>
                <w:kern w:val="0"/>
                <w:sz w:val="24"/>
                <w:lang w:bidi="ar"/>
              </w:rPr>
            </w:pPr>
            <w:r>
              <w:rPr>
                <w:color w:val="auto"/>
                <w:kern w:val="0"/>
                <w:sz w:val="24"/>
                <w:lang w:bidi="ar"/>
              </w:rPr>
              <w:t>本项目在污水处理</w:t>
            </w:r>
            <w:r>
              <w:rPr>
                <w:rFonts w:hint="eastAsia"/>
                <w:color w:val="auto"/>
                <w:kern w:val="0"/>
                <w:sz w:val="24"/>
                <w:lang w:bidi="ar"/>
              </w:rPr>
              <w:t>站</w:t>
            </w:r>
            <w:r>
              <w:rPr>
                <w:color w:val="auto"/>
                <w:kern w:val="0"/>
                <w:sz w:val="24"/>
                <w:lang w:bidi="ar"/>
              </w:rPr>
              <w:t>定期（应至少每周一次）投放消毒剂和除臭剂。定期投放除臭剂对污水处理站恶臭气体的去除效率取60%，则</w:t>
            </w:r>
            <w:r>
              <w:rPr>
                <w:rFonts w:hint="eastAsia"/>
                <w:color w:val="auto"/>
                <w:kern w:val="0"/>
                <w:sz w:val="24"/>
                <w:lang w:bidi="ar"/>
              </w:rPr>
              <w:t>纳古卫生院污水处理站</w:t>
            </w:r>
            <w:r>
              <w:rPr>
                <w:color w:val="auto"/>
                <w:kern w:val="0"/>
                <w:sz w:val="24"/>
                <w:lang w:bidi="ar"/>
              </w:rPr>
              <w:t>NH</w:t>
            </w:r>
            <w:r>
              <w:rPr>
                <w:color w:val="auto"/>
                <w:kern w:val="0"/>
                <w:sz w:val="16"/>
                <w:szCs w:val="16"/>
                <w:lang w:bidi="ar"/>
              </w:rPr>
              <w:t xml:space="preserve">3 </w:t>
            </w:r>
            <w:r>
              <w:rPr>
                <w:color w:val="auto"/>
                <w:kern w:val="0"/>
                <w:sz w:val="24"/>
                <w:lang w:bidi="ar"/>
              </w:rPr>
              <w:t>排放量为</w:t>
            </w:r>
            <w:r>
              <w:rPr>
                <w:rFonts w:hint="eastAsia"/>
                <w:color w:val="auto"/>
                <w:kern w:val="0"/>
                <w:sz w:val="24"/>
                <w:lang w:bidi="ar"/>
              </w:rPr>
              <w:t>0.00043</w:t>
            </w:r>
            <w:r>
              <w:rPr>
                <w:color w:val="auto"/>
                <w:kern w:val="0"/>
                <w:sz w:val="24"/>
                <w:lang w:bidi="ar"/>
              </w:rPr>
              <w:t>t/a，H</w:t>
            </w:r>
            <w:r>
              <w:rPr>
                <w:color w:val="auto"/>
                <w:kern w:val="0"/>
                <w:sz w:val="16"/>
                <w:szCs w:val="16"/>
                <w:lang w:bidi="ar"/>
              </w:rPr>
              <w:t>2</w:t>
            </w:r>
            <w:r>
              <w:rPr>
                <w:color w:val="auto"/>
                <w:kern w:val="0"/>
                <w:sz w:val="24"/>
                <w:lang w:bidi="ar"/>
              </w:rPr>
              <w:t>S排放量为</w:t>
            </w:r>
            <w:r>
              <w:rPr>
                <w:rFonts w:hint="eastAsia"/>
                <w:color w:val="auto"/>
                <w:kern w:val="0"/>
                <w:sz w:val="24"/>
                <w:lang w:bidi="ar"/>
              </w:rPr>
              <w:t>0.000017</w:t>
            </w:r>
            <w:r>
              <w:rPr>
                <w:color w:val="auto"/>
                <w:kern w:val="0"/>
                <w:sz w:val="24"/>
                <w:lang w:bidi="ar"/>
              </w:rPr>
              <w:t>t/a</w:t>
            </w:r>
            <w:r>
              <w:rPr>
                <w:rFonts w:hint="eastAsia"/>
                <w:color w:val="auto"/>
                <w:kern w:val="0"/>
                <w:sz w:val="24"/>
                <w:lang w:bidi="ar"/>
              </w:rPr>
              <w:t>；四街卫生院污水处理站</w:t>
            </w:r>
            <w:r>
              <w:rPr>
                <w:color w:val="auto"/>
                <w:kern w:val="0"/>
                <w:sz w:val="24"/>
                <w:lang w:bidi="ar"/>
              </w:rPr>
              <w:t>NH</w:t>
            </w:r>
            <w:r>
              <w:rPr>
                <w:color w:val="auto"/>
                <w:kern w:val="0"/>
                <w:sz w:val="16"/>
                <w:szCs w:val="16"/>
                <w:lang w:bidi="ar"/>
              </w:rPr>
              <w:t xml:space="preserve">3 </w:t>
            </w:r>
            <w:r>
              <w:rPr>
                <w:color w:val="auto"/>
                <w:kern w:val="0"/>
                <w:sz w:val="24"/>
                <w:lang w:bidi="ar"/>
              </w:rPr>
              <w:t>排放量为</w:t>
            </w:r>
            <w:r>
              <w:rPr>
                <w:rFonts w:hint="eastAsia"/>
                <w:color w:val="auto"/>
                <w:kern w:val="0"/>
                <w:sz w:val="24"/>
                <w:lang w:bidi="ar"/>
              </w:rPr>
              <w:t>0.00083</w:t>
            </w:r>
            <w:r>
              <w:rPr>
                <w:color w:val="auto"/>
                <w:kern w:val="0"/>
                <w:sz w:val="24"/>
                <w:lang w:bidi="ar"/>
              </w:rPr>
              <w:t>t/a，H</w:t>
            </w:r>
            <w:r>
              <w:rPr>
                <w:color w:val="auto"/>
                <w:kern w:val="0"/>
                <w:sz w:val="16"/>
                <w:szCs w:val="16"/>
                <w:lang w:bidi="ar"/>
              </w:rPr>
              <w:t>2</w:t>
            </w:r>
            <w:r>
              <w:rPr>
                <w:color w:val="auto"/>
                <w:kern w:val="0"/>
                <w:sz w:val="24"/>
                <w:lang w:bidi="ar"/>
              </w:rPr>
              <w:t>S排放量为</w:t>
            </w:r>
            <w:r>
              <w:rPr>
                <w:rFonts w:hint="eastAsia"/>
                <w:color w:val="auto"/>
                <w:kern w:val="0"/>
                <w:sz w:val="24"/>
                <w:lang w:bidi="ar"/>
              </w:rPr>
              <w:t>0.000032</w:t>
            </w:r>
            <w:r>
              <w:rPr>
                <w:color w:val="auto"/>
                <w:kern w:val="0"/>
                <w:sz w:val="24"/>
                <w:lang w:bidi="ar"/>
              </w:rPr>
              <w:t>t/a</w:t>
            </w:r>
            <w:r>
              <w:rPr>
                <w:rFonts w:hint="eastAsia"/>
                <w:color w:val="auto"/>
                <w:kern w:val="0"/>
                <w:sz w:val="24"/>
                <w:lang w:bidi="ar"/>
              </w:rPr>
              <w:t>；九龙卫生院污水处理站NH</w:t>
            </w:r>
            <w:r>
              <w:rPr>
                <w:rFonts w:hint="eastAsia"/>
                <w:color w:val="auto"/>
                <w:kern w:val="0"/>
                <w:sz w:val="24"/>
                <w:vertAlign w:val="subscript"/>
                <w:lang w:bidi="ar"/>
              </w:rPr>
              <w:t>3</w:t>
            </w:r>
            <w:r>
              <w:rPr>
                <w:rFonts w:hint="eastAsia"/>
                <w:color w:val="auto"/>
                <w:kern w:val="0"/>
                <w:sz w:val="24"/>
                <w:lang w:bidi="ar"/>
              </w:rPr>
              <w:t xml:space="preserve"> 排放量为0.0001t/a，H</w:t>
            </w:r>
            <w:r>
              <w:rPr>
                <w:rFonts w:hint="eastAsia"/>
                <w:color w:val="auto"/>
                <w:kern w:val="0"/>
                <w:sz w:val="24"/>
                <w:vertAlign w:val="subscript"/>
                <w:lang w:bidi="ar"/>
              </w:rPr>
              <w:t>2</w:t>
            </w:r>
            <w:r>
              <w:rPr>
                <w:rFonts w:hint="eastAsia"/>
                <w:color w:val="auto"/>
                <w:kern w:val="0"/>
                <w:sz w:val="24"/>
                <w:lang w:bidi="ar"/>
              </w:rPr>
              <w:t>S排放量为0.000039t/a；杨广卫生院污水处理站NH</w:t>
            </w:r>
            <w:r>
              <w:rPr>
                <w:rFonts w:hint="eastAsia"/>
                <w:color w:val="auto"/>
                <w:kern w:val="0"/>
                <w:sz w:val="24"/>
                <w:vertAlign w:val="subscript"/>
                <w:lang w:bidi="ar"/>
              </w:rPr>
              <w:t>3</w:t>
            </w:r>
            <w:r>
              <w:rPr>
                <w:rFonts w:hint="eastAsia"/>
                <w:color w:val="auto"/>
                <w:kern w:val="0"/>
                <w:sz w:val="24"/>
                <w:lang w:bidi="ar"/>
              </w:rPr>
              <w:t xml:space="preserve"> 排放量为0.00042t/a，H</w:t>
            </w:r>
            <w:r>
              <w:rPr>
                <w:rFonts w:hint="eastAsia"/>
                <w:color w:val="auto"/>
                <w:kern w:val="0"/>
                <w:sz w:val="24"/>
                <w:vertAlign w:val="subscript"/>
                <w:lang w:bidi="ar"/>
              </w:rPr>
              <w:t>2</w:t>
            </w:r>
            <w:r>
              <w:rPr>
                <w:rFonts w:hint="eastAsia"/>
                <w:color w:val="auto"/>
                <w:kern w:val="0"/>
                <w:sz w:val="24"/>
                <w:lang w:bidi="ar"/>
              </w:rPr>
              <w:t>S排放量为0.000016t/a。</w:t>
            </w:r>
          </w:p>
          <w:p w14:paraId="4D998C86">
            <w:pPr>
              <w:pStyle w:val="131"/>
              <w:ind w:firstLine="482"/>
              <w:jc w:val="left"/>
              <w:rPr>
                <w:b/>
                <w:color w:val="auto"/>
              </w:rPr>
            </w:pPr>
            <w:r>
              <w:rPr>
                <w:rFonts w:hint="eastAsia"/>
                <w:b/>
                <w:color w:val="auto"/>
              </w:rPr>
              <w:t>2）</w:t>
            </w:r>
            <w:r>
              <w:rPr>
                <w:b/>
                <w:color w:val="auto"/>
              </w:rPr>
              <w:t>异味</w:t>
            </w:r>
          </w:p>
          <w:p w14:paraId="16B0C8E0">
            <w:pPr>
              <w:spacing w:line="360" w:lineRule="auto"/>
              <w:ind w:firstLine="480" w:firstLineChars="200"/>
              <w:rPr>
                <w:color w:val="auto"/>
                <w:sz w:val="24"/>
              </w:rPr>
            </w:pPr>
            <w:r>
              <w:rPr>
                <w:color w:val="auto"/>
                <w:sz w:val="24"/>
              </w:rPr>
              <w:t>项目</w:t>
            </w:r>
            <w:r>
              <w:rPr>
                <w:rFonts w:hint="eastAsia"/>
                <w:color w:val="auto"/>
                <w:sz w:val="24"/>
              </w:rPr>
              <w:t>拟</w:t>
            </w:r>
            <w:r>
              <w:rPr>
                <w:color w:val="auto"/>
                <w:sz w:val="24"/>
              </w:rPr>
              <w:t>在</w:t>
            </w:r>
            <w:r>
              <w:rPr>
                <w:rFonts w:hint="eastAsia"/>
                <w:color w:val="auto"/>
                <w:sz w:val="24"/>
              </w:rPr>
              <w:t>四街卫生院业务用房一层</w:t>
            </w:r>
            <w:r>
              <w:rPr>
                <w:color w:val="auto"/>
                <w:sz w:val="24"/>
              </w:rPr>
              <w:t>内设置煎药室，为就诊病人提供代煎药服务。煎药使用的设备为电自动煎药包装机，煎药和包装过程为全封闭过程。但煎煮过程中仍会有少量中药气味散发出来，该气味无有毒有害物质。</w:t>
            </w:r>
            <w:r>
              <w:rPr>
                <w:rFonts w:hint="eastAsia" w:ascii="宋体" w:hAnsi="宋体" w:cs="宋体"/>
                <w:color w:val="auto"/>
                <w:kern w:val="0"/>
                <w:sz w:val="24"/>
              </w:rPr>
              <w:t>对煎药房安装抽风装置，排风管连接建筑内的排烟井，抽吸后的废气经排烟井屋顶排放</w:t>
            </w:r>
            <w:r>
              <w:rPr>
                <w:rFonts w:hint="eastAsia"/>
                <w:color w:val="auto"/>
                <w:sz w:val="24"/>
              </w:rPr>
              <w:t>。</w:t>
            </w:r>
          </w:p>
          <w:p w14:paraId="1716E4D6">
            <w:pPr>
              <w:spacing w:line="360" w:lineRule="auto"/>
              <w:ind w:firstLine="482"/>
              <w:rPr>
                <w:b/>
                <w:color w:val="auto"/>
                <w:kern w:val="0"/>
                <w:sz w:val="24"/>
              </w:rPr>
            </w:pPr>
            <w:r>
              <w:rPr>
                <w:rFonts w:hint="eastAsia"/>
                <w:b/>
                <w:color w:val="auto"/>
                <w:kern w:val="0"/>
                <w:sz w:val="24"/>
              </w:rPr>
              <w:t>3</w:t>
            </w:r>
            <w:r>
              <w:rPr>
                <w:b/>
                <w:color w:val="auto"/>
                <w:kern w:val="0"/>
                <w:sz w:val="24"/>
              </w:rPr>
              <w:t>）</w:t>
            </w:r>
            <w:r>
              <w:rPr>
                <w:rFonts w:hint="eastAsia"/>
                <w:b/>
                <w:color w:val="auto"/>
                <w:kern w:val="0"/>
                <w:sz w:val="24"/>
              </w:rPr>
              <w:t>备用</w:t>
            </w:r>
            <w:r>
              <w:rPr>
                <w:b/>
                <w:color w:val="auto"/>
                <w:kern w:val="0"/>
                <w:sz w:val="24"/>
              </w:rPr>
              <w:t>柴油发电机废气</w:t>
            </w:r>
          </w:p>
          <w:p w14:paraId="6455A6B4">
            <w:pPr>
              <w:adjustRightInd w:val="0"/>
              <w:snapToGrid w:val="0"/>
              <w:spacing w:line="360" w:lineRule="auto"/>
              <w:ind w:firstLine="480" w:firstLineChars="200"/>
              <w:rPr>
                <w:rFonts w:ascii="宋体" w:hAnsi="宋体" w:cs="宋体"/>
                <w:color w:val="auto"/>
                <w:sz w:val="24"/>
              </w:rPr>
            </w:pPr>
            <w:r>
              <w:rPr>
                <w:rFonts w:hint="eastAsia"/>
                <w:color w:val="auto"/>
                <w:sz w:val="24"/>
              </w:rPr>
              <w:t>本项目建成后，纳古卫生院将新增一台</w:t>
            </w:r>
            <w:r>
              <w:rPr>
                <w:color w:val="auto"/>
                <w:sz w:val="24"/>
              </w:rPr>
              <w:t>备用柴油发电机</w:t>
            </w:r>
            <w:r>
              <w:rPr>
                <w:rFonts w:hint="eastAsia"/>
                <w:color w:val="auto"/>
                <w:sz w:val="24"/>
              </w:rPr>
              <w:t>，其余卫生院依托卫生院已有的柴油发电机</w:t>
            </w:r>
            <w:r>
              <w:rPr>
                <w:color w:val="auto"/>
                <w:sz w:val="24"/>
              </w:rPr>
              <w:t>，备用发电机仅在项目区停电时使用，在备用发电机运行过程中会产生一定的燃油废气，备用发电机产生的污染物主要为总烃氢化合物（THC）、CO、NOx等，产生量不定。停电情况较少，使用频率较低，故备用发电机产生的废气较少，备用发电机房设有</w:t>
            </w:r>
            <w:r>
              <w:rPr>
                <w:rFonts w:hint="eastAsia"/>
                <w:color w:val="auto"/>
                <w:sz w:val="24"/>
              </w:rPr>
              <w:t>专用排烟管道，</w:t>
            </w:r>
            <w:r>
              <w:rPr>
                <w:color w:val="auto"/>
                <w:sz w:val="24"/>
              </w:rPr>
              <w:t>备用</w:t>
            </w:r>
            <w:r>
              <w:rPr>
                <w:rFonts w:hint="eastAsia"/>
                <w:color w:val="auto"/>
                <w:sz w:val="24"/>
              </w:rPr>
              <w:t>柴油</w:t>
            </w:r>
            <w:r>
              <w:rPr>
                <w:color w:val="auto"/>
                <w:sz w:val="24"/>
              </w:rPr>
              <w:t>发电机产生的废</w:t>
            </w:r>
            <w:r>
              <w:rPr>
                <w:rFonts w:ascii="宋体" w:hAnsi="宋体" w:cs="宋体"/>
                <w:color w:val="auto"/>
                <w:sz w:val="24"/>
              </w:rPr>
              <w:t>气</w:t>
            </w:r>
            <w:r>
              <w:rPr>
                <w:rFonts w:hint="eastAsia" w:cs="宋体"/>
                <w:color w:val="auto"/>
                <w:sz w:val="24"/>
              </w:rPr>
              <w:t>通过</w:t>
            </w:r>
            <w:r>
              <w:rPr>
                <w:rFonts w:hint="eastAsia" w:ascii="宋体" w:hAnsi="宋体" w:cs="宋体"/>
                <w:color w:val="auto"/>
                <w:sz w:val="24"/>
              </w:rPr>
              <w:t>专用排烟管道</w:t>
            </w:r>
            <w:r>
              <w:rPr>
                <w:rFonts w:ascii="宋体" w:hAnsi="宋体" w:cs="宋体"/>
                <w:color w:val="auto"/>
                <w:sz w:val="24"/>
              </w:rPr>
              <w:t>排至绿化带一侧后</w:t>
            </w:r>
            <w:r>
              <w:rPr>
                <w:rFonts w:hint="eastAsia" w:ascii="宋体" w:hAnsi="宋体" w:cs="宋体"/>
                <w:color w:val="auto"/>
                <w:sz w:val="24"/>
              </w:rPr>
              <w:t>通过</w:t>
            </w:r>
            <w:r>
              <w:rPr>
                <w:rFonts w:ascii="宋体" w:hAnsi="宋体" w:cs="宋体"/>
                <w:color w:val="auto"/>
                <w:sz w:val="24"/>
              </w:rPr>
              <w:t>绿地吸收和大气稀释扩散处理，排放口避开</w:t>
            </w:r>
            <w:r>
              <w:rPr>
                <w:rFonts w:hint="eastAsia" w:ascii="宋体" w:hAnsi="宋体" w:cs="宋体"/>
                <w:color w:val="auto"/>
                <w:sz w:val="24"/>
              </w:rPr>
              <w:t>综合</w:t>
            </w:r>
            <w:r>
              <w:rPr>
                <w:rFonts w:ascii="宋体" w:hAnsi="宋体" w:cs="宋体"/>
                <w:color w:val="auto"/>
                <w:sz w:val="24"/>
              </w:rPr>
              <w:t>楼等关心点。</w:t>
            </w:r>
          </w:p>
          <w:p w14:paraId="6A9A8797">
            <w:pPr>
              <w:adjustRightInd w:val="0"/>
              <w:snapToGrid w:val="0"/>
              <w:spacing w:line="360" w:lineRule="auto"/>
              <w:ind w:firstLine="480" w:firstLineChars="200"/>
              <w:rPr>
                <w:rFonts w:hint="eastAsia" w:ascii="宋体" w:hAnsi="宋体" w:cs="宋体"/>
                <w:color w:val="auto"/>
                <w:sz w:val="24"/>
              </w:rPr>
            </w:pPr>
          </w:p>
          <w:p w14:paraId="44E933BD">
            <w:pPr>
              <w:pStyle w:val="32"/>
              <w:numPr>
                <w:ilvl w:val="0"/>
                <w:numId w:val="11"/>
              </w:numPr>
              <w:adjustRightInd w:val="0"/>
              <w:snapToGrid w:val="0"/>
              <w:spacing w:after="0" w:line="360" w:lineRule="auto"/>
              <w:ind w:left="0" w:leftChars="0" w:firstLine="325" w:firstLineChars="147"/>
              <w:rPr>
                <w:b/>
                <w:bCs/>
                <w:color w:val="auto"/>
                <w:spacing w:val="-10"/>
                <w:szCs w:val="24"/>
              </w:rPr>
            </w:pPr>
            <w:r>
              <w:rPr>
                <w:rFonts w:hint="eastAsia"/>
                <w:b/>
                <w:bCs/>
                <w:color w:val="auto"/>
                <w:spacing w:val="-10"/>
                <w:szCs w:val="24"/>
              </w:rPr>
              <w:t>食堂油烟</w:t>
            </w:r>
          </w:p>
          <w:p w14:paraId="4172A62A">
            <w:pPr>
              <w:spacing w:line="360" w:lineRule="auto"/>
              <w:ind w:firstLine="480" w:firstLineChars="200"/>
              <w:rPr>
                <w:rFonts w:hint="eastAsia" w:ascii="宋体" w:hAnsi="宋体" w:cs="宋体"/>
                <w:color w:val="auto"/>
                <w:sz w:val="24"/>
              </w:rPr>
            </w:pPr>
            <w:r>
              <w:rPr>
                <w:rFonts w:hint="eastAsia"/>
                <w:color w:val="auto"/>
                <w:sz w:val="24"/>
              </w:rPr>
              <w:t>本</w:t>
            </w:r>
            <w:r>
              <w:rPr>
                <w:color w:val="auto"/>
                <w:sz w:val="24"/>
              </w:rPr>
              <w:t>项目涉及4个乡镇卫生院</w:t>
            </w:r>
            <w:r>
              <w:rPr>
                <w:rFonts w:hint="eastAsia"/>
                <w:color w:val="auto"/>
                <w:sz w:val="24"/>
              </w:rPr>
              <w:t>，现有项目仅纳古卫生院未设置有食堂，其余卫生院均设置有食堂，为部分</w:t>
            </w:r>
            <w:r>
              <w:rPr>
                <w:color w:val="auto"/>
                <w:sz w:val="24"/>
              </w:rPr>
              <w:t>医护人员</w:t>
            </w:r>
            <w:r>
              <w:rPr>
                <w:rFonts w:hint="eastAsia"/>
                <w:color w:val="auto"/>
                <w:sz w:val="24"/>
              </w:rPr>
              <w:t>每天提供中餐。本项目建成后，从卫生院现有职工进行调配，不新增职工。本项目建成后食堂就餐人数不变。食堂能源为</w:t>
            </w:r>
            <w:r>
              <w:rPr>
                <w:color w:val="auto"/>
                <w:sz w:val="24"/>
              </w:rPr>
              <w:t>电能，</w:t>
            </w:r>
            <w:r>
              <w:rPr>
                <w:rFonts w:hint="eastAsia"/>
                <w:color w:val="auto"/>
                <w:sz w:val="24"/>
              </w:rPr>
              <w:t>属</w:t>
            </w:r>
            <w:r>
              <w:rPr>
                <w:color w:val="auto"/>
                <w:sz w:val="24"/>
              </w:rPr>
              <w:t>清洁能源</w:t>
            </w:r>
            <w:r>
              <w:rPr>
                <w:rFonts w:hint="eastAsia"/>
                <w:color w:val="auto"/>
                <w:sz w:val="24"/>
              </w:rPr>
              <w:t>。食堂为内部食堂，仅为部分医护人员提供就餐服务，</w:t>
            </w:r>
            <w:r>
              <w:rPr>
                <w:color w:val="auto"/>
                <w:sz w:val="24"/>
              </w:rPr>
              <w:t>食堂在炊事过程中会产生少量的油烟</w:t>
            </w:r>
            <w:r>
              <w:rPr>
                <w:rFonts w:ascii="宋体" w:hAnsi="宋体" w:cs="宋体"/>
                <w:color w:val="auto"/>
                <w:sz w:val="24"/>
              </w:rPr>
              <w:t>。</w:t>
            </w:r>
          </w:p>
          <w:p w14:paraId="665D5E31">
            <w:pPr>
              <w:pStyle w:val="32"/>
              <w:adjustRightInd w:val="0"/>
              <w:snapToGrid w:val="0"/>
              <w:spacing w:after="0" w:line="360" w:lineRule="auto"/>
              <w:ind w:left="0" w:leftChars="0" w:firstLine="325" w:firstLineChars="147"/>
              <w:rPr>
                <w:b/>
                <w:bCs/>
                <w:color w:val="auto"/>
                <w:spacing w:val="-10"/>
                <w:szCs w:val="24"/>
              </w:rPr>
            </w:pPr>
            <w:r>
              <w:rPr>
                <w:b/>
                <w:bCs/>
                <w:color w:val="auto"/>
                <w:spacing w:val="-10"/>
                <w:szCs w:val="24"/>
              </w:rPr>
              <w:t>（</w:t>
            </w:r>
            <w:r>
              <w:rPr>
                <w:rFonts w:hint="eastAsia"/>
                <w:b/>
                <w:bCs/>
                <w:color w:val="auto"/>
                <w:spacing w:val="-10"/>
                <w:szCs w:val="24"/>
              </w:rPr>
              <w:t>2</w:t>
            </w:r>
            <w:r>
              <w:rPr>
                <w:b/>
                <w:bCs/>
                <w:color w:val="auto"/>
                <w:spacing w:val="-10"/>
                <w:szCs w:val="24"/>
              </w:rPr>
              <w:t>）废气产排情况</w:t>
            </w:r>
            <w:r>
              <w:rPr>
                <w:rFonts w:hint="eastAsia"/>
                <w:b/>
                <w:bCs/>
                <w:color w:val="auto"/>
                <w:spacing w:val="-10"/>
                <w:szCs w:val="24"/>
              </w:rPr>
              <w:t xml:space="preserve"> </w:t>
            </w:r>
          </w:p>
          <w:p w14:paraId="26F35BD6">
            <w:pPr>
              <w:adjustRightInd w:val="0"/>
              <w:snapToGrid w:val="0"/>
              <w:spacing w:line="360" w:lineRule="auto"/>
              <w:ind w:firstLine="480" w:firstLineChars="200"/>
              <w:rPr>
                <w:rFonts w:hint="eastAsia" w:ascii="宋体" w:hAnsi="宋体" w:cs="宋体"/>
                <w:color w:val="auto"/>
                <w:sz w:val="24"/>
              </w:rPr>
            </w:pPr>
            <w:r>
              <w:rPr>
                <w:rFonts w:hint="eastAsia"/>
                <w:color w:val="auto"/>
                <w:sz w:val="24"/>
              </w:rPr>
              <w:t>根据项目运营期产污环节分析，</w:t>
            </w:r>
            <w:r>
              <w:rPr>
                <w:color w:val="auto"/>
                <w:sz w:val="24"/>
                <w:szCs w:val="30"/>
              </w:rPr>
              <w:t>项目运营期间废气主要为</w:t>
            </w:r>
            <w:r>
              <w:rPr>
                <w:rFonts w:hint="eastAsia"/>
                <w:color w:val="auto"/>
                <w:sz w:val="24"/>
                <w:szCs w:val="30"/>
              </w:rPr>
              <w:t>污水处理站</w:t>
            </w:r>
            <w:r>
              <w:rPr>
                <w:rFonts w:hint="eastAsia"/>
                <w:color w:val="auto"/>
                <w:sz w:val="24"/>
              </w:rPr>
              <w:t>恶臭</w:t>
            </w:r>
            <w:r>
              <w:rPr>
                <w:color w:val="auto"/>
                <w:sz w:val="24"/>
              </w:rPr>
              <w:t>、</w:t>
            </w:r>
            <w:r>
              <w:rPr>
                <w:rFonts w:hint="eastAsia"/>
                <w:color w:val="auto"/>
                <w:sz w:val="24"/>
              </w:rPr>
              <w:t>煎药异味、备用柴油发电机废气等</w:t>
            </w:r>
            <w:r>
              <w:rPr>
                <w:rFonts w:hint="eastAsia"/>
                <w:color w:val="auto"/>
                <w:sz w:val="24"/>
                <w:szCs w:val="30"/>
              </w:rPr>
              <w:t>。</w:t>
            </w:r>
            <w:bookmarkStart w:id="74" w:name="_Hlk194499758"/>
            <w:r>
              <w:rPr>
                <w:rFonts w:hint="eastAsia"/>
                <w:bCs/>
                <w:color w:val="auto"/>
                <w:sz w:val="24"/>
              </w:rPr>
              <w:t>其</w:t>
            </w:r>
            <w:r>
              <w:rPr>
                <w:color w:val="auto"/>
                <w:sz w:val="24"/>
              </w:rPr>
              <w:t>产排情况详见下表。</w:t>
            </w:r>
          </w:p>
          <w:p w14:paraId="6116F902">
            <w:pPr>
              <w:pStyle w:val="32"/>
              <w:ind w:left="0" w:leftChars="0" w:firstLine="442"/>
              <w:jc w:val="center"/>
              <w:rPr>
                <w:b/>
                <w:color w:val="auto"/>
                <w:spacing w:val="-10"/>
                <w:szCs w:val="24"/>
              </w:rPr>
            </w:pPr>
            <w:r>
              <w:rPr>
                <w:b/>
                <w:color w:val="auto"/>
                <w:spacing w:val="-10"/>
                <w:szCs w:val="24"/>
              </w:rPr>
              <w:t>表4-</w:t>
            </w:r>
            <w:r>
              <w:rPr>
                <w:rFonts w:hint="eastAsia"/>
                <w:b/>
                <w:color w:val="auto"/>
                <w:spacing w:val="-10"/>
                <w:szCs w:val="24"/>
              </w:rPr>
              <w:t>2</w:t>
            </w:r>
            <w:r>
              <w:rPr>
                <w:b/>
                <w:color w:val="auto"/>
                <w:spacing w:val="-10"/>
                <w:szCs w:val="24"/>
              </w:rPr>
              <w:t xml:space="preserve"> 本项目废气产排情况一览表</w:t>
            </w:r>
          </w:p>
          <w:tbl>
            <w:tblPr>
              <w:tblStyle w:val="33"/>
              <w:tblW w:w="8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095"/>
              <w:gridCol w:w="1558"/>
              <w:gridCol w:w="705"/>
              <w:gridCol w:w="1893"/>
              <w:gridCol w:w="958"/>
              <w:gridCol w:w="1377"/>
            </w:tblGrid>
            <w:tr w14:paraId="43EA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2346" w:type="dxa"/>
                  <w:gridSpan w:val="2"/>
                  <w:tcBorders>
                    <w:top w:val="single" w:color="auto" w:sz="4" w:space="0"/>
                    <w:left w:val="single" w:color="auto" w:sz="4" w:space="0"/>
                    <w:bottom w:val="single" w:color="auto" w:sz="4" w:space="0"/>
                    <w:right w:val="single" w:color="auto" w:sz="4" w:space="0"/>
                  </w:tcBorders>
                  <w:noWrap/>
                  <w:vAlign w:val="center"/>
                </w:tcPr>
                <w:p w14:paraId="495B9A84">
                  <w:pPr>
                    <w:adjustRightInd w:val="0"/>
                    <w:snapToGrid w:val="0"/>
                    <w:jc w:val="center"/>
                    <w:rPr>
                      <w:b/>
                      <w:bCs/>
                      <w:color w:val="auto"/>
                      <w:szCs w:val="21"/>
                    </w:rPr>
                  </w:pPr>
                  <w:r>
                    <w:rPr>
                      <w:b/>
                      <w:bCs/>
                      <w:color w:val="auto"/>
                      <w:szCs w:val="21"/>
                    </w:rPr>
                    <w:t>污染物种类</w:t>
                  </w:r>
                </w:p>
              </w:tc>
              <w:tc>
                <w:tcPr>
                  <w:tcW w:w="1558" w:type="dxa"/>
                  <w:tcBorders>
                    <w:top w:val="single" w:color="auto" w:sz="4" w:space="0"/>
                    <w:left w:val="single" w:color="auto" w:sz="4" w:space="0"/>
                    <w:bottom w:val="single" w:color="auto" w:sz="4" w:space="0"/>
                    <w:right w:val="single" w:color="auto" w:sz="4" w:space="0"/>
                  </w:tcBorders>
                  <w:noWrap/>
                  <w:vAlign w:val="center"/>
                </w:tcPr>
                <w:p w14:paraId="5A439D28">
                  <w:pPr>
                    <w:adjustRightInd w:val="0"/>
                    <w:snapToGrid w:val="0"/>
                    <w:jc w:val="center"/>
                    <w:rPr>
                      <w:b/>
                      <w:bCs/>
                      <w:color w:val="auto"/>
                      <w:szCs w:val="21"/>
                    </w:rPr>
                  </w:pPr>
                  <w:r>
                    <w:rPr>
                      <w:b/>
                      <w:bCs/>
                      <w:color w:val="auto"/>
                      <w:szCs w:val="21"/>
                    </w:rPr>
                    <w:t>污染物产生量t/a</w:t>
                  </w:r>
                </w:p>
              </w:tc>
              <w:tc>
                <w:tcPr>
                  <w:tcW w:w="705" w:type="dxa"/>
                  <w:tcBorders>
                    <w:top w:val="single" w:color="auto" w:sz="4" w:space="0"/>
                    <w:left w:val="single" w:color="auto" w:sz="4" w:space="0"/>
                    <w:bottom w:val="single" w:color="auto" w:sz="4" w:space="0"/>
                    <w:right w:val="single" w:color="auto" w:sz="4" w:space="0"/>
                  </w:tcBorders>
                  <w:noWrap/>
                  <w:vAlign w:val="center"/>
                </w:tcPr>
                <w:p w14:paraId="6EF0F440">
                  <w:pPr>
                    <w:adjustRightInd w:val="0"/>
                    <w:snapToGrid w:val="0"/>
                    <w:jc w:val="center"/>
                    <w:rPr>
                      <w:b/>
                      <w:bCs/>
                      <w:color w:val="auto"/>
                      <w:szCs w:val="21"/>
                    </w:rPr>
                  </w:pPr>
                  <w:r>
                    <w:rPr>
                      <w:b/>
                      <w:bCs/>
                      <w:color w:val="auto"/>
                      <w:szCs w:val="21"/>
                    </w:rPr>
                    <w:t>排放形式</w:t>
                  </w:r>
                </w:p>
              </w:tc>
              <w:tc>
                <w:tcPr>
                  <w:tcW w:w="1893" w:type="dxa"/>
                  <w:tcBorders>
                    <w:top w:val="single" w:color="auto" w:sz="4" w:space="0"/>
                    <w:left w:val="single" w:color="auto" w:sz="4" w:space="0"/>
                    <w:bottom w:val="single" w:color="auto" w:sz="4" w:space="0"/>
                    <w:right w:val="single" w:color="auto" w:sz="4" w:space="0"/>
                  </w:tcBorders>
                  <w:noWrap/>
                  <w:vAlign w:val="center"/>
                </w:tcPr>
                <w:p w14:paraId="2CD72A98">
                  <w:pPr>
                    <w:adjustRightInd w:val="0"/>
                    <w:snapToGrid w:val="0"/>
                    <w:jc w:val="center"/>
                    <w:rPr>
                      <w:b/>
                      <w:bCs/>
                      <w:color w:val="auto"/>
                      <w:szCs w:val="21"/>
                    </w:rPr>
                  </w:pPr>
                  <w:r>
                    <w:rPr>
                      <w:b/>
                      <w:bCs/>
                      <w:color w:val="auto"/>
                      <w:szCs w:val="21"/>
                    </w:rPr>
                    <w:t>治理设施</w:t>
                  </w:r>
                </w:p>
              </w:tc>
              <w:tc>
                <w:tcPr>
                  <w:tcW w:w="958" w:type="dxa"/>
                  <w:tcBorders>
                    <w:top w:val="single" w:color="auto" w:sz="4" w:space="0"/>
                    <w:left w:val="single" w:color="auto" w:sz="4" w:space="0"/>
                    <w:bottom w:val="single" w:color="auto" w:sz="4" w:space="0"/>
                    <w:right w:val="single" w:color="auto" w:sz="4" w:space="0"/>
                  </w:tcBorders>
                  <w:noWrap/>
                  <w:vAlign w:val="center"/>
                </w:tcPr>
                <w:p w14:paraId="5589E00F">
                  <w:pPr>
                    <w:adjustRightInd w:val="0"/>
                    <w:snapToGrid w:val="0"/>
                    <w:jc w:val="center"/>
                    <w:rPr>
                      <w:b/>
                      <w:bCs/>
                      <w:color w:val="auto"/>
                      <w:szCs w:val="21"/>
                    </w:rPr>
                  </w:pPr>
                  <w:r>
                    <w:rPr>
                      <w:b/>
                      <w:bCs/>
                      <w:color w:val="auto"/>
                      <w:szCs w:val="21"/>
                    </w:rPr>
                    <w:t>处理效率</w:t>
                  </w:r>
                </w:p>
              </w:tc>
              <w:tc>
                <w:tcPr>
                  <w:tcW w:w="1377" w:type="dxa"/>
                  <w:tcBorders>
                    <w:top w:val="single" w:color="auto" w:sz="4" w:space="0"/>
                    <w:left w:val="single" w:color="auto" w:sz="4" w:space="0"/>
                    <w:bottom w:val="single" w:color="auto" w:sz="4" w:space="0"/>
                    <w:right w:val="single" w:color="auto" w:sz="4" w:space="0"/>
                  </w:tcBorders>
                  <w:noWrap/>
                  <w:vAlign w:val="center"/>
                </w:tcPr>
                <w:p w14:paraId="25658D4C">
                  <w:pPr>
                    <w:adjustRightInd w:val="0"/>
                    <w:snapToGrid w:val="0"/>
                    <w:jc w:val="center"/>
                    <w:rPr>
                      <w:b/>
                      <w:bCs/>
                      <w:color w:val="auto"/>
                      <w:szCs w:val="21"/>
                    </w:rPr>
                  </w:pPr>
                  <w:r>
                    <w:rPr>
                      <w:b/>
                      <w:bCs/>
                      <w:color w:val="auto"/>
                      <w:szCs w:val="21"/>
                    </w:rPr>
                    <w:t>污染物排放量t/a</w:t>
                  </w:r>
                </w:p>
              </w:tc>
            </w:tr>
            <w:tr w14:paraId="3E9A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251" w:type="dxa"/>
                  <w:vMerge w:val="restart"/>
                  <w:tcBorders>
                    <w:top w:val="single" w:color="auto" w:sz="4" w:space="0"/>
                    <w:left w:val="single" w:color="auto" w:sz="4" w:space="0"/>
                    <w:bottom w:val="single" w:color="auto" w:sz="4" w:space="0"/>
                    <w:right w:val="single" w:color="auto" w:sz="4" w:space="0"/>
                  </w:tcBorders>
                  <w:noWrap/>
                  <w:vAlign w:val="center"/>
                </w:tcPr>
                <w:p w14:paraId="10B2DAC9">
                  <w:pPr>
                    <w:adjustRightInd w:val="0"/>
                    <w:snapToGrid w:val="0"/>
                    <w:jc w:val="center"/>
                    <w:rPr>
                      <w:color w:val="auto"/>
                      <w:szCs w:val="21"/>
                    </w:rPr>
                  </w:pPr>
                  <w:r>
                    <w:rPr>
                      <w:color w:val="auto"/>
                      <w:szCs w:val="21"/>
                    </w:rPr>
                    <w:t>纳古卫生院污水处理站</w:t>
                  </w:r>
                </w:p>
              </w:tc>
              <w:tc>
                <w:tcPr>
                  <w:tcW w:w="1095" w:type="dxa"/>
                  <w:tcBorders>
                    <w:top w:val="single" w:color="auto" w:sz="4" w:space="0"/>
                    <w:left w:val="single" w:color="auto" w:sz="4" w:space="0"/>
                    <w:right w:val="single" w:color="auto" w:sz="4" w:space="0"/>
                  </w:tcBorders>
                  <w:noWrap/>
                  <w:vAlign w:val="center"/>
                </w:tcPr>
                <w:p w14:paraId="3880102F">
                  <w:pPr>
                    <w:adjustRightInd w:val="0"/>
                    <w:snapToGrid w:val="0"/>
                    <w:jc w:val="center"/>
                    <w:rPr>
                      <w:color w:val="auto"/>
                      <w:szCs w:val="21"/>
                    </w:rPr>
                  </w:pPr>
                  <w:r>
                    <w:rPr>
                      <w:color w:val="auto"/>
                      <w:szCs w:val="21"/>
                    </w:rPr>
                    <w:t>NH</w:t>
                  </w:r>
                  <w:r>
                    <w:rPr>
                      <w:color w:val="auto"/>
                      <w:szCs w:val="21"/>
                      <w:vertAlign w:val="subscript"/>
                    </w:rPr>
                    <w:t>3</w:t>
                  </w:r>
                </w:p>
              </w:tc>
              <w:tc>
                <w:tcPr>
                  <w:tcW w:w="1558" w:type="dxa"/>
                  <w:tcBorders>
                    <w:top w:val="single" w:color="auto" w:sz="4" w:space="0"/>
                    <w:left w:val="single" w:color="auto" w:sz="4" w:space="0"/>
                    <w:right w:val="single" w:color="auto" w:sz="4" w:space="0"/>
                  </w:tcBorders>
                  <w:noWrap/>
                  <w:vAlign w:val="center"/>
                </w:tcPr>
                <w:p w14:paraId="23F9B9A3">
                  <w:pPr>
                    <w:jc w:val="center"/>
                    <w:rPr>
                      <w:color w:val="auto"/>
                      <w:szCs w:val="21"/>
                    </w:rPr>
                  </w:pPr>
                  <w:r>
                    <w:rPr>
                      <w:rFonts w:hint="eastAsia"/>
                      <w:color w:val="auto"/>
                      <w:szCs w:val="21"/>
                    </w:rPr>
                    <w:t>0.00108</w:t>
                  </w:r>
                </w:p>
              </w:tc>
              <w:tc>
                <w:tcPr>
                  <w:tcW w:w="705" w:type="dxa"/>
                  <w:vMerge w:val="restart"/>
                  <w:tcBorders>
                    <w:top w:val="single" w:color="auto" w:sz="4" w:space="0"/>
                    <w:left w:val="single" w:color="auto" w:sz="4" w:space="0"/>
                    <w:right w:val="single" w:color="auto" w:sz="4" w:space="0"/>
                  </w:tcBorders>
                  <w:noWrap/>
                  <w:vAlign w:val="center"/>
                </w:tcPr>
                <w:p w14:paraId="3E535E88">
                  <w:pPr>
                    <w:adjustRightInd w:val="0"/>
                    <w:snapToGrid w:val="0"/>
                    <w:jc w:val="center"/>
                    <w:rPr>
                      <w:color w:val="auto"/>
                      <w:szCs w:val="21"/>
                    </w:rPr>
                  </w:pPr>
                  <w:r>
                    <w:rPr>
                      <w:color w:val="auto"/>
                      <w:szCs w:val="21"/>
                    </w:rPr>
                    <w:t>无组织</w:t>
                  </w:r>
                </w:p>
              </w:tc>
              <w:tc>
                <w:tcPr>
                  <w:tcW w:w="1893" w:type="dxa"/>
                  <w:vMerge w:val="restart"/>
                  <w:tcBorders>
                    <w:top w:val="single" w:color="auto" w:sz="4" w:space="0"/>
                    <w:left w:val="single" w:color="auto" w:sz="4" w:space="0"/>
                    <w:right w:val="single" w:color="auto" w:sz="4" w:space="0"/>
                  </w:tcBorders>
                  <w:noWrap/>
                  <w:vAlign w:val="center"/>
                </w:tcPr>
                <w:p w14:paraId="1F5E69B7">
                  <w:pPr>
                    <w:widowControl/>
                    <w:adjustRightInd w:val="0"/>
                    <w:snapToGrid w:val="0"/>
                    <w:jc w:val="left"/>
                    <w:rPr>
                      <w:color w:val="auto"/>
                      <w:szCs w:val="21"/>
                    </w:rPr>
                  </w:pPr>
                  <w:r>
                    <w:rPr>
                      <w:color w:val="auto"/>
                      <w:kern w:val="0"/>
                      <w:szCs w:val="21"/>
                      <w:lang w:bidi="ar"/>
                    </w:rPr>
                    <w:t>地埋式，加盖密闭，投放除臭剂等</w:t>
                  </w:r>
                </w:p>
              </w:tc>
              <w:tc>
                <w:tcPr>
                  <w:tcW w:w="958" w:type="dxa"/>
                  <w:tcBorders>
                    <w:top w:val="single" w:color="auto" w:sz="4" w:space="0"/>
                    <w:left w:val="single" w:color="auto" w:sz="4" w:space="0"/>
                    <w:bottom w:val="single" w:color="auto" w:sz="4" w:space="0"/>
                    <w:right w:val="single" w:color="auto" w:sz="4" w:space="0"/>
                  </w:tcBorders>
                  <w:noWrap/>
                  <w:vAlign w:val="center"/>
                </w:tcPr>
                <w:p w14:paraId="040A50F3">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1AD027FC">
                  <w:pPr>
                    <w:jc w:val="center"/>
                    <w:rPr>
                      <w:color w:val="auto"/>
                      <w:szCs w:val="21"/>
                    </w:rPr>
                  </w:pPr>
                  <w:r>
                    <w:rPr>
                      <w:rFonts w:hint="eastAsia"/>
                      <w:color w:val="auto"/>
                      <w:szCs w:val="21"/>
                    </w:rPr>
                    <w:t>0.00043</w:t>
                  </w:r>
                </w:p>
              </w:tc>
            </w:tr>
            <w:tr w14:paraId="5C2A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continue"/>
                  <w:tcBorders>
                    <w:top w:val="single" w:color="auto" w:sz="4" w:space="0"/>
                    <w:left w:val="single" w:color="auto" w:sz="4" w:space="0"/>
                    <w:bottom w:val="single" w:color="auto" w:sz="4" w:space="0"/>
                    <w:right w:val="single" w:color="auto" w:sz="4" w:space="0"/>
                  </w:tcBorders>
                  <w:vAlign w:val="center"/>
                </w:tcPr>
                <w:p w14:paraId="51E11CD4">
                  <w:pPr>
                    <w:widowControl/>
                    <w:adjustRightInd w:val="0"/>
                    <w:snapToGrid w:val="0"/>
                    <w:jc w:val="left"/>
                    <w:rPr>
                      <w:color w:val="auto"/>
                      <w:szCs w:val="21"/>
                    </w:rPr>
                  </w:pPr>
                </w:p>
              </w:tc>
              <w:tc>
                <w:tcPr>
                  <w:tcW w:w="1095" w:type="dxa"/>
                  <w:tcBorders>
                    <w:top w:val="single" w:color="auto" w:sz="4" w:space="0"/>
                    <w:left w:val="single" w:color="auto" w:sz="4" w:space="0"/>
                    <w:right w:val="single" w:color="auto" w:sz="4" w:space="0"/>
                  </w:tcBorders>
                  <w:noWrap/>
                  <w:vAlign w:val="center"/>
                </w:tcPr>
                <w:p w14:paraId="441BC8C2">
                  <w:pPr>
                    <w:adjustRightInd w:val="0"/>
                    <w:snapToGrid w:val="0"/>
                    <w:jc w:val="center"/>
                    <w:rPr>
                      <w:color w:val="auto"/>
                      <w:szCs w:val="21"/>
                    </w:rPr>
                  </w:pPr>
                  <w:r>
                    <w:rPr>
                      <w:color w:val="auto"/>
                      <w:szCs w:val="21"/>
                    </w:rPr>
                    <w:t>H</w:t>
                  </w:r>
                  <w:r>
                    <w:rPr>
                      <w:color w:val="auto"/>
                      <w:szCs w:val="21"/>
                      <w:vertAlign w:val="subscript"/>
                    </w:rPr>
                    <w:t>2</w:t>
                  </w:r>
                  <w:r>
                    <w:rPr>
                      <w:color w:val="auto"/>
                      <w:szCs w:val="21"/>
                    </w:rPr>
                    <w:t>S</w:t>
                  </w:r>
                </w:p>
              </w:tc>
              <w:tc>
                <w:tcPr>
                  <w:tcW w:w="1558" w:type="dxa"/>
                  <w:tcBorders>
                    <w:top w:val="single" w:color="auto" w:sz="4" w:space="0"/>
                    <w:left w:val="single" w:color="auto" w:sz="4" w:space="0"/>
                    <w:right w:val="single" w:color="auto" w:sz="4" w:space="0"/>
                  </w:tcBorders>
                  <w:noWrap/>
                  <w:vAlign w:val="center"/>
                </w:tcPr>
                <w:p w14:paraId="78F188D9">
                  <w:pPr>
                    <w:jc w:val="center"/>
                    <w:rPr>
                      <w:color w:val="auto"/>
                      <w:szCs w:val="21"/>
                    </w:rPr>
                  </w:pPr>
                  <w:r>
                    <w:rPr>
                      <w:rFonts w:hint="eastAsia"/>
                      <w:color w:val="auto"/>
                      <w:szCs w:val="21"/>
                    </w:rPr>
                    <w:t>0.000042</w:t>
                  </w:r>
                </w:p>
              </w:tc>
              <w:tc>
                <w:tcPr>
                  <w:tcW w:w="705" w:type="dxa"/>
                  <w:vMerge w:val="continue"/>
                  <w:tcBorders>
                    <w:left w:val="single" w:color="auto" w:sz="4" w:space="0"/>
                    <w:right w:val="single" w:color="auto" w:sz="4" w:space="0"/>
                  </w:tcBorders>
                  <w:vAlign w:val="center"/>
                </w:tcPr>
                <w:p w14:paraId="651BECE2">
                  <w:pPr>
                    <w:widowControl/>
                    <w:adjustRightInd w:val="0"/>
                    <w:snapToGrid w:val="0"/>
                    <w:jc w:val="left"/>
                    <w:rPr>
                      <w:color w:val="auto"/>
                      <w:szCs w:val="21"/>
                    </w:rPr>
                  </w:pPr>
                </w:p>
              </w:tc>
              <w:tc>
                <w:tcPr>
                  <w:tcW w:w="1893" w:type="dxa"/>
                  <w:vMerge w:val="continue"/>
                  <w:tcBorders>
                    <w:left w:val="single" w:color="auto" w:sz="4" w:space="0"/>
                    <w:right w:val="single" w:color="auto" w:sz="4" w:space="0"/>
                  </w:tcBorders>
                  <w:vAlign w:val="center"/>
                </w:tcPr>
                <w:p w14:paraId="7B5B8446">
                  <w:pPr>
                    <w:widowControl/>
                    <w:adjustRightInd w:val="0"/>
                    <w:snapToGrid w:val="0"/>
                    <w:jc w:val="center"/>
                    <w:rPr>
                      <w:color w:val="auto"/>
                      <w:szCs w:val="21"/>
                    </w:rPr>
                  </w:pPr>
                </w:p>
              </w:tc>
              <w:tc>
                <w:tcPr>
                  <w:tcW w:w="958" w:type="dxa"/>
                  <w:tcBorders>
                    <w:top w:val="single" w:color="auto" w:sz="4" w:space="0"/>
                    <w:left w:val="single" w:color="auto" w:sz="4" w:space="0"/>
                    <w:right w:val="single" w:color="auto" w:sz="4" w:space="0"/>
                  </w:tcBorders>
                  <w:noWrap/>
                  <w:vAlign w:val="center"/>
                </w:tcPr>
                <w:p w14:paraId="00EE5A09">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5300AE43">
                  <w:pPr>
                    <w:jc w:val="center"/>
                    <w:rPr>
                      <w:color w:val="auto"/>
                      <w:szCs w:val="21"/>
                    </w:rPr>
                  </w:pPr>
                  <w:r>
                    <w:rPr>
                      <w:rFonts w:hint="eastAsia"/>
                      <w:color w:val="auto"/>
                      <w:szCs w:val="21"/>
                    </w:rPr>
                    <w:t>0.000017</w:t>
                  </w:r>
                </w:p>
              </w:tc>
            </w:tr>
            <w:tr w14:paraId="7AAC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251" w:type="dxa"/>
                  <w:vMerge w:val="restart"/>
                  <w:tcBorders>
                    <w:top w:val="single" w:color="auto" w:sz="4" w:space="0"/>
                    <w:left w:val="single" w:color="auto" w:sz="4" w:space="0"/>
                    <w:right w:val="single" w:color="auto" w:sz="4" w:space="0"/>
                  </w:tcBorders>
                  <w:vAlign w:val="center"/>
                </w:tcPr>
                <w:p w14:paraId="553B5F5B">
                  <w:pPr>
                    <w:widowControl/>
                    <w:adjustRightInd w:val="0"/>
                    <w:snapToGrid w:val="0"/>
                    <w:jc w:val="center"/>
                    <w:rPr>
                      <w:color w:val="auto"/>
                      <w:szCs w:val="21"/>
                    </w:rPr>
                  </w:pPr>
                  <w:r>
                    <w:rPr>
                      <w:rFonts w:hint="eastAsia"/>
                      <w:color w:val="auto"/>
                      <w:szCs w:val="21"/>
                    </w:rPr>
                    <w:t>四街卫生院</w:t>
                  </w:r>
                  <w:r>
                    <w:rPr>
                      <w:color w:val="auto"/>
                      <w:szCs w:val="21"/>
                    </w:rPr>
                    <w:t>污水处理站</w:t>
                  </w:r>
                </w:p>
              </w:tc>
              <w:tc>
                <w:tcPr>
                  <w:tcW w:w="1095" w:type="dxa"/>
                  <w:tcBorders>
                    <w:top w:val="single" w:color="auto" w:sz="4" w:space="0"/>
                    <w:left w:val="single" w:color="auto" w:sz="4" w:space="0"/>
                    <w:right w:val="single" w:color="auto" w:sz="4" w:space="0"/>
                  </w:tcBorders>
                  <w:noWrap/>
                  <w:vAlign w:val="center"/>
                </w:tcPr>
                <w:p w14:paraId="61C60CEF">
                  <w:pPr>
                    <w:adjustRightInd w:val="0"/>
                    <w:snapToGrid w:val="0"/>
                    <w:jc w:val="center"/>
                    <w:rPr>
                      <w:color w:val="auto"/>
                      <w:szCs w:val="21"/>
                    </w:rPr>
                  </w:pPr>
                  <w:r>
                    <w:rPr>
                      <w:color w:val="auto"/>
                      <w:szCs w:val="21"/>
                    </w:rPr>
                    <w:t>NH</w:t>
                  </w:r>
                  <w:r>
                    <w:rPr>
                      <w:color w:val="auto"/>
                      <w:szCs w:val="21"/>
                      <w:vertAlign w:val="subscript"/>
                    </w:rPr>
                    <w:t>3</w:t>
                  </w:r>
                </w:p>
              </w:tc>
              <w:tc>
                <w:tcPr>
                  <w:tcW w:w="1558" w:type="dxa"/>
                  <w:tcBorders>
                    <w:top w:val="single" w:color="auto" w:sz="4" w:space="0"/>
                    <w:left w:val="single" w:color="auto" w:sz="4" w:space="0"/>
                    <w:right w:val="single" w:color="auto" w:sz="4" w:space="0"/>
                  </w:tcBorders>
                  <w:noWrap/>
                  <w:vAlign w:val="center"/>
                </w:tcPr>
                <w:p w14:paraId="05EB15BA">
                  <w:pPr>
                    <w:jc w:val="center"/>
                    <w:rPr>
                      <w:color w:val="auto"/>
                      <w:szCs w:val="21"/>
                    </w:rPr>
                  </w:pPr>
                  <w:r>
                    <w:rPr>
                      <w:rFonts w:hint="eastAsia"/>
                      <w:color w:val="auto"/>
                      <w:szCs w:val="21"/>
                    </w:rPr>
                    <w:t>0.00208</w:t>
                  </w:r>
                </w:p>
              </w:tc>
              <w:tc>
                <w:tcPr>
                  <w:tcW w:w="705" w:type="dxa"/>
                  <w:vMerge w:val="restart"/>
                  <w:tcBorders>
                    <w:left w:val="single" w:color="auto" w:sz="4" w:space="0"/>
                    <w:right w:val="single" w:color="auto" w:sz="4" w:space="0"/>
                  </w:tcBorders>
                  <w:vAlign w:val="center"/>
                </w:tcPr>
                <w:p w14:paraId="26AD3F70">
                  <w:pPr>
                    <w:widowControl/>
                    <w:adjustRightInd w:val="0"/>
                    <w:snapToGrid w:val="0"/>
                    <w:jc w:val="center"/>
                    <w:rPr>
                      <w:color w:val="auto"/>
                      <w:szCs w:val="21"/>
                    </w:rPr>
                  </w:pPr>
                  <w:r>
                    <w:rPr>
                      <w:color w:val="auto"/>
                      <w:szCs w:val="21"/>
                    </w:rPr>
                    <w:t>无组织</w:t>
                  </w:r>
                </w:p>
              </w:tc>
              <w:tc>
                <w:tcPr>
                  <w:tcW w:w="1893" w:type="dxa"/>
                  <w:vMerge w:val="restart"/>
                  <w:tcBorders>
                    <w:left w:val="single" w:color="auto" w:sz="4" w:space="0"/>
                    <w:right w:val="single" w:color="auto" w:sz="4" w:space="0"/>
                  </w:tcBorders>
                  <w:vAlign w:val="center"/>
                </w:tcPr>
                <w:p w14:paraId="5F676E5F">
                  <w:pPr>
                    <w:widowControl/>
                    <w:adjustRightInd w:val="0"/>
                    <w:snapToGrid w:val="0"/>
                    <w:jc w:val="center"/>
                    <w:rPr>
                      <w:color w:val="auto"/>
                      <w:szCs w:val="21"/>
                    </w:rPr>
                  </w:pPr>
                  <w:r>
                    <w:rPr>
                      <w:color w:val="auto"/>
                      <w:kern w:val="0"/>
                      <w:szCs w:val="21"/>
                      <w:lang w:bidi="ar"/>
                    </w:rPr>
                    <w:t>地埋式，加盖密闭，投放除臭剂等</w:t>
                  </w:r>
                </w:p>
              </w:tc>
              <w:tc>
                <w:tcPr>
                  <w:tcW w:w="958" w:type="dxa"/>
                  <w:tcBorders>
                    <w:top w:val="single" w:color="auto" w:sz="4" w:space="0"/>
                    <w:left w:val="single" w:color="auto" w:sz="4" w:space="0"/>
                    <w:right w:val="single" w:color="auto" w:sz="4" w:space="0"/>
                  </w:tcBorders>
                  <w:noWrap/>
                  <w:vAlign w:val="center"/>
                </w:tcPr>
                <w:p w14:paraId="1E0225AE">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536C3EA7">
                  <w:pPr>
                    <w:jc w:val="center"/>
                    <w:rPr>
                      <w:color w:val="auto"/>
                      <w:szCs w:val="21"/>
                    </w:rPr>
                  </w:pPr>
                  <w:r>
                    <w:rPr>
                      <w:rFonts w:hint="eastAsia"/>
                      <w:color w:val="auto"/>
                      <w:szCs w:val="21"/>
                    </w:rPr>
                    <w:t>0.00083</w:t>
                  </w:r>
                </w:p>
              </w:tc>
            </w:tr>
            <w:tr w14:paraId="03E5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continue"/>
                  <w:tcBorders>
                    <w:left w:val="single" w:color="auto" w:sz="4" w:space="0"/>
                    <w:bottom w:val="single" w:color="auto" w:sz="4" w:space="0"/>
                    <w:right w:val="single" w:color="auto" w:sz="4" w:space="0"/>
                  </w:tcBorders>
                  <w:vAlign w:val="center"/>
                </w:tcPr>
                <w:p w14:paraId="46CDADE5">
                  <w:pPr>
                    <w:widowControl/>
                    <w:adjustRightInd w:val="0"/>
                    <w:snapToGrid w:val="0"/>
                    <w:jc w:val="left"/>
                    <w:rPr>
                      <w:color w:val="auto"/>
                      <w:szCs w:val="21"/>
                    </w:rPr>
                  </w:pPr>
                </w:p>
              </w:tc>
              <w:tc>
                <w:tcPr>
                  <w:tcW w:w="1095" w:type="dxa"/>
                  <w:tcBorders>
                    <w:top w:val="single" w:color="auto" w:sz="4" w:space="0"/>
                    <w:left w:val="single" w:color="auto" w:sz="4" w:space="0"/>
                    <w:right w:val="single" w:color="auto" w:sz="4" w:space="0"/>
                  </w:tcBorders>
                  <w:noWrap/>
                  <w:vAlign w:val="center"/>
                </w:tcPr>
                <w:p w14:paraId="5B94F50B">
                  <w:pPr>
                    <w:adjustRightInd w:val="0"/>
                    <w:snapToGrid w:val="0"/>
                    <w:jc w:val="center"/>
                    <w:rPr>
                      <w:color w:val="auto"/>
                      <w:szCs w:val="21"/>
                    </w:rPr>
                  </w:pPr>
                  <w:r>
                    <w:rPr>
                      <w:color w:val="auto"/>
                      <w:szCs w:val="21"/>
                    </w:rPr>
                    <w:t>H</w:t>
                  </w:r>
                  <w:r>
                    <w:rPr>
                      <w:color w:val="auto"/>
                      <w:szCs w:val="21"/>
                      <w:vertAlign w:val="subscript"/>
                    </w:rPr>
                    <w:t>2</w:t>
                  </w:r>
                  <w:r>
                    <w:rPr>
                      <w:color w:val="auto"/>
                      <w:szCs w:val="21"/>
                    </w:rPr>
                    <w:t>S</w:t>
                  </w:r>
                </w:p>
              </w:tc>
              <w:tc>
                <w:tcPr>
                  <w:tcW w:w="1558" w:type="dxa"/>
                  <w:tcBorders>
                    <w:top w:val="single" w:color="auto" w:sz="4" w:space="0"/>
                    <w:left w:val="single" w:color="auto" w:sz="4" w:space="0"/>
                    <w:right w:val="single" w:color="auto" w:sz="4" w:space="0"/>
                  </w:tcBorders>
                  <w:noWrap/>
                  <w:vAlign w:val="center"/>
                </w:tcPr>
                <w:p w14:paraId="7C899271">
                  <w:pPr>
                    <w:jc w:val="center"/>
                    <w:rPr>
                      <w:color w:val="auto"/>
                      <w:szCs w:val="21"/>
                    </w:rPr>
                  </w:pPr>
                  <w:r>
                    <w:rPr>
                      <w:rFonts w:hint="eastAsia"/>
                      <w:color w:val="auto"/>
                      <w:szCs w:val="21"/>
                    </w:rPr>
                    <w:t>0.000081</w:t>
                  </w:r>
                </w:p>
              </w:tc>
              <w:tc>
                <w:tcPr>
                  <w:tcW w:w="705" w:type="dxa"/>
                  <w:vMerge w:val="continue"/>
                  <w:tcBorders>
                    <w:left w:val="single" w:color="auto" w:sz="4" w:space="0"/>
                    <w:right w:val="single" w:color="auto" w:sz="4" w:space="0"/>
                  </w:tcBorders>
                  <w:vAlign w:val="center"/>
                </w:tcPr>
                <w:p w14:paraId="44C3E506">
                  <w:pPr>
                    <w:widowControl/>
                    <w:adjustRightInd w:val="0"/>
                    <w:snapToGrid w:val="0"/>
                    <w:jc w:val="center"/>
                    <w:rPr>
                      <w:color w:val="auto"/>
                      <w:szCs w:val="21"/>
                    </w:rPr>
                  </w:pPr>
                </w:p>
              </w:tc>
              <w:tc>
                <w:tcPr>
                  <w:tcW w:w="1893" w:type="dxa"/>
                  <w:vMerge w:val="continue"/>
                  <w:tcBorders>
                    <w:left w:val="single" w:color="auto" w:sz="4" w:space="0"/>
                    <w:right w:val="single" w:color="auto" w:sz="4" w:space="0"/>
                  </w:tcBorders>
                  <w:vAlign w:val="center"/>
                </w:tcPr>
                <w:p w14:paraId="2A35E748">
                  <w:pPr>
                    <w:widowControl/>
                    <w:adjustRightInd w:val="0"/>
                    <w:snapToGrid w:val="0"/>
                    <w:jc w:val="center"/>
                    <w:rPr>
                      <w:color w:val="auto"/>
                      <w:szCs w:val="21"/>
                    </w:rPr>
                  </w:pPr>
                </w:p>
              </w:tc>
              <w:tc>
                <w:tcPr>
                  <w:tcW w:w="958" w:type="dxa"/>
                  <w:tcBorders>
                    <w:top w:val="single" w:color="auto" w:sz="4" w:space="0"/>
                    <w:left w:val="single" w:color="auto" w:sz="4" w:space="0"/>
                    <w:right w:val="single" w:color="auto" w:sz="4" w:space="0"/>
                  </w:tcBorders>
                  <w:noWrap/>
                  <w:vAlign w:val="center"/>
                </w:tcPr>
                <w:p w14:paraId="70F66F4C">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3918B504">
                  <w:pPr>
                    <w:jc w:val="center"/>
                    <w:rPr>
                      <w:color w:val="auto"/>
                      <w:szCs w:val="21"/>
                    </w:rPr>
                  </w:pPr>
                  <w:r>
                    <w:rPr>
                      <w:rFonts w:hint="eastAsia"/>
                      <w:color w:val="auto"/>
                      <w:szCs w:val="21"/>
                    </w:rPr>
                    <w:t>0.000032</w:t>
                  </w:r>
                </w:p>
              </w:tc>
            </w:tr>
            <w:tr w14:paraId="3E6C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restart"/>
                  <w:tcBorders>
                    <w:top w:val="single" w:color="auto" w:sz="4" w:space="0"/>
                    <w:left w:val="single" w:color="auto" w:sz="4" w:space="0"/>
                    <w:right w:val="single" w:color="auto" w:sz="4" w:space="0"/>
                  </w:tcBorders>
                  <w:vAlign w:val="center"/>
                </w:tcPr>
                <w:p w14:paraId="07CC98AF">
                  <w:pPr>
                    <w:widowControl/>
                    <w:adjustRightInd w:val="0"/>
                    <w:snapToGrid w:val="0"/>
                    <w:jc w:val="center"/>
                    <w:rPr>
                      <w:color w:val="auto"/>
                      <w:szCs w:val="21"/>
                    </w:rPr>
                  </w:pPr>
                  <w:r>
                    <w:rPr>
                      <w:rFonts w:hint="eastAsia"/>
                      <w:color w:val="auto"/>
                      <w:szCs w:val="21"/>
                      <w:lang w:bidi="ar"/>
                    </w:rPr>
                    <w:t>九龙卫生院污水处理站</w:t>
                  </w:r>
                </w:p>
              </w:tc>
              <w:tc>
                <w:tcPr>
                  <w:tcW w:w="1095" w:type="dxa"/>
                  <w:tcBorders>
                    <w:top w:val="single" w:color="auto" w:sz="4" w:space="0"/>
                    <w:left w:val="single" w:color="auto" w:sz="4" w:space="0"/>
                    <w:right w:val="single" w:color="auto" w:sz="4" w:space="0"/>
                  </w:tcBorders>
                  <w:noWrap/>
                  <w:vAlign w:val="center"/>
                </w:tcPr>
                <w:p w14:paraId="4F0A32B0">
                  <w:pPr>
                    <w:adjustRightInd w:val="0"/>
                    <w:snapToGrid w:val="0"/>
                    <w:jc w:val="center"/>
                    <w:rPr>
                      <w:color w:val="auto"/>
                      <w:szCs w:val="21"/>
                    </w:rPr>
                  </w:pPr>
                  <w:r>
                    <w:rPr>
                      <w:color w:val="auto"/>
                      <w:szCs w:val="21"/>
                    </w:rPr>
                    <w:t>NH</w:t>
                  </w:r>
                  <w:r>
                    <w:rPr>
                      <w:color w:val="auto"/>
                      <w:szCs w:val="21"/>
                      <w:vertAlign w:val="subscript"/>
                    </w:rPr>
                    <w:t>3</w:t>
                  </w:r>
                </w:p>
              </w:tc>
              <w:tc>
                <w:tcPr>
                  <w:tcW w:w="1558" w:type="dxa"/>
                  <w:tcBorders>
                    <w:top w:val="single" w:color="auto" w:sz="4" w:space="0"/>
                    <w:left w:val="single" w:color="auto" w:sz="4" w:space="0"/>
                    <w:right w:val="single" w:color="auto" w:sz="4" w:space="0"/>
                  </w:tcBorders>
                  <w:noWrap/>
                  <w:vAlign w:val="center"/>
                </w:tcPr>
                <w:p w14:paraId="55475DDB">
                  <w:pPr>
                    <w:jc w:val="center"/>
                    <w:rPr>
                      <w:color w:val="auto"/>
                      <w:szCs w:val="21"/>
                    </w:rPr>
                  </w:pPr>
                  <w:r>
                    <w:rPr>
                      <w:rFonts w:hint="eastAsia"/>
                      <w:color w:val="auto"/>
                      <w:szCs w:val="21"/>
                    </w:rPr>
                    <w:t>0.0025</w:t>
                  </w:r>
                </w:p>
              </w:tc>
              <w:tc>
                <w:tcPr>
                  <w:tcW w:w="705" w:type="dxa"/>
                  <w:vMerge w:val="restart"/>
                  <w:tcBorders>
                    <w:left w:val="single" w:color="auto" w:sz="4" w:space="0"/>
                    <w:right w:val="single" w:color="auto" w:sz="4" w:space="0"/>
                  </w:tcBorders>
                  <w:vAlign w:val="center"/>
                </w:tcPr>
                <w:p w14:paraId="2DE8852F">
                  <w:pPr>
                    <w:widowControl/>
                    <w:adjustRightInd w:val="0"/>
                    <w:snapToGrid w:val="0"/>
                    <w:jc w:val="center"/>
                    <w:rPr>
                      <w:color w:val="auto"/>
                      <w:szCs w:val="21"/>
                    </w:rPr>
                  </w:pPr>
                  <w:r>
                    <w:rPr>
                      <w:color w:val="auto"/>
                      <w:szCs w:val="21"/>
                    </w:rPr>
                    <w:t>无组织</w:t>
                  </w:r>
                </w:p>
              </w:tc>
              <w:tc>
                <w:tcPr>
                  <w:tcW w:w="1893" w:type="dxa"/>
                  <w:vMerge w:val="restart"/>
                  <w:tcBorders>
                    <w:left w:val="single" w:color="auto" w:sz="4" w:space="0"/>
                    <w:right w:val="single" w:color="auto" w:sz="4" w:space="0"/>
                  </w:tcBorders>
                  <w:vAlign w:val="center"/>
                </w:tcPr>
                <w:p w14:paraId="4C4A21C2">
                  <w:pPr>
                    <w:widowControl/>
                    <w:adjustRightInd w:val="0"/>
                    <w:snapToGrid w:val="0"/>
                    <w:jc w:val="center"/>
                    <w:rPr>
                      <w:color w:val="auto"/>
                      <w:szCs w:val="21"/>
                    </w:rPr>
                  </w:pPr>
                  <w:r>
                    <w:rPr>
                      <w:color w:val="auto"/>
                      <w:kern w:val="0"/>
                      <w:szCs w:val="21"/>
                      <w:lang w:bidi="ar"/>
                    </w:rPr>
                    <w:t>地埋式，加盖密闭，投放除臭剂等</w:t>
                  </w:r>
                </w:p>
              </w:tc>
              <w:tc>
                <w:tcPr>
                  <w:tcW w:w="958" w:type="dxa"/>
                  <w:tcBorders>
                    <w:top w:val="single" w:color="auto" w:sz="4" w:space="0"/>
                    <w:left w:val="single" w:color="auto" w:sz="4" w:space="0"/>
                    <w:right w:val="single" w:color="auto" w:sz="4" w:space="0"/>
                  </w:tcBorders>
                  <w:noWrap/>
                  <w:vAlign w:val="center"/>
                </w:tcPr>
                <w:p w14:paraId="52FDE678">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717F5F02">
                  <w:pPr>
                    <w:jc w:val="center"/>
                    <w:rPr>
                      <w:color w:val="auto"/>
                      <w:szCs w:val="21"/>
                    </w:rPr>
                  </w:pPr>
                  <w:r>
                    <w:rPr>
                      <w:rFonts w:hint="eastAsia"/>
                      <w:color w:val="auto"/>
                      <w:szCs w:val="21"/>
                    </w:rPr>
                    <w:t>0.0001</w:t>
                  </w:r>
                </w:p>
              </w:tc>
            </w:tr>
            <w:tr w14:paraId="6E82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continue"/>
                  <w:tcBorders>
                    <w:left w:val="single" w:color="auto" w:sz="4" w:space="0"/>
                    <w:bottom w:val="single" w:color="auto" w:sz="4" w:space="0"/>
                    <w:right w:val="single" w:color="auto" w:sz="4" w:space="0"/>
                  </w:tcBorders>
                  <w:vAlign w:val="center"/>
                </w:tcPr>
                <w:p w14:paraId="6FD92A8D">
                  <w:pPr>
                    <w:widowControl/>
                    <w:adjustRightInd w:val="0"/>
                    <w:snapToGrid w:val="0"/>
                    <w:jc w:val="left"/>
                    <w:rPr>
                      <w:color w:val="auto"/>
                      <w:szCs w:val="21"/>
                    </w:rPr>
                  </w:pPr>
                </w:p>
              </w:tc>
              <w:tc>
                <w:tcPr>
                  <w:tcW w:w="1095" w:type="dxa"/>
                  <w:tcBorders>
                    <w:top w:val="single" w:color="auto" w:sz="4" w:space="0"/>
                    <w:left w:val="single" w:color="auto" w:sz="4" w:space="0"/>
                    <w:right w:val="single" w:color="auto" w:sz="4" w:space="0"/>
                  </w:tcBorders>
                  <w:noWrap/>
                  <w:vAlign w:val="center"/>
                </w:tcPr>
                <w:p w14:paraId="794248AC">
                  <w:pPr>
                    <w:adjustRightInd w:val="0"/>
                    <w:snapToGrid w:val="0"/>
                    <w:jc w:val="center"/>
                    <w:rPr>
                      <w:color w:val="auto"/>
                      <w:szCs w:val="21"/>
                    </w:rPr>
                  </w:pPr>
                  <w:r>
                    <w:rPr>
                      <w:color w:val="auto"/>
                      <w:szCs w:val="21"/>
                    </w:rPr>
                    <w:t>H</w:t>
                  </w:r>
                  <w:r>
                    <w:rPr>
                      <w:color w:val="auto"/>
                      <w:szCs w:val="21"/>
                      <w:vertAlign w:val="subscript"/>
                    </w:rPr>
                    <w:t>2</w:t>
                  </w:r>
                  <w:r>
                    <w:rPr>
                      <w:color w:val="auto"/>
                      <w:szCs w:val="21"/>
                    </w:rPr>
                    <w:t>S</w:t>
                  </w:r>
                </w:p>
              </w:tc>
              <w:tc>
                <w:tcPr>
                  <w:tcW w:w="1558" w:type="dxa"/>
                  <w:tcBorders>
                    <w:top w:val="single" w:color="auto" w:sz="4" w:space="0"/>
                    <w:left w:val="single" w:color="auto" w:sz="4" w:space="0"/>
                    <w:right w:val="single" w:color="auto" w:sz="4" w:space="0"/>
                  </w:tcBorders>
                  <w:noWrap/>
                  <w:vAlign w:val="center"/>
                </w:tcPr>
                <w:p w14:paraId="7EEAEC96">
                  <w:pPr>
                    <w:jc w:val="center"/>
                    <w:rPr>
                      <w:color w:val="auto"/>
                      <w:szCs w:val="21"/>
                    </w:rPr>
                  </w:pPr>
                  <w:r>
                    <w:rPr>
                      <w:rFonts w:hint="eastAsia"/>
                      <w:color w:val="auto"/>
                      <w:szCs w:val="21"/>
                    </w:rPr>
                    <w:t>0.000097</w:t>
                  </w:r>
                </w:p>
              </w:tc>
              <w:tc>
                <w:tcPr>
                  <w:tcW w:w="705" w:type="dxa"/>
                  <w:vMerge w:val="continue"/>
                  <w:tcBorders>
                    <w:left w:val="single" w:color="auto" w:sz="4" w:space="0"/>
                    <w:right w:val="single" w:color="auto" w:sz="4" w:space="0"/>
                  </w:tcBorders>
                  <w:vAlign w:val="center"/>
                </w:tcPr>
                <w:p w14:paraId="15832B4F">
                  <w:pPr>
                    <w:widowControl/>
                    <w:adjustRightInd w:val="0"/>
                    <w:snapToGrid w:val="0"/>
                    <w:jc w:val="center"/>
                    <w:rPr>
                      <w:color w:val="auto"/>
                      <w:szCs w:val="21"/>
                    </w:rPr>
                  </w:pPr>
                </w:p>
              </w:tc>
              <w:tc>
                <w:tcPr>
                  <w:tcW w:w="1893" w:type="dxa"/>
                  <w:vMerge w:val="continue"/>
                  <w:tcBorders>
                    <w:left w:val="single" w:color="auto" w:sz="4" w:space="0"/>
                    <w:right w:val="single" w:color="auto" w:sz="4" w:space="0"/>
                  </w:tcBorders>
                  <w:vAlign w:val="center"/>
                </w:tcPr>
                <w:p w14:paraId="64213011">
                  <w:pPr>
                    <w:widowControl/>
                    <w:adjustRightInd w:val="0"/>
                    <w:snapToGrid w:val="0"/>
                    <w:jc w:val="center"/>
                    <w:rPr>
                      <w:color w:val="auto"/>
                      <w:szCs w:val="21"/>
                    </w:rPr>
                  </w:pPr>
                </w:p>
              </w:tc>
              <w:tc>
                <w:tcPr>
                  <w:tcW w:w="958" w:type="dxa"/>
                  <w:tcBorders>
                    <w:top w:val="single" w:color="auto" w:sz="4" w:space="0"/>
                    <w:left w:val="single" w:color="auto" w:sz="4" w:space="0"/>
                    <w:right w:val="single" w:color="auto" w:sz="4" w:space="0"/>
                  </w:tcBorders>
                  <w:noWrap/>
                  <w:vAlign w:val="center"/>
                </w:tcPr>
                <w:p w14:paraId="683DE91F">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2A252826">
                  <w:pPr>
                    <w:jc w:val="center"/>
                    <w:rPr>
                      <w:color w:val="auto"/>
                      <w:szCs w:val="21"/>
                    </w:rPr>
                  </w:pPr>
                  <w:r>
                    <w:rPr>
                      <w:rFonts w:hint="eastAsia"/>
                      <w:color w:val="auto"/>
                      <w:szCs w:val="21"/>
                    </w:rPr>
                    <w:t>0.000039</w:t>
                  </w:r>
                </w:p>
              </w:tc>
            </w:tr>
            <w:tr w14:paraId="45C0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restart"/>
                  <w:tcBorders>
                    <w:top w:val="single" w:color="auto" w:sz="4" w:space="0"/>
                    <w:left w:val="single" w:color="auto" w:sz="4" w:space="0"/>
                    <w:right w:val="single" w:color="auto" w:sz="4" w:space="0"/>
                  </w:tcBorders>
                  <w:vAlign w:val="center"/>
                </w:tcPr>
                <w:p w14:paraId="0CE56D63">
                  <w:pPr>
                    <w:widowControl/>
                    <w:adjustRightInd w:val="0"/>
                    <w:snapToGrid w:val="0"/>
                    <w:jc w:val="center"/>
                    <w:rPr>
                      <w:color w:val="auto"/>
                      <w:szCs w:val="21"/>
                    </w:rPr>
                  </w:pPr>
                  <w:r>
                    <w:rPr>
                      <w:rFonts w:hint="eastAsia"/>
                      <w:color w:val="auto"/>
                      <w:szCs w:val="21"/>
                      <w:lang w:bidi="ar"/>
                    </w:rPr>
                    <w:t>杨广卫生院污水处理站</w:t>
                  </w:r>
                </w:p>
              </w:tc>
              <w:tc>
                <w:tcPr>
                  <w:tcW w:w="1095" w:type="dxa"/>
                  <w:tcBorders>
                    <w:top w:val="single" w:color="auto" w:sz="4" w:space="0"/>
                    <w:left w:val="single" w:color="auto" w:sz="4" w:space="0"/>
                    <w:right w:val="single" w:color="auto" w:sz="4" w:space="0"/>
                  </w:tcBorders>
                  <w:noWrap/>
                  <w:vAlign w:val="center"/>
                </w:tcPr>
                <w:p w14:paraId="58A22B22">
                  <w:pPr>
                    <w:adjustRightInd w:val="0"/>
                    <w:snapToGrid w:val="0"/>
                    <w:jc w:val="center"/>
                    <w:rPr>
                      <w:color w:val="auto"/>
                      <w:szCs w:val="21"/>
                    </w:rPr>
                  </w:pPr>
                  <w:r>
                    <w:rPr>
                      <w:color w:val="auto"/>
                      <w:szCs w:val="21"/>
                    </w:rPr>
                    <w:t>NH</w:t>
                  </w:r>
                  <w:r>
                    <w:rPr>
                      <w:color w:val="auto"/>
                      <w:szCs w:val="21"/>
                      <w:vertAlign w:val="subscript"/>
                    </w:rPr>
                    <w:t>3</w:t>
                  </w:r>
                </w:p>
              </w:tc>
              <w:tc>
                <w:tcPr>
                  <w:tcW w:w="1558" w:type="dxa"/>
                  <w:tcBorders>
                    <w:top w:val="single" w:color="auto" w:sz="4" w:space="0"/>
                    <w:left w:val="single" w:color="auto" w:sz="4" w:space="0"/>
                    <w:right w:val="single" w:color="auto" w:sz="4" w:space="0"/>
                  </w:tcBorders>
                  <w:noWrap/>
                  <w:vAlign w:val="center"/>
                </w:tcPr>
                <w:p w14:paraId="605D8BB8">
                  <w:pPr>
                    <w:jc w:val="center"/>
                    <w:rPr>
                      <w:color w:val="auto"/>
                      <w:szCs w:val="21"/>
                    </w:rPr>
                  </w:pPr>
                  <w:r>
                    <w:rPr>
                      <w:rFonts w:hint="eastAsia"/>
                      <w:color w:val="auto"/>
                      <w:szCs w:val="21"/>
                    </w:rPr>
                    <w:t>0.00105</w:t>
                  </w:r>
                </w:p>
              </w:tc>
              <w:tc>
                <w:tcPr>
                  <w:tcW w:w="705" w:type="dxa"/>
                  <w:vMerge w:val="restart"/>
                  <w:tcBorders>
                    <w:left w:val="single" w:color="auto" w:sz="4" w:space="0"/>
                    <w:right w:val="single" w:color="auto" w:sz="4" w:space="0"/>
                  </w:tcBorders>
                  <w:vAlign w:val="center"/>
                </w:tcPr>
                <w:p w14:paraId="7FC5FFE9">
                  <w:pPr>
                    <w:widowControl/>
                    <w:adjustRightInd w:val="0"/>
                    <w:snapToGrid w:val="0"/>
                    <w:jc w:val="center"/>
                    <w:rPr>
                      <w:color w:val="auto"/>
                      <w:szCs w:val="21"/>
                    </w:rPr>
                  </w:pPr>
                  <w:r>
                    <w:rPr>
                      <w:color w:val="auto"/>
                      <w:szCs w:val="21"/>
                    </w:rPr>
                    <w:t>无组织</w:t>
                  </w:r>
                </w:p>
              </w:tc>
              <w:tc>
                <w:tcPr>
                  <w:tcW w:w="1893" w:type="dxa"/>
                  <w:vMerge w:val="restart"/>
                  <w:tcBorders>
                    <w:left w:val="single" w:color="auto" w:sz="4" w:space="0"/>
                    <w:right w:val="single" w:color="auto" w:sz="4" w:space="0"/>
                  </w:tcBorders>
                  <w:vAlign w:val="center"/>
                </w:tcPr>
                <w:p w14:paraId="69F78753">
                  <w:pPr>
                    <w:widowControl/>
                    <w:adjustRightInd w:val="0"/>
                    <w:snapToGrid w:val="0"/>
                    <w:jc w:val="center"/>
                    <w:rPr>
                      <w:color w:val="auto"/>
                      <w:szCs w:val="21"/>
                    </w:rPr>
                  </w:pPr>
                  <w:r>
                    <w:rPr>
                      <w:color w:val="auto"/>
                      <w:kern w:val="0"/>
                      <w:szCs w:val="21"/>
                      <w:lang w:bidi="ar"/>
                    </w:rPr>
                    <w:t>地埋式，加盖密闭，投放除臭剂等</w:t>
                  </w:r>
                </w:p>
              </w:tc>
              <w:tc>
                <w:tcPr>
                  <w:tcW w:w="958" w:type="dxa"/>
                  <w:tcBorders>
                    <w:top w:val="single" w:color="auto" w:sz="4" w:space="0"/>
                    <w:left w:val="single" w:color="auto" w:sz="4" w:space="0"/>
                    <w:right w:val="single" w:color="auto" w:sz="4" w:space="0"/>
                  </w:tcBorders>
                  <w:noWrap/>
                  <w:vAlign w:val="center"/>
                </w:tcPr>
                <w:p w14:paraId="580F7AC1">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64E524C3">
                  <w:pPr>
                    <w:jc w:val="center"/>
                    <w:rPr>
                      <w:color w:val="auto"/>
                      <w:szCs w:val="21"/>
                    </w:rPr>
                  </w:pPr>
                  <w:r>
                    <w:rPr>
                      <w:rFonts w:hint="eastAsia"/>
                      <w:color w:val="auto"/>
                      <w:szCs w:val="21"/>
                    </w:rPr>
                    <w:t>0.00042</w:t>
                  </w:r>
                </w:p>
              </w:tc>
            </w:tr>
            <w:tr w14:paraId="0D80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continue"/>
                  <w:tcBorders>
                    <w:left w:val="single" w:color="auto" w:sz="4" w:space="0"/>
                    <w:bottom w:val="single" w:color="auto" w:sz="4" w:space="0"/>
                    <w:right w:val="single" w:color="auto" w:sz="4" w:space="0"/>
                  </w:tcBorders>
                  <w:vAlign w:val="center"/>
                </w:tcPr>
                <w:p w14:paraId="7C783AC1">
                  <w:pPr>
                    <w:widowControl/>
                    <w:adjustRightInd w:val="0"/>
                    <w:snapToGrid w:val="0"/>
                    <w:jc w:val="left"/>
                    <w:rPr>
                      <w:color w:val="auto"/>
                      <w:szCs w:val="21"/>
                    </w:rPr>
                  </w:pPr>
                </w:p>
              </w:tc>
              <w:tc>
                <w:tcPr>
                  <w:tcW w:w="1095" w:type="dxa"/>
                  <w:tcBorders>
                    <w:top w:val="single" w:color="auto" w:sz="4" w:space="0"/>
                    <w:left w:val="single" w:color="auto" w:sz="4" w:space="0"/>
                    <w:right w:val="single" w:color="auto" w:sz="4" w:space="0"/>
                  </w:tcBorders>
                  <w:noWrap/>
                  <w:vAlign w:val="center"/>
                </w:tcPr>
                <w:p w14:paraId="2B72E60A">
                  <w:pPr>
                    <w:adjustRightInd w:val="0"/>
                    <w:snapToGrid w:val="0"/>
                    <w:jc w:val="center"/>
                    <w:rPr>
                      <w:color w:val="auto"/>
                      <w:szCs w:val="21"/>
                    </w:rPr>
                  </w:pPr>
                  <w:r>
                    <w:rPr>
                      <w:color w:val="auto"/>
                      <w:szCs w:val="21"/>
                    </w:rPr>
                    <w:t>H</w:t>
                  </w:r>
                  <w:r>
                    <w:rPr>
                      <w:color w:val="auto"/>
                      <w:szCs w:val="21"/>
                      <w:vertAlign w:val="subscript"/>
                    </w:rPr>
                    <w:t>2</w:t>
                  </w:r>
                  <w:r>
                    <w:rPr>
                      <w:color w:val="auto"/>
                      <w:szCs w:val="21"/>
                    </w:rPr>
                    <w:t>S</w:t>
                  </w:r>
                </w:p>
              </w:tc>
              <w:tc>
                <w:tcPr>
                  <w:tcW w:w="1558" w:type="dxa"/>
                  <w:tcBorders>
                    <w:top w:val="single" w:color="auto" w:sz="4" w:space="0"/>
                    <w:left w:val="single" w:color="auto" w:sz="4" w:space="0"/>
                    <w:right w:val="single" w:color="auto" w:sz="4" w:space="0"/>
                  </w:tcBorders>
                  <w:noWrap/>
                  <w:vAlign w:val="center"/>
                </w:tcPr>
                <w:p w14:paraId="71EFE512">
                  <w:pPr>
                    <w:jc w:val="center"/>
                    <w:rPr>
                      <w:color w:val="auto"/>
                      <w:szCs w:val="21"/>
                    </w:rPr>
                  </w:pPr>
                  <w:r>
                    <w:rPr>
                      <w:rFonts w:hint="eastAsia"/>
                      <w:color w:val="auto"/>
                      <w:szCs w:val="21"/>
                    </w:rPr>
                    <w:t>0.000041</w:t>
                  </w:r>
                </w:p>
              </w:tc>
              <w:tc>
                <w:tcPr>
                  <w:tcW w:w="705" w:type="dxa"/>
                  <w:vMerge w:val="continue"/>
                  <w:tcBorders>
                    <w:left w:val="single" w:color="auto" w:sz="4" w:space="0"/>
                    <w:right w:val="single" w:color="auto" w:sz="4" w:space="0"/>
                  </w:tcBorders>
                  <w:vAlign w:val="center"/>
                </w:tcPr>
                <w:p w14:paraId="1B33E2C5">
                  <w:pPr>
                    <w:widowControl/>
                    <w:adjustRightInd w:val="0"/>
                    <w:snapToGrid w:val="0"/>
                    <w:jc w:val="left"/>
                    <w:rPr>
                      <w:color w:val="auto"/>
                      <w:szCs w:val="21"/>
                    </w:rPr>
                  </w:pPr>
                </w:p>
              </w:tc>
              <w:tc>
                <w:tcPr>
                  <w:tcW w:w="1893" w:type="dxa"/>
                  <w:vMerge w:val="continue"/>
                  <w:tcBorders>
                    <w:left w:val="single" w:color="auto" w:sz="4" w:space="0"/>
                    <w:right w:val="single" w:color="auto" w:sz="4" w:space="0"/>
                  </w:tcBorders>
                  <w:vAlign w:val="center"/>
                </w:tcPr>
                <w:p w14:paraId="308F6387">
                  <w:pPr>
                    <w:widowControl/>
                    <w:adjustRightInd w:val="0"/>
                    <w:snapToGrid w:val="0"/>
                    <w:jc w:val="center"/>
                    <w:rPr>
                      <w:color w:val="auto"/>
                      <w:szCs w:val="21"/>
                    </w:rPr>
                  </w:pPr>
                </w:p>
              </w:tc>
              <w:tc>
                <w:tcPr>
                  <w:tcW w:w="958" w:type="dxa"/>
                  <w:tcBorders>
                    <w:top w:val="single" w:color="auto" w:sz="4" w:space="0"/>
                    <w:left w:val="single" w:color="auto" w:sz="4" w:space="0"/>
                    <w:right w:val="single" w:color="auto" w:sz="4" w:space="0"/>
                  </w:tcBorders>
                  <w:noWrap/>
                  <w:vAlign w:val="center"/>
                </w:tcPr>
                <w:p w14:paraId="07EA0238">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3763DF75">
                  <w:pPr>
                    <w:jc w:val="center"/>
                    <w:rPr>
                      <w:color w:val="auto"/>
                      <w:szCs w:val="21"/>
                    </w:rPr>
                  </w:pPr>
                  <w:r>
                    <w:rPr>
                      <w:rFonts w:hint="eastAsia"/>
                      <w:color w:val="auto"/>
                      <w:szCs w:val="21"/>
                    </w:rPr>
                    <w:t>0.000016</w:t>
                  </w:r>
                </w:p>
              </w:tc>
            </w:tr>
            <w:tr w14:paraId="2039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251" w:type="dxa"/>
                  <w:tcBorders>
                    <w:top w:val="single" w:color="auto" w:sz="4" w:space="0"/>
                    <w:left w:val="single" w:color="auto" w:sz="4" w:space="0"/>
                    <w:right w:val="single" w:color="auto" w:sz="4" w:space="0"/>
                  </w:tcBorders>
                  <w:vAlign w:val="center"/>
                </w:tcPr>
                <w:p w14:paraId="10D99CDC">
                  <w:pPr>
                    <w:widowControl/>
                    <w:adjustRightInd w:val="0"/>
                    <w:snapToGrid w:val="0"/>
                    <w:jc w:val="center"/>
                    <w:rPr>
                      <w:color w:val="auto"/>
                      <w:szCs w:val="21"/>
                    </w:rPr>
                  </w:pPr>
                  <w:r>
                    <w:rPr>
                      <w:rFonts w:hint="eastAsia"/>
                      <w:color w:val="auto"/>
                      <w:szCs w:val="21"/>
                    </w:rPr>
                    <w:t>四街卫生院</w:t>
                  </w:r>
                  <w:r>
                    <w:rPr>
                      <w:color w:val="auto"/>
                      <w:szCs w:val="21"/>
                    </w:rPr>
                    <w:t>中药煎药房</w:t>
                  </w:r>
                </w:p>
              </w:tc>
              <w:tc>
                <w:tcPr>
                  <w:tcW w:w="1095" w:type="dxa"/>
                  <w:tcBorders>
                    <w:top w:val="single" w:color="auto" w:sz="4" w:space="0"/>
                    <w:left w:val="single" w:color="auto" w:sz="4" w:space="0"/>
                    <w:right w:val="single" w:color="auto" w:sz="4" w:space="0"/>
                  </w:tcBorders>
                  <w:noWrap/>
                  <w:vAlign w:val="center"/>
                </w:tcPr>
                <w:p w14:paraId="0763699C">
                  <w:pPr>
                    <w:adjustRightInd w:val="0"/>
                    <w:snapToGrid w:val="0"/>
                    <w:jc w:val="center"/>
                    <w:rPr>
                      <w:color w:val="auto"/>
                      <w:szCs w:val="21"/>
                    </w:rPr>
                  </w:pPr>
                  <w:r>
                    <w:rPr>
                      <w:color w:val="auto"/>
                      <w:szCs w:val="21"/>
                    </w:rPr>
                    <w:t>异味</w:t>
                  </w:r>
                </w:p>
              </w:tc>
              <w:tc>
                <w:tcPr>
                  <w:tcW w:w="1558" w:type="dxa"/>
                  <w:tcBorders>
                    <w:top w:val="single" w:color="auto" w:sz="4" w:space="0"/>
                    <w:left w:val="single" w:color="auto" w:sz="4" w:space="0"/>
                    <w:right w:val="single" w:color="auto" w:sz="4" w:space="0"/>
                  </w:tcBorders>
                  <w:noWrap/>
                  <w:vAlign w:val="center"/>
                </w:tcPr>
                <w:p w14:paraId="0BD7364E">
                  <w:pPr>
                    <w:adjustRightInd w:val="0"/>
                    <w:snapToGrid w:val="0"/>
                    <w:jc w:val="center"/>
                    <w:rPr>
                      <w:color w:val="auto"/>
                      <w:szCs w:val="21"/>
                    </w:rPr>
                  </w:pPr>
                  <w:r>
                    <w:rPr>
                      <w:color w:val="auto"/>
                      <w:szCs w:val="21"/>
                    </w:rPr>
                    <w:t>少量</w:t>
                  </w:r>
                </w:p>
              </w:tc>
              <w:tc>
                <w:tcPr>
                  <w:tcW w:w="705" w:type="dxa"/>
                  <w:tcBorders>
                    <w:left w:val="single" w:color="auto" w:sz="4" w:space="0"/>
                    <w:right w:val="single" w:color="auto" w:sz="4" w:space="0"/>
                  </w:tcBorders>
                  <w:vAlign w:val="center"/>
                </w:tcPr>
                <w:p w14:paraId="5A4AFD64">
                  <w:pPr>
                    <w:widowControl/>
                    <w:adjustRightInd w:val="0"/>
                    <w:snapToGrid w:val="0"/>
                    <w:jc w:val="center"/>
                    <w:rPr>
                      <w:color w:val="auto"/>
                      <w:szCs w:val="21"/>
                    </w:rPr>
                  </w:pPr>
                  <w:r>
                    <w:rPr>
                      <w:color w:val="auto"/>
                      <w:szCs w:val="21"/>
                    </w:rPr>
                    <w:t>有组织</w:t>
                  </w:r>
                </w:p>
              </w:tc>
              <w:tc>
                <w:tcPr>
                  <w:tcW w:w="1893" w:type="dxa"/>
                  <w:tcBorders>
                    <w:left w:val="single" w:color="auto" w:sz="4" w:space="0"/>
                    <w:right w:val="single" w:color="auto" w:sz="4" w:space="0"/>
                  </w:tcBorders>
                  <w:vAlign w:val="center"/>
                </w:tcPr>
                <w:p w14:paraId="09E7C1DE">
                  <w:pPr>
                    <w:widowControl/>
                    <w:adjustRightInd w:val="0"/>
                    <w:snapToGrid w:val="0"/>
                    <w:jc w:val="center"/>
                    <w:rPr>
                      <w:color w:val="auto"/>
                      <w:szCs w:val="21"/>
                    </w:rPr>
                  </w:pPr>
                  <w:r>
                    <w:rPr>
                      <w:color w:val="auto"/>
                      <w:szCs w:val="21"/>
                    </w:rPr>
                    <w:t>经</w:t>
                  </w:r>
                  <w:r>
                    <w:rPr>
                      <w:color w:val="auto"/>
                      <w:kern w:val="0"/>
                      <w:szCs w:val="21"/>
                    </w:rPr>
                    <w:t>对煎药房安装抽风装置，排风管连接建筑内的排烟井，抽吸后的异味经排烟井屋顶排放</w:t>
                  </w:r>
                </w:p>
              </w:tc>
              <w:tc>
                <w:tcPr>
                  <w:tcW w:w="958" w:type="dxa"/>
                  <w:tcBorders>
                    <w:top w:val="single" w:color="auto" w:sz="4" w:space="0"/>
                    <w:left w:val="single" w:color="auto" w:sz="4" w:space="0"/>
                    <w:right w:val="single" w:color="auto" w:sz="4" w:space="0"/>
                  </w:tcBorders>
                  <w:noWrap/>
                  <w:vAlign w:val="center"/>
                </w:tcPr>
                <w:p w14:paraId="1B0521A4">
                  <w:pPr>
                    <w:adjustRightInd w:val="0"/>
                    <w:snapToGrid w:val="0"/>
                    <w:jc w:val="center"/>
                    <w:rPr>
                      <w:color w:val="auto"/>
                      <w:szCs w:val="21"/>
                    </w:rPr>
                  </w:pPr>
                  <w:r>
                    <w:rPr>
                      <w:color w:val="auto"/>
                      <w:szCs w:val="21"/>
                    </w:rPr>
                    <w:t>--</w:t>
                  </w:r>
                </w:p>
              </w:tc>
              <w:tc>
                <w:tcPr>
                  <w:tcW w:w="1377" w:type="dxa"/>
                  <w:tcBorders>
                    <w:top w:val="single" w:color="auto" w:sz="4" w:space="0"/>
                    <w:left w:val="single" w:color="auto" w:sz="4" w:space="0"/>
                    <w:right w:val="single" w:color="auto" w:sz="4" w:space="0"/>
                  </w:tcBorders>
                  <w:noWrap/>
                  <w:vAlign w:val="center"/>
                </w:tcPr>
                <w:p w14:paraId="2EE848B3">
                  <w:pPr>
                    <w:adjustRightInd w:val="0"/>
                    <w:snapToGrid w:val="0"/>
                    <w:jc w:val="center"/>
                    <w:rPr>
                      <w:color w:val="auto"/>
                      <w:szCs w:val="21"/>
                    </w:rPr>
                  </w:pPr>
                  <w:r>
                    <w:rPr>
                      <w:color w:val="auto"/>
                      <w:szCs w:val="21"/>
                    </w:rPr>
                    <w:t>少量</w:t>
                  </w:r>
                </w:p>
              </w:tc>
            </w:tr>
            <w:tr w14:paraId="4245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51" w:type="dxa"/>
                  <w:tcBorders>
                    <w:left w:val="single" w:color="auto" w:sz="4" w:space="0"/>
                    <w:right w:val="single" w:color="auto" w:sz="4" w:space="0"/>
                  </w:tcBorders>
                  <w:vAlign w:val="center"/>
                </w:tcPr>
                <w:p w14:paraId="65EFF716">
                  <w:pPr>
                    <w:widowControl/>
                    <w:adjustRightInd w:val="0"/>
                    <w:snapToGrid w:val="0"/>
                    <w:jc w:val="center"/>
                    <w:rPr>
                      <w:color w:val="auto"/>
                      <w:szCs w:val="21"/>
                    </w:rPr>
                  </w:pPr>
                  <w:r>
                    <w:rPr>
                      <w:rFonts w:hint="eastAsia"/>
                      <w:color w:val="auto"/>
                      <w:szCs w:val="21"/>
                    </w:rPr>
                    <w:t>纳古卫生院</w:t>
                  </w:r>
                  <w:r>
                    <w:rPr>
                      <w:color w:val="auto"/>
                      <w:szCs w:val="21"/>
                    </w:rPr>
                    <w:t>备用柴油发电机</w:t>
                  </w:r>
                </w:p>
              </w:tc>
              <w:tc>
                <w:tcPr>
                  <w:tcW w:w="1095" w:type="dxa"/>
                  <w:tcBorders>
                    <w:top w:val="single" w:color="auto" w:sz="4" w:space="0"/>
                    <w:left w:val="single" w:color="auto" w:sz="4" w:space="0"/>
                    <w:right w:val="single" w:color="auto" w:sz="4" w:space="0"/>
                  </w:tcBorders>
                  <w:noWrap/>
                  <w:vAlign w:val="center"/>
                </w:tcPr>
                <w:p w14:paraId="41E6EC72">
                  <w:pPr>
                    <w:adjustRightInd w:val="0"/>
                    <w:snapToGrid w:val="0"/>
                    <w:jc w:val="center"/>
                    <w:rPr>
                      <w:color w:val="auto"/>
                      <w:szCs w:val="21"/>
                    </w:rPr>
                  </w:pPr>
                  <w:r>
                    <w:rPr>
                      <w:color w:val="auto"/>
                      <w:szCs w:val="21"/>
                    </w:rPr>
                    <w:t>废气</w:t>
                  </w:r>
                </w:p>
              </w:tc>
              <w:tc>
                <w:tcPr>
                  <w:tcW w:w="1558" w:type="dxa"/>
                  <w:tcBorders>
                    <w:left w:val="single" w:color="auto" w:sz="4" w:space="0"/>
                    <w:right w:val="single" w:color="auto" w:sz="4" w:space="0"/>
                  </w:tcBorders>
                  <w:noWrap/>
                  <w:vAlign w:val="center"/>
                </w:tcPr>
                <w:p w14:paraId="5309A901">
                  <w:pPr>
                    <w:adjustRightInd w:val="0"/>
                    <w:snapToGrid w:val="0"/>
                    <w:jc w:val="center"/>
                    <w:rPr>
                      <w:color w:val="auto"/>
                      <w:szCs w:val="21"/>
                    </w:rPr>
                  </w:pPr>
                  <w:r>
                    <w:rPr>
                      <w:color w:val="auto"/>
                      <w:szCs w:val="21"/>
                    </w:rPr>
                    <w:t>少量</w:t>
                  </w:r>
                </w:p>
              </w:tc>
              <w:tc>
                <w:tcPr>
                  <w:tcW w:w="705" w:type="dxa"/>
                  <w:tcBorders>
                    <w:left w:val="single" w:color="auto" w:sz="4" w:space="0"/>
                    <w:right w:val="single" w:color="auto" w:sz="4" w:space="0"/>
                  </w:tcBorders>
                  <w:vAlign w:val="center"/>
                </w:tcPr>
                <w:p w14:paraId="34A5722A">
                  <w:pPr>
                    <w:widowControl/>
                    <w:adjustRightInd w:val="0"/>
                    <w:snapToGrid w:val="0"/>
                    <w:jc w:val="center"/>
                    <w:rPr>
                      <w:color w:val="auto"/>
                      <w:szCs w:val="21"/>
                    </w:rPr>
                  </w:pPr>
                  <w:r>
                    <w:rPr>
                      <w:color w:val="auto"/>
                      <w:szCs w:val="21"/>
                    </w:rPr>
                    <w:t>无组织</w:t>
                  </w:r>
                </w:p>
              </w:tc>
              <w:tc>
                <w:tcPr>
                  <w:tcW w:w="1893" w:type="dxa"/>
                  <w:tcBorders>
                    <w:left w:val="single" w:color="auto" w:sz="4" w:space="0"/>
                    <w:right w:val="single" w:color="auto" w:sz="4" w:space="0"/>
                  </w:tcBorders>
                  <w:vAlign w:val="center"/>
                </w:tcPr>
                <w:p w14:paraId="4A199730">
                  <w:pPr>
                    <w:widowControl/>
                    <w:adjustRightInd w:val="0"/>
                    <w:snapToGrid w:val="0"/>
                    <w:jc w:val="center"/>
                    <w:rPr>
                      <w:color w:val="auto"/>
                      <w:szCs w:val="21"/>
                    </w:rPr>
                  </w:pPr>
                  <w:r>
                    <w:rPr>
                      <w:color w:val="auto"/>
                      <w:szCs w:val="21"/>
                    </w:rPr>
                    <w:t>经专用排烟管道排至绿化带一侧后通过绿地吸收和大气稀释扩散处理</w:t>
                  </w:r>
                </w:p>
              </w:tc>
              <w:tc>
                <w:tcPr>
                  <w:tcW w:w="958" w:type="dxa"/>
                  <w:tcBorders>
                    <w:left w:val="single" w:color="auto" w:sz="4" w:space="0"/>
                    <w:right w:val="single" w:color="auto" w:sz="4" w:space="0"/>
                  </w:tcBorders>
                  <w:noWrap/>
                  <w:vAlign w:val="center"/>
                </w:tcPr>
                <w:p w14:paraId="52C9F5C9">
                  <w:pPr>
                    <w:adjustRightInd w:val="0"/>
                    <w:snapToGrid w:val="0"/>
                    <w:jc w:val="center"/>
                    <w:rPr>
                      <w:color w:val="auto"/>
                      <w:szCs w:val="21"/>
                    </w:rPr>
                  </w:pPr>
                  <w:r>
                    <w:rPr>
                      <w:color w:val="auto"/>
                      <w:szCs w:val="21"/>
                    </w:rPr>
                    <w:t>--</w:t>
                  </w:r>
                </w:p>
              </w:tc>
              <w:tc>
                <w:tcPr>
                  <w:tcW w:w="1377" w:type="dxa"/>
                  <w:tcBorders>
                    <w:top w:val="single" w:color="auto" w:sz="4" w:space="0"/>
                    <w:left w:val="single" w:color="auto" w:sz="4" w:space="0"/>
                    <w:right w:val="single" w:color="auto" w:sz="4" w:space="0"/>
                  </w:tcBorders>
                  <w:noWrap/>
                  <w:vAlign w:val="center"/>
                </w:tcPr>
                <w:p w14:paraId="28E708B2">
                  <w:pPr>
                    <w:adjustRightInd w:val="0"/>
                    <w:snapToGrid w:val="0"/>
                    <w:jc w:val="center"/>
                    <w:rPr>
                      <w:color w:val="auto"/>
                      <w:szCs w:val="21"/>
                    </w:rPr>
                  </w:pPr>
                  <w:r>
                    <w:rPr>
                      <w:color w:val="auto"/>
                      <w:szCs w:val="21"/>
                    </w:rPr>
                    <w:t>少量</w:t>
                  </w:r>
                </w:p>
              </w:tc>
            </w:tr>
            <w:bookmarkEnd w:id="74"/>
          </w:tbl>
          <w:p w14:paraId="7B400CF5">
            <w:pPr>
              <w:pStyle w:val="32"/>
              <w:adjustRightInd w:val="0"/>
              <w:snapToGrid w:val="0"/>
              <w:spacing w:after="0" w:line="360" w:lineRule="auto"/>
              <w:ind w:left="0" w:leftChars="0" w:firstLine="325" w:firstLineChars="147"/>
              <w:rPr>
                <w:b/>
                <w:bCs/>
                <w:color w:val="auto"/>
                <w:spacing w:val="-10"/>
                <w:szCs w:val="24"/>
              </w:rPr>
            </w:pPr>
            <w:r>
              <w:rPr>
                <w:b/>
                <w:bCs/>
                <w:color w:val="auto"/>
                <w:spacing w:val="-10"/>
                <w:szCs w:val="24"/>
              </w:rPr>
              <w:t>（</w:t>
            </w:r>
            <w:r>
              <w:rPr>
                <w:rFonts w:hint="eastAsia"/>
                <w:b/>
                <w:bCs/>
                <w:color w:val="auto"/>
                <w:spacing w:val="-10"/>
                <w:szCs w:val="24"/>
              </w:rPr>
              <w:t>3</w:t>
            </w:r>
            <w:r>
              <w:rPr>
                <w:b/>
                <w:bCs/>
                <w:color w:val="auto"/>
                <w:spacing w:val="-10"/>
                <w:szCs w:val="24"/>
              </w:rPr>
              <w:t>）大气环境影响分析</w:t>
            </w:r>
          </w:p>
          <w:p w14:paraId="633E050B">
            <w:pPr>
              <w:pStyle w:val="32"/>
              <w:adjustRightInd w:val="0"/>
              <w:snapToGrid w:val="0"/>
              <w:spacing w:after="0" w:line="360" w:lineRule="auto"/>
              <w:ind w:left="0" w:leftChars="0" w:firstLine="442"/>
              <w:rPr>
                <w:b/>
                <w:bCs/>
                <w:color w:val="auto"/>
                <w:spacing w:val="-10"/>
                <w:szCs w:val="24"/>
              </w:rPr>
            </w:pPr>
            <w:r>
              <w:rPr>
                <w:b/>
                <w:bCs/>
                <w:color w:val="auto"/>
                <w:spacing w:val="-10"/>
                <w:szCs w:val="24"/>
              </w:rPr>
              <w:t>1</w:t>
            </w:r>
            <w:r>
              <w:rPr>
                <w:rFonts w:hint="eastAsia"/>
                <w:b/>
                <w:bCs/>
                <w:color w:val="auto"/>
                <w:spacing w:val="-10"/>
                <w:szCs w:val="24"/>
              </w:rPr>
              <w:t>）</w:t>
            </w:r>
            <w:r>
              <w:rPr>
                <w:b/>
                <w:bCs/>
                <w:color w:val="auto"/>
                <w:spacing w:val="-10"/>
                <w:szCs w:val="24"/>
              </w:rPr>
              <w:t>污水处理站</w:t>
            </w:r>
            <w:r>
              <w:rPr>
                <w:rFonts w:hint="eastAsia"/>
                <w:b/>
                <w:bCs/>
                <w:color w:val="auto"/>
                <w:spacing w:val="-10"/>
                <w:szCs w:val="24"/>
              </w:rPr>
              <w:t>周边空气中无组织恶臭达标情况分析</w:t>
            </w:r>
          </w:p>
          <w:p w14:paraId="5D546284">
            <w:pPr>
              <w:widowControl/>
              <w:spacing w:line="360" w:lineRule="auto"/>
              <w:ind w:firstLine="480" w:firstLineChars="200"/>
              <w:jc w:val="left"/>
              <w:rPr>
                <w:color w:val="auto"/>
                <w:sz w:val="24"/>
              </w:rPr>
            </w:pPr>
            <w:r>
              <w:rPr>
                <w:rFonts w:hint="eastAsia" w:ascii="宋体" w:hAnsi="宋体" w:cs="宋体"/>
                <w:color w:val="auto"/>
                <w:kern w:val="0"/>
                <w:sz w:val="24"/>
                <w:lang w:bidi="ar"/>
              </w:rPr>
              <w:t>本项目涉及4个卫生院，拟在纳古卫生院和杨广卫生院新建一座污水处理站，四街卫生院和九龙卫生院将现有污水处理站拆除后重建。</w:t>
            </w:r>
            <w:r>
              <w:rPr>
                <w:rFonts w:ascii="宋体" w:hAnsi="宋体" w:cs="宋体"/>
                <w:color w:val="auto"/>
                <w:kern w:val="0"/>
                <w:sz w:val="24"/>
                <w:lang w:bidi="ar"/>
              </w:rPr>
              <w:t>本项目</w:t>
            </w:r>
            <w:r>
              <w:rPr>
                <w:rFonts w:hint="eastAsia" w:ascii="宋体" w:hAnsi="宋体" w:cs="宋体"/>
                <w:color w:val="auto"/>
                <w:kern w:val="0"/>
                <w:sz w:val="24"/>
                <w:lang w:bidi="ar"/>
              </w:rPr>
              <w:t>拟建的</w:t>
            </w:r>
            <w:r>
              <w:rPr>
                <w:rFonts w:ascii="宋体" w:hAnsi="宋体" w:cs="宋体"/>
                <w:color w:val="auto"/>
                <w:kern w:val="0"/>
                <w:sz w:val="24"/>
                <w:lang w:bidi="ar"/>
              </w:rPr>
              <w:t xml:space="preserve">污水处理站设计为地埋式，加盖密闭，只在盖板上留有换气口，异味产生量较小，呈无组织排放。在污水处理站周边设有绿化带，并定期（应至少每周一次）投放消毒剂和除臭剂。投放除臭剂对污水处理站恶臭气体的去除效率为 </w:t>
            </w:r>
            <w:r>
              <w:rPr>
                <w:color w:val="auto"/>
                <w:kern w:val="0"/>
                <w:sz w:val="24"/>
                <w:lang w:bidi="ar"/>
              </w:rPr>
              <w:t>60%</w:t>
            </w:r>
            <w:r>
              <w:rPr>
                <w:rFonts w:ascii="宋体" w:hAnsi="宋体" w:cs="宋体"/>
                <w:color w:val="auto"/>
                <w:kern w:val="0"/>
                <w:sz w:val="24"/>
                <w:lang w:bidi="ar"/>
              </w:rPr>
              <w:t xml:space="preserve">。 </w:t>
            </w:r>
          </w:p>
          <w:p w14:paraId="095454E6">
            <w:pPr>
              <w:widowControl/>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通海县常年主导风向为南风，四街卫生院项目选址位于通海县四街村，四街卫生院保护目标四街村位于本项目项目的下风向和侧风向。四街镇位于本项目的侧风向，四街卫生院污水处理站</w:t>
            </w:r>
            <w:r>
              <w:rPr>
                <w:rFonts w:ascii="宋体" w:hAnsi="宋体" w:cs="宋体"/>
                <w:color w:val="auto"/>
                <w:kern w:val="0"/>
                <w:sz w:val="24"/>
                <w:lang w:bidi="ar"/>
              </w:rPr>
              <w:t>设计为地埋式，加盖密闭，只在盖板上留有换气口，在污水处理站周边设有绿化带，并定期（应至少每周一次）投放消毒剂和除臭剂。</w:t>
            </w:r>
            <w:r>
              <w:rPr>
                <w:rFonts w:hint="eastAsia" w:ascii="宋体" w:hAnsi="宋体" w:cs="宋体"/>
                <w:color w:val="auto"/>
                <w:kern w:val="0"/>
                <w:sz w:val="24"/>
                <w:lang w:bidi="ar"/>
              </w:rPr>
              <w:t>四街卫生院污水处理站的建设对四街镇和四街村的影响较小。纳古卫生院项目选址位于通海县纳古镇集镇，纳古卫生院保护目标纳古集镇位于本项目项目的上风向、下风向以及侧风向。纳古卫生院污水处理站</w:t>
            </w:r>
            <w:r>
              <w:rPr>
                <w:rFonts w:ascii="宋体" w:hAnsi="宋体" w:cs="宋体"/>
                <w:color w:val="auto"/>
                <w:kern w:val="0"/>
                <w:sz w:val="24"/>
                <w:lang w:bidi="ar"/>
              </w:rPr>
              <w:t>设计为地埋式，加盖密闭，只在盖板上留有换气口，在污水处理站周边设有绿化带，并定期（应至少每周一次）投放消毒剂和除臭剂。</w:t>
            </w:r>
            <w:r>
              <w:rPr>
                <w:rFonts w:hint="eastAsia" w:ascii="宋体" w:hAnsi="宋体" w:cs="宋体"/>
                <w:color w:val="auto"/>
                <w:kern w:val="0"/>
                <w:sz w:val="24"/>
                <w:lang w:bidi="ar"/>
              </w:rPr>
              <w:t>纳古卫生院污水处理站的建设对纳古集镇的影响较小。九龙卫生院项目选址位于通海县九龙街道，九龙卫生院保护目标九龙街道位于本项目项目的下风向以及侧风向。九龙卫生院污水处理站</w:t>
            </w:r>
            <w:r>
              <w:rPr>
                <w:rFonts w:ascii="宋体" w:hAnsi="宋体" w:cs="宋体"/>
                <w:color w:val="auto"/>
                <w:kern w:val="0"/>
                <w:sz w:val="24"/>
                <w:lang w:bidi="ar"/>
              </w:rPr>
              <w:t>设计为地埋式，加盖密闭，只在盖板上留有换气口，在污水处理站周边设有绿化带，并定期（应至少每周一次）投放消毒剂和除臭剂。</w:t>
            </w:r>
            <w:r>
              <w:rPr>
                <w:rFonts w:hint="eastAsia" w:ascii="宋体" w:hAnsi="宋体" w:cs="宋体"/>
                <w:color w:val="auto"/>
                <w:kern w:val="0"/>
                <w:sz w:val="24"/>
                <w:lang w:bidi="ar"/>
              </w:rPr>
              <w:t>九龙卫生院污水处理站的建设对九龙街道的影响较小。杨广卫生院项目选址位于通海县杨广镇集镇，杨广卫生院保护目标杨广集镇位于本项目项目的上风向和侧风向。杨广卫生院污水处理站</w:t>
            </w:r>
            <w:r>
              <w:rPr>
                <w:rFonts w:ascii="宋体" w:hAnsi="宋体" w:cs="宋体"/>
                <w:color w:val="auto"/>
                <w:kern w:val="0"/>
                <w:sz w:val="24"/>
                <w:lang w:bidi="ar"/>
              </w:rPr>
              <w:t>设计为地埋式，加盖密闭，只在盖板上留有换气口，在污水处理站周边设有绿化带，并定期（应至少每周一次）投放消毒剂和除臭剂。</w:t>
            </w:r>
            <w:r>
              <w:rPr>
                <w:rFonts w:hint="eastAsia" w:ascii="宋体" w:hAnsi="宋体" w:cs="宋体"/>
                <w:color w:val="auto"/>
                <w:kern w:val="0"/>
                <w:sz w:val="24"/>
                <w:lang w:bidi="ar"/>
              </w:rPr>
              <w:t>杨广卫生院污水处理站的建设对杨广集镇的影响较小。</w:t>
            </w:r>
          </w:p>
          <w:p w14:paraId="0349A119">
            <w:pPr>
              <w:widowControl/>
              <w:spacing w:line="360" w:lineRule="auto"/>
              <w:ind w:firstLine="480" w:firstLineChars="200"/>
              <w:jc w:val="left"/>
              <w:rPr>
                <w:color w:val="auto"/>
                <w:sz w:val="24"/>
              </w:rPr>
            </w:pPr>
            <w:r>
              <w:rPr>
                <w:rFonts w:ascii="宋体" w:hAnsi="宋体" w:cs="宋体"/>
                <w:color w:val="auto"/>
                <w:kern w:val="0"/>
                <w:sz w:val="24"/>
                <w:lang w:bidi="ar"/>
              </w:rPr>
              <w:t>根据《排污许可证申请与核发技术规范医疗机构》（</w:t>
            </w:r>
            <w:r>
              <w:rPr>
                <w:color w:val="auto"/>
                <w:kern w:val="0"/>
                <w:sz w:val="24"/>
                <w:lang w:bidi="ar"/>
              </w:rPr>
              <w:t>HJ 1105-2020</w:t>
            </w:r>
            <w:r>
              <w:rPr>
                <w:rFonts w:ascii="宋体" w:hAnsi="宋体" w:cs="宋体"/>
                <w:color w:val="auto"/>
                <w:kern w:val="0"/>
                <w:sz w:val="24"/>
                <w:lang w:bidi="ar"/>
              </w:rPr>
              <w:t>）中附录</w:t>
            </w:r>
            <w:r>
              <w:rPr>
                <w:color w:val="auto"/>
                <w:kern w:val="0"/>
                <w:sz w:val="24"/>
                <w:lang w:bidi="ar"/>
              </w:rPr>
              <w:t>A</w:t>
            </w:r>
            <w:r>
              <w:rPr>
                <w:rFonts w:ascii="宋体" w:hAnsi="宋体" w:cs="宋体"/>
                <w:color w:val="auto"/>
                <w:kern w:val="0"/>
                <w:sz w:val="24"/>
                <w:lang w:bidi="ar"/>
              </w:rPr>
              <w:t>表</w:t>
            </w:r>
            <w:r>
              <w:rPr>
                <w:color w:val="auto"/>
                <w:kern w:val="0"/>
                <w:sz w:val="24"/>
                <w:lang w:bidi="ar"/>
              </w:rPr>
              <w:t>A.1</w:t>
            </w:r>
            <w:r>
              <w:rPr>
                <w:rFonts w:ascii="宋体" w:hAnsi="宋体" w:cs="宋体"/>
                <w:color w:val="auto"/>
                <w:kern w:val="0"/>
                <w:sz w:val="24"/>
                <w:lang w:bidi="ar"/>
              </w:rPr>
              <w:t xml:space="preserve">医疗机构排污单位废气治理可行技术参照表，污水处理站无组织排放废气投放除臭剂属于污染防治可行技术。 </w:t>
            </w:r>
          </w:p>
          <w:p w14:paraId="3AB5EFA2">
            <w:pPr>
              <w:widowControl/>
              <w:spacing w:line="360" w:lineRule="auto"/>
              <w:ind w:firstLine="480" w:firstLineChars="200"/>
              <w:jc w:val="left"/>
              <w:rPr>
                <w:color w:val="auto"/>
                <w:sz w:val="24"/>
              </w:rPr>
            </w:pPr>
            <w:r>
              <w:rPr>
                <w:rFonts w:ascii="宋体" w:hAnsi="宋体" w:cs="宋体"/>
                <w:color w:val="auto"/>
                <w:kern w:val="0"/>
                <w:sz w:val="24"/>
                <w:lang w:bidi="ar"/>
              </w:rPr>
              <w:t>经采取上述治理措施，</w:t>
            </w:r>
            <w:r>
              <w:rPr>
                <w:rFonts w:hint="eastAsia" w:ascii="宋体" w:hAnsi="宋体" w:cs="宋体"/>
                <w:color w:val="auto"/>
                <w:kern w:val="0"/>
                <w:sz w:val="24"/>
                <w:lang w:bidi="ar"/>
              </w:rPr>
              <w:t>项目</w:t>
            </w:r>
            <w:r>
              <w:rPr>
                <w:rFonts w:ascii="宋体" w:hAnsi="宋体" w:cs="宋体"/>
                <w:color w:val="auto"/>
                <w:kern w:val="0"/>
                <w:sz w:val="24"/>
                <w:lang w:bidi="ar"/>
              </w:rPr>
              <w:t>地埋式污水处理站周边恶臭</w:t>
            </w:r>
            <w:r>
              <w:rPr>
                <w:rFonts w:hint="eastAsia"/>
                <w:color w:val="auto"/>
                <w:sz w:val="24"/>
              </w:rPr>
              <w:t>（</w:t>
            </w:r>
            <w:r>
              <w:rPr>
                <w:bCs/>
                <w:color w:val="auto"/>
                <w:sz w:val="24"/>
              </w:rPr>
              <w:t>NH</w:t>
            </w:r>
            <w:r>
              <w:rPr>
                <w:bCs/>
                <w:color w:val="auto"/>
                <w:sz w:val="24"/>
                <w:vertAlign w:val="subscript"/>
              </w:rPr>
              <w:t>3</w:t>
            </w:r>
            <w:r>
              <w:rPr>
                <w:rFonts w:hint="eastAsia"/>
                <w:bCs/>
                <w:color w:val="auto"/>
                <w:sz w:val="24"/>
              </w:rPr>
              <w:t>和</w:t>
            </w:r>
            <w:r>
              <w:rPr>
                <w:bCs/>
                <w:color w:val="auto"/>
                <w:sz w:val="24"/>
              </w:rPr>
              <w:t>H</w:t>
            </w:r>
            <w:r>
              <w:rPr>
                <w:bCs/>
                <w:color w:val="auto"/>
                <w:sz w:val="24"/>
                <w:vertAlign w:val="subscript"/>
              </w:rPr>
              <w:t>2</w:t>
            </w:r>
            <w:r>
              <w:rPr>
                <w:bCs/>
                <w:color w:val="auto"/>
                <w:sz w:val="24"/>
              </w:rPr>
              <w:t>S</w:t>
            </w:r>
            <w:r>
              <w:rPr>
                <w:rFonts w:hint="eastAsia"/>
                <w:color w:val="auto"/>
                <w:sz w:val="24"/>
              </w:rPr>
              <w:t>）</w:t>
            </w:r>
            <w:r>
              <w:rPr>
                <w:rFonts w:ascii="宋体" w:hAnsi="宋体" w:cs="宋体"/>
                <w:color w:val="auto"/>
                <w:kern w:val="0"/>
                <w:sz w:val="24"/>
                <w:lang w:bidi="ar"/>
              </w:rPr>
              <w:t>可达到《医疗机构水污染物排放标准》（</w:t>
            </w:r>
            <w:r>
              <w:rPr>
                <w:color w:val="auto"/>
                <w:kern w:val="0"/>
                <w:sz w:val="24"/>
                <w:lang w:bidi="ar"/>
              </w:rPr>
              <w:t>GB 18466-2005</w:t>
            </w:r>
            <w:r>
              <w:rPr>
                <w:rFonts w:ascii="宋体" w:hAnsi="宋体" w:cs="宋体"/>
                <w:color w:val="auto"/>
                <w:kern w:val="0"/>
                <w:sz w:val="24"/>
                <w:lang w:bidi="ar"/>
              </w:rPr>
              <w:t xml:space="preserve">）表 </w:t>
            </w:r>
            <w:r>
              <w:rPr>
                <w:color w:val="auto"/>
                <w:kern w:val="0"/>
                <w:sz w:val="24"/>
                <w:lang w:bidi="ar"/>
              </w:rPr>
              <w:t xml:space="preserve">3 </w:t>
            </w:r>
            <w:r>
              <w:rPr>
                <w:rFonts w:ascii="宋体" w:hAnsi="宋体" w:cs="宋体"/>
                <w:color w:val="auto"/>
                <w:kern w:val="0"/>
                <w:sz w:val="24"/>
                <w:lang w:bidi="ar"/>
              </w:rPr>
              <w:t>污水处理设施周边大气污染物最高允许浓度要求。</w:t>
            </w:r>
          </w:p>
          <w:p w14:paraId="70B6F27E">
            <w:pPr>
              <w:pStyle w:val="131"/>
              <w:ind w:firstLine="482"/>
              <w:jc w:val="left"/>
              <w:rPr>
                <w:b/>
                <w:color w:val="auto"/>
              </w:rPr>
            </w:pPr>
            <w:r>
              <w:rPr>
                <w:rFonts w:hint="eastAsia"/>
                <w:b/>
                <w:color w:val="auto"/>
              </w:rPr>
              <w:t>2）</w:t>
            </w:r>
            <w:r>
              <w:rPr>
                <w:b/>
                <w:color w:val="auto"/>
              </w:rPr>
              <w:t>异味</w:t>
            </w:r>
          </w:p>
          <w:p w14:paraId="3581B80C">
            <w:pPr>
              <w:spacing w:line="360" w:lineRule="auto"/>
              <w:ind w:firstLine="480" w:firstLineChars="200"/>
              <w:rPr>
                <w:color w:val="auto"/>
                <w:sz w:val="24"/>
              </w:rPr>
            </w:pPr>
            <w:r>
              <w:rPr>
                <w:rFonts w:hint="eastAsia"/>
                <w:color w:val="auto"/>
                <w:sz w:val="24"/>
              </w:rPr>
              <w:t>本项目涉及4个卫生院，</w:t>
            </w:r>
            <w:r>
              <w:rPr>
                <w:color w:val="auto"/>
                <w:sz w:val="24"/>
              </w:rPr>
              <w:t>项目</w:t>
            </w:r>
            <w:r>
              <w:rPr>
                <w:rFonts w:hint="eastAsia"/>
                <w:color w:val="auto"/>
                <w:sz w:val="24"/>
              </w:rPr>
              <w:t>拟</w:t>
            </w:r>
            <w:r>
              <w:rPr>
                <w:color w:val="auto"/>
                <w:sz w:val="24"/>
              </w:rPr>
              <w:t>在</w:t>
            </w:r>
            <w:r>
              <w:rPr>
                <w:rFonts w:hint="eastAsia"/>
                <w:color w:val="auto"/>
                <w:sz w:val="24"/>
              </w:rPr>
              <w:t>四街卫生院业务用房1层</w:t>
            </w:r>
            <w:r>
              <w:rPr>
                <w:color w:val="auto"/>
                <w:sz w:val="24"/>
              </w:rPr>
              <w:t>内设置煎药室，为就诊病人提供代煎药服务。煎药使用的设备为电自动煎药包装机，煎药和包装过程为全封闭过程。但煎煮过程中仍会有少量中药气味散发出来，该气味无有毒有害物质。</w:t>
            </w:r>
            <w:r>
              <w:rPr>
                <w:rFonts w:hint="eastAsia" w:ascii="宋体" w:hAnsi="宋体" w:cs="宋体"/>
                <w:color w:val="auto"/>
                <w:kern w:val="0"/>
                <w:sz w:val="24"/>
              </w:rPr>
              <w:t>对煎药房安装抽风装置，排风管连接建筑内的排烟井，抽吸后的废气经排烟井屋顶排放</w:t>
            </w:r>
            <w:r>
              <w:rPr>
                <w:rFonts w:hint="eastAsia"/>
                <w:color w:val="auto"/>
                <w:sz w:val="24"/>
              </w:rPr>
              <w:t>。本项目四街卫生院煎药室距保护目标较远，且有建筑物阻隔。煎药异味对周围环境影响较小。</w:t>
            </w:r>
          </w:p>
          <w:p w14:paraId="4C7E69F8">
            <w:pPr>
              <w:spacing w:line="360" w:lineRule="auto"/>
              <w:ind w:firstLine="590" w:firstLineChars="245"/>
              <w:rPr>
                <w:b/>
                <w:color w:val="auto"/>
                <w:kern w:val="0"/>
                <w:sz w:val="24"/>
              </w:rPr>
            </w:pPr>
            <w:r>
              <w:rPr>
                <w:rFonts w:hint="eastAsia"/>
                <w:b/>
                <w:color w:val="auto"/>
                <w:kern w:val="0"/>
                <w:sz w:val="24"/>
              </w:rPr>
              <w:t>3</w:t>
            </w:r>
            <w:r>
              <w:rPr>
                <w:b/>
                <w:color w:val="auto"/>
                <w:kern w:val="0"/>
                <w:sz w:val="24"/>
              </w:rPr>
              <w:t>）</w:t>
            </w:r>
            <w:r>
              <w:rPr>
                <w:rFonts w:hint="eastAsia"/>
                <w:b/>
                <w:color w:val="auto"/>
                <w:kern w:val="0"/>
                <w:sz w:val="24"/>
              </w:rPr>
              <w:t>备用柴油</w:t>
            </w:r>
            <w:r>
              <w:rPr>
                <w:b/>
                <w:color w:val="auto"/>
                <w:kern w:val="0"/>
                <w:sz w:val="24"/>
              </w:rPr>
              <w:t>发电机废气</w:t>
            </w:r>
            <w:r>
              <w:rPr>
                <w:rFonts w:hint="eastAsia"/>
                <w:b/>
                <w:color w:val="auto"/>
                <w:sz w:val="24"/>
              </w:rPr>
              <w:t>影响分析</w:t>
            </w:r>
          </w:p>
          <w:p w14:paraId="28B41F1E">
            <w:pPr>
              <w:adjustRightInd w:val="0"/>
              <w:snapToGrid w:val="0"/>
              <w:spacing w:line="360" w:lineRule="auto"/>
              <w:ind w:firstLine="535" w:firstLineChars="223"/>
              <w:rPr>
                <w:rFonts w:hint="eastAsia" w:hAnsi="宋体"/>
                <w:bCs/>
                <w:color w:val="auto"/>
                <w:sz w:val="24"/>
              </w:rPr>
            </w:pPr>
            <w:r>
              <w:rPr>
                <w:rFonts w:hint="eastAsia"/>
                <w:color w:val="auto"/>
                <w:sz w:val="24"/>
              </w:rPr>
              <w:t>本项目涉及4个卫生院，根据建设单位提供的资料，本项目纳古卫生院拟在已有的发电机房内新增一台50KW的备用柴油发电机，</w:t>
            </w:r>
            <w:r>
              <w:rPr>
                <w:rFonts w:hAnsi="宋体"/>
                <w:bCs/>
                <w:color w:val="auto"/>
                <w:sz w:val="24"/>
              </w:rPr>
              <w:t>备用</w:t>
            </w:r>
            <w:r>
              <w:rPr>
                <w:rFonts w:hint="eastAsia" w:hAnsi="宋体"/>
                <w:bCs/>
                <w:color w:val="auto"/>
                <w:sz w:val="24"/>
              </w:rPr>
              <w:t>柴油</w:t>
            </w:r>
            <w:r>
              <w:rPr>
                <w:rFonts w:hAnsi="宋体"/>
                <w:bCs/>
                <w:color w:val="auto"/>
                <w:sz w:val="24"/>
              </w:rPr>
              <w:t>发电机废气产生量较少，</w:t>
            </w:r>
            <w:r>
              <w:rPr>
                <w:rFonts w:hAnsi="宋体"/>
                <w:color w:val="auto"/>
                <w:sz w:val="24"/>
              </w:rPr>
              <w:t>备用发电机房</w:t>
            </w:r>
            <w:r>
              <w:rPr>
                <w:rFonts w:hint="eastAsia"/>
                <w:color w:val="auto"/>
                <w:sz w:val="24"/>
              </w:rPr>
              <w:t>设置于发电机房内</w:t>
            </w:r>
            <w:r>
              <w:rPr>
                <w:rFonts w:hAnsi="宋体"/>
                <w:color w:val="auto"/>
                <w:sz w:val="24"/>
              </w:rPr>
              <w:t>，</w:t>
            </w:r>
            <w:r>
              <w:rPr>
                <w:color w:val="auto"/>
                <w:sz w:val="24"/>
              </w:rPr>
              <w:t>产生的废</w:t>
            </w:r>
            <w:r>
              <w:rPr>
                <w:rFonts w:ascii="宋体" w:hAnsi="宋体" w:cs="宋体"/>
                <w:color w:val="auto"/>
                <w:sz w:val="24"/>
              </w:rPr>
              <w:t>气经</w:t>
            </w:r>
            <w:r>
              <w:rPr>
                <w:rFonts w:hint="eastAsia" w:ascii="宋体" w:hAnsi="宋体" w:cs="宋体"/>
                <w:color w:val="auto"/>
                <w:sz w:val="24"/>
              </w:rPr>
              <w:t>专用排烟管道</w:t>
            </w:r>
            <w:r>
              <w:rPr>
                <w:rFonts w:ascii="宋体" w:hAnsi="宋体" w:cs="宋体"/>
                <w:color w:val="auto"/>
                <w:sz w:val="24"/>
              </w:rPr>
              <w:t>排至绿化带一侧后</w:t>
            </w:r>
            <w:r>
              <w:rPr>
                <w:rFonts w:hint="eastAsia" w:ascii="宋体" w:hAnsi="宋体" w:cs="宋体"/>
                <w:color w:val="auto"/>
                <w:sz w:val="24"/>
              </w:rPr>
              <w:t>通过</w:t>
            </w:r>
            <w:r>
              <w:rPr>
                <w:rFonts w:ascii="宋体" w:hAnsi="宋体" w:cs="宋体"/>
                <w:color w:val="auto"/>
                <w:sz w:val="24"/>
              </w:rPr>
              <w:t>绿地吸收和大气稀释扩散处理</w:t>
            </w:r>
            <w:r>
              <w:rPr>
                <w:rFonts w:hAnsi="宋体"/>
                <w:bCs/>
                <w:color w:val="auto"/>
                <w:sz w:val="24"/>
              </w:rPr>
              <w:t>。由于备用</w:t>
            </w:r>
            <w:r>
              <w:rPr>
                <w:rFonts w:hint="eastAsia" w:hAnsi="宋体"/>
                <w:bCs/>
                <w:color w:val="auto"/>
                <w:sz w:val="24"/>
              </w:rPr>
              <w:t>柴油</w:t>
            </w:r>
            <w:r>
              <w:rPr>
                <w:rFonts w:hAnsi="宋体"/>
                <w:bCs/>
                <w:color w:val="auto"/>
                <w:sz w:val="24"/>
              </w:rPr>
              <w:t>发电机</w:t>
            </w:r>
            <w:r>
              <w:rPr>
                <w:rFonts w:hint="eastAsia" w:hAnsi="宋体"/>
                <w:bCs/>
                <w:color w:val="auto"/>
                <w:sz w:val="24"/>
              </w:rPr>
              <w:t>仅</w:t>
            </w:r>
            <w:r>
              <w:rPr>
                <w:rFonts w:hAnsi="宋体"/>
                <w:bCs/>
                <w:color w:val="auto"/>
                <w:sz w:val="24"/>
              </w:rPr>
              <w:t>作为第二供电电源使用，使用次数较小且污染物量也较少，</w:t>
            </w:r>
            <w:r>
              <w:rPr>
                <w:rFonts w:hint="eastAsia" w:hAnsi="宋体"/>
                <w:bCs/>
                <w:color w:val="auto"/>
                <w:sz w:val="24"/>
              </w:rPr>
              <w:t>故</w:t>
            </w:r>
            <w:r>
              <w:rPr>
                <w:rFonts w:hAnsi="宋体"/>
                <w:bCs/>
                <w:color w:val="auto"/>
                <w:sz w:val="24"/>
              </w:rPr>
              <w:t>对周围环境的影响时间短，影响范围很小</w:t>
            </w:r>
            <w:r>
              <w:rPr>
                <w:rFonts w:hint="eastAsia" w:hAnsi="宋体"/>
                <w:bCs/>
                <w:color w:val="auto"/>
                <w:sz w:val="24"/>
              </w:rPr>
              <w:t>，</w:t>
            </w:r>
            <w:r>
              <w:rPr>
                <w:rFonts w:hAnsi="宋体"/>
                <w:bCs/>
                <w:color w:val="auto"/>
                <w:sz w:val="24"/>
              </w:rPr>
              <w:t>项目营运期备用</w:t>
            </w:r>
            <w:r>
              <w:rPr>
                <w:rFonts w:hint="eastAsia" w:hAnsi="宋体"/>
                <w:bCs/>
                <w:color w:val="auto"/>
                <w:sz w:val="24"/>
              </w:rPr>
              <w:t>柴油</w:t>
            </w:r>
            <w:r>
              <w:rPr>
                <w:rFonts w:hAnsi="宋体"/>
                <w:bCs/>
                <w:color w:val="auto"/>
                <w:sz w:val="24"/>
              </w:rPr>
              <w:t>发电机排放的废气经</w:t>
            </w:r>
            <w:r>
              <w:rPr>
                <w:rFonts w:hint="eastAsia" w:hAnsi="宋体"/>
                <w:bCs/>
                <w:color w:val="auto"/>
                <w:sz w:val="24"/>
              </w:rPr>
              <w:t>项目</w:t>
            </w:r>
            <w:r>
              <w:rPr>
                <w:rFonts w:hAnsi="宋体"/>
                <w:bCs/>
                <w:color w:val="auto"/>
                <w:sz w:val="24"/>
              </w:rPr>
              <w:t>内绿化区植物吸附和吸收</w:t>
            </w:r>
            <w:r>
              <w:rPr>
                <w:rFonts w:hint="eastAsia" w:hAnsi="宋体"/>
                <w:bCs/>
                <w:color w:val="auto"/>
                <w:sz w:val="24"/>
              </w:rPr>
              <w:t>后</w:t>
            </w:r>
            <w:r>
              <w:rPr>
                <w:rFonts w:hAnsi="宋体"/>
                <w:bCs/>
                <w:color w:val="auto"/>
                <w:sz w:val="24"/>
              </w:rPr>
              <w:t>对周围环境影响较小。</w:t>
            </w:r>
          </w:p>
          <w:p w14:paraId="211A9B71">
            <w:pPr>
              <w:pStyle w:val="32"/>
              <w:adjustRightInd w:val="0"/>
              <w:snapToGrid w:val="0"/>
              <w:spacing w:after="0" w:line="360" w:lineRule="auto"/>
              <w:ind w:left="0" w:leftChars="0" w:firstLine="442"/>
              <w:rPr>
                <w:color w:val="auto"/>
                <w:szCs w:val="24"/>
              </w:rPr>
            </w:pPr>
            <w:r>
              <w:rPr>
                <w:b/>
                <w:bCs/>
                <w:color w:val="auto"/>
                <w:spacing w:val="-10"/>
                <w:szCs w:val="24"/>
              </w:rPr>
              <w:t>（</w:t>
            </w:r>
            <w:r>
              <w:rPr>
                <w:rFonts w:hint="eastAsia"/>
                <w:b/>
                <w:bCs/>
                <w:color w:val="auto"/>
                <w:spacing w:val="-10"/>
                <w:szCs w:val="24"/>
              </w:rPr>
              <w:t>4</w:t>
            </w:r>
            <w:r>
              <w:rPr>
                <w:b/>
                <w:bCs/>
                <w:color w:val="auto"/>
                <w:spacing w:val="-10"/>
                <w:szCs w:val="24"/>
              </w:rPr>
              <w:t>）大气环境影响评价结论</w:t>
            </w:r>
          </w:p>
          <w:p w14:paraId="14C9F3DA">
            <w:pPr>
              <w:widowControl/>
              <w:spacing w:line="360" w:lineRule="auto"/>
              <w:ind w:firstLine="480" w:firstLineChars="200"/>
              <w:jc w:val="left"/>
              <w:rPr>
                <w:color w:val="auto"/>
                <w:sz w:val="24"/>
              </w:rPr>
            </w:pPr>
            <w:r>
              <w:rPr>
                <w:rFonts w:hint="eastAsia"/>
                <w:color w:val="auto"/>
                <w:sz w:val="24"/>
              </w:rPr>
              <w:t>项目污水处理站产生的</w:t>
            </w:r>
            <w:r>
              <w:rPr>
                <w:color w:val="auto"/>
                <w:sz w:val="24"/>
              </w:rPr>
              <w:t>H</w:t>
            </w:r>
            <w:r>
              <w:rPr>
                <w:color w:val="auto"/>
                <w:sz w:val="24"/>
                <w:vertAlign w:val="subscript"/>
              </w:rPr>
              <w:t>2</w:t>
            </w:r>
            <w:r>
              <w:rPr>
                <w:color w:val="auto"/>
                <w:sz w:val="24"/>
              </w:rPr>
              <w:t>S和NH</w:t>
            </w:r>
            <w:r>
              <w:rPr>
                <w:color w:val="auto"/>
                <w:sz w:val="24"/>
                <w:vertAlign w:val="subscript"/>
              </w:rPr>
              <w:t>3</w:t>
            </w:r>
            <w:r>
              <w:rPr>
                <w:rFonts w:hint="eastAsia"/>
                <w:color w:val="auto"/>
                <w:sz w:val="24"/>
              </w:rPr>
              <w:t>等恶臭气体在采取加盖密闭并定期（至少每周一次）投放消毒剂和除臭剂的措施下，对周围环境影响较小；</w:t>
            </w:r>
            <w:r>
              <w:rPr>
                <w:rFonts w:hint="eastAsia" w:ascii="宋体" w:hAnsi="宋体" w:cs="宋体"/>
                <w:color w:val="auto"/>
                <w:kern w:val="0"/>
                <w:sz w:val="24"/>
              </w:rPr>
              <w:t>煎药房安装抽风装置，排风管连接建筑内的排烟井，抽吸后的</w:t>
            </w:r>
            <w:r>
              <w:rPr>
                <w:rFonts w:hint="eastAsia" w:cs="宋体"/>
                <w:color w:val="auto"/>
                <w:kern w:val="0"/>
                <w:sz w:val="24"/>
              </w:rPr>
              <w:t>异味</w:t>
            </w:r>
            <w:r>
              <w:rPr>
                <w:rFonts w:hint="eastAsia" w:ascii="宋体" w:hAnsi="宋体" w:cs="宋体"/>
                <w:color w:val="auto"/>
                <w:kern w:val="0"/>
                <w:sz w:val="24"/>
              </w:rPr>
              <w:t>经排烟井屋顶排放</w:t>
            </w:r>
            <w:r>
              <w:rPr>
                <w:rFonts w:hint="eastAsia"/>
                <w:color w:val="auto"/>
                <w:sz w:val="24"/>
              </w:rPr>
              <w:t>，对周围环境影响较小；备用</w:t>
            </w:r>
            <w:r>
              <w:rPr>
                <w:color w:val="auto"/>
                <w:sz w:val="24"/>
              </w:rPr>
              <w:t>柴油发电机废气经大气稀释扩散后，对外环境影响较小</w:t>
            </w:r>
            <w:r>
              <w:rPr>
                <w:rFonts w:hint="eastAsia"/>
                <w:color w:val="auto"/>
                <w:sz w:val="24"/>
              </w:rPr>
              <w:t>。</w:t>
            </w:r>
            <w:r>
              <w:rPr>
                <w:color w:val="auto"/>
                <w:sz w:val="24"/>
              </w:rPr>
              <w:t>项目运营期主要大气污染物均能达标排放，不会造成区域环境空气质量超标，对周围环境影响较小。因此，项目废气对大气环境的影响是可以接受的</w:t>
            </w:r>
            <w:r>
              <w:rPr>
                <w:rFonts w:hint="eastAsia"/>
                <w:color w:val="auto"/>
                <w:sz w:val="24"/>
              </w:rPr>
              <w:t>。</w:t>
            </w:r>
          </w:p>
          <w:p w14:paraId="229CB5B5">
            <w:pPr>
              <w:widowControl/>
              <w:spacing w:line="360" w:lineRule="auto"/>
              <w:ind w:firstLine="482" w:firstLineChars="200"/>
              <w:jc w:val="left"/>
              <w:rPr>
                <w:b/>
                <w:bCs/>
                <w:color w:val="auto"/>
                <w:sz w:val="24"/>
              </w:rPr>
            </w:pPr>
            <w:r>
              <w:rPr>
                <w:rFonts w:hint="eastAsia"/>
                <w:b/>
                <w:bCs/>
                <w:color w:val="auto"/>
                <w:sz w:val="24"/>
              </w:rPr>
              <w:t>（5）自行监测要求</w:t>
            </w:r>
          </w:p>
          <w:p w14:paraId="70F3AD7A">
            <w:pPr>
              <w:widowControl/>
              <w:spacing w:line="360" w:lineRule="auto"/>
              <w:ind w:firstLine="480" w:firstLineChars="200"/>
              <w:jc w:val="left"/>
              <w:rPr>
                <w:color w:val="auto"/>
              </w:rPr>
            </w:pPr>
            <w:r>
              <w:rPr>
                <w:rFonts w:ascii="宋体" w:hAnsi="宋体" w:cs="宋体"/>
                <w:color w:val="auto"/>
                <w:kern w:val="0"/>
                <w:sz w:val="24"/>
                <w:lang w:bidi="ar"/>
              </w:rPr>
              <w:t>根据《排污许可证申请与核发技术规范医疗机构》（</w:t>
            </w:r>
            <w:r>
              <w:rPr>
                <w:color w:val="auto"/>
                <w:kern w:val="0"/>
                <w:sz w:val="24"/>
                <w:lang w:bidi="ar"/>
              </w:rPr>
              <w:t>HJ 1105-2020</w:t>
            </w:r>
            <w:r>
              <w:rPr>
                <w:rFonts w:ascii="宋体" w:hAnsi="宋体" w:cs="宋体"/>
                <w:color w:val="auto"/>
                <w:kern w:val="0"/>
                <w:sz w:val="24"/>
                <w:lang w:bidi="ar"/>
              </w:rPr>
              <w:t xml:space="preserve">）中废气监测点位、监测指标和监测频次，本项目运营期废气监测要求如下表。 </w:t>
            </w:r>
          </w:p>
          <w:p w14:paraId="4F532186">
            <w:pPr>
              <w:pStyle w:val="32"/>
              <w:ind w:left="0" w:leftChars="0" w:firstLine="442"/>
              <w:jc w:val="center"/>
              <w:rPr>
                <w:rFonts w:hint="eastAsia" w:ascii="宋体" w:hAnsi="宋体" w:cs="宋体"/>
                <w:b/>
                <w:color w:val="auto"/>
                <w:spacing w:val="-10"/>
                <w:szCs w:val="24"/>
              </w:rPr>
            </w:pPr>
            <w:r>
              <w:rPr>
                <w:rFonts w:hint="eastAsia" w:ascii="宋体" w:hAnsi="宋体" w:cs="宋体"/>
                <w:b/>
                <w:color w:val="auto"/>
                <w:spacing w:val="-10"/>
                <w:szCs w:val="24"/>
              </w:rPr>
              <w:t>表4-3   项目运营期废气自行监测要求</w:t>
            </w:r>
          </w:p>
          <w:tbl>
            <w:tblPr>
              <w:tblStyle w:val="33"/>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485"/>
              <w:gridCol w:w="2040"/>
              <w:gridCol w:w="1215"/>
              <w:gridCol w:w="2876"/>
            </w:tblGrid>
            <w:tr w14:paraId="7132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4339E36D">
                  <w:pPr>
                    <w:pStyle w:val="31"/>
                    <w:adjustRightInd w:val="0"/>
                    <w:spacing w:line="240" w:lineRule="auto"/>
                    <w:ind w:firstLine="0" w:firstLineChars="0"/>
                    <w:jc w:val="center"/>
                    <w:rPr>
                      <w:bCs/>
                      <w:color w:val="auto"/>
                      <w:spacing w:val="-10"/>
                      <w:szCs w:val="21"/>
                    </w:rPr>
                  </w:pPr>
                  <w:r>
                    <w:rPr>
                      <w:rFonts w:hint="eastAsia"/>
                      <w:bCs/>
                      <w:color w:val="auto"/>
                      <w:spacing w:val="-10"/>
                      <w:szCs w:val="21"/>
                    </w:rPr>
                    <w:t>项目</w:t>
                  </w:r>
                </w:p>
              </w:tc>
              <w:tc>
                <w:tcPr>
                  <w:tcW w:w="1485" w:type="dxa"/>
                  <w:vAlign w:val="center"/>
                </w:tcPr>
                <w:p w14:paraId="1ED6ACF5">
                  <w:pPr>
                    <w:pStyle w:val="31"/>
                    <w:adjustRightInd w:val="0"/>
                    <w:spacing w:line="240" w:lineRule="auto"/>
                    <w:ind w:firstLine="0" w:firstLineChars="0"/>
                    <w:jc w:val="center"/>
                    <w:rPr>
                      <w:bCs/>
                      <w:color w:val="auto"/>
                      <w:spacing w:val="-10"/>
                      <w:szCs w:val="21"/>
                    </w:rPr>
                  </w:pPr>
                  <w:r>
                    <w:rPr>
                      <w:rFonts w:hint="eastAsia"/>
                      <w:bCs/>
                      <w:color w:val="auto"/>
                      <w:spacing w:val="-10"/>
                      <w:szCs w:val="21"/>
                    </w:rPr>
                    <w:t>监测点位</w:t>
                  </w:r>
                </w:p>
              </w:tc>
              <w:tc>
                <w:tcPr>
                  <w:tcW w:w="2040" w:type="dxa"/>
                  <w:vAlign w:val="center"/>
                </w:tcPr>
                <w:p w14:paraId="2CB5FD1C">
                  <w:pPr>
                    <w:pStyle w:val="31"/>
                    <w:adjustRightInd w:val="0"/>
                    <w:spacing w:line="240" w:lineRule="auto"/>
                    <w:ind w:firstLine="0" w:firstLineChars="0"/>
                    <w:jc w:val="center"/>
                    <w:rPr>
                      <w:bCs/>
                      <w:color w:val="auto"/>
                      <w:spacing w:val="-10"/>
                      <w:szCs w:val="21"/>
                    </w:rPr>
                  </w:pPr>
                  <w:r>
                    <w:rPr>
                      <w:rFonts w:hint="eastAsia"/>
                      <w:bCs/>
                      <w:color w:val="auto"/>
                      <w:spacing w:val="-10"/>
                      <w:szCs w:val="21"/>
                    </w:rPr>
                    <w:t>监测指标</w:t>
                  </w:r>
                </w:p>
              </w:tc>
              <w:tc>
                <w:tcPr>
                  <w:tcW w:w="1215" w:type="dxa"/>
                  <w:vAlign w:val="center"/>
                </w:tcPr>
                <w:p w14:paraId="5CBBE74C">
                  <w:pPr>
                    <w:pStyle w:val="31"/>
                    <w:adjustRightInd w:val="0"/>
                    <w:spacing w:line="240" w:lineRule="auto"/>
                    <w:ind w:firstLine="0" w:firstLineChars="0"/>
                    <w:jc w:val="center"/>
                    <w:rPr>
                      <w:bCs/>
                      <w:color w:val="auto"/>
                      <w:spacing w:val="-10"/>
                      <w:szCs w:val="21"/>
                    </w:rPr>
                  </w:pPr>
                  <w:r>
                    <w:rPr>
                      <w:rFonts w:hint="eastAsia"/>
                      <w:bCs/>
                      <w:color w:val="auto"/>
                      <w:spacing w:val="-10"/>
                      <w:szCs w:val="21"/>
                    </w:rPr>
                    <w:t>监测频次</w:t>
                  </w:r>
                </w:p>
              </w:tc>
              <w:tc>
                <w:tcPr>
                  <w:tcW w:w="2876" w:type="dxa"/>
                  <w:vAlign w:val="center"/>
                </w:tcPr>
                <w:p w14:paraId="2FA53D6E">
                  <w:pPr>
                    <w:pStyle w:val="31"/>
                    <w:adjustRightInd w:val="0"/>
                    <w:spacing w:line="240" w:lineRule="auto"/>
                    <w:ind w:firstLine="0" w:firstLineChars="0"/>
                    <w:jc w:val="center"/>
                    <w:rPr>
                      <w:bCs/>
                      <w:color w:val="auto"/>
                      <w:spacing w:val="-10"/>
                      <w:szCs w:val="21"/>
                    </w:rPr>
                  </w:pPr>
                  <w:r>
                    <w:rPr>
                      <w:rFonts w:hint="eastAsia"/>
                      <w:bCs/>
                      <w:color w:val="auto"/>
                      <w:spacing w:val="-10"/>
                      <w:szCs w:val="21"/>
                    </w:rPr>
                    <w:t>执行标准</w:t>
                  </w:r>
                </w:p>
              </w:tc>
            </w:tr>
            <w:tr w14:paraId="2A06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258" w:type="dxa"/>
                  <w:vAlign w:val="center"/>
                </w:tcPr>
                <w:p w14:paraId="372F078E">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无组织废气</w:t>
                  </w:r>
                </w:p>
              </w:tc>
              <w:tc>
                <w:tcPr>
                  <w:tcW w:w="1485" w:type="dxa"/>
                  <w:vAlign w:val="center"/>
                </w:tcPr>
                <w:p w14:paraId="224196B3">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纳古卫生院污水处理站周界</w:t>
                  </w:r>
                </w:p>
              </w:tc>
              <w:tc>
                <w:tcPr>
                  <w:tcW w:w="2040" w:type="dxa"/>
                  <w:vAlign w:val="center"/>
                </w:tcPr>
                <w:p w14:paraId="493F08C6">
                  <w:pPr>
                    <w:widowControl/>
                    <w:adjustRightInd w:val="0"/>
                    <w:snapToGrid w:val="0"/>
                    <w:jc w:val="center"/>
                    <w:rPr>
                      <w:bCs/>
                      <w:color w:val="auto"/>
                      <w:spacing w:val="-10"/>
                      <w:szCs w:val="21"/>
                    </w:rPr>
                  </w:pPr>
                  <w:r>
                    <w:rPr>
                      <w:rFonts w:ascii="宋体" w:hAnsi="宋体" w:cs="宋体"/>
                      <w:bCs/>
                      <w:color w:val="auto"/>
                      <w:kern w:val="0"/>
                      <w:szCs w:val="21"/>
                      <w:lang w:bidi="ar"/>
                    </w:rPr>
                    <w:t>氨、硫化氢、臭 气浓度、氯气、 甲烷</w:t>
                  </w:r>
                </w:p>
              </w:tc>
              <w:tc>
                <w:tcPr>
                  <w:tcW w:w="1215" w:type="dxa"/>
                  <w:vAlign w:val="center"/>
                </w:tcPr>
                <w:p w14:paraId="1240732B">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4D8EE6ED">
                  <w:pPr>
                    <w:pStyle w:val="31"/>
                    <w:adjustRightInd w:val="0"/>
                    <w:spacing w:before="0" w:after="0" w:line="240" w:lineRule="auto"/>
                    <w:ind w:right="0" w:firstLine="0" w:firstLineChars="0"/>
                    <w:jc w:val="center"/>
                    <w:rPr>
                      <w:bCs/>
                      <w:color w:val="auto"/>
                      <w:spacing w:val="-10"/>
                      <w:szCs w:val="21"/>
                    </w:rPr>
                  </w:pPr>
                </w:p>
              </w:tc>
              <w:tc>
                <w:tcPr>
                  <w:tcW w:w="2876" w:type="dxa"/>
                  <w:vMerge w:val="restart"/>
                  <w:vAlign w:val="center"/>
                </w:tcPr>
                <w:p w14:paraId="7E3DF5AD">
                  <w:pPr>
                    <w:pStyle w:val="31"/>
                    <w:adjustRightInd w:val="0"/>
                    <w:spacing w:before="0" w:after="0" w:line="240" w:lineRule="auto"/>
                    <w:ind w:right="0" w:firstLine="0" w:firstLineChars="0"/>
                    <w:jc w:val="center"/>
                    <w:rPr>
                      <w:bCs/>
                      <w:color w:val="auto"/>
                      <w:spacing w:val="-10"/>
                      <w:szCs w:val="21"/>
                    </w:rPr>
                  </w:pPr>
                  <w:r>
                    <w:rPr>
                      <w:rFonts w:ascii="宋体" w:hAnsi="宋体" w:cs="宋体"/>
                      <w:bCs/>
                      <w:color w:val="auto"/>
                      <w:szCs w:val="21"/>
                      <w:lang w:bidi="ar"/>
                    </w:rPr>
                    <w:t>《医疗机构水污染物排放标准》（</w:t>
                  </w:r>
                  <w:r>
                    <w:rPr>
                      <w:bCs/>
                      <w:color w:val="auto"/>
                      <w:szCs w:val="21"/>
                      <w:lang w:bidi="ar"/>
                    </w:rPr>
                    <w:t>GB 18466-2005</w:t>
                  </w:r>
                  <w:r>
                    <w:rPr>
                      <w:rFonts w:ascii="宋体" w:hAnsi="宋体" w:cs="宋体"/>
                      <w:bCs/>
                      <w:color w:val="auto"/>
                      <w:szCs w:val="21"/>
                      <w:lang w:bidi="ar"/>
                    </w:rPr>
                    <w:t>）表</w:t>
                  </w:r>
                  <w:r>
                    <w:rPr>
                      <w:bCs/>
                      <w:color w:val="auto"/>
                      <w:szCs w:val="21"/>
                      <w:lang w:bidi="ar"/>
                    </w:rPr>
                    <w:t>3</w:t>
                  </w:r>
                  <w:r>
                    <w:rPr>
                      <w:rFonts w:ascii="宋体" w:hAnsi="宋体" w:cs="宋体"/>
                      <w:bCs/>
                      <w:color w:val="auto"/>
                      <w:szCs w:val="21"/>
                      <w:lang w:bidi="ar"/>
                    </w:rPr>
                    <w:t>污水处理设施周边大气污染物最高允许浓度</w:t>
                  </w:r>
                </w:p>
              </w:tc>
            </w:tr>
            <w:tr w14:paraId="07AB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258" w:type="dxa"/>
                  <w:vAlign w:val="center"/>
                </w:tcPr>
                <w:p w14:paraId="6374C218">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无组织废气</w:t>
                  </w:r>
                </w:p>
              </w:tc>
              <w:tc>
                <w:tcPr>
                  <w:tcW w:w="1485" w:type="dxa"/>
                  <w:vAlign w:val="center"/>
                </w:tcPr>
                <w:p w14:paraId="114711A7">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四街卫生院污水处理站周界</w:t>
                  </w:r>
                </w:p>
              </w:tc>
              <w:tc>
                <w:tcPr>
                  <w:tcW w:w="2040" w:type="dxa"/>
                  <w:vAlign w:val="center"/>
                </w:tcPr>
                <w:p w14:paraId="6E7CDB9A">
                  <w:pPr>
                    <w:widowControl/>
                    <w:adjustRightInd w:val="0"/>
                    <w:snapToGrid w:val="0"/>
                    <w:jc w:val="center"/>
                    <w:rPr>
                      <w:rFonts w:hint="eastAsia" w:ascii="宋体" w:hAnsi="宋体" w:cs="宋体"/>
                      <w:bCs/>
                      <w:color w:val="auto"/>
                      <w:kern w:val="0"/>
                      <w:szCs w:val="21"/>
                      <w:lang w:bidi="ar"/>
                    </w:rPr>
                  </w:pPr>
                  <w:r>
                    <w:rPr>
                      <w:rFonts w:ascii="宋体" w:hAnsi="宋体" w:cs="宋体"/>
                      <w:bCs/>
                      <w:color w:val="auto"/>
                      <w:kern w:val="0"/>
                      <w:szCs w:val="21"/>
                      <w:lang w:bidi="ar"/>
                    </w:rPr>
                    <w:t>氨、硫化氢、臭 气浓度、氯气、 甲烷</w:t>
                  </w:r>
                </w:p>
              </w:tc>
              <w:tc>
                <w:tcPr>
                  <w:tcW w:w="1215" w:type="dxa"/>
                  <w:vAlign w:val="center"/>
                </w:tcPr>
                <w:p w14:paraId="47019C08">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23CBA6C4">
                  <w:pPr>
                    <w:pStyle w:val="31"/>
                    <w:adjustRightInd w:val="0"/>
                    <w:spacing w:before="0" w:after="0" w:line="240" w:lineRule="auto"/>
                    <w:ind w:right="0" w:firstLine="0" w:firstLineChars="0"/>
                    <w:jc w:val="center"/>
                    <w:rPr>
                      <w:bCs/>
                      <w:color w:val="auto"/>
                      <w:spacing w:val="-10"/>
                      <w:szCs w:val="21"/>
                    </w:rPr>
                  </w:pPr>
                </w:p>
              </w:tc>
              <w:tc>
                <w:tcPr>
                  <w:tcW w:w="2876" w:type="dxa"/>
                  <w:vMerge w:val="continue"/>
                  <w:vAlign w:val="center"/>
                </w:tcPr>
                <w:p w14:paraId="56C96818">
                  <w:pPr>
                    <w:pStyle w:val="31"/>
                    <w:adjustRightInd w:val="0"/>
                    <w:spacing w:before="0" w:after="0" w:line="240" w:lineRule="auto"/>
                    <w:ind w:right="0" w:firstLine="0" w:firstLineChars="0"/>
                    <w:jc w:val="center"/>
                    <w:rPr>
                      <w:rFonts w:hint="eastAsia" w:ascii="宋体" w:hAnsi="宋体" w:cs="宋体"/>
                      <w:bCs/>
                      <w:color w:val="auto"/>
                      <w:szCs w:val="21"/>
                      <w:lang w:bidi="ar"/>
                    </w:rPr>
                  </w:pPr>
                </w:p>
              </w:tc>
            </w:tr>
            <w:tr w14:paraId="0D4C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258" w:type="dxa"/>
                  <w:vAlign w:val="center"/>
                </w:tcPr>
                <w:p w14:paraId="535EDEAA">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无组织废气</w:t>
                  </w:r>
                </w:p>
              </w:tc>
              <w:tc>
                <w:tcPr>
                  <w:tcW w:w="1485" w:type="dxa"/>
                  <w:vAlign w:val="center"/>
                </w:tcPr>
                <w:p w14:paraId="79911312">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九龙卫生院污水处理站周界</w:t>
                  </w:r>
                </w:p>
              </w:tc>
              <w:tc>
                <w:tcPr>
                  <w:tcW w:w="2040" w:type="dxa"/>
                  <w:vAlign w:val="center"/>
                </w:tcPr>
                <w:p w14:paraId="4D958848">
                  <w:pPr>
                    <w:widowControl/>
                    <w:adjustRightInd w:val="0"/>
                    <w:snapToGrid w:val="0"/>
                    <w:jc w:val="center"/>
                    <w:rPr>
                      <w:rFonts w:hint="eastAsia" w:ascii="宋体" w:hAnsi="宋体" w:cs="宋体"/>
                      <w:bCs/>
                      <w:color w:val="auto"/>
                      <w:kern w:val="0"/>
                      <w:szCs w:val="21"/>
                      <w:lang w:bidi="ar"/>
                    </w:rPr>
                  </w:pPr>
                  <w:r>
                    <w:rPr>
                      <w:rFonts w:ascii="宋体" w:hAnsi="宋体" w:cs="宋体"/>
                      <w:bCs/>
                      <w:color w:val="auto"/>
                      <w:kern w:val="0"/>
                      <w:szCs w:val="21"/>
                      <w:lang w:bidi="ar"/>
                    </w:rPr>
                    <w:t>氨、硫化氢、臭 气浓度、氯气、 甲烷</w:t>
                  </w:r>
                </w:p>
              </w:tc>
              <w:tc>
                <w:tcPr>
                  <w:tcW w:w="1215" w:type="dxa"/>
                  <w:vAlign w:val="center"/>
                </w:tcPr>
                <w:p w14:paraId="7C9A1DFA">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3F7CE845">
                  <w:pPr>
                    <w:pStyle w:val="31"/>
                    <w:adjustRightInd w:val="0"/>
                    <w:spacing w:before="0" w:after="0" w:line="240" w:lineRule="auto"/>
                    <w:ind w:right="0" w:firstLine="0" w:firstLineChars="0"/>
                    <w:jc w:val="center"/>
                    <w:rPr>
                      <w:bCs/>
                      <w:color w:val="auto"/>
                      <w:spacing w:val="-10"/>
                      <w:szCs w:val="21"/>
                    </w:rPr>
                  </w:pPr>
                </w:p>
              </w:tc>
              <w:tc>
                <w:tcPr>
                  <w:tcW w:w="2876" w:type="dxa"/>
                  <w:vMerge w:val="continue"/>
                  <w:vAlign w:val="center"/>
                </w:tcPr>
                <w:p w14:paraId="35E78100">
                  <w:pPr>
                    <w:pStyle w:val="31"/>
                    <w:adjustRightInd w:val="0"/>
                    <w:spacing w:before="0" w:after="0" w:line="240" w:lineRule="auto"/>
                    <w:ind w:right="0" w:firstLine="0" w:firstLineChars="0"/>
                    <w:jc w:val="center"/>
                    <w:rPr>
                      <w:rFonts w:hint="eastAsia" w:ascii="宋体" w:hAnsi="宋体" w:cs="宋体"/>
                      <w:bCs/>
                      <w:color w:val="auto"/>
                      <w:szCs w:val="21"/>
                      <w:lang w:bidi="ar"/>
                    </w:rPr>
                  </w:pPr>
                </w:p>
              </w:tc>
            </w:tr>
            <w:tr w14:paraId="0A7A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258" w:type="dxa"/>
                  <w:vAlign w:val="center"/>
                </w:tcPr>
                <w:p w14:paraId="4FA26F39">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无组织废气</w:t>
                  </w:r>
                </w:p>
              </w:tc>
              <w:tc>
                <w:tcPr>
                  <w:tcW w:w="1485" w:type="dxa"/>
                  <w:vAlign w:val="center"/>
                </w:tcPr>
                <w:p w14:paraId="2591AE08">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杨广卫生院污水处理站周界</w:t>
                  </w:r>
                </w:p>
              </w:tc>
              <w:tc>
                <w:tcPr>
                  <w:tcW w:w="2040" w:type="dxa"/>
                  <w:vAlign w:val="center"/>
                </w:tcPr>
                <w:p w14:paraId="60CE37F4">
                  <w:pPr>
                    <w:widowControl/>
                    <w:adjustRightInd w:val="0"/>
                    <w:snapToGrid w:val="0"/>
                    <w:jc w:val="center"/>
                    <w:rPr>
                      <w:rFonts w:hint="eastAsia" w:ascii="宋体" w:hAnsi="宋体" w:cs="宋体"/>
                      <w:bCs/>
                      <w:color w:val="auto"/>
                      <w:kern w:val="0"/>
                      <w:szCs w:val="21"/>
                      <w:lang w:bidi="ar"/>
                    </w:rPr>
                  </w:pPr>
                  <w:r>
                    <w:rPr>
                      <w:rFonts w:ascii="宋体" w:hAnsi="宋体" w:cs="宋体"/>
                      <w:bCs/>
                      <w:color w:val="auto"/>
                      <w:kern w:val="0"/>
                      <w:szCs w:val="21"/>
                      <w:lang w:bidi="ar"/>
                    </w:rPr>
                    <w:t>氨、硫化氢、臭 气浓度、氯气、 甲烷</w:t>
                  </w:r>
                </w:p>
              </w:tc>
              <w:tc>
                <w:tcPr>
                  <w:tcW w:w="1215" w:type="dxa"/>
                  <w:vAlign w:val="center"/>
                </w:tcPr>
                <w:p w14:paraId="62457DAE">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1EF36796">
                  <w:pPr>
                    <w:pStyle w:val="31"/>
                    <w:adjustRightInd w:val="0"/>
                    <w:spacing w:before="0" w:after="0" w:line="240" w:lineRule="auto"/>
                    <w:ind w:right="0" w:firstLine="0" w:firstLineChars="0"/>
                    <w:jc w:val="center"/>
                    <w:rPr>
                      <w:bCs/>
                      <w:color w:val="auto"/>
                      <w:spacing w:val="-10"/>
                      <w:szCs w:val="21"/>
                    </w:rPr>
                  </w:pPr>
                </w:p>
              </w:tc>
              <w:tc>
                <w:tcPr>
                  <w:tcW w:w="2876" w:type="dxa"/>
                  <w:vMerge w:val="continue"/>
                  <w:vAlign w:val="center"/>
                </w:tcPr>
                <w:p w14:paraId="7AD9A421">
                  <w:pPr>
                    <w:pStyle w:val="31"/>
                    <w:adjustRightInd w:val="0"/>
                    <w:spacing w:before="0" w:after="0" w:line="240" w:lineRule="auto"/>
                    <w:ind w:right="0" w:firstLine="0" w:firstLineChars="0"/>
                    <w:jc w:val="center"/>
                    <w:rPr>
                      <w:rFonts w:hint="eastAsia" w:ascii="宋体" w:hAnsi="宋体" w:cs="宋体"/>
                      <w:bCs/>
                      <w:color w:val="auto"/>
                      <w:szCs w:val="21"/>
                      <w:lang w:bidi="ar"/>
                    </w:rPr>
                  </w:pPr>
                </w:p>
              </w:tc>
            </w:tr>
          </w:tbl>
          <w:p w14:paraId="18A06161">
            <w:pPr>
              <w:spacing w:line="360" w:lineRule="auto"/>
              <w:rPr>
                <w:b/>
                <w:bCs/>
                <w:color w:val="auto"/>
                <w:sz w:val="24"/>
              </w:rPr>
            </w:pPr>
            <w:r>
              <w:rPr>
                <w:b/>
                <w:color w:val="auto"/>
                <w:spacing w:val="-10"/>
                <w:kern w:val="0"/>
                <w:sz w:val="24"/>
              </w:rPr>
              <w:t>三、地表水环境影响和保护措施</w:t>
            </w:r>
          </w:p>
          <w:p w14:paraId="5BC48686">
            <w:pPr>
              <w:pStyle w:val="32"/>
              <w:adjustRightInd w:val="0"/>
              <w:snapToGrid w:val="0"/>
              <w:spacing w:after="0" w:line="360" w:lineRule="auto"/>
              <w:ind w:left="0" w:leftChars="0" w:firstLine="442"/>
              <w:rPr>
                <w:b/>
                <w:bCs/>
                <w:color w:val="auto"/>
                <w:spacing w:val="-10"/>
                <w:szCs w:val="24"/>
              </w:rPr>
            </w:pPr>
            <w:r>
              <w:rPr>
                <w:b/>
                <w:bCs/>
                <w:color w:val="auto"/>
                <w:spacing w:val="-10"/>
                <w:szCs w:val="24"/>
              </w:rPr>
              <w:t>（1）废水产排情况</w:t>
            </w:r>
          </w:p>
          <w:p w14:paraId="1D69BD0A">
            <w:pPr>
              <w:spacing w:line="360" w:lineRule="auto"/>
              <w:ind w:firstLine="480"/>
              <w:rPr>
                <w:color w:val="auto"/>
                <w:sz w:val="24"/>
              </w:rPr>
            </w:pPr>
            <w:r>
              <w:rPr>
                <w:rFonts w:hint="eastAsia"/>
                <w:color w:val="auto"/>
                <w:sz w:val="24"/>
              </w:rPr>
              <w:t>项目涉及4个卫生院，项目废水主要为</w:t>
            </w:r>
            <w:bookmarkStart w:id="75" w:name="_Hlk194501309"/>
            <w:r>
              <w:rPr>
                <w:rFonts w:hint="eastAsia"/>
                <w:color w:val="auto"/>
                <w:sz w:val="24"/>
              </w:rPr>
              <w:t>纳古卫生院：综合楼门诊废水、检验科废水、综合楼住院病床废水。四街卫生院：业务用房门诊废水、业务用房住院病床废水、业务用房煎药设备清洗废水、检验科废水。九龙卫生院：业务用房门诊废水、业务用房住院病床废水。杨广卫生院：门诊楼1号楼门诊废水、门诊楼1号楼住院病床废水、门诊楼1号楼洗衣房清洗废水。</w:t>
            </w:r>
            <w:bookmarkEnd w:id="75"/>
            <w:r>
              <w:rPr>
                <w:rFonts w:hint="eastAsia"/>
                <w:color w:val="auto"/>
                <w:sz w:val="24"/>
              </w:rPr>
              <w:t>用排水情况见表4-4。</w:t>
            </w:r>
          </w:p>
          <w:p w14:paraId="7C85F3DC">
            <w:pPr>
              <w:jc w:val="center"/>
              <w:rPr>
                <w:color w:val="auto"/>
              </w:rPr>
            </w:pPr>
            <w:r>
              <w:rPr>
                <w:b/>
                <w:color w:val="auto"/>
                <w:sz w:val="24"/>
              </w:rPr>
              <w:t>表</w:t>
            </w:r>
            <w:r>
              <w:rPr>
                <w:rFonts w:hint="eastAsia"/>
                <w:b/>
                <w:color w:val="auto"/>
                <w:sz w:val="24"/>
              </w:rPr>
              <w:t>4-4</w:t>
            </w:r>
            <w:r>
              <w:rPr>
                <w:b/>
                <w:color w:val="auto"/>
                <w:sz w:val="24"/>
              </w:rPr>
              <w:t>项目用</w:t>
            </w:r>
            <w:r>
              <w:rPr>
                <w:rFonts w:hint="eastAsia"/>
                <w:b/>
                <w:color w:val="auto"/>
                <w:sz w:val="24"/>
              </w:rPr>
              <w:t>排</w:t>
            </w:r>
            <w:r>
              <w:rPr>
                <w:b/>
                <w:color w:val="auto"/>
                <w:sz w:val="24"/>
              </w:rPr>
              <w:t>水</w:t>
            </w:r>
            <w:r>
              <w:rPr>
                <w:rFonts w:hint="eastAsia"/>
                <w:b/>
                <w:color w:val="auto"/>
                <w:sz w:val="24"/>
              </w:rPr>
              <w:t>情况</w:t>
            </w:r>
            <w:r>
              <w:rPr>
                <w:b/>
                <w:color w:val="auto"/>
                <w:sz w:val="24"/>
              </w:rPr>
              <w:t>一览表</w:t>
            </w:r>
          </w:p>
          <w:tbl>
            <w:tblPr>
              <w:tblStyle w:val="33"/>
              <w:tblW w:w="8732"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2460"/>
              <w:gridCol w:w="1410"/>
              <w:gridCol w:w="1665"/>
              <w:gridCol w:w="2085"/>
            </w:tblGrid>
            <w:tr w14:paraId="319B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112" w:type="dxa"/>
                  <w:vAlign w:val="center"/>
                </w:tcPr>
                <w:p w14:paraId="39E926D9">
                  <w:pPr>
                    <w:autoSpaceDE w:val="0"/>
                    <w:autoSpaceDN w:val="0"/>
                    <w:jc w:val="center"/>
                    <w:rPr>
                      <w:rFonts w:hint="eastAsia" w:ascii="宋体" w:hAnsi="宋体" w:cs="宋体"/>
                      <w:b/>
                      <w:bCs/>
                      <w:color w:val="auto"/>
                      <w:kern w:val="0"/>
                      <w:szCs w:val="21"/>
                    </w:rPr>
                  </w:pPr>
                  <w:r>
                    <w:rPr>
                      <w:rFonts w:hint="eastAsia" w:ascii="宋体" w:hAnsi="宋体" w:cs="宋体"/>
                      <w:b/>
                      <w:bCs/>
                      <w:color w:val="auto"/>
                      <w:kern w:val="0"/>
                      <w:szCs w:val="21"/>
                    </w:rPr>
                    <w:t>分区</w:t>
                  </w:r>
                </w:p>
              </w:tc>
              <w:tc>
                <w:tcPr>
                  <w:tcW w:w="2460" w:type="dxa"/>
                  <w:vAlign w:val="center"/>
                </w:tcPr>
                <w:p w14:paraId="40842A46">
                  <w:pPr>
                    <w:autoSpaceDE w:val="0"/>
                    <w:autoSpaceDN w:val="0"/>
                    <w:jc w:val="center"/>
                    <w:rPr>
                      <w:rFonts w:hint="eastAsia" w:ascii="宋体" w:hAnsi="宋体" w:cs="宋体"/>
                      <w:b/>
                      <w:bCs/>
                      <w:color w:val="auto"/>
                      <w:kern w:val="0"/>
                      <w:szCs w:val="21"/>
                    </w:rPr>
                  </w:pPr>
                  <w:r>
                    <w:rPr>
                      <w:rFonts w:hint="eastAsia" w:ascii="宋体" w:hAnsi="宋体" w:cs="宋体"/>
                      <w:b/>
                      <w:bCs/>
                      <w:color w:val="auto"/>
                      <w:kern w:val="0"/>
                      <w:szCs w:val="21"/>
                    </w:rPr>
                    <w:t>用水类型</w:t>
                  </w:r>
                </w:p>
              </w:tc>
              <w:tc>
                <w:tcPr>
                  <w:tcW w:w="1410" w:type="dxa"/>
                  <w:vAlign w:val="center"/>
                </w:tcPr>
                <w:p w14:paraId="2956984C">
                  <w:pPr>
                    <w:autoSpaceDE w:val="0"/>
                    <w:autoSpaceDN w:val="0"/>
                    <w:jc w:val="center"/>
                    <w:rPr>
                      <w:rFonts w:hint="eastAsia" w:ascii="宋体" w:hAnsi="宋体" w:cs="宋体"/>
                      <w:b/>
                      <w:bCs/>
                      <w:color w:val="auto"/>
                      <w:kern w:val="0"/>
                      <w:szCs w:val="21"/>
                    </w:rPr>
                  </w:pPr>
                  <w:r>
                    <w:rPr>
                      <w:rFonts w:hint="eastAsia" w:ascii="宋体" w:hAnsi="宋体" w:cs="宋体"/>
                      <w:b/>
                      <w:bCs/>
                      <w:color w:val="auto"/>
                      <w:kern w:val="0"/>
                      <w:szCs w:val="21"/>
                    </w:rPr>
                    <w:t>用水量（m</w:t>
                  </w:r>
                  <w:r>
                    <w:rPr>
                      <w:rFonts w:hint="eastAsia" w:ascii="宋体" w:hAnsi="宋体" w:cs="宋体"/>
                      <w:b/>
                      <w:bCs/>
                      <w:color w:val="auto"/>
                      <w:kern w:val="0"/>
                      <w:szCs w:val="21"/>
                      <w:vertAlign w:val="superscript"/>
                    </w:rPr>
                    <w:t>3</w:t>
                  </w:r>
                  <w:r>
                    <w:rPr>
                      <w:rFonts w:hint="eastAsia" w:ascii="宋体" w:hAnsi="宋体" w:cs="宋体"/>
                      <w:b/>
                      <w:bCs/>
                      <w:color w:val="auto"/>
                      <w:kern w:val="0"/>
                      <w:szCs w:val="21"/>
                    </w:rPr>
                    <w:t>/d）</w:t>
                  </w:r>
                </w:p>
              </w:tc>
              <w:tc>
                <w:tcPr>
                  <w:tcW w:w="1665" w:type="dxa"/>
                  <w:vAlign w:val="center"/>
                </w:tcPr>
                <w:p w14:paraId="7A1D5F6B">
                  <w:pPr>
                    <w:autoSpaceDE w:val="0"/>
                    <w:autoSpaceDN w:val="0"/>
                    <w:jc w:val="center"/>
                    <w:rPr>
                      <w:rFonts w:hint="eastAsia" w:ascii="宋体" w:hAnsi="宋体" w:cs="宋体"/>
                      <w:b/>
                      <w:bCs/>
                      <w:color w:val="auto"/>
                      <w:kern w:val="0"/>
                      <w:szCs w:val="21"/>
                    </w:rPr>
                  </w:pPr>
                  <w:r>
                    <w:rPr>
                      <w:rFonts w:hint="eastAsia" w:ascii="宋体" w:hAnsi="宋体" w:cs="宋体"/>
                      <w:b/>
                      <w:bCs/>
                      <w:color w:val="auto"/>
                      <w:kern w:val="0"/>
                      <w:szCs w:val="21"/>
                    </w:rPr>
                    <w:t>废水量（m</w:t>
                  </w:r>
                  <w:r>
                    <w:rPr>
                      <w:rFonts w:hint="eastAsia" w:ascii="宋体" w:hAnsi="宋体" w:cs="宋体"/>
                      <w:b/>
                      <w:bCs/>
                      <w:color w:val="auto"/>
                      <w:kern w:val="0"/>
                      <w:szCs w:val="21"/>
                      <w:vertAlign w:val="superscript"/>
                    </w:rPr>
                    <w:t>3</w:t>
                  </w:r>
                  <w:r>
                    <w:rPr>
                      <w:rFonts w:hint="eastAsia" w:ascii="宋体" w:hAnsi="宋体" w:cs="宋体"/>
                      <w:b/>
                      <w:bCs/>
                      <w:color w:val="auto"/>
                      <w:kern w:val="0"/>
                      <w:szCs w:val="21"/>
                    </w:rPr>
                    <w:t>/d）</w:t>
                  </w:r>
                </w:p>
              </w:tc>
              <w:tc>
                <w:tcPr>
                  <w:tcW w:w="2085" w:type="dxa"/>
                  <w:vAlign w:val="center"/>
                </w:tcPr>
                <w:p w14:paraId="53E27478">
                  <w:pPr>
                    <w:autoSpaceDE w:val="0"/>
                    <w:autoSpaceDN w:val="0"/>
                    <w:jc w:val="center"/>
                    <w:rPr>
                      <w:rFonts w:hint="eastAsia" w:ascii="宋体" w:hAnsi="宋体" w:cs="宋体"/>
                      <w:b/>
                      <w:bCs/>
                      <w:color w:val="auto"/>
                      <w:kern w:val="0"/>
                      <w:szCs w:val="21"/>
                    </w:rPr>
                  </w:pPr>
                  <w:r>
                    <w:rPr>
                      <w:rFonts w:hint="eastAsia" w:ascii="宋体" w:hAnsi="宋体" w:cs="宋体"/>
                      <w:b/>
                      <w:bCs/>
                      <w:color w:val="auto"/>
                      <w:kern w:val="0"/>
                      <w:szCs w:val="21"/>
                    </w:rPr>
                    <w:t>处理措施</w:t>
                  </w:r>
                </w:p>
              </w:tc>
            </w:tr>
            <w:tr w14:paraId="5CF8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112" w:type="dxa"/>
                  <w:vMerge w:val="restart"/>
                  <w:vAlign w:val="center"/>
                </w:tcPr>
                <w:p w14:paraId="24A7433C">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纳古卫生院综合楼</w:t>
                  </w:r>
                </w:p>
              </w:tc>
              <w:tc>
                <w:tcPr>
                  <w:tcW w:w="2460" w:type="dxa"/>
                  <w:vAlign w:val="center"/>
                </w:tcPr>
                <w:p w14:paraId="3FCB201A">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门诊人员用水</w:t>
                  </w:r>
                </w:p>
              </w:tc>
              <w:tc>
                <w:tcPr>
                  <w:tcW w:w="1410" w:type="dxa"/>
                  <w:vAlign w:val="center"/>
                </w:tcPr>
                <w:p w14:paraId="6E9B4DF9">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0.42</w:t>
                  </w:r>
                </w:p>
              </w:tc>
              <w:tc>
                <w:tcPr>
                  <w:tcW w:w="1665" w:type="dxa"/>
                  <w:vAlign w:val="center"/>
                </w:tcPr>
                <w:p w14:paraId="570B4311">
                  <w:pPr>
                    <w:jc w:val="center"/>
                    <w:rPr>
                      <w:rFonts w:hint="eastAsia" w:ascii="宋体" w:hAnsi="宋体" w:cs="宋体"/>
                      <w:color w:val="auto"/>
                      <w:szCs w:val="21"/>
                    </w:rPr>
                  </w:pPr>
                  <w:r>
                    <w:rPr>
                      <w:rFonts w:hint="eastAsia" w:ascii="宋体" w:hAnsi="宋体" w:cs="宋体"/>
                      <w:color w:val="auto"/>
                      <w:szCs w:val="21"/>
                    </w:rPr>
                    <w:t>0.36</w:t>
                  </w:r>
                </w:p>
              </w:tc>
              <w:tc>
                <w:tcPr>
                  <w:tcW w:w="2085" w:type="dxa"/>
                  <w:vMerge w:val="restart"/>
                  <w:vAlign w:val="center"/>
                </w:tcPr>
                <w:p w14:paraId="6618B585">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进入本项目自建的不小于10m</w:t>
                  </w:r>
                  <w:r>
                    <w:rPr>
                      <w:rFonts w:hint="eastAsia" w:ascii="宋体" w:hAnsi="宋体" w:cs="宋体"/>
                      <w:color w:val="auto"/>
                      <w:kern w:val="0"/>
                      <w:szCs w:val="21"/>
                      <w:vertAlign w:val="superscript"/>
                    </w:rPr>
                    <w:t>3</w:t>
                  </w:r>
                  <w:r>
                    <w:rPr>
                      <w:rFonts w:hint="eastAsia" w:ascii="宋体" w:hAnsi="宋体" w:cs="宋体"/>
                      <w:color w:val="auto"/>
                      <w:kern w:val="0"/>
                      <w:szCs w:val="21"/>
                    </w:rPr>
                    <w:t>/d污水处理站处理达标后经市政污水管网排入纳古镇污水处理厂处理</w:t>
                  </w:r>
                </w:p>
              </w:tc>
            </w:tr>
            <w:tr w14:paraId="302C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112" w:type="dxa"/>
                  <w:vMerge w:val="continue"/>
                  <w:vAlign w:val="center"/>
                </w:tcPr>
                <w:p w14:paraId="49478BF3">
                  <w:pPr>
                    <w:autoSpaceDE w:val="0"/>
                    <w:autoSpaceDN w:val="0"/>
                    <w:jc w:val="center"/>
                    <w:rPr>
                      <w:rFonts w:hint="eastAsia" w:ascii="宋体" w:hAnsi="宋体" w:cs="宋体"/>
                      <w:color w:val="auto"/>
                      <w:kern w:val="0"/>
                      <w:szCs w:val="21"/>
                    </w:rPr>
                  </w:pPr>
                </w:p>
              </w:tc>
              <w:tc>
                <w:tcPr>
                  <w:tcW w:w="2460" w:type="dxa"/>
                  <w:vAlign w:val="center"/>
                </w:tcPr>
                <w:p w14:paraId="58D0B867">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住院病床用水</w:t>
                  </w:r>
                </w:p>
              </w:tc>
              <w:tc>
                <w:tcPr>
                  <w:tcW w:w="1410" w:type="dxa"/>
                  <w:vAlign w:val="center"/>
                </w:tcPr>
                <w:p w14:paraId="5A3F1A10">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7.8</w:t>
                  </w:r>
                </w:p>
              </w:tc>
              <w:tc>
                <w:tcPr>
                  <w:tcW w:w="1665" w:type="dxa"/>
                  <w:vAlign w:val="center"/>
                </w:tcPr>
                <w:p w14:paraId="41D7BF10">
                  <w:pPr>
                    <w:jc w:val="center"/>
                    <w:rPr>
                      <w:rFonts w:hint="eastAsia" w:ascii="宋体" w:hAnsi="宋体" w:cs="宋体"/>
                      <w:color w:val="auto"/>
                      <w:szCs w:val="21"/>
                    </w:rPr>
                  </w:pPr>
                  <w:r>
                    <w:rPr>
                      <w:rFonts w:hint="eastAsia" w:ascii="宋体" w:hAnsi="宋体" w:cs="宋体"/>
                      <w:color w:val="auto"/>
                      <w:szCs w:val="21"/>
                    </w:rPr>
                    <w:t>6.63</w:t>
                  </w:r>
                </w:p>
              </w:tc>
              <w:tc>
                <w:tcPr>
                  <w:tcW w:w="2085" w:type="dxa"/>
                  <w:vMerge w:val="continue"/>
                  <w:vAlign w:val="center"/>
                </w:tcPr>
                <w:p w14:paraId="0CC9AE32">
                  <w:pPr>
                    <w:autoSpaceDE w:val="0"/>
                    <w:autoSpaceDN w:val="0"/>
                    <w:jc w:val="center"/>
                    <w:rPr>
                      <w:rFonts w:hint="eastAsia" w:ascii="宋体" w:hAnsi="宋体" w:cs="宋体"/>
                      <w:color w:val="auto"/>
                      <w:kern w:val="0"/>
                      <w:szCs w:val="21"/>
                    </w:rPr>
                  </w:pPr>
                </w:p>
              </w:tc>
            </w:tr>
            <w:tr w14:paraId="47E3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112" w:type="dxa"/>
                  <w:vMerge w:val="continue"/>
                  <w:vAlign w:val="center"/>
                </w:tcPr>
                <w:p w14:paraId="312F4029">
                  <w:pPr>
                    <w:autoSpaceDE w:val="0"/>
                    <w:autoSpaceDN w:val="0"/>
                    <w:jc w:val="center"/>
                    <w:rPr>
                      <w:rFonts w:hint="eastAsia" w:ascii="宋体" w:hAnsi="宋体" w:cs="宋体"/>
                      <w:color w:val="auto"/>
                      <w:kern w:val="0"/>
                      <w:szCs w:val="21"/>
                    </w:rPr>
                  </w:pPr>
                </w:p>
              </w:tc>
              <w:tc>
                <w:tcPr>
                  <w:tcW w:w="2460" w:type="dxa"/>
                  <w:vAlign w:val="center"/>
                </w:tcPr>
                <w:p w14:paraId="7CBD2016">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检验科废水</w:t>
                  </w:r>
                </w:p>
              </w:tc>
              <w:tc>
                <w:tcPr>
                  <w:tcW w:w="1410" w:type="dxa"/>
                  <w:vAlign w:val="center"/>
                </w:tcPr>
                <w:p w14:paraId="7E84D8DC">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0.02</w:t>
                  </w:r>
                </w:p>
              </w:tc>
              <w:tc>
                <w:tcPr>
                  <w:tcW w:w="1665" w:type="dxa"/>
                  <w:vAlign w:val="center"/>
                </w:tcPr>
                <w:p w14:paraId="49806D47">
                  <w:pPr>
                    <w:jc w:val="center"/>
                    <w:rPr>
                      <w:rFonts w:hint="eastAsia" w:ascii="宋体" w:hAnsi="宋体" w:cs="宋体"/>
                      <w:color w:val="auto"/>
                      <w:szCs w:val="21"/>
                    </w:rPr>
                  </w:pPr>
                  <w:r>
                    <w:rPr>
                      <w:rFonts w:hint="eastAsia" w:ascii="宋体" w:hAnsi="宋体" w:cs="宋体"/>
                      <w:color w:val="auto"/>
                      <w:szCs w:val="21"/>
                    </w:rPr>
                    <w:t>0.017</w:t>
                  </w:r>
                </w:p>
              </w:tc>
              <w:tc>
                <w:tcPr>
                  <w:tcW w:w="2085" w:type="dxa"/>
                  <w:vMerge w:val="continue"/>
                  <w:vAlign w:val="center"/>
                </w:tcPr>
                <w:p w14:paraId="5EED1249">
                  <w:pPr>
                    <w:autoSpaceDE w:val="0"/>
                    <w:autoSpaceDN w:val="0"/>
                    <w:jc w:val="center"/>
                    <w:rPr>
                      <w:rFonts w:hint="eastAsia" w:ascii="宋体" w:hAnsi="宋体" w:cs="宋体"/>
                      <w:color w:val="auto"/>
                      <w:kern w:val="0"/>
                      <w:szCs w:val="21"/>
                    </w:rPr>
                  </w:pPr>
                </w:p>
              </w:tc>
            </w:tr>
            <w:tr w14:paraId="156A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12" w:type="dxa"/>
                  <w:vMerge w:val="continue"/>
                  <w:vAlign w:val="center"/>
                </w:tcPr>
                <w:p w14:paraId="789AEE68">
                  <w:pPr>
                    <w:autoSpaceDE w:val="0"/>
                    <w:autoSpaceDN w:val="0"/>
                    <w:jc w:val="center"/>
                    <w:rPr>
                      <w:rFonts w:hint="eastAsia" w:ascii="宋体" w:hAnsi="宋体" w:cs="宋体"/>
                      <w:color w:val="auto"/>
                      <w:kern w:val="0"/>
                      <w:szCs w:val="21"/>
                    </w:rPr>
                  </w:pPr>
                </w:p>
              </w:tc>
              <w:tc>
                <w:tcPr>
                  <w:tcW w:w="2460" w:type="dxa"/>
                  <w:vAlign w:val="center"/>
                </w:tcPr>
                <w:p w14:paraId="6AB91100">
                  <w:pPr>
                    <w:jc w:val="center"/>
                    <w:rPr>
                      <w:rFonts w:hint="eastAsia" w:ascii="宋体" w:hAnsi="宋体" w:cs="宋体"/>
                      <w:color w:val="auto"/>
                      <w:kern w:val="0"/>
                      <w:szCs w:val="21"/>
                    </w:rPr>
                  </w:pPr>
                  <w:r>
                    <w:rPr>
                      <w:rFonts w:hint="eastAsia" w:ascii="宋体" w:hAnsi="宋体" w:cs="宋体"/>
                      <w:color w:val="auto"/>
                      <w:kern w:val="0"/>
                      <w:szCs w:val="21"/>
                    </w:rPr>
                    <w:t>合计</w:t>
                  </w:r>
                </w:p>
              </w:tc>
              <w:tc>
                <w:tcPr>
                  <w:tcW w:w="1410" w:type="dxa"/>
                  <w:vAlign w:val="center"/>
                </w:tcPr>
                <w:p w14:paraId="58CE2BB4">
                  <w:pPr>
                    <w:jc w:val="center"/>
                    <w:rPr>
                      <w:rFonts w:hint="eastAsia" w:ascii="宋体" w:hAnsi="宋体" w:cs="宋体"/>
                      <w:color w:val="auto"/>
                      <w:kern w:val="0"/>
                      <w:szCs w:val="21"/>
                    </w:rPr>
                  </w:pPr>
                  <w:r>
                    <w:rPr>
                      <w:rFonts w:hint="eastAsia" w:ascii="宋体" w:hAnsi="宋体" w:cs="宋体"/>
                      <w:color w:val="auto"/>
                      <w:kern w:val="0"/>
                      <w:szCs w:val="21"/>
                    </w:rPr>
                    <w:t>8.24</w:t>
                  </w:r>
                </w:p>
              </w:tc>
              <w:tc>
                <w:tcPr>
                  <w:tcW w:w="1665" w:type="dxa"/>
                  <w:vAlign w:val="center"/>
                </w:tcPr>
                <w:p w14:paraId="786F7825">
                  <w:pPr>
                    <w:jc w:val="center"/>
                    <w:rPr>
                      <w:rFonts w:hint="eastAsia" w:ascii="宋体" w:hAnsi="宋体" w:cs="宋体"/>
                      <w:color w:val="auto"/>
                      <w:szCs w:val="21"/>
                    </w:rPr>
                  </w:pPr>
                  <w:r>
                    <w:rPr>
                      <w:rFonts w:hint="eastAsia" w:ascii="宋体" w:hAnsi="宋体" w:cs="宋体"/>
                      <w:color w:val="auto"/>
                      <w:szCs w:val="21"/>
                    </w:rPr>
                    <w:t>7.007</w:t>
                  </w:r>
                </w:p>
              </w:tc>
              <w:tc>
                <w:tcPr>
                  <w:tcW w:w="2085" w:type="dxa"/>
                  <w:vMerge w:val="continue"/>
                  <w:vAlign w:val="center"/>
                </w:tcPr>
                <w:p w14:paraId="676128E3">
                  <w:pPr>
                    <w:autoSpaceDE w:val="0"/>
                    <w:autoSpaceDN w:val="0"/>
                    <w:jc w:val="center"/>
                    <w:rPr>
                      <w:rFonts w:hint="eastAsia" w:ascii="宋体" w:hAnsi="宋体" w:cs="宋体"/>
                      <w:color w:val="auto"/>
                      <w:kern w:val="0"/>
                      <w:szCs w:val="21"/>
                    </w:rPr>
                  </w:pPr>
                </w:p>
              </w:tc>
            </w:tr>
            <w:tr w14:paraId="0FC6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112" w:type="dxa"/>
                  <w:vMerge w:val="restart"/>
                  <w:vAlign w:val="center"/>
                </w:tcPr>
                <w:p w14:paraId="30C92EA5">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四街卫生院业务用房</w:t>
                  </w:r>
                </w:p>
              </w:tc>
              <w:tc>
                <w:tcPr>
                  <w:tcW w:w="2460" w:type="dxa"/>
                  <w:vAlign w:val="center"/>
                </w:tcPr>
                <w:p w14:paraId="310F2DE9">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门诊人员用水</w:t>
                  </w:r>
                </w:p>
              </w:tc>
              <w:tc>
                <w:tcPr>
                  <w:tcW w:w="1410" w:type="dxa"/>
                  <w:vAlign w:val="center"/>
                </w:tcPr>
                <w:p w14:paraId="2E60FF70">
                  <w:pPr>
                    <w:jc w:val="center"/>
                    <w:rPr>
                      <w:rFonts w:hint="eastAsia" w:ascii="宋体" w:hAnsi="宋体" w:cs="宋体"/>
                      <w:color w:val="auto"/>
                      <w:kern w:val="0"/>
                      <w:szCs w:val="21"/>
                    </w:rPr>
                  </w:pPr>
                  <w:r>
                    <w:rPr>
                      <w:rFonts w:hint="eastAsia" w:ascii="宋体" w:hAnsi="宋体" w:cs="宋体"/>
                      <w:color w:val="auto"/>
                      <w:kern w:val="0"/>
                      <w:szCs w:val="21"/>
                    </w:rPr>
                    <w:t>0.6</w:t>
                  </w:r>
                </w:p>
              </w:tc>
              <w:tc>
                <w:tcPr>
                  <w:tcW w:w="1665" w:type="dxa"/>
                  <w:vAlign w:val="center"/>
                </w:tcPr>
                <w:p w14:paraId="5A344394">
                  <w:pPr>
                    <w:jc w:val="center"/>
                    <w:rPr>
                      <w:rFonts w:hint="eastAsia" w:ascii="宋体" w:hAnsi="宋体" w:cs="宋体"/>
                      <w:color w:val="auto"/>
                      <w:szCs w:val="21"/>
                    </w:rPr>
                  </w:pPr>
                  <w:r>
                    <w:rPr>
                      <w:rFonts w:hint="eastAsia" w:ascii="宋体" w:hAnsi="宋体" w:cs="宋体"/>
                      <w:color w:val="auto"/>
                      <w:szCs w:val="21"/>
                    </w:rPr>
                    <w:t>0.51</w:t>
                  </w:r>
                </w:p>
              </w:tc>
              <w:tc>
                <w:tcPr>
                  <w:tcW w:w="2085" w:type="dxa"/>
                  <w:vMerge w:val="restart"/>
                  <w:vAlign w:val="center"/>
                </w:tcPr>
                <w:p w14:paraId="22116114">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进入本项目自建的不小于17m</w:t>
                  </w:r>
                  <w:r>
                    <w:rPr>
                      <w:rFonts w:hint="eastAsia" w:ascii="宋体" w:hAnsi="宋体" w:cs="宋体"/>
                      <w:color w:val="auto"/>
                      <w:kern w:val="0"/>
                      <w:szCs w:val="21"/>
                      <w:vertAlign w:val="superscript"/>
                    </w:rPr>
                    <w:t>3</w:t>
                  </w:r>
                  <w:r>
                    <w:rPr>
                      <w:rFonts w:hint="eastAsia" w:ascii="宋体" w:hAnsi="宋体" w:cs="宋体"/>
                      <w:color w:val="auto"/>
                      <w:kern w:val="0"/>
                      <w:szCs w:val="21"/>
                    </w:rPr>
                    <w:t>/d污水处理站处理达标后经市政污水管网排入通海县第二污水处理厂处理</w:t>
                  </w:r>
                </w:p>
              </w:tc>
            </w:tr>
            <w:tr w14:paraId="4F16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3C08E9F7">
                  <w:pPr>
                    <w:autoSpaceDE w:val="0"/>
                    <w:autoSpaceDN w:val="0"/>
                    <w:jc w:val="center"/>
                    <w:rPr>
                      <w:rFonts w:hint="eastAsia" w:ascii="宋体" w:hAnsi="宋体" w:cs="宋体"/>
                      <w:color w:val="auto"/>
                      <w:kern w:val="0"/>
                      <w:szCs w:val="21"/>
                    </w:rPr>
                  </w:pPr>
                </w:p>
              </w:tc>
              <w:tc>
                <w:tcPr>
                  <w:tcW w:w="2460" w:type="dxa"/>
                  <w:vAlign w:val="center"/>
                </w:tcPr>
                <w:p w14:paraId="3D048352">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住院病床用水</w:t>
                  </w:r>
                </w:p>
              </w:tc>
              <w:tc>
                <w:tcPr>
                  <w:tcW w:w="1410" w:type="dxa"/>
                  <w:vAlign w:val="center"/>
                </w:tcPr>
                <w:p w14:paraId="712EAB6A">
                  <w:pPr>
                    <w:jc w:val="center"/>
                    <w:rPr>
                      <w:rFonts w:hint="eastAsia" w:ascii="宋体" w:hAnsi="宋体" w:cs="宋体"/>
                      <w:color w:val="auto"/>
                      <w:kern w:val="0"/>
                      <w:szCs w:val="21"/>
                    </w:rPr>
                  </w:pPr>
                  <w:r>
                    <w:rPr>
                      <w:rFonts w:hint="eastAsia" w:ascii="宋体" w:hAnsi="宋体" w:cs="宋体"/>
                      <w:color w:val="auto"/>
                      <w:kern w:val="0"/>
                      <w:szCs w:val="21"/>
                    </w:rPr>
                    <w:t>7.5</w:t>
                  </w:r>
                </w:p>
              </w:tc>
              <w:tc>
                <w:tcPr>
                  <w:tcW w:w="1665" w:type="dxa"/>
                  <w:vAlign w:val="center"/>
                </w:tcPr>
                <w:p w14:paraId="2672FE6A">
                  <w:pPr>
                    <w:jc w:val="center"/>
                    <w:rPr>
                      <w:rFonts w:hint="eastAsia" w:ascii="宋体" w:hAnsi="宋体" w:cs="宋体"/>
                      <w:color w:val="auto"/>
                      <w:szCs w:val="21"/>
                    </w:rPr>
                  </w:pPr>
                  <w:r>
                    <w:rPr>
                      <w:rFonts w:hint="eastAsia" w:ascii="宋体" w:hAnsi="宋体" w:cs="宋体"/>
                      <w:color w:val="auto"/>
                      <w:szCs w:val="21"/>
                    </w:rPr>
                    <w:t>6.38</w:t>
                  </w:r>
                </w:p>
              </w:tc>
              <w:tc>
                <w:tcPr>
                  <w:tcW w:w="2085" w:type="dxa"/>
                  <w:vMerge w:val="continue"/>
                  <w:vAlign w:val="center"/>
                </w:tcPr>
                <w:p w14:paraId="2496FA8E">
                  <w:pPr>
                    <w:autoSpaceDE w:val="0"/>
                    <w:autoSpaceDN w:val="0"/>
                    <w:jc w:val="center"/>
                    <w:rPr>
                      <w:rFonts w:hint="eastAsia" w:ascii="宋体" w:hAnsi="宋体" w:cs="宋体"/>
                      <w:color w:val="auto"/>
                      <w:kern w:val="0"/>
                      <w:szCs w:val="21"/>
                    </w:rPr>
                  </w:pPr>
                </w:p>
              </w:tc>
            </w:tr>
            <w:tr w14:paraId="632E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3DED1520">
                  <w:pPr>
                    <w:autoSpaceDE w:val="0"/>
                    <w:autoSpaceDN w:val="0"/>
                    <w:jc w:val="center"/>
                    <w:rPr>
                      <w:rFonts w:hint="eastAsia" w:ascii="宋体" w:hAnsi="宋体" w:cs="宋体"/>
                      <w:color w:val="auto"/>
                      <w:kern w:val="0"/>
                      <w:szCs w:val="21"/>
                    </w:rPr>
                  </w:pPr>
                </w:p>
              </w:tc>
              <w:tc>
                <w:tcPr>
                  <w:tcW w:w="2460" w:type="dxa"/>
                  <w:vAlign w:val="center"/>
                </w:tcPr>
                <w:p w14:paraId="4B503A40">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煎药设备清洗用水</w:t>
                  </w:r>
                </w:p>
              </w:tc>
              <w:tc>
                <w:tcPr>
                  <w:tcW w:w="1410" w:type="dxa"/>
                  <w:vAlign w:val="center"/>
                </w:tcPr>
                <w:p w14:paraId="5FD789FB">
                  <w:pPr>
                    <w:jc w:val="center"/>
                    <w:rPr>
                      <w:rFonts w:hint="eastAsia" w:ascii="宋体" w:hAnsi="宋体" w:cs="宋体"/>
                      <w:color w:val="auto"/>
                      <w:kern w:val="0"/>
                      <w:szCs w:val="21"/>
                    </w:rPr>
                  </w:pPr>
                  <w:r>
                    <w:rPr>
                      <w:rFonts w:hint="eastAsia" w:ascii="宋体" w:hAnsi="宋体" w:cs="宋体"/>
                      <w:color w:val="auto"/>
                      <w:kern w:val="0"/>
                      <w:szCs w:val="21"/>
                    </w:rPr>
                    <w:t>0.2</w:t>
                  </w:r>
                </w:p>
              </w:tc>
              <w:tc>
                <w:tcPr>
                  <w:tcW w:w="1665" w:type="dxa"/>
                  <w:vAlign w:val="center"/>
                </w:tcPr>
                <w:p w14:paraId="6AD54F21">
                  <w:pPr>
                    <w:jc w:val="center"/>
                    <w:rPr>
                      <w:rFonts w:hint="eastAsia" w:ascii="宋体" w:hAnsi="宋体" w:cs="宋体"/>
                      <w:color w:val="auto"/>
                      <w:szCs w:val="21"/>
                    </w:rPr>
                  </w:pPr>
                  <w:r>
                    <w:rPr>
                      <w:rFonts w:hint="eastAsia" w:ascii="宋体" w:hAnsi="宋体" w:cs="宋体"/>
                      <w:color w:val="auto"/>
                      <w:szCs w:val="21"/>
                    </w:rPr>
                    <w:t>0.17</w:t>
                  </w:r>
                </w:p>
              </w:tc>
              <w:tc>
                <w:tcPr>
                  <w:tcW w:w="2085" w:type="dxa"/>
                  <w:vMerge w:val="continue"/>
                  <w:vAlign w:val="center"/>
                </w:tcPr>
                <w:p w14:paraId="144982E0">
                  <w:pPr>
                    <w:autoSpaceDE w:val="0"/>
                    <w:autoSpaceDN w:val="0"/>
                    <w:jc w:val="center"/>
                    <w:rPr>
                      <w:rFonts w:hint="eastAsia" w:ascii="宋体" w:hAnsi="宋体" w:cs="宋体"/>
                      <w:color w:val="auto"/>
                      <w:kern w:val="0"/>
                      <w:szCs w:val="21"/>
                    </w:rPr>
                  </w:pPr>
                </w:p>
              </w:tc>
            </w:tr>
            <w:tr w14:paraId="607E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0D34DB4C">
                  <w:pPr>
                    <w:autoSpaceDE w:val="0"/>
                    <w:autoSpaceDN w:val="0"/>
                    <w:jc w:val="center"/>
                    <w:rPr>
                      <w:rFonts w:hint="eastAsia" w:ascii="宋体" w:hAnsi="宋体" w:cs="宋体"/>
                      <w:color w:val="auto"/>
                      <w:kern w:val="0"/>
                      <w:szCs w:val="21"/>
                    </w:rPr>
                  </w:pPr>
                </w:p>
              </w:tc>
              <w:tc>
                <w:tcPr>
                  <w:tcW w:w="2460" w:type="dxa"/>
                  <w:vAlign w:val="center"/>
                </w:tcPr>
                <w:p w14:paraId="3FCDAA95">
                  <w:pPr>
                    <w:jc w:val="center"/>
                    <w:rPr>
                      <w:rFonts w:hint="eastAsia" w:ascii="宋体" w:hAnsi="宋体" w:cs="宋体"/>
                      <w:color w:val="auto"/>
                      <w:kern w:val="0"/>
                      <w:szCs w:val="21"/>
                    </w:rPr>
                  </w:pPr>
                  <w:r>
                    <w:rPr>
                      <w:rFonts w:hint="eastAsia" w:ascii="宋体" w:hAnsi="宋体" w:cs="宋体"/>
                      <w:color w:val="auto"/>
                      <w:kern w:val="0"/>
                      <w:szCs w:val="21"/>
                    </w:rPr>
                    <w:t>检验科废水</w:t>
                  </w:r>
                </w:p>
              </w:tc>
              <w:tc>
                <w:tcPr>
                  <w:tcW w:w="1410" w:type="dxa"/>
                  <w:vAlign w:val="center"/>
                </w:tcPr>
                <w:p w14:paraId="5015E3E7">
                  <w:pPr>
                    <w:jc w:val="center"/>
                    <w:rPr>
                      <w:rFonts w:hint="eastAsia" w:ascii="宋体" w:hAnsi="宋体" w:cs="宋体"/>
                      <w:color w:val="auto"/>
                      <w:kern w:val="0"/>
                      <w:szCs w:val="21"/>
                    </w:rPr>
                  </w:pPr>
                  <w:r>
                    <w:rPr>
                      <w:rFonts w:hint="eastAsia" w:ascii="宋体" w:hAnsi="宋体" w:cs="宋体"/>
                      <w:color w:val="auto"/>
                      <w:kern w:val="0"/>
                      <w:szCs w:val="21"/>
                    </w:rPr>
                    <w:t>0.05</w:t>
                  </w:r>
                </w:p>
              </w:tc>
              <w:tc>
                <w:tcPr>
                  <w:tcW w:w="1665" w:type="dxa"/>
                  <w:vAlign w:val="center"/>
                </w:tcPr>
                <w:p w14:paraId="72D50396">
                  <w:pPr>
                    <w:jc w:val="center"/>
                    <w:rPr>
                      <w:rFonts w:hint="eastAsia" w:ascii="宋体" w:hAnsi="宋体" w:cs="宋体"/>
                      <w:color w:val="auto"/>
                      <w:szCs w:val="21"/>
                    </w:rPr>
                  </w:pPr>
                  <w:r>
                    <w:rPr>
                      <w:rFonts w:hint="eastAsia" w:ascii="宋体" w:hAnsi="宋体" w:cs="宋体"/>
                      <w:color w:val="auto"/>
                      <w:szCs w:val="21"/>
                    </w:rPr>
                    <w:t>0.04</w:t>
                  </w:r>
                </w:p>
              </w:tc>
              <w:tc>
                <w:tcPr>
                  <w:tcW w:w="2085" w:type="dxa"/>
                  <w:vMerge w:val="continue"/>
                  <w:vAlign w:val="center"/>
                </w:tcPr>
                <w:p w14:paraId="70F77631">
                  <w:pPr>
                    <w:autoSpaceDE w:val="0"/>
                    <w:autoSpaceDN w:val="0"/>
                    <w:jc w:val="center"/>
                    <w:rPr>
                      <w:rFonts w:hint="eastAsia" w:ascii="宋体" w:hAnsi="宋体" w:cs="宋体"/>
                      <w:color w:val="auto"/>
                      <w:kern w:val="0"/>
                      <w:szCs w:val="21"/>
                    </w:rPr>
                  </w:pPr>
                </w:p>
              </w:tc>
            </w:tr>
            <w:tr w14:paraId="0C22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65A28DD5">
                  <w:pPr>
                    <w:autoSpaceDE w:val="0"/>
                    <w:autoSpaceDN w:val="0"/>
                    <w:jc w:val="center"/>
                    <w:rPr>
                      <w:rFonts w:hint="eastAsia" w:ascii="宋体" w:hAnsi="宋体" w:cs="宋体"/>
                      <w:color w:val="auto"/>
                      <w:kern w:val="0"/>
                      <w:szCs w:val="21"/>
                    </w:rPr>
                  </w:pPr>
                </w:p>
              </w:tc>
              <w:tc>
                <w:tcPr>
                  <w:tcW w:w="2460" w:type="dxa"/>
                  <w:vAlign w:val="center"/>
                </w:tcPr>
                <w:p w14:paraId="28280989">
                  <w:pPr>
                    <w:jc w:val="center"/>
                    <w:rPr>
                      <w:rFonts w:hint="eastAsia" w:ascii="宋体" w:hAnsi="宋体" w:cs="宋体"/>
                      <w:color w:val="auto"/>
                      <w:kern w:val="0"/>
                      <w:szCs w:val="21"/>
                    </w:rPr>
                  </w:pPr>
                  <w:r>
                    <w:rPr>
                      <w:rFonts w:hint="eastAsia" w:ascii="宋体" w:hAnsi="宋体" w:cs="宋体"/>
                      <w:color w:val="auto"/>
                      <w:kern w:val="0"/>
                      <w:szCs w:val="21"/>
                    </w:rPr>
                    <w:t>合计</w:t>
                  </w:r>
                </w:p>
              </w:tc>
              <w:tc>
                <w:tcPr>
                  <w:tcW w:w="1410" w:type="dxa"/>
                  <w:vAlign w:val="center"/>
                </w:tcPr>
                <w:p w14:paraId="2302887D">
                  <w:pPr>
                    <w:jc w:val="center"/>
                    <w:rPr>
                      <w:rFonts w:hint="eastAsia" w:ascii="宋体" w:hAnsi="宋体" w:cs="宋体"/>
                      <w:color w:val="auto"/>
                      <w:kern w:val="0"/>
                      <w:szCs w:val="21"/>
                    </w:rPr>
                  </w:pPr>
                  <w:r>
                    <w:rPr>
                      <w:rFonts w:hint="eastAsia" w:ascii="宋体" w:hAnsi="宋体" w:cs="宋体"/>
                      <w:color w:val="auto"/>
                      <w:kern w:val="0"/>
                      <w:szCs w:val="21"/>
                    </w:rPr>
                    <w:t>8.35</w:t>
                  </w:r>
                </w:p>
              </w:tc>
              <w:tc>
                <w:tcPr>
                  <w:tcW w:w="1665" w:type="dxa"/>
                  <w:vAlign w:val="center"/>
                </w:tcPr>
                <w:p w14:paraId="333AF455">
                  <w:pPr>
                    <w:jc w:val="center"/>
                    <w:rPr>
                      <w:rFonts w:hint="eastAsia" w:ascii="宋体" w:hAnsi="宋体" w:cs="宋体"/>
                      <w:color w:val="auto"/>
                      <w:szCs w:val="21"/>
                    </w:rPr>
                  </w:pPr>
                  <w:r>
                    <w:rPr>
                      <w:rFonts w:hint="eastAsia" w:ascii="宋体" w:hAnsi="宋体" w:cs="宋体"/>
                      <w:color w:val="auto"/>
                      <w:szCs w:val="21"/>
                    </w:rPr>
                    <w:t>7.1</w:t>
                  </w:r>
                </w:p>
              </w:tc>
              <w:tc>
                <w:tcPr>
                  <w:tcW w:w="2085" w:type="dxa"/>
                  <w:vMerge w:val="continue"/>
                  <w:vAlign w:val="center"/>
                </w:tcPr>
                <w:p w14:paraId="77BC414F">
                  <w:pPr>
                    <w:autoSpaceDE w:val="0"/>
                    <w:autoSpaceDN w:val="0"/>
                    <w:jc w:val="center"/>
                    <w:rPr>
                      <w:rFonts w:hint="eastAsia" w:ascii="宋体" w:hAnsi="宋体" w:cs="宋体"/>
                      <w:color w:val="auto"/>
                      <w:kern w:val="0"/>
                      <w:szCs w:val="21"/>
                    </w:rPr>
                  </w:pPr>
                </w:p>
              </w:tc>
            </w:tr>
            <w:tr w14:paraId="74AF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restart"/>
                  <w:vAlign w:val="center"/>
                </w:tcPr>
                <w:p w14:paraId="1F74E5E0">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九龙卫生院业务用房</w:t>
                  </w:r>
                </w:p>
              </w:tc>
              <w:tc>
                <w:tcPr>
                  <w:tcW w:w="2460" w:type="dxa"/>
                  <w:vAlign w:val="center"/>
                </w:tcPr>
                <w:p w14:paraId="62A372C7">
                  <w:pPr>
                    <w:jc w:val="center"/>
                    <w:rPr>
                      <w:rFonts w:hint="eastAsia" w:ascii="宋体" w:hAnsi="宋体" w:cs="宋体"/>
                      <w:color w:val="auto"/>
                      <w:kern w:val="0"/>
                      <w:szCs w:val="21"/>
                    </w:rPr>
                  </w:pPr>
                  <w:r>
                    <w:rPr>
                      <w:rFonts w:hint="eastAsia" w:ascii="宋体" w:hAnsi="宋体" w:cs="宋体"/>
                      <w:color w:val="auto"/>
                      <w:kern w:val="0"/>
                      <w:szCs w:val="21"/>
                    </w:rPr>
                    <w:t>门诊人员用水</w:t>
                  </w:r>
                </w:p>
              </w:tc>
              <w:tc>
                <w:tcPr>
                  <w:tcW w:w="1410" w:type="dxa"/>
                  <w:vAlign w:val="center"/>
                </w:tcPr>
                <w:p w14:paraId="3377232C">
                  <w:pPr>
                    <w:jc w:val="center"/>
                    <w:rPr>
                      <w:rFonts w:hint="eastAsia" w:ascii="宋体" w:hAnsi="宋体" w:cs="宋体"/>
                      <w:color w:val="auto"/>
                      <w:kern w:val="0"/>
                      <w:szCs w:val="21"/>
                    </w:rPr>
                  </w:pPr>
                  <w:r>
                    <w:rPr>
                      <w:rFonts w:hint="eastAsia" w:ascii="宋体" w:hAnsi="宋体" w:cs="宋体"/>
                      <w:color w:val="auto"/>
                      <w:kern w:val="0"/>
                      <w:szCs w:val="21"/>
                    </w:rPr>
                    <w:t>0.42</w:t>
                  </w:r>
                </w:p>
              </w:tc>
              <w:tc>
                <w:tcPr>
                  <w:tcW w:w="1665" w:type="dxa"/>
                  <w:vAlign w:val="center"/>
                </w:tcPr>
                <w:p w14:paraId="7C8D1184">
                  <w:pPr>
                    <w:jc w:val="center"/>
                    <w:rPr>
                      <w:rFonts w:hint="eastAsia" w:ascii="宋体" w:hAnsi="宋体" w:cs="宋体"/>
                      <w:color w:val="auto"/>
                      <w:szCs w:val="21"/>
                    </w:rPr>
                  </w:pPr>
                  <w:r>
                    <w:rPr>
                      <w:rFonts w:hint="eastAsia" w:ascii="宋体" w:hAnsi="宋体" w:cs="宋体"/>
                      <w:color w:val="auto"/>
                      <w:szCs w:val="21"/>
                    </w:rPr>
                    <w:t>0.36</w:t>
                  </w:r>
                </w:p>
              </w:tc>
              <w:tc>
                <w:tcPr>
                  <w:tcW w:w="2085" w:type="dxa"/>
                  <w:vMerge w:val="restart"/>
                  <w:vAlign w:val="center"/>
                </w:tcPr>
                <w:p w14:paraId="4AE6008B">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进入本项目自建的不小于20m</w:t>
                  </w:r>
                  <w:r>
                    <w:rPr>
                      <w:rFonts w:hint="eastAsia" w:ascii="宋体" w:hAnsi="宋体" w:cs="宋体"/>
                      <w:color w:val="auto"/>
                      <w:kern w:val="0"/>
                      <w:szCs w:val="21"/>
                      <w:vertAlign w:val="superscript"/>
                    </w:rPr>
                    <w:t>3</w:t>
                  </w:r>
                  <w:r>
                    <w:rPr>
                      <w:rFonts w:hint="eastAsia" w:ascii="宋体" w:hAnsi="宋体" w:cs="宋体"/>
                      <w:color w:val="auto"/>
                      <w:kern w:val="0"/>
                      <w:szCs w:val="21"/>
                    </w:rPr>
                    <w:t>/d污水处理站处理达标后经市政污水管网排入通海县第二污水处理厂处理</w:t>
                  </w:r>
                </w:p>
              </w:tc>
            </w:tr>
            <w:tr w14:paraId="0B19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150A5089">
                  <w:pPr>
                    <w:autoSpaceDE w:val="0"/>
                    <w:autoSpaceDN w:val="0"/>
                    <w:jc w:val="center"/>
                    <w:rPr>
                      <w:rFonts w:hint="eastAsia" w:ascii="宋体" w:hAnsi="宋体" w:cs="宋体"/>
                      <w:color w:val="auto"/>
                      <w:kern w:val="0"/>
                      <w:szCs w:val="21"/>
                    </w:rPr>
                  </w:pPr>
                </w:p>
              </w:tc>
              <w:tc>
                <w:tcPr>
                  <w:tcW w:w="2460" w:type="dxa"/>
                  <w:vAlign w:val="center"/>
                </w:tcPr>
                <w:p w14:paraId="47C04E3E">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住院病床用水</w:t>
                  </w:r>
                </w:p>
              </w:tc>
              <w:tc>
                <w:tcPr>
                  <w:tcW w:w="1410" w:type="dxa"/>
                  <w:vAlign w:val="center"/>
                </w:tcPr>
                <w:p w14:paraId="37867C63">
                  <w:pPr>
                    <w:jc w:val="center"/>
                    <w:rPr>
                      <w:rFonts w:hint="eastAsia" w:ascii="宋体" w:hAnsi="宋体" w:cs="宋体"/>
                      <w:color w:val="auto"/>
                      <w:kern w:val="0"/>
                      <w:szCs w:val="21"/>
                    </w:rPr>
                  </w:pPr>
                  <w:r>
                    <w:rPr>
                      <w:rFonts w:hint="eastAsia" w:ascii="宋体" w:hAnsi="宋体" w:cs="宋体"/>
                      <w:color w:val="auto"/>
                      <w:kern w:val="0"/>
                      <w:szCs w:val="21"/>
                    </w:rPr>
                    <w:t>8.1</w:t>
                  </w:r>
                </w:p>
              </w:tc>
              <w:tc>
                <w:tcPr>
                  <w:tcW w:w="1665" w:type="dxa"/>
                  <w:vAlign w:val="center"/>
                </w:tcPr>
                <w:p w14:paraId="3D5EAFF7">
                  <w:pPr>
                    <w:jc w:val="center"/>
                    <w:rPr>
                      <w:rFonts w:hint="eastAsia" w:ascii="宋体" w:hAnsi="宋体" w:cs="宋体"/>
                      <w:color w:val="auto"/>
                      <w:szCs w:val="21"/>
                    </w:rPr>
                  </w:pPr>
                  <w:r>
                    <w:rPr>
                      <w:rFonts w:hint="eastAsia" w:ascii="宋体" w:hAnsi="宋体" w:cs="宋体"/>
                      <w:color w:val="auto"/>
                      <w:szCs w:val="21"/>
                    </w:rPr>
                    <w:t>6.89</w:t>
                  </w:r>
                </w:p>
              </w:tc>
              <w:tc>
                <w:tcPr>
                  <w:tcW w:w="2085" w:type="dxa"/>
                  <w:vMerge w:val="continue"/>
                  <w:vAlign w:val="center"/>
                </w:tcPr>
                <w:p w14:paraId="749173F0">
                  <w:pPr>
                    <w:autoSpaceDE w:val="0"/>
                    <w:autoSpaceDN w:val="0"/>
                    <w:jc w:val="center"/>
                    <w:rPr>
                      <w:rFonts w:hint="eastAsia" w:ascii="宋体" w:hAnsi="宋体" w:cs="宋体"/>
                      <w:color w:val="auto"/>
                      <w:kern w:val="0"/>
                      <w:szCs w:val="21"/>
                    </w:rPr>
                  </w:pPr>
                </w:p>
              </w:tc>
            </w:tr>
            <w:tr w14:paraId="65A5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2" w:type="dxa"/>
                  <w:vMerge w:val="continue"/>
                  <w:vAlign w:val="center"/>
                </w:tcPr>
                <w:p w14:paraId="757056A9">
                  <w:pPr>
                    <w:autoSpaceDE w:val="0"/>
                    <w:autoSpaceDN w:val="0"/>
                    <w:jc w:val="center"/>
                    <w:rPr>
                      <w:rFonts w:hint="eastAsia" w:ascii="宋体" w:hAnsi="宋体" w:cs="宋体"/>
                      <w:color w:val="auto"/>
                      <w:kern w:val="0"/>
                      <w:szCs w:val="21"/>
                    </w:rPr>
                  </w:pPr>
                </w:p>
              </w:tc>
              <w:tc>
                <w:tcPr>
                  <w:tcW w:w="2460" w:type="dxa"/>
                  <w:vAlign w:val="center"/>
                </w:tcPr>
                <w:p w14:paraId="71B97772">
                  <w:pPr>
                    <w:jc w:val="center"/>
                    <w:rPr>
                      <w:rFonts w:hint="eastAsia" w:ascii="宋体" w:hAnsi="宋体" w:cs="宋体"/>
                      <w:color w:val="auto"/>
                      <w:kern w:val="0"/>
                      <w:szCs w:val="21"/>
                    </w:rPr>
                  </w:pPr>
                  <w:r>
                    <w:rPr>
                      <w:rFonts w:hint="eastAsia" w:ascii="宋体" w:hAnsi="宋体" w:cs="宋体"/>
                      <w:color w:val="auto"/>
                      <w:kern w:val="0"/>
                      <w:szCs w:val="21"/>
                    </w:rPr>
                    <w:t>合计</w:t>
                  </w:r>
                </w:p>
              </w:tc>
              <w:tc>
                <w:tcPr>
                  <w:tcW w:w="1410" w:type="dxa"/>
                  <w:vAlign w:val="center"/>
                </w:tcPr>
                <w:p w14:paraId="73283989">
                  <w:pPr>
                    <w:jc w:val="center"/>
                    <w:rPr>
                      <w:rFonts w:hint="eastAsia" w:ascii="宋体" w:hAnsi="宋体" w:cs="宋体"/>
                      <w:color w:val="auto"/>
                      <w:kern w:val="0"/>
                      <w:szCs w:val="21"/>
                    </w:rPr>
                  </w:pPr>
                  <w:r>
                    <w:rPr>
                      <w:rFonts w:hint="eastAsia" w:ascii="宋体" w:hAnsi="宋体" w:cs="宋体"/>
                      <w:color w:val="auto"/>
                      <w:kern w:val="0"/>
                      <w:szCs w:val="21"/>
                    </w:rPr>
                    <w:t>8.52</w:t>
                  </w:r>
                </w:p>
              </w:tc>
              <w:tc>
                <w:tcPr>
                  <w:tcW w:w="1665" w:type="dxa"/>
                  <w:vAlign w:val="center"/>
                </w:tcPr>
                <w:p w14:paraId="693436FA">
                  <w:pPr>
                    <w:jc w:val="center"/>
                    <w:rPr>
                      <w:rFonts w:hint="eastAsia" w:ascii="宋体" w:hAnsi="宋体" w:cs="宋体"/>
                      <w:color w:val="auto"/>
                      <w:szCs w:val="21"/>
                    </w:rPr>
                  </w:pPr>
                  <w:r>
                    <w:rPr>
                      <w:rFonts w:hint="eastAsia" w:ascii="宋体" w:hAnsi="宋体" w:cs="宋体"/>
                      <w:color w:val="auto"/>
                      <w:szCs w:val="21"/>
                    </w:rPr>
                    <w:t>7.25</w:t>
                  </w:r>
                </w:p>
              </w:tc>
              <w:tc>
                <w:tcPr>
                  <w:tcW w:w="2085" w:type="dxa"/>
                  <w:vMerge w:val="continue"/>
                  <w:vAlign w:val="center"/>
                </w:tcPr>
                <w:p w14:paraId="132DF88E">
                  <w:pPr>
                    <w:autoSpaceDE w:val="0"/>
                    <w:autoSpaceDN w:val="0"/>
                    <w:jc w:val="center"/>
                    <w:rPr>
                      <w:rFonts w:hint="eastAsia" w:ascii="宋体" w:hAnsi="宋体" w:cs="宋体"/>
                      <w:color w:val="auto"/>
                      <w:kern w:val="0"/>
                      <w:szCs w:val="21"/>
                    </w:rPr>
                  </w:pPr>
                </w:p>
              </w:tc>
            </w:tr>
            <w:tr w14:paraId="4240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restart"/>
                  <w:vAlign w:val="center"/>
                </w:tcPr>
                <w:p w14:paraId="077D4E23">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杨广卫生院门诊楼1号楼</w:t>
                  </w:r>
                </w:p>
                <w:p w14:paraId="6D2B47AA">
                  <w:pPr>
                    <w:autoSpaceDE w:val="0"/>
                    <w:autoSpaceDN w:val="0"/>
                    <w:jc w:val="center"/>
                    <w:rPr>
                      <w:rFonts w:hint="eastAsia" w:ascii="宋体" w:hAnsi="宋体" w:cs="宋体"/>
                      <w:color w:val="auto"/>
                      <w:kern w:val="0"/>
                      <w:szCs w:val="21"/>
                    </w:rPr>
                  </w:pPr>
                </w:p>
              </w:tc>
              <w:tc>
                <w:tcPr>
                  <w:tcW w:w="2460" w:type="dxa"/>
                  <w:vAlign w:val="center"/>
                </w:tcPr>
                <w:p w14:paraId="30693261">
                  <w:pPr>
                    <w:jc w:val="center"/>
                    <w:rPr>
                      <w:rFonts w:hint="eastAsia" w:ascii="宋体" w:hAnsi="宋体" w:cs="宋体"/>
                      <w:color w:val="auto"/>
                      <w:kern w:val="0"/>
                      <w:szCs w:val="21"/>
                    </w:rPr>
                  </w:pPr>
                  <w:r>
                    <w:rPr>
                      <w:rFonts w:hint="eastAsia" w:ascii="宋体" w:hAnsi="宋体" w:cs="宋体"/>
                      <w:color w:val="auto"/>
                      <w:kern w:val="0"/>
                      <w:szCs w:val="21"/>
                    </w:rPr>
                    <w:t>门诊人员用水</w:t>
                  </w:r>
                </w:p>
              </w:tc>
              <w:tc>
                <w:tcPr>
                  <w:tcW w:w="1410" w:type="dxa"/>
                  <w:vAlign w:val="center"/>
                </w:tcPr>
                <w:p w14:paraId="4EBE8330">
                  <w:pPr>
                    <w:jc w:val="center"/>
                    <w:rPr>
                      <w:rFonts w:hint="eastAsia" w:ascii="宋体" w:hAnsi="宋体" w:cs="宋体"/>
                      <w:color w:val="auto"/>
                      <w:kern w:val="0"/>
                      <w:szCs w:val="21"/>
                    </w:rPr>
                  </w:pPr>
                  <w:r>
                    <w:rPr>
                      <w:rFonts w:hint="eastAsia" w:ascii="宋体" w:hAnsi="宋体" w:cs="宋体"/>
                      <w:color w:val="auto"/>
                      <w:kern w:val="0"/>
                      <w:szCs w:val="21"/>
                    </w:rPr>
                    <w:t>0.2</w:t>
                  </w:r>
                </w:p>
              </w:tc>
              <w:tc>
                <w:tcPr>
                  <w:tcW w:w="1665" w:type="dxa"/>
                  <w:vAlign w:val="center"/>
                </w:tcPr>
                <w:p w14:paraId="7DBB9B01">
                  <w:pPr>
                    <w:jc w:val="center"/>
                    <w:rPr>
                      <w:rFonts w:hint="eastAsia" w:ascii="宋体" w:hAnsi="宋体" w:cs="宋体"/>
                      <w:color w:val="auto"/>
                      <w:szCs w:val="21"/>
                    </w:rPr>
                  </w:pPr>
                  <w:r>
                    <w:rPr>
                      <w:rFonts w:hint="eastAsia" w:ascii="宋体" w:hAnsi="宋体" w:cs="宋体"/>
                      <w:color w:val="auto"/>
                      <w:szCs w:val="21"/>
                    </w:rPr>
                    <w:t>0.17</w:t>
                  </w:r>
                </w:p>
              </w:tc>
              <w:tc>
                <w:tcPr>
                  <w:tcW w:w="2085" w:type="dxa"/>
                  <w:vMerge w:val="restart"/>
                  <w:vAlign w:val="center"/>
                </w:tcPr>
                <w:p w14:paraId="21367C03">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进入本项目自建的不小于</w:t>
                  </w:r>
                  <w:r>
                    <w:rPr>
                      <w:color w:val="auto"/>
                      <w:kern w:val="0"/>
                      <w:szCs w:val="21"/>
                    </w:rPr>
                    <w:t>10m</w:t>
                  </w:r>
                  <w:r>
                    <w:rPr>
                      <w:color w:val="auto"/>
                      <w:kern w:val="0"/>
                      <w:szCs w:val="21"/>
                      <w:vertAlign w:val="superscript"/>
                    </w:rPr>
                    <w:t>3</w:t>
                  </w:r>
                  <w:r>
                    <w:rPr>
                      <w:color w:val="auto"/>
                      <w:kern w:val="0"/>
                      <w:szCs w:val="21"/>
                    </w:rPr>
                    <w:t>/</w:t>
                  </w:r>
                  <w:r>
                    <w:rPr>
                      <w:rFonts w:hint="eastAsia" w:ascii="宋体" w:hAnsi="宋体" w:cs="宋体"/>
                      <w:color w:val="auto"/>
                      <w:kern w:val="0"/>
                      <w:szCs w:val="21"/>
                    </w:rPr>
                    <w:t>d污水处理站处理达标后经市政污水管网排入通海县第一污水处理厂处理</w:t>
                  </w:r>
                </w:p>
              </w:tc>
            </w:tr>
            <w:tr w14:paraId="158B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363C5B31">
                  <w:pPr>
                    <w:autoSpaceDE w:val="0"/>
                    <w:autoSpaceDN w:val="0"/>
                    <w:jc w:val="center"/>
                    <w:rPr>
                      <w:rFonts w:hint="eastAsia" w:ascii="宋体" w:hAnsi="宋体" w:cs="宋体"/>
                      <w:color w:val="auto"/>
                      <w:kern w:val="0"/>
                      <w:szCs w:val="21"/>
                    </w:rPr>
                  </w:pPr>
                </w:p>
              </w:tc>
              <w:tc>
                <w:tcPr>
                  <w:tcW w:w="2460" w:type="dxa"/>
                  <w:vAlign w:val="center"/>
                </w:tcPr>
                <w:p w14:paraId="44832AC3">
                  <w:pPr>
                    <w:jc w:val="center"/>
                    <w:rPr>
                      <w:rFonts w:hint="eastAsia" w:ascii="宋体" w:hAnsi="宋体" w:cs="宋体"/>
                      <w:color w:val="auto"/>
                      <w:kern w:val="0"/>
                      <w:szCs w:val="21"/>
                    </w:rPr>
                  </w:pPr>
                  <w:r>
                    <w:rPr>
                      <w:rFonts w:hint="eastAsia" w:ascii="宋体" w:hAnsi="宋体" w:cs="宋体"/>
                      <w:color w:val="auto"/>
                      <w:szCs w:val="21"/>
                    </w:rPr>
                    <w:t>住院病床用水</w:t>
                  </w:r>
                </w:p>
              </w:tc>
              <w:tc>
                <w:tcPr>
                  <w:tcW w:w="1410" w:type="dxa"/>
                  <w:vAlign w:val="center"/>
                </w:tcPr>
                <w:p w14:paraId="770C4B03">
                  <w:pPr>
                    <w:jc w:val="center"/>
                    <w:rPr>
                      <w:rFonts w:hint="eastAsia" w:ascii="宋体" w:hAnsi="宋体" w:cs="宋体"/>
                      <w:color w:val="auto"/>
                      <w:kern w:val="0"/>
                      <w:szCs w:val="21"/>
                    </w:rPr>
                  </w:pPr>
                  <w:r>
                    <w:rPr>
                      <w:rFonts w:hint="eastAsia" w:ascii="宋体" w:hAnsi="宋体" w:cs="宋体"/>
                      <w:color w:val="auto"/>
                      <w:kern w:val="0"/>
                      <w:szCs w:val="21"/>
                    </w:rPr>
                    <w:t>7.5</w:t>
                  </w:r>
                </w:p>
              </w:tc>
              <w:tc>
                <w:tcPr>
                  <w:tcW w:w="1665" w:type="dxa"/>
                  <w:vAlign w:val="center"/>
                </w:tcPr>
                <w:p w14:paraId="2DA69991">
                  <w:pPr>
                    <w:jc w:val="center"/>
                    <w:rPr>
                      <w:rFonts w:hint="eastAsia" w:ascii="宋体" w:hAnsi="宋体" w:cs="宋体"/>
                      <w:color w:val="auto"/>
                      <w:szCs w:val="21"/>
                    </w:rPr>
                  </w:pPr>
                  <w:r>
                    <w:rPr>
                      <w:rFonts w:hint="eastAsia" w:ascii="宋体" w:hAnsi="宋体" w:cs="宋体"/>
                      <w:color w:val="auto"/>
                      <w:szCs w:val="21"/>
                    </w:rPr>
                    <w:t>6.375</w:t>
                  </w:r>
                </w:p>
              </w:tc>
              <w:tc>
                <w:tcPr>
                  <w:tcW w:w="2085" w:type="dxa"/>
                  <w:vMerge w:val="continue"/>
                  <w:vAlign w:val="center"/>
                </w:tcPr>
                <w:p w14:paraId="6B5E23AB">
                  <w:pPr>
                    <w:autoSpaceDE w:val="0"/>
                    <w:autoSpaceDN w:val="0"/>
                    <w:jc w:val="center"/>
                    <w:rPr>
                      <w:rFonts w:hint="eastAsia" w:ascii="宋体" w:hAnsi="宋体" w:cs="宋体"/>
                      <w:color w:val="auto"/>
                      <w:kern w:val="0"/>
                      <w:szCs w:val="21"/>
                    </w:rPr>
                  </w:pPr>
                </w:p>
              </w:tc>
            </w:tr>
            <w:tr w14:paraId="3EB2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2" w:type="dxa"/>
                  <w:vMerge w:val="continue"/>
                  <w:vAlign w:val="center"/>
                </w:tcPr>
                <w:p w14:paraId="1B71560C">
                  <w:pPr>
                    <w:autoSpaceDE w:val="0"/>
                    <w:autoSpaceDN w:val="0"/>
                    <w:jc w:val="center"/>
                    <w:rPr>
                      <w:rFonts w:hint="eastAsia" w:ascii="宋体" w:hAnsi="宋体" w:cs="宋体"/>
                      <w:color w:val="auto"/>
                      <w:kern w:val="0"/>
                      <w:szCs w:val="21"/>
                    </w:rPr>
                  </w:pPr>
                </w:p>
              </w:tc>
              <w:tc>
                <w:tcPr>
                  <w:tcW w:w="2460" w:type="dxa"/>
                  <w:vAlign w:val="center"/>
                </w:tcPr>
                <w:p w14:paraId="65FEBB5C">
                  <w:pPr>
                    <w:jc w:val="center"/>
                    <w:rPr>
                      <w:rFonts w:hint="eastAsia" w:ascii="宋体" w:hAnsi="宋体" w:cs="宋体"/>
                      <w:color w:val="auto"/>
                      <w:kern w:val="0"/>
                      <w:szCs w:val="21"/>
                    </w:rPr>
                  </w:pPr>
                  <w:r>
                    <w:rPr>
                      <w:rFonts w:hint="eastAsia" w:ascii="宋体" w:hAnsi="宋体" w:cs="宋体"/>
                      <w:color w:val="auto"/>
                      <w:szCs w:val="21"/>
                    </w:rPr>
                    <w:t>洗衣房用水</w:t>
                  </w:r>
                </w:p>
              </w:tc>
              <w:tc>
                <w:tcPr>
                  <w:tcW w:w="1410" w:type="dxa"/>
                  <w:vAlign w:val="center"/>
                </w:tcPr>
                <w:p w14:paraId="7866B0AE">
                  <w:pPr>
                    <w:jc w:val="center"/>
                    <w:rPr>
                      <w:rFonts w:hint="eastAsia" w:ascii="宋体" w:hAnsi="宋体" w:cs="宋体"/>
                      <w:color w:val="auto"/>
                      <w:kern w:val="0"/>
                      <w:szCs w:val="21"/>
                    </w:rPr>
                  </w:pPr>
                  <w:r>
                    <w:rPr>
                      <w:rFonts w:hint="eastAsia" w:ascii="宋体" w:hAnsi="宋体" w:cs="宋体"/>
                      <w:color w:val="auto"/>
                      <w:kern w:val="0"/>
                      <w:szCs w:val="21"/>
                    </w:rPr>
                    <w:t>0.3</w:t>
                  </w:r>
                </w:p>
              </w:tc>
              <w:tc>
                <w:tcPr>
                  <w:tcW w:w="1665" w:type="dxa"/>
                  <w:vAlign w:val="center"/>
                </w:tcPr>
                <w:p w14:paraId="1694F182">
                  <w:pPr>
                    <w:jc w:val="center"/>
                    <w:rPr>
                      <w:rFonts w:hint="eastAsia" w:ascii="宋体" w:hAnsi="宋体" w:cs="宋体"/>
                      <w:color w:val="auto"/>
                      <w:szCs w:val="21"/>
                    </w:rPr>
                  </w:pPr>
                  <w:r>
                    <w:rPr>
                      <w:rFonts w:hint="eastAsia" w:ascii="宋体" w:hAnsi="宋体" w:cs="宋体"/>
                      <w:color w:val="auto"/>
                      <w:szCs w:val="21"/>
                    </w:rPr>
                    <w:t>0.26</w:t>
                  </w:r>
                </w:p>
              </w:tc>
              <w:tc>
                <w:tcPr>
                  <w:tcW w:w="2085" w:type="dxa"/>
                  <w:vMerge w:val="continue"/>
                  <w:vAlign w:val="center"/>
                </w:tcPr>
                <w:p w14:paraId="6B01CA16">
                  <w:pPr>
                    <w:autoSpaceDE w:val="0"/>
                    <w:autoSpaceDN w:val="0"/>
                    <w:jc w:val="center"/>
                    <w:rPr>
                      <w:rFonts w:hint="eastAsia" w:ascii="宋体" w:hAnsi="宋体" w:cs="宋体"/>
                      <w:color w:val="auto"/>
                      <w:kern w:val="0"/>
                      <w:szCs w:val="21"/>
                    </w:rPr>
                  </w:pPr>
                </w:p>
              </w:tc>
            </w:tr>
            <w:tr w14:paraId="348F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65E03C5B">
                  <w:pPr>
                    <w:autoSpaceDE w:val="0"/>
                    <w:autoSpaceDN w:val="0"/>
                    <w:jc w:val="center"/>
                    <w:rPr>
                      <w:rFonts w:hint="eastAsia" w:ascii="宋体" w:hAnsi="宋体" w:cs="宋体"/>
                      <w:color w:val="auto"/>
                      <w:kern w:val="0"/>
                      <w:szCs w:val="21"/>
                    </w:rPr>
                  </w:pPr>
                </w:p>
              </w:tc>
              <w:tc>
                <w:tcPr>
                  <w:tcW w:w="2460" w:type="dxa"/>
                  <w:vAlign w:val="center"/>
                </w:tcPr>
                <w:p w14:paraId="66786CC9">
                  <w:pPr>
                    <w:jc w:val="center"/>
                    <w:rPr>
                      <w:rFonts w:hint="eastAsia" w:ascii="宋体" w:hAnsi="宋体" w:cs="宋体"/>
                      <w:color w:val="auto"/>
                      <w:kern w:val="0"/>
                      <w:szCs w:val="21"/>
                    </w:rPr>
                  </w:pPr>
                  <w:r>
                    <w:rPr>
                      <w:rFonts w:hint="eastAsia" w:ascii="宋体" w:hAnsi="宋体" w:cs="宋体"/>
                      <w:color w:val="auto"/>
                      <w:kern w:val="0"/>
                      <w:szCs w:val="21"/>
                    </w:rPr>
                    <w:t>合计</w:t>
                  </w:r>
                </w:p>
              </w:tc>
              <w:tc>
                <w:tcPr>
                  <w:tcW w:w="1410" w:type="dxa"/>
                  <w:vAlign w:val="center"/>
                </w:tcPr>
                <w:p w14:paraId="34F25348">
                  <w:pPr>
                    <w:jc w:val="center"/>
                    <w:rPr>
                      <w:rFonts w:hint="eastAsia" w:ascii="宋体" w:hAnsi="宋体" w:cs="宋体"/>
                      <w:color w:val="auto"/>
                      <w:kern w:val="0"/>
                      <w:szCs w:val="21"/>
                    </w:rPr>
                  </w:pPr>
                  <w:r>
                    <w:rPr>
                      <w:rFonts w:hint="eastAsia" w:ascii="宋体" w:hAnsi="宋体" w:cs="宋体"/>
                      <w:color w:val="auto"/>
                      <w:kern w:val="0"/>
                      <w:szCs w:val="21"/>
                    </w:rPr>
                    <w:t>8</w:t>
                  </w:r>
                </w:p>
              </w:tc>
              <w:tc>
                <w:tcPr>
                  <w:tcW w:w="1665" w:type="dxa"/>
                  <w:vAlign w:val="center"/>
                </w:tcPr>
                <w:p w14:paraId="4F71B916">
                  <w:pPr>
                    <w:jc w:val="center"/>
                    <w:rPr>
                      <w:rFonts w:hint="eastAsia" w:ascii="宋体" w:hAnsi="宋体" w:cs="宋体"/>
                      <w:color w:val="auto"/>
                      <w:szCs w:val="21"/>
                    </w:rPr>
                  </w:pPr>
                  <w:r>
                    <w:rPr>
                      <w:rFonts w:hint="eastAsia" w:ascii="宋体" w:hAnsi="宋体" w:cs="宋体"/>
                      <w:color w:val="auto"/>
                      <w:szCs w:val="21"/>
                    </w:rPr>
                    <w:t>6.805</w:t>
                  </w:r>
                </w:p>
              </w:tc>
              <w:tc>
                <w:tcPr>
                  <w:tcW w:w="2085" w:type="dxa"/>
                  <w:vMerge w:val="continue"/>
                  <w:vAlign w:val="center"/>
                </w:tcPr>
                <w:p w14:paraId="58D66937">
                  <w:pPr>
                    <w:autoSpaceDE w:val="0"/>
                    <w:autoSpaceDN w:val="0"/>
                    <w:jc w:val="center"/>
                    <w:rPr>
                      <w:rFonts w:hint="eastAsia" w:ascii="宋体" w:hAnsi="宋体" w:cs="宋体"/>
                      <w:color w:val="auto"/>
                      <w:kern w:val="0"/>
                      <w:szCs w:val="21"/>
                    </w:rPr>
                  </w:pPr>
                </w:p>
              </w:tc>
            </w:tr>
            <w:tr w14:paraId="3EC8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572" w:type="dxa"/>
                  <w:gridSpan w:val="2"/>
                  <w:vAlign w:val="center"/>
                </w:tcPr>
                <w:p w14:paraId="79EB8A1E">
                  <w:pPr>
                    <w:jc w:val="center"/>
                    <w:rPr>
                      <w:rFonts w:hint="eastAsia" w:ascii="宋体" w:hAnsi="宋体" w:cs="宋体"/>
                      <w:color w:val="auto"/>
                      <w:kern w:val="0"/>
                      <w:szCs w:val="21"/>
                    </w:rPr>
                  </w:pPr>
                  <w:r>
                    <w:rPr>
                      <w:rFonts w:hint="eastAsia" w:ascii="宋体" w:hAnsi="宋体" w:cs="宋体"/>
                      <w:color w:val="auto"/>
                      <w:kern w:val="0"/>
                      <w:szCs w:val="21"/>
                    </w:rPr>
                    <w:t>合计</w:t>
                  </w:r>
                </w:p>
              </w:tc>
              <w:tc>
                <w:tcPr>
                  <w:tcW w:w="1410" w:type="dxa"/>
                  <w:vAlign w:val="center"/>
                </w:tcPr>
                <w:p w14:paraId="5C1E90B1">
                  <w:pPr>
                    <w:jc w:val="center"/>
                    <w:rPr>
                      <w:rFonts w:hint="eastAsia" w:ascii="宋体" w:hAnsi="宋体" w:cs="宋体"/>
                      <w:color w:val="auto"/>
                      <w:kern w:val="0"/>
                      <w:szCs w:val="21"/>
                    </w:rPr>
                  </w:pPr>
                  <w:r>
                    <w:rPr>
                      <w:rFonts w:hint="eastAsia" w:ascii="宋体" w:hAnsi="宋体" w:cs="宋体"/>
                      <w:color w:val="auto"/>
                      <w:kern w:val="0"/>
                      <w:szCs w:val="21"/>
                    </w:rPr>
                    <w:t>33.51</w:t>
                  </w:r>
                </w:p>
              </w:tc>
              <w:tc>
                <w:tcPr>
                  <w:tcW w:w="1665" w:type="dxa"/>
                  <w:vAlign w:val="center"/>
                </w:tcPr>
                <w:p w14:paraId="1BA1B071">
                  <w:pPr>
                    <w:jc w:val="center"/>
                    <w:rPr>
                      <w:rFonts w:hint="eastAsia" w:ascii="宋体" w:hAnsi="宋体" w:cs="宋体"/>
                      <w:color w:val="auto"/>
                      <w:szCs w:val="21"/>
                    </w:rPr>
                  </w:pPr>
                  <w:r>
                    <w:rPr>
                      <w:rFonts w:hint="eastAsia" w:ascii="宋体" w:hAnsi="宋体" w:cs="宋体"/>
                      <w:color w:val="auto"/>
                      <w:szCs w:val="21"/>
                    </w:rPr>
                    <w:t>28.672</w:t>
                  </w:r>
                </w:p>
              </w:tc>
              <w:tc>
                <w:tcPr>
                  <w:tcW w:w="2085" w:type="dxa"/>
                  <w:vAlign w:val="center"/>
                </w:tcPr>
                <w:p w14:paraId="24FAA63C">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w:t>
                  </w:r>
                </w:p>
              </w:tc>
            </w:tr>
          </w:tbl>
          <w:p w14:paraId="1CCF0D1E">
            <w:pPr>
              <w:spacing w:line="360" w:lineRule="auto"/>
              <w:ind w:firstLine="480" w:firstLineChars="200"/>
              <w:rPr>
                <w:color w:val="auto"/>
                <w:sz w:val="24"/>
              </w:rPr>
            </w:pPr>
            <w:r>
              <w:rPr>
                <w:rFonts w:hint="eastAsia"/>
                <w:color w:val="auto"/>
                <w:sz w:val="24"/>
              </w:rPr>
              <w:t>本</w:t>
            </w:r>
            <w:r>
              <w:rPr>
                <w:color w:val="auto"/>
                <w:sz w:val="24"/>
              </w:rPr>
              <w:t>项目运营期废（污）水产生</w:t>
            </w:r>
            <w:r>
              <w:rPr>
                <w:rFonts w:hint="eastAsia"/>
                <w:color w:val="auto"/>
                <w:sz w:val="24"/>
              </w:rPr>
              <w:t>总</w:t>
            </w:r>
            <w:r>
              <w:rPr>
                <w:color w:val="auto"/>
                <w:sz w:val="24"/>
              </w:rPr>
              <w:t>量为</w:t>
            </w:r>
            <w:r>
              <w:rPr>
                <w:rFonts w:hint="eastAsia"/>
                <w:color w:val="auto"/>
                <w:sz w:val="24"/>
              </w:rPr>
              <w:t>28.672</w:t>
            </w:r>
            <w:r>
              <w:rPr>
                <w:color w:val="auto"/>
                <w:sz w:val="24"/>
              </w:rPr>
              <w:t>m</w:t>
            </w:r>
            <w:r>
              <w:rPr>
                <w:color w:val="auto"/>
                <w:sz w:val="24"/>
                <w:vertAlign w:val="superscript"/>
              </w:rPr>
              <w:t>3</w:t>
            </w:r>
            <w:r>
              <w:rPr>
                <w:color w:val="auto"/>
                <w:sz w:val="24"/>
              </w:rPr>
              <w:t>/d，</w:t>
            </w:r>
            <w:r>
              <w:rPr>
                <w:rFonts w:hint="eastAsia"/>
                <w:color w:val="auto"/>
                <w:sz w:val="24"/>
              </w:rPr>
              <w:t>其中纳古卫生院产生量为7.007m</w:t>
            </w:r>
            <w:r>
              <w:rPr>
                <w:rFonts w:hint="eastAsia"/>
                <w:color w:val="auto"/>
                <w:sz w:val="24"/>
                <w:vertAlign w:val="superscript"/>
              </w:rPr>
              <w:t>3</w:t>
            </w:r>
            <w:r>
              <w:rPr>
                <w:rFonts w:hint="eastAsia"/>
                <w:color w:val="auto"/>
                <w:sz w:val="24"/>
              </w:rPr>
              <w:t>/d，四街卫生院产生量为7.1m</w:t>
            </w:r>
            <w:r>
              <w:rPr>
                <w:rFonts w:hint="eastAsia"/>
                <w:color w:val="auto"/>
                <w:sz w:val="24"/>
                <w:vertAlign w:val="superscript"/>
              </w:rPr>
              <w:t>3</w:t>
            </w:r>
            <w:r>
              <w:rPr>
                <w:rFonts w:hint="eastAsia"/>
                <w:color w:val="auto"/>
                <w:sz w:val="24"/>
              </w:rPr>
              <w:t>/d，九龙卫生院产生量为7.25m</w:t>
            </w:r>
            <w:r>
              <w:rPr>
                <w:rFonts w:hint="eastAsia"/>
                <w:color w:val="auto"/>
                <w:sz w:val="24"/>
                <w:vertAlign w:val="superscript"/>
              </w:rPr>
              <w:t>3</w:t>
            </w:r>
            <w:r>
              <w:rPr>
                <w:rFonts w:hint="eastAsia"/>
                <w:color w:val="auto"/>
                <w:sz w:val="24"/>
              </w:rPr>
              <w:t>/d，杨广卫生院产生量为6.805m</w:t>
            </w:r>
            <w:r>
              <w:rPr>
                <w:rFonts w:hint="eastAsia"/>
                <w:color w:val="auto"/>
                <w:sz w:val="24"/>
                <w:vertAlign w:val="superscript"/>
              </w:rPr>
              <w:t>3</w:t>
            </w:r>
            <w:r>
              <w:rPr>
                <w:rFonts w:hint="eastAsia"/>
                <w:color w:val="auto"/>
                <w:sz w:val="24"/>
              </w:rPr>
              <w:t>/d。</w:t>
            </w:r>
            <w:bookmarkStart w:id="76" w:name="_Hlk194502039"/>
            <w:r>
              <w:rPr>
                <w:rFonts w:hint="eastAsia"/>
                <w:color w:val="auto"/>
                <w:sz w:val="24"/>
              </w:rPr>
              <w:t>纳古卫生院废水经本项目自建的不小于10m</w:t>
            </w:r>
            <w:r>
              <w:rPr>
                <w:rFonts w:hint="eastAsia"/>
                <w:color w:val="auto"/>
                <w:sz w:val="24"/>
                <w:vertAlign w:val="superscript"/>
              </w:rPr>
              <w:t>3</w:t>
            </w:r>
            <w:r>
              <w:rPr>
                <w:rFonts w:hint="eastAsia"/>
                <w:color w:val="auto"/>
                <w:sz w:val="24"/>
              </w:rPr>
              <w:t>/d的污水站处理</w:t>
            </w:r>
            <w:r>
              <w:rPr>
                <w:color w:val="auto"/>
                <w:sz w:val="24"/>
              </w:rPr>
              <w:t>达《医疗机构水污染物排放标准》（GB18466-2005）表2预处理标准</w:t>
            </w:r>
            <w:r>
              <w:rPr>
                <w:bCs/>
                <w:color w:val="auto"/>
                <w:sz w:val="24"/>
              </w:rPr>
              <w:t>及《污水排入城镇下水道水质标准》（GB/T31962-2015）表1B等级标准</w:t>
            </w:r>
            <w:r>
              <w:rPr>
                <w:color w:val="auto"/>
                <w:sz w:val="24"/>
              </w:rPr>
              <w:t>限值要求后</w:t>
            </w:r>
            <w:r>
              <w:rPr>
                <w:rFonts w:hint="eastAsia"/>
                <w:color w:val="auto"/>
                <w:sz w:val="24"/>
              </w:rPr>
              <w:t>，排入市政管网，最终进入纳古镇污水处理厂处理</w:t>
            </w:r>
            <w:r>
              <w:rPr>
                <w:color w:val="auto"/>
                <w:sz w:val="24"/>
              </w:rPr>
              <w:t>。</w:t>
            </w:r>
            <w:r>
              <w:rPr>
                <w:rFonts w:hint="eastAsia"/>
                <w:color w:val="auto"/>
                <w:sz w:val="24"/>
              </w:rPr>
              <w:t>四街卫生院废水经本项目自建的不小于17m</w:t>
            </w:r>
            <w:r>
              <w:rPr>
                <w:rFonts w:hint="eastAsia"/>
                <w:color w:val="auto"/>
                <w:sz w:val="24"/>
                <w:vertAlign w:val="superscript"/>
              </w:rPr>
              <w:t>3</w:t>
            </w:r>
            <w:r>
              <w:rPr>
                <w:rFonts w:hint="eastAsia"/>
                <w:color w:val="auto"/>
                <w:sz w:val="24"/>
              </w:rPr>
              <w:t>/d的污水站处理</w:t>
            </w:r>
            <w:r>
              <w:rPr>
                <w:color w:val="auto"/>
                <w:sz w:val="24"/>
              </w:rPr>
              <w:t>达《医疗机构水污染物排放标准》（GB18466-2005）表2预处理标准</w:t>
            </w:r>
            <w:r>
              <w:rPr>
                <w:bCs/>
                <w:color w:val="auto"/>
                <w:sz w:val="24"/>
              </w:rPr>
              <w:t>及《污水排入城镇下水道水质标准》（GB/T31962-2015）表1B等级标准</w:t>
            </w:r>
            <w:r>
              <w:rPr>
                <w:color w:val="auto"/>
                <w:sz w:val="24"/>
              </w:rPr>
              <w:t>限值要求后</w:t>
            </w:r>
            <w:r>
              <w:rPr>
                <w:rFonts w:hint="eastAsia"/>
                <w:color w:val="auto"/>
                <w:sz w:val="24"/>
              </w:rPr>
              <w:t>，排入市政管网，最终进入通海县第二污水处理厂处理</w:t>
            </w:r>
            <w:r>
              <w:rPr>
                <w:color w:val="auto"/>
                <w:sz w:val="24"/>
              </w:rPr>
              <w:t>。</w:t>
            </w:r>
            <w:r>
              <w:rPr>
                <w:rFonts w:hint="eastAsia"/>
                <w:color w:val="auto"/>
                <w:sz w:val="24"/>
              </w:rPr>
              <w:t>九龙卫生院废水经本项目自建的不小于20m</w:t>
            </w:r>
            <w:r>
              <w:rPr>
                <w:rFonts w:hint="eastAsia"/>
                <w:color w:val="auto"/>
                <w:sz w:val="24"/>
                <w:vertAlign w:val="superscript"/>
              </w:rPr>
              <w:t>3</w:t>
            </w:r>
            <w:r>
              <w:rPr>
                <w:rFonts w:hint="eastAsia"/>
                <w:color w:val="auto"/>
                <w:sz w:val="24"/>
              </w:rPr>
              <w:t>/d的污水站处理</w:t>
            </w:r>
            <w:r>
              <w:rPr>
                <w:color w:val="auto"/>
                <w:sz w:val="24"/>
              </w:rPr>
              <w:t>达</w:t>
            </w:r>
            <w:bookmarkStart w:id="77" w:name="_Hlk194502138"/>
            <w:r>
              <w:rPr>
                <w:color w:val="auto"/>
                <w:sz w:val="24"/>
              </w:rPr>
              <w:t>《医疗机构水污染物排放标准》（GB18466-2005）表2预处理标准</w:t>
            </w:r>
            <w:r>
              <w:rPr>
                <w:bCs/>
                <w:color w:val="auto"/>
                <w:sz w:val="24"/>
              </w:rPr>
              <w:t>及《污水排入城镇下水道水质标准》（GB/T31962-2015）表1B等级标准</w:t>
            </w:r>
            <w:r>
              <w:rPr>
                <w:color w:val="auto"/>
                <w:sz w:val="24"/>
              </w:rPr>
              <w:t>限值要求</w:t>
            </w:r>
            <w:bookmarkEnd w:id="77"/>
            <w:r>
              <w:rPr>
                <w:color w:val="auto"/>
                <w:sz w:val="24"/>
              </w:rPr>
              <w:t>后</w:t>
            </w:r>
            <w:r>
              <w:rPr>
                <w:rFonts w:hint="eastAsia"/>
                <w:color w:val="auto"/>
                <w:sz w:val="24"/>
              </w:rPr>
              <w:t>，排入市政管网，最终进入通海县第二污水处理厂处理</w:t>
            </w:r>
            <w:r>
              <w:rPr>
                <w:color w:val="auto"/>
                <w:sz w:val="24"/>
              </w:rPr>
              <w:t>。</w:t>
            </w:r>
            <w:r>
              <w:rPr>
                <w:rFonts w:hint="eastAsia"/>
                <w:color w:val="auto"/>
                <w:sz w:val="24"/>
              </w:rPr>
              <w:t>杨广卫生院废水经本项目自建的10m</w:t>
            </w:r>
            <w:r>
              <w:rPr>
                <w:rFonts w:hint="eastAsia"/>
                <w:color w:val="auto"/>
                <w:sz w:val="24"/>
                <w:vertAlign w:val="superscript"/>
              </w:rPr>
              <w:t>3</w:t>
            </w:r>
            <w:r>
              <w:rPr>
                <w:rFonts w:hint="eastAsia"/>
                <w:color w:val="auto"/>
                <w:sz w:val="24"/>
              </w:rPr>
              <w:t>/d的污水站处理</w:t>
            </w:r>
            <w:r>
              <w:rPr>
                <w:color w:val="auto"/>
                <w:sz w:val="24"/>
              </w:rPr>
              <w:t>达《医疗机构水污染物排放标准》（GB18466-2005）表2预处理标准</w:t>
            </w:r>
            <w:r>
              <w:rPr>
                <w:bCs/>
                <w:color w:val="auto"/>
                <w:sz w:val="24"/>
              </w:rPr>
              <w:t>及《污水排入城镇下水道水质标准》（GB/T31962-2015）表1B等级标准</w:t>
            </w:r>
            <w:r>
              <w:rPr>
                <w:color w:val="auto"/>
                <w:sz w:val="24"/>
              </w:rPr>
              <w:t>限值要求后</w:t>
            </w:r>
            <w:r>
              <w:rPr>
                <w:rFonts w:hint="eastAsia"/>
                <w:color w:val="auto"/>
                <w:sz w:val="24"/>
              </w:rPr>
              <w:t>，排入市政管网，最终进入通海县第一污水处理厂处理</w:t>
            </w:r>
            <w:r>
              <w:rPr>
                <w:color w:val="auto"/>
                <w:sz w:val="24"/>
              </w:rPr>
              <w:t>。</w:t>
            </w:r>
          </w:p>
          <w:bookmarkEnd w:id="76"/>
          <w:p w14:paraId="17170CC2">
            <w:pPr>
              <w:spacing w:line="360" w:lineRule="auto"/>
              <w:ind w:firstLine="359" w:firstLineChars="149"/>
              <w:rPr>
                <w:b/>
                <w:color w:val="auto"/>
                <w:sz w:val="24"/>
              </w:rPr>
            </w:pPr>
          </w:p>
          <w:p w14:paraId="4E36F590">
            <w:pPr>
              <w:spacing w:line="360" w:lineRule="auto"/>
              <w:ind w:firstLine="359" w:firstLineChars="149"/>
              <w:rPr>
                <w:b/>
                <w:color w:val="auto"/>
                <w:sz w:val="24"/>
              </w:rPr>
            </w:pPr>
            <w:r>
              <w:rPr>
                <w:b/>
                <w:color w:val="auto"/>
                <w:sz w:val="24"/>
              </w:rPr>
              <w:t>（</w:t>
            </w:r>
            <w:r>
              <w:rPr>
                <w:rFonts w:hint="eastAsia"/>
                <w:b/>
                <w:color w:val="auto"/>
                <w:sz w:val="24"/>
              </w:rPr>
              <w:t>2</w:t>
            </w:r>
            <w:r>
              <w:rPr>
                <w:b/>
                <w:color w:val="auto"/>
                <w:sz w:val="24"/>
              </w:rPr>
              <w:t>）水污染物源强计算</w:t>
            </w:r>
          </w:p>
          <w:p w14:paraId="2D7781F6">
            <w:pPr>
              <w:spacing w:line="360" w:lineRule="auto"/>
              <w:ind w:firstLine="480" w:firstLineChars="200"/>
              <w:rPr>
                <w:color w:val="auto"/>
                <w:sz w:val="24"/>
              </w:rPr>
            </w:pPr>
            <w:r>
              <w:rPr>
                <w:rFonts w:hint="eastAsia"/>
                <w:color w:val="auto"/>
                <w:sz w:val="24"/>
              </w:rPr>
              <w:t>本项目为非传染病卫生院，废水中污染物浓度参照</w:t>
            </w:r>
            <w:r>
              <w:rPr>
                <w:color w:val="auto"/>
                <w:sz w:val="24"/>
              </w:rPr>
              <w:t>《</w:t>
            </w:r>
            <w:r>
              <w:rPr>
                <w:rFonts w:hint="eastAsia"/>
                <w:color w:val="auto"/>
                <w:sz w:val="24"/>
              </w:rPr>
              <w:t>卫生院</w:t>
            </w:r>
            <w:r>
              <w:rPr>
                <w:color w:val="auto"/>
                <w:sz w:val="24"/>
              </w:rPr>
              <w:t>污水处理工程技术规范》（HJ2029-2013）</w:t>
            </w:r>
            <w:r>
              <w:rPr>
                <w:rFonts w:hint="eastAsia"/>
                <w:color w:val="auto"/>
                <w:sz w:val="24"/>
              </w:rPr>
              <w:t>中</w:t>
            </w:r>
            <w:r>
              <w:rPr>
                <w:color w:val="auto"/>
                <w:sz w:val="24"/>
              </w:rPr>
              <w:t>非传染病</w:t>
            </w:r>
            <w:r>
              <w:rPr>
                <w:rFonts w:hint="eastAsia"/>
                <w:color w:val="auto"/>
                <w:sz w:val="24"/>
              </w:rPr>
              <w:t>卫生院</w:t>
            </w:r>
            <w:r>
              <w:rPr>
                <w:color w:val="auto"/>
                <w:sz w:val="24"/>
              </w:rPr>
              <w:t>污水水质浓度</w:t>
            </w:r>
            <w:r>
              <w:rPr>
                <w:rFonts w:hint="eastAsia"/>
                <w:color w:val="auto"/>
                <w:sz w:val="24"/>
              </w:rPr>
              <w:t>，详见下表：</w:t>
            </w:r>
          </w:p>
          <w:p w14:paraId="5CC17C61">
            <w:pPr>
              <w:spacing w:line="360" w:lineRule="auto"/>
              <w:ind w:firstLine="482"/>
              <w:jc w:val="center"/>
              <w:rPr>
                <w:b/>
                <w:bCs/>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5</w:t>
            </w:r>
            <w:r>
              <w:rPr>
                <w:b/>
                <w:color w:val="auto"/>
                <w:sz w:val="24"/>
              </w:rPr>
              <w:t xml:space="preserve"> 污水产生浓度一览表    单位：mg/L</w:t>
            </w:r>
          </w:p>
          <w:tbl>
            <w:tblPr>
              <w:tblStyle w:val="33"/>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648"/>
              <w:gridCol w:w="873"/>
              <w:gridCol w:w="947"/>
              <w:gridCol w:w="581"/>
              <w:gridCol w:w="1052"/>
              <w:gridCol w:w="1843"/>
              <w:gridCol w:w="900"/>
              <w:gridCol w:w="900"/>
            </w:tblGrid>
            <w:tr w14:paraId="20D2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29" w:type="dxa"/>
                  <w:vAlign w:val="center"/>
                </w:tcPr>
                <w:p w14:paraId="05CD700E">
                  <w:pPr>
                    <w:jc w:val="center"/>
                    <w:rPr>
                      <w:b/>
                      <w:color w:val="auto"/>
                      <w:szCs w:val="21"/>
                    </w:rPr>
                  </w:pPr>
                  <w:r>
                    <w:rPr>
                      <w:b/>
                      <w:color w:val="auto"/>
                      <w:szCs w:val="21"/>
                    </w:rPr>
                    <w:t>项目</w:t>
                  </w:r>
                </w:p>
              </w:tc>
              <w:tc>
                <w:tcPr>
                  <w:tcW w:w="648" w:type="dxa"/>
                  <w:vAlign w:val="center"/>
                </w:tcPr>
                <w:p w14:paraId="35508242">
                  <w:pPr>
                    <w:jc w:val="center"/>
                    <w:rPr>
                      <w:b/>
                      <w:color w:val="auto"/>
                      <w:szCs w:val="21"/>
                    </w:rPr>
                  </w:pPr>
                  <w:r>
                    <w:rPr>
                      <w:b/>
                      <w:color w:val="auto"/>
                      <w:szCs w:val="21"/>
                    </w:rPr>
                    <w:t>PH</w:t>
                  </w:r>
                </w:p>
              </w:tc>
              <w:tc>
                <w:tcPr>
                  <w:tcW w:w="873" w:type="dxa"/>
                  <w:vAlign w:val="center"/>
                </w:tcPr>
                <w:p w14:paraId="6CA1E827">
                  <w:pPr>
                    <w:jc w:val="center"/>
                    <w:rPr>
                      <w:b/>
                      <w:color w:val="auto"/>
                      <w:szCs w:val="21"/>
                    </w:rPr>
                  </w:pPr>
                  <w:r>
                    <w:rPr>
                      <w:b/>
                      <w:color w:val="auto"/>
                      <w:szCs w:val="21"/>
                    </w:rPr>
                    <w:t>COD</w:t>
                  </w:r>
                </w:p>
              </w:tc>
              <w:tc>
                <w:tcPr>
                  <w:tcW w:w="947" w:type="dxa"/>
                  <w:vAlign w:val="center"/>
                </w:tcPr>
                <w:p w14:paraId="1A5419A1">
                  <w:pPr>
                    <w:jc w:val="center"/>
                    <w:rPr>
                      <w:b/>
                      <w:color w:val="auto"/>
                      <w:szCs w:val="21"/>
                    </w:rPr>
                  </w:pPr>
                  <w:r>
                    <w:rPr>
                      <w:b/>
                      <w:color w:val="auto"/>
                      <w:szCs w:val="21"/>
                    </w:rPr>
                    <w:t>BOD</w:t>
                  </w:r>
                  <w:r>
                    <w:rPr>
                      <w:b/>
                      <w:color w:val="auto"/>
                      <w:szCs w:val="21"/>
                      <w:vertAlign w:val="subscript"/>
                    </w:rPr>
                    <w:t>5</w:t>
                  </w:r>
                </w:p>
              </w:tc>
              <w:tc>
                <w:tcPr>
                  <w:tcW w:w="581" w:type="dxa"/>
                  <w:vAlign w:val="center"/>
                </w:tcPr>
                <w:p w14:paraId="2767F9E6">
                  <w:pPr>
                    <w:jc w:val="center"/>
                    <w:rPr>
                      <w:b/>
                      <w:color w:val="auto"/>
                      <w:szCs w:val="21"/>
                    </w:rPr>
                  </w:pPr>
                  <w:r>
                    <w:rPr>
                      <w:b/>
                      <w:color w:val="auto"/>
                      <w:szCs w:val="21"/>
                    </w:rPr>
                    <w:t>SS</w:t>
                  </w:r>
                </w:p>
              </w:tc>
              <w:tc>
                <w:tcPr>
                  <w:tcW w:w="1052" w:type="dxa"/>
                  <w:vAlign w:val="center"/>
                </w:tcPr>
                <w:p w14:paraId="5AEAC02C">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843" w:type="dxa"/>
                  <w:vAlign w:val="center"/>
                </w:tcPr>
                <w:p w14:paraId="7ADB4D18">
                  <w:pPr>
                    <w:jc w:val="center"/>
                    <w:rPr>
                      <w:b/>
                      <w:color w:val="auto"/>
                      <w:szCs w:val="21"/>
                    </w:rPr>
                  </w:pPr>
                  <w:r>
                    <w:rPr>
                      <w:b/>
                      <w:color w:val="auto"/>
                      <w:szCs w:val="21"/>
                    </w:rPr>
                    <w:t>粪大肠杆菌</w:t>
                  </w:r>
                  <w:r>
                    <w:rPr>
                      <w:rFonts w:hint="eastAsia"/>
                      <w:b/>
                      <w:color w:val="auto"/>
                      <w:szCs w:val="21"/>
                    </w:rPr>
                    <w:t>（</w:t>
                  </w:r>
                  <w:r>
                    <w:rPr>
                      <w:b/>
                      <w:color w:val="auto"/>
                      <w:szCs w:val="21"/>
                    </w:rPr>
                    <w:t>个/L)</w:t>
                  </w:r>
                </w:p>
              </w:tc>
              <w:tc>
                <w:tcPr>
                  <w:tcW w:w="900" w:type="dxa"/>
                  <w:vAlign w:val="center"/>
                </w:tcPr>
                <w:p w14:paraId="4A298E40">
                  <w:pPr>
                    <w:jc w:val="center"/>
                    <w:rPr>
                      <w:b/>
                      <w:color w:val="auto"/>
                      <w:szCs w:val="21"/>
                    </w:rPr>
                  </w:pPr>
                  <w:r>
                    <w:rPr>
                      <w:b/>
                      <w:color w:val="auto"/>
                      <w:szCs w:val="21"/>
                    </w:rPr>
                    <w:t>总余氯</w:t>
                  </w:r>
                </w:p>
              </w:tc>
              <w:tc>
                <w:tcPr>
                  <w:tcW w:w="900" w:type="dxa"/>
                  <w:vAlign w:val="center"/>
                </w:tcPr>
                <w:p w14:paraId="374302E5">
                  <w:pPr>
                    <w:jc w:val="center"/>
                    <w:rPr>
                      <w:b/>
                      <w:color w:val="auto"/>
                      <w:szCs w:val="21"/>
                    </w:rPr>
                  </w:pPr>
                  <w:r>
                    <w:rPr>
                      <w:b/>
                      <w:bCs/>
                      <w:color w:val="auto"/>
                      <w:szCs w:val="21"/>
                    </w:rPr>
                    <w:t>总磷</w:t>
                  </w:r>
                </w:p>
              </w:tc>
            </w:tr>
            <w:tr w14:paraId="07D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29" w:type="dxa"/>
                  <w:vAlign w:val="center"/>
                </w:tcPr>
                <w:p w14:paraId="5372EF0E">
                  <w:pPr>
                    <w:jc w:val="center"/>
                    <w:rPr>
                      <w:color w:val="auto"/>
                      <w:szCs w:val="21"/>
                    </w:rPr>
                  </w:pPr>
                  <w:r>
                    <w:rPr>
                      <w:color w:val="auto"/>
                      <w:szCs w:val="21"/>
                    </w:rPr>
                    <w:t>产生浓度</w:t>
                  </w:r>
                </w:p>
              </w:tc>
              <w:tc>
                <w:tcPr>
                  <w:tcW w:w="648" w:type="dxa"/>
                  <w:vAlign w:val="center"/>
                </w:tcPr>
                <w:p w14:paraId="7B49CBB1">
                  <w:pPr>
                    <w:jc w:val="center"/>
                    <w:rPr>
                      <w:color w:val="auto"/>
                      <w:szCs w:val="21"/>
                    </w:rPr>
                  </w:pPr>
                  <w:r>
                    <w:rPr>
                      <w:color w:val="auto"/>
                      <w:szCs w:val="21"/>
                    </w:rPr>
                    <w:t>6-9</w:t>
                  </w:r>
                </w:p>
              </w:tc>
              <w:tc>
                <w:tcPr>
                  <w:tcW w:w="873" w:type="dxa"/>
                  <w:vAlign w:val="center"/>
                </w:tcPr>
                <w:p w14:paraId="59183CCF">
                  <w:pPr>
                    <w:jc w:val="center"/>
                    <w:rPr>
                      <w:color w:val="auto"/>
                      <w:szCs w:val="21"/>
                    </w:rPr>
                  </w:pPr>
                  <w:r>
                    <w:rPr>
                      <w:rFonts w:hint="eastAsia"/>
                      <w:color w:val="auto"/>
                      <w:szCs w:val="21"/>
                    </w:rPr>
                    <w:t>300</w:t>
                  </w:r>
                </w:p>
              </w:tc>
              <w:tc>
                <w:tcPr>
                  <w:tcW w:w="947" w:type="dxa"/>
                  <w:vAlign w:val="center"/>
                </w:tcPr>
                <w:p w14:paraId="11E1C69D">
                  <w:pPr>
                    <w:jc w:val="center"/>
                    <w:rPr>
                      <w:color w:val="auto"/>
                      <w:szCs w:val="21"/>
                    </w:rPr>
                  </w:pPr>
                  <w:r>
                    <w:rPr>
                      <w:rFonts w:hint="eastAsia"/>
                      <w:color w:val="auto"/>
                      <w:szCs w:val="21"/>
                    </w:rPr>
                    <w:t>150</w:t>
                  </w:r>
                </w:p>
              </w:tc>
              <w:tc>
                <w:tcPr>
                  <w:tcW w:w="581" w:type="dxa"/>
                  <w:vAlign w:val="center"/>
                </w:tcPr>
                <w:p w14:paraId="1D8D40B7">
                  <w:pPr>
                    <w:jc w:val="center"/>
                    <w:rPr>
                      <w:color w:val="auto"/>
                      <w:szCs w:val="21"/>
                    </w:rPr>
                  </w:pPr>
                  <w:r>
                    <w:rPr>
                      <w:rFonts w:hint="eastAsia"/>
                      <w:color w:val="auto"/>
                      <w:szCs w:val="21"/>
                    </w:rPr>
                    <w:t>120</w:t>
                  </w:r>
                </w:p>
              </w:tc>
              <w:tc>
                <w:tcPr>
                  <w:tcW w:w="1052" w:type="dxa"/>
                  <w:vAlign w:val="center"/>
                </w:tcPr>
                <w:p w14:paraId="4EF8717D">
                  <w:pPr>
                    <w:jc w:val="center"/>
                    <w:rPr>
                      <w:color w:val="auto"/>
                      <w:szCs w:val="21"/>
                    </w:rPr>
                  </w:pPr>
                  <w:r>
                    <w:rPr>
                      <w:rFonts w:hint="eastAsia"/>
                      <w:color w:val="auto"/>
                      <w:szCs w:val="21"/>
                    </w:rPr>
                    <w:t>40</w:t>
                  </w:r>
                </w:p>
              </w:tc>
              <w:tc>
                <w:tcPr>
                  <w:tcW w:w="1843" w:type="dxa"/>
                  <w:vAlign w:val="center"/>
                </w:tcPr>
                <w:p w14:paraId="2C26AD6A">
                  <w:pPr>
                    <w:jc w:val="center"/>
                    <w:rPr>
                      <w:color w:val="auto"/>
                      <w:szCs w:val="21"/>
                      <w:highlight w:val="yellow"/>
                    </w:rPr>
                  </w:pPr>
                  <w:r>
                    <w:rPr>
                      <w:rFonts w:hint="eastAsia"/>
                      <w:color w:val="auto"/>
                      <w:szCs w:val="21"/>
                    </w:rPr>
                    <w:t>3.0</w:t>
                  </w:r>
                  <w:r>
                    <w:rPr>
                      <w:color w:val="auto"/>
                      <w:szCs w:val="21"/>
                    </w:rPr>
                    <w:t>×10</w:t>
                  </w:r>
                  <w:r>
                    <w:rPr>
                      <w:color w:val="auto"/>
                      <w:szCs w:val="21"/>
                      <w:vertAlign w:val="superscript"/>
                    </w:rPr>
                    <w:t>8</w:t>
                  </w:r>
                </w:p>
              </w:tc>
              <w:tc>
                <w:tcPr>
                  <w:tcW w:w="900" w:type="dxa"/>
                  <w:vAlign w:val="center"/>
                </w:tcPr>
                <w:p w14:paraId="62D78FA7">
                  <w:pPr>
                    <w:jc w:val="center"/>
                    <w:rPr>
                      <w:color w:val="auto"/>
                      <w:szCs w:val="21"/>
                      <w:highlight w:val="yellow"/>
                    </w:rPr>
                  </w:pPr>
                  <w:r>
                    <w:rPr>
                      <w:rFonts w:hint="eastAsia"/>
                      <w:color w:val="auto"/>
                      <w:szCs w:val="21"/>
                    </w:rPr>
                    <w:t>2~8</w:t>
                  </w:r>
                </w:p>
              </w:tc>
              <w:tc>
                <w:tcPr>
                  <w:tcW w:w="900" w:type="dxa"/>
                  <w:vAlign w:val="center"/>
                </w:tcPr>
                <w:p w14:paraId="02AED2D6">
                  <w:pPr>
                    <w:jc w:val="center"/>
                    <w:rPr>
                      <w:color w:val="auto"/>
                      <w:szCs w:val="21"/>
                    </w:rPr>
                  </w:pPr>
                  <w:r>
                    <w:rPr>
                      <w:rFonts w:hint="eastAsia"/>
                      <w:color w:val="auto"/>
                      <w:szCs w:val="21"/>
                    </w:rPr>
                    <w:t>12.8</w:t>
                  </w:r>
                </w:p>
              </w:tc>
            </w:tr>
          </w:tbl>
          <w:p w14:paraId="7AC3DEED">
            <w:pPr>
              <w:spacing w:line="360" w:lineRule="auto"/>
              <w:ind w:firstLine="480" w:firstLineChars="200"/>
              <w:rPr>
                <w:color w:val="auto"/>
                <w:sz w:val="24"/>
              </w:rPr>
            </w:pPr>
            <w:r>
              <w:rPr>
                <w:rFonts w:hint="eastAsia"/>
                <w:color w:val="auto"/>
                <w:sz w:val="24"/>
              </w:rPr>
              <w:t>本项目为卫生院建设项目，项目涉及4家卫生院，其中，纳古卫生院地处纳古县污水处理厂纳污范围内，且市政污水管网已贯通。根据现场踏勘及建设单位提供的资料，四街卫生院污水处理设施已损坏，现已停用。九龙卫生院现采用的污水处理工艺为“次氯酸钠发生器消毒</w:t>
            </w:r>
            <w:r>
              <w:rPr>
                <w:color w:val="auto"/>
                <w:sz w:val="24"/>
              </w:rPr>
              <w:t>处理</w:t>
            </w:r>
            <w:r>
              <w:rPr>
                <w:rFonts w:hint="eastAsia"/>
                <w:color w:val="auto"/>
                <w:sz w:val="24"/>
              </w:rPr>
              <w:t>”，根据现状废水监测结果，九龙卫生院和四街卫生院排放的污水不能达到《医疗机构水污染物排放标准》（GB18466-2005）表2预处理标准及《污水排入城镇下水道水质标准》（GB/T31962-2015）表1B等级标准较严值标准要求</w:t>
            </w:r>
            <w:r>
              <w:rPr>
                <w:color w:val="auto"/>
                <w:sz w:val="24"/>
              </w:rPr>
              <w:t>，</w:t>
            </w:r>
            <w:r>
              <w:rPr>
                <w:rFonts w:hint="eastAsia"/>
                <w:color w:val="auto"/>
                <w:sz w:val="24"/>
              </w:rPr>
              <w:t>污水不能达标排放。本项目拟在九龙卫生院内拆除重建一座处理规模不小于</w:t>
            </w:r>
            <w:r>
              <w:rPr>
                <w:color w:val="auto"/>
                <w:sz w:val="24"/>
              </w:rPr>
              <w:t>20m³/d</w:t>
            </w:r>
            <w:r>
              <w:rPr>
                <w:rFonts w:hint="eastAsia"/>
                <w:color w:val="auto"/>
                <w:sz w:val="24"/>
              </w:rPr>
              <w:t>污水处理站；四街卫生院内拆除重建一座处理规模不小于17m³/d污水处理站；在纳古卫生院和杨广卫生院</w:t>
            </w:r>
            <w:r>
              <w:rPr>
                <w:rFonts w:hint="eastAsia"/>
                <w:color w:val="auto"/>
                <w:sz w:val="24"/>
                <w:lang w:val="en-US" w:eastAsia="zh-CN"/>
              </w:rPr>
              <w:t>内新建</w:t>
            </w:r>
            <w:r>
              <w:rPr>
                <w:rFonts w:hint="eastAsia"/>
                <w:color w:val="auto"/>
                <w:sz w:val="24"/>
              </w:rPr>
              <w:t>一座处理规模不小于10m³/d的污水处理站。本次新建的污水处理站拟采用“水解酸化+生物接触氧化+消毒”处理，根据类比《通海县杨广卫生院污水处理站竣工验收出水水质》验收监测数据。其处理工艺为“水解酸化+生物接触氧化+消毒工艺”，与本项目拟采用的处理工艺一致，具有可比性，</w:t>
            </w:r>
            <w:r>
              <w:rPr>
                <w:color w:val="auto"/>
                <w:sz w:val="24"/>
              </w:rPr>
              <w:t>该处理工艺</w:t>
            </w:r>
            <w:r>
              <w:rPr>
                <w:rFonts w:hint="eastAsia"/>
                <w:color w:val="auto"/>
                <w:sz w:val="24"/>
              </w:rPr>
              <w:t>（化粪池+</w:t>
            </w:r>
            <w:r>
              <w:rPr>
                <w:color w:val="auto"/>
                <w:sz w:val="24"/>
              </w:rPr>
              <w:t>污水处理站</w:t>
            </w:r>
            <w:r>
              <w:rPr>
                <w:rFonts w:hint="eastAsia"/>
                <w:color w:val="auto"/>
                <w:sz w:val="24"/>
              </w:rPr>
              <w:t>）</w:t>
            </w:r>
            <w:r>
              <w:rPr>
                <w:color w:val="auto"/>
                <w:sz w:val="24"/>
              </w:rPr>
              <w:t>的COD去除率</w:t>
            </w:r>
            <w:r>
              <w:rPr>
                <w:rFonts w:hint="eastAsia"/>
                <w:color w:val="auto"/>
                <w:sz w:val="24"/>
              </w:rPr>
              <w:t>85.34</w:t>
            </w:r>
            <w:r>
              <w:rPr>
                <w:color w:val="auto"/>
                <w:sz w:val="24"/>
              </w:rPr>
              <w:t>%、BOD</w:t>
            </w:r>
            <w:r>
              <w:rPr>
                <w:color w:val="auto"/>
                <w:sz w:val="24"/>
                <w:vertAlign w:val="subscript"/>
              </w:rPr>
              <w:t>5</w:t>
            </w:r>
            <w:r>
              <w:rPr>
                <w:color w:val="auto"/>
                <w:sz w:val="24"/>
              </w:rPr>
              <w:t>去除率</w:t>
            </w:r>
            <w:r>
              <w:rPr>
                <w:rFonts w:hint="eastAsia"/>
                <w:color w:val="auto"/>
                <w:sz w:val="24"/>
              </w:rPr>
              <w:t>95.29</w:t>
            </w:r>
            <w:r>
              <w:rPr>
                <w:color w:val="auto"/>
                <w:sz w:val="24"/>
              </w:rPr>
              <w:t>%、SS去除率</w:t>
            </w:r>
            <w:r>
              <w:rPr>
                <w:rFonts w:hint="eastAsia"/>
                <w:color w:val="auto"/>
                <w:sz w:val="24"/>
              </w:rPr>
              <w:t>85.95</w:t>
            </w:r>
            <w:r>
              <w:rPr>
                <w:color w:val="auto"/>
                <w:sz w:val="24"/>
              </w:rPr>
              <w:t>%、NH</w:t>
            </w:r>
            <w:r>
              <w:rPr>
                <w:color w:val="auto"/>
                <w:sz w:val="24"/>
                <w:vertAlign w:val="subscript"/>
              </w:rPr>
              <w:t>3</w:t>
            </w:r>
            <w:r>
              <w:rPr>
                <w:color w:val="auto"/>
                <w:sz w:val="24"/>
              </w:rPr>
              <w:t>-N去除率</w:t>
            </w:r>
            <w:r>
              <w:rPr>
                <w:rFonts w:hint="eastAsia"/>
                <w:color w:val="auto"/>
                <w:sz w:val="24"/>
              </w:rPr>
              <w:t>66.67</w:t>
            </w:r>
            <w:r>
              <w:rPr>
                <w:color w:val="auto"/>
                <w:sz w:val="24"/>
              </w:rPr>
              <w:t>%</w:t>
            </w:r>
            <w:r>
              <w:rPr>
                <w:rFonts w:hint="eastAsia"/>
                <w:color w:val="auto"/>
                <w:sz w:val="24"/>
              </w:rPr>
              <w:t>、总磷去除率63.33%。</w:t>
            </w:r>
            <w:r>
              <w:rPr>
                <w:color w:val="auto"/>
                <w:sz w:val="24"/>
              </w:rPr>
              <w:t>项目</w:t>
            </w:r>
            <w:r>
              <w:rPr>
                <w:rFonts w:hint="eastAsia"/>
                <w:color w:val="auto"/>
                <w:sz w:val="24"/>
              </w:rPr>
              <w:t>涉及的四个卫生院</w:t>
            </w:r>
            <w:r>
              <w:rPr>
                <w:color w:val="auto"/>
                <w:sz w:val="24"/>
              </w:rPr>
              <w:t>污水产排源强</w:t>
            </w:r>
            <w:r>
              <w:rPr>
                <w:rFonts w:hint="eastAsia"/>
                <w:color w:val="auto"/>
                <w:sz w:val="24"/>
              </w:rPr>
              <w:t>分别见表4-6、4-7、4-8、4-9</w:t>
            </w:r>
            <w:r>
              <w:rPr>
                <w:color w:val="auto"/>
                <w:sz w:val="24"/>
              </w:rPr>
              <w:t>。</w:t>
            </w:r>
          </w:p>
          <w:p w14:paraId="474C324F">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6</w:t>
            </w:r>
            <w:r>
              <w:rPr>
                <w:b/>
                <w:color w:val="auto"/>
                <w:sz w:val="24"/>
              </w:rPr>
              <w:t xml:space="preserve"> </w:t>
            </w:r>
            <w:r>
              <w:rPr>
                <w:rFonts w:hint="eastAsia"/>
                <w:b/>
                <w:color w:val="auto"/>
                <w:sz w:val="24"/>
              </w:rPr>
              <w:t>本项目（杨广卫生院）</w:t>
            </w:r>
            <w:r>
              <w:rPr>
                <w:b/>
                <w:color w:val="auto"/>
                <w:sz w:val="24"/>
              </w:rPr>
              <w:t>污水及污染物产排情况一览表</w:t>
            </w:r>
          </w:p>
          <w:tbl>
            <w:tblPr>
              <w:tblStyle w:val="33"/>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671"/>
              <w:gridCol w:w="1065"/>
              <w:gridCol w:w="689"/>
              <w:gridCol w:w="740"/>
              <w:gridCol w:w="689"/>
              <w:gridCol w:w="821"/>
              <w:gridCol w:w="1089"/>
              <w:gridCol w:w="795"/>
              <w:gridCol w:w="1080"/>
            </w:tblGrid>
            <w:tr w14:paraId="78DB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885" w:type="dxa"/>
                  <w:gridSpan w:val="2"/>
                  <w:vMerge w:val="restart"/>
                  <w:vAlign w:val="center"/>
                </w:tcPr>
                <w:p w14:paraId="5132D3F2">
                  <w:pPr>
                    <w:jc w:val="center"/>
                    <w:rPr>
                      <w:b/>
                      <w:color w:val="auto"/>
                      <w:szCs w:val="21"/>
                    </w:rPr>
                  </w:pPr>
                  <w:r>
                    <w:rPr>
                      <w:b/>
                      <w:color w:val="auto"/>
                      <w:szCs w:val="21"/>
                    </w:rPr>
                    <w:t>指标</w:t>
                  </w:r>
                </w:p>
              </w:tc>
              <w:tc>
                <w:tcPr>
                  <w:tcW w:w="6968" w:type="dxa"/>
                  <w:gridSpan w:val="8"/>
                </w:tcPr>
                <w:p w14:paraId="25F9BD30">
                  <w:pPr>
                    <w:jc w:val="center"/>
                    <w:rPr>
                      <w:b/>
                      <w:color w:val="auto"/>
                      <w:szCs w:val="21"/>
                    </w:rPr>
                  </w:pPr>
                  <w:r>
                    <w:rPr>
                      <w:b/>
                      <w:color w:val="auto"/>
                      <w:szCs w:val="21"/>
                    </w:rPr>
                    <w:t>主要污染物名称</w:t>
                  </w:r>
                </w:p>
              </w:tc>
            </w:tr>
            <w:tr w14:paraId="7AAA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85" w:type="dxa"/>
                  <w:gridSpan w:val="2"/>
                  <w:vMerge w:val="continue"/>
                  <w:vAlign w:val="center"/>
                </w:tcPr>
                <w:p w14:paraId="1C69BE74">
                  <w:pPr>
                    <w:jc w:val="center"/>
                    <w:rPr>
                      <w:color w:val="auto"/>
                      <w:szCs w:val="21"/>
                    </w:rPr>
                  </w:pPr>
                </w:p>
              </w:tc>
              <w:tc>
                <w:tcPr>
                  <w:tcW w:w="1065" w:type="dxa"/>
                  <w:vAlign w:val="center"/>
                </w:tcPr>
                <w:p w14:paraId="1FBC36E4">
                  <w:pPr>
                    <w:jc w:val="center"/>
                    <w:rPr>
                      <w:b/>
                      <w:color w:val="auto"/>
                      <w:szCs w:val="21"/>
                    </w:rPr>
                  </w:pPr>
                  <w:r>
                    <w:rPr>
                      <w:rFonts w:hint="eastAsia"/>
                      <w:b/>
                      <w:color w:val="auto"/>
                      <w:szCs w:val="21"/>
                    </w:rPr>
                    <w:t>PH</w:t>
                  </w:r>
                </w:p>
              </w:tc>
              <w:tc>
                <w:tcPr>
                  <w:tcW w:w="689" w:type="dxa"/>
                  <w:vAlign w:val="center"/>
                </w:tcPr>
                <w:p w14:paraId="12929F00">
                  <w:pPr>
                    <w:jc w:val="center"/>
                    <w:rPr>
                      <w:b/>
                      <w:color w:val="auto"/>
                      <w:szCs w:val="21"/>
                    </w:rPr>
                  </w:pPr>
                  <w:r>
                    <w:rPr>
                      <w:b/>
                      <w:color w:val="auto"/>
                      <w:szCs w:val="21"/>
                    </w:rPr>
                    <w:t>COD</w:t>
                  </w:r>
                </w:p>
              </w:tc>
              <w:tc>
                <w:tcPr>
                  <w:tcW w:w="740" w:type="dxa"/>
                  <w:vAlign w:val="center"/>
                </w:tcPr>
                <w:p w14:paraId="1DEA7222">
                  <w:pPr>
                    <w:jc w:val="center"/>
                    <w:rPr>
                      <w:b/>
                      <w:color w:val="auto"/>
                      <w:szCs w:val="21"/>
                    </w:rPr>
                  </w:pPr>
                  <w:r>
                    <w:rPr>
                      <w:b/>
                      <w:color w:val="auto"/>
                      <w:szCs w:val="21"/>
                    </w:rPr>
                    <w:t>BOD</w:t>
                  </w:r>
                  <w:r>
                    <w:rPr>
                      <w:b/>
                      <w:color w:val="auto"/>
                      <w:szCs w:val="21"/>
                      <w:vertAlign w:val="subscript"/>
                    </w:rPr>
                    <w:t>5</w:t>
                  </w:r>
                </w:p>
              </w:tc>
              <w:tc>
                <w:tcPr>
                  <w:tcW w:w="689" w:type="dxa"/>
                  <w:vAlign w:val="center"/>
                </w:tcPr>
                <w:p w14:paraId="46293F7E">
                  <w:pPr>
                    <w:jc w:val="center"/>
                    <w:rPr>
                      <w:b/>
                      <w:color w:val="auto"/>
                      <w:szCs w:val="21"/>
                    </w:rPr>
                  </w:pPr>
                  <w:r>
                    <w:rPr>
                      <w:b/>
                      <w:color w:val="auto"/>
                      <w:szCs w:val="21"/>
                    </w:rPr>
                    <w:t>SS</w:t>
                  </w:r>
                </w:p>
              </w:tc>
              <w:tc>
                <w:tcPr>
                  <w:tcW w:w="821" w:type="dxa"/>
                  <w:vAlign w:val="center"/>
                </w:tcPr>
                <w:p w14:paraId="3775A701">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089" w:type="dxa"/>
                  <w:vAlign w:val="center"/>
                </w:tcPr>
                <w:p w14:paraId="3794B039">
                  <w:pPr>
                    <w:jc w:val="center"/>
                    <w:rPr>
                      <w:b/>
                      <w:color w:val="auto"/>
                    </w:rPr>
                  </w:pPr>
                  <w:r>
                    <w:rPr>
                      <w:b/>
                      <w:color w:val="auto"/>
                    </w:rPr>
                    <w:t>粪大肠菌群数</w:t>
                  </w:r>
                  <w:r>
                    <w:rPr>
                      <w:rFonts w:hint="eastAsia"/>
                      <w:b/>
                      <w:color w:val="auto"/>
                    </w:rPr>
                    <w:t>（</w:t>
                  </w:r>
                  <w:r>
                    <w:rPr>
                      <w:b/>
                      <w:color w:val="auto"/>
                    </w:rPr>
                    <w:t>个/L)</w:t>
                  </w:r>
                </w:p>
              </w:tc>
              <w:tc>
                <w:tcPr>
                  <w:tcW w:w="795" w:type="dxa"/>
                  <w:vAlign w:val="center"/>
                </w:tcPr>
                <w:p w14:paraId="5E3952E5">
                  <w:pPr>
                    <w:jc w:val="center"/>
                    <w:rPr>
                      <w:b/>
                      <w:color w:val="auto"/>
                    </w:rPr>
                  </w:pPr>
                  <w:r>
                    <w:rPr>
                      <w:b/>
                      <w:color w:val="auto"/>
                    </w:rPr>
                    <w:t>总余氯</w:t>
                  </w:r>
                </w:p>
              </w:tc>
              <w:tc>
                <w:tcPr>
                  <w:tcW w:w="1080" w:type="dxa"/>
                  <w:vAlign w:val="center"/>
                </w:tcPr>
                <w:p w14:paraId="582E1360">
                  <w:pPr>
                    <w:jc w:val="center"/>
                    <w:rPr>
                      <w:b/>
                      <w:color w:val="auto"/>
                    </w:rPr>
                  </w:pPr>
                  <w:r>
                    <w:rPr>
                      <w:b/>
                      <w:bCs/>
                      <w:color w:val="auto"/>
                      <w:szCs w:val="21"/>
                    </w:rPr>
                    <w:t>总磷</w:t>
                  </w:r>
                </w:p>
              </w:tc>
            </w:tr>
            <w:tr w14:paraId="055F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14" w:type="dxa"/>
                  <w:vMerge w:val="restart"/>
                  <w:vAlign w:val="center"/>
                </w:tcPr>
                <w:p w14:paraId="6E2E5DDF">
                  <w:pPr>
                    <w:jc w:val="center"/>
                    <w:rPr>
                      <w:color w:val="auto"/>
                      <w:szCs w:val="21"/>
                    </w:rPr>
                  </w:pPr>
                  <w:r>
                    <w:rPr>
                      <w:rFonts w:hint="eastAsia"/>
                      <w:color w:val="auto"/>
                      <w:szCs w:val="21"/>
                    </w:rPr>
                    <w:t>本项目杨广卫生院废水</w:t>
                  </w:r>
                  <w:r>
                    <w:rPr>
                      <w:color w:val="auto"/>
                      <w:szCs w:val="21"/>
                    </w:rPr>
                    <w:t>产生量</w:t>
                  </w:r>
                </w:p>
                <w:p w14:paraId="03D42708">
                  <w:pPr>
                    <w:jc w:val="center"/>
                    <w:rPr>
                      <w:color w:val="auto"/>
                      <w:szCs w:val="21"/>
                    </w:rPr>
                  </w:pPr>
                  <w:r>
                    <w:rPr>
                      <w:rFonts w:hint="eastAsia"/>
                      <w:color w:val="auto"/>
                      <w:szCs w:val="21"/>
                    </w:rPr>
                    <w:t>2483.825</w:t>
                  </w:r>
                  <w:r>
                    <w:rPr>
                      <w:color w:val="auto"/>
                      <w:szCs w:val="21"/>
                    </w:rPr>
                    <w:t>t/a</w:t>
                  </w:r>
                </w:p>
              </w:tc>
              <w:tc>
                <w:tcPr>
                  <w:tcW w:w="671" w:type="dxa"/>
                  <w:vAlign w:val="center"/>
                </w:tcPr>
                <w:p w14:paraId="7CEA0A7C">
                  <w:pPr>
                    <w:jc w:val="center"/>
                    <w:rPr>
                      <w:color w:val="auto"/>
                      <w:szCs w:val="21"/>
                    </w:rPr>
                  </w:pPr>
                  <w:r>
                    <w:rPr>
                      <w:color w:val="auto"/>
                      <w:szCs w:val="21"/>
                    </w:rPr>
                    <w:t>产生浓度mg/L</w:t>
                  </w:r>
                </w:p>
              </w:tc>
              <w:tc>
                <w:tcPr>
                  <w:tcW w:w="1065" w:type="dxa"/>
                  <w:vAlign w:val="center"/>
                </w:tcPr>
                <w:p w14:paraId="39A13A2C">
                  <w:pPr>
                    <w:jc w:val="center"/>
                    <w:rPr>
                      <w:color w:val="auto"/>
                      <w:szCs w:val="21"/>
                    </w:rPr>
                  </w:pPr>
                  <w:r>
                    <w:rPr>
                      <w:color w:val="auto"/>
                      <w:szCs w:val="21"/>
                    </w:rPr>
                    <w:t>7~8</w:t>
                  </w:r>
                </w:p>
              </w:tc>
              <w:tc>
                <w:tcPr>
                  <w:tcW w:w="689" w:type="dxa"/>
                  <w:vAlign w:val="center"/>
                </w:tcPr>
                <w:p w14:paraId="79417F06">
                  <w:pPr>
                    <w:jc w:val="center"/>
                    <w:rPr>
                      <w:color w:val="auto"/>
                      <w:szCs w:val="21"/>
                    </w:rPr>
                  </w:pPr>
                  <w:r>
                    <w:rPr>
                      <w:color w:val="auto"/>
                      <w:szCs w:val="21"/>
                    </w:rPr>
                    <w:t>300</w:t>
                  </w:r>
                </w:p>
              </w:tc>
              <w:tc>
                <w:tcPr>
                  <w:tcW w:w="740" w:type="dxa"/>
                  <w:vAlign w:val="center"/>
                </w:tcPr>
                <w:p w14:paraId="60B30F99">
                  <w:pPr>
                    <w:jc w:val="center"/>
                    <w:rPr>
                      <w:color w:val="auto"/>
                      <w:szCs w:val="21"/>
                    </w:rPr>
                  </w:pPr>
                  <w:r>
                    <w:rPr>
                      <w:color w:val="auto"/>
                      <w:szCs w:val="21"/>
                    </w:rPr>
                    <w:t>150</w:t>
                  </w:r>
                </w:p>
              </w:tc>
              <w:tc>
                <w:tcPr>
                  <w:tcW w:w="689" w:type="dxa"/>
                  <w:vAlign w:val="center"/>
                </w:tcPr>
                <w:p w14:paraId="506A5BB0">
                  <w:pPr>
                    <w:jc w:val="center"/>
                    <w:rPr>
                      <w:color w:val="auto"/>
                      <w:szCs w:val="21"/>
                    </w:rPr>
                  </w:pPr>
                  <w:r>
                    <w:rPr>
                      <w:color w:val="auto"/>
                      <w:szCs w:val="21"/>
                    </w:rPr>
                    <w:t>120</w:t>
                  </w:r>
                </w:p>
              </w:tc>
              <w:tc>
                <w:tcPr>
                  <w:tcW w:w="821" w:type="dxa"/>
                  <w:vAlign w:val="center"/>
                </w:tcPr>
                <w:p w14:paraId="1B4C597D">
                  <w:pPr>
                    <w:jc w:val="center"/>
                    <w:rPr>
                      <w:color w:val="auto"/>
                      <w:szCs w:val="21"/>
                    </w:rPr>
                  </w:pPr>
                  <w:r>
                    <w:rPr>
                      <w:color w:val="auto"/>
                      <w:szCs w:val="21"/>
                    </w:rPr>
                    <w:t>40</w:t>
                  </w:r>
                </w:p>
              </w:tc>
              <w:tc>
                <w:tcPr>
                  <w:tcW w:w="1089" w:type="dxa"/>
                  <w:vAlign w:val="center"/>
                </w:tcPr>
                <w:p w14:paraId="5B11CF20">
                  <w:pPr>
                    <w:jc w:val="center"/>
                    <w:rPr>
                      <w:color w:val="auto"/>
                      <w:szCs w:val="21"/>
                    </w:rPr>
                  </w:pPr>
                  <w:r>
                    <w:rPr>
                      <w:color w:val="auto"/>
                      <w:szCs w:val="21"/>
                    </w:rPr>
                    <w:t>3.0×10</w:t>
                  </w:r>
                  <w:r>
                    <w:rPr>
                      <w:color w:val="auto"/>
                      <w:szCs w:val="21"/>
                      <w:vertAlign w:val="superscript"/>
                    </w:rPr>
                    <w:t>8</w:t>
                  </w:r>
                </w:p>
              </w:tc>
              <w:tc>
                <w:tcPr>
                  <w:tcW w:w="795" w:type="dxa"/>
                  <w:vAlign w:val="center"/>
                </w:tcPr>
                <w:p w14:paraId="5543D9BD">
                  <w:pPr>
                    <w:jc w:val="center"/>
                    <w:rPr>
                      <w:color w:val="auto"/>
                      <w:szCs w:val="21"/>
                    </w:rPr>
                  </w:pPr>
                  <w:r>
                    <w:rPr>
                      <w:color w:val="auto"/>
                      <w:szCs w:val="21"/>
                    </w:rPr>
                    <w:t>—</w:t>
                  </w:r>
                </w:p>
              </w:tc>
              <w:tc>
                <w:tcPr>
                  <w:tcW w:w="1080" w:type="dxa"/>
                  <w:vAlign w:val="center"/>
                </w:tcPr>
                <w:p w14:paraId="2704FCB5">
                  <w:pPr>
                    <w:jc w:val="center"/>
                    <w:rPr>
                      <w:color w:val="auto"/>
                      <w:szCs w:val="21"/>
                    </w:rPr>
                  </w:pPr>
                  <w:r>
                    <w:rPr>
                      <w:rFonts w:hint="eastAsia"/>
                      <w:color w:val="auto"/>
                      <w:szCs w:val="21"/>
                    </w:rPr>
                    <w:t>12.8</w:t>
                  </w:r>
                </w:p>
              </w:tc>
            </w:tr>
            <w:tr w14:paraId="42C0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37C3C15F">
                  <w:pPr>
                    <w:jc w:val="center"/>
                    <w:rPr>
                      <w:color w:val="auto"/>
                      <w:szCs w:val="21"/>
                    </w:rPr>
                  </w:pPr>
                </w:p>
              </w:tc>
              <w:tc>
                <w:tcPr>
                  <w:tcW w:w="671" w:type="dxa"/>
                  <w:vAlign w:val="center"/>
                </w:tcPr>
                <w:p w14:paraId="6BDE361F">
                  <w:pPr>
                    <w:jc w:val="center"/>
                    <w:rPr>
                      <w:color w:val="auto"/>
                      <w:szCs w:val="21"/>
                    </w:rPr>
                  </w:pPr>
                  <w:r>
                    <w:rPr>
                      <w:color w:val="auto"/>
                      <w:szCs w:val="21"/>
                    </w:rPr>
                    <w:t>产生量t/a</w:t>
                  </w:r>
                </w:p>
              </w:tc>
              <w:tc>
                <w:tcPr>
                  <w:tcW w:w="1065" w:type="dxa"/>
                  <w:vAlign w:val="center"/>
                </w:tcPr>
                <w:p w14:paraId="46CF3095">
                  <w:pPr>
                    <w:jc w:val="center"/>
                    <w:rPr>
                      <w:color w:val="auto"/>
                      <w:szCs w:val="21"/>
                    </w:rPr>
                  </w:pPr>
                  <w:r>
                    <w:rPr>
                      <w:color w:val="auto"/>
                      <w:szCs w:val="21"/>
                    </w:rPr>
                    <w:t>—</w:t>
                  </w:r>
                </w:p>
              </w:tc>
              <w:tc>
                <w:tcPr>
                  <w:tcW w:w="689" w:type="dxa"/>
                  <w:vAlign w:val="center"/>
                </w:tcPr>
                <w:p w14:paraId="15879E92">
                  <w:pPr>
                    <w:jc w:val="center"/>
                    <w:rPr>
                      <w:color w:val="auto"/>
                      <w:szCs w:val="21"/>
                    </w:rPr>
                  </w:pPr>
                  <w:r>
                    <w:rPr>
                      <w:rFonts w:hint="eastAsia"/>
                      <w:color w:val="auto"/>
                      <w:szCs w:val="21"/>
                    </w:rPr>
                    <w:t>0.745</w:t>
                  </w:r>
                </w:p>
              </w:tc>
              <w:tc>
                <w:tcPr>
                  <w:tcW w:w="740" w:type="dxa"/>
                  <w:vAlign w:val="center"/>
                </w:tcPr>
                <w:p w14:paraId="0EDB03BC">
                  <w:pPr>
                    <w:jc w:val="center"/>
                    <w:rPr>
                      <w:color w:val="auto"/>
                      <w:szCs w:val="21"/>
                    </w:rPr>
                  </w:pPr>
                  <w:r>
                    <w:rPr>
                      <w:rFonts w:hint="eastAsia"/>
                      <w:color w:val="auto"/>
                      <w:szCs w:val="21"/>
                    </w:rPr>
                    <w:t>0.373</w:t>
                  </w:r>
                </w:p>
              </w:tc>
              <w:tc>
                <w:tcPr>
                  <w:tcW w:w="689" w:type="dxa"/>
                  <w:vAlign w:val="center"/>
                </w:tcPr>
                <w:p w14:paraId="032AFBB9">
                  <w:pPr>
                    <w:jc w:val="center"/>
                    <w:rPr>
                      <w:color w:val="auto"/>
                      <w:szCs w:val="21"/>
                    </w:rPr>
                  </w:pPr>
                  <w:r>
                    <w:rPr>
                      <w:rFonts w:hint="eastAsia"/>
                      <w:color w:val="auto"/>
                      <w:szCs w:val="21"/>
                    </w:rPr>
                    <w:t>0.298</w:t>
                  </w:r>
                </w:p>
              </w:tc>
              <w:tc>
                <w:tcPr>
                  <w:tcW w:w="821" w:type="dxa"/>
                  <w:vAlign w:val="center"/>
                </w:tcPr>
                <w:p w14:paraId="23079311">
                  <w:pPr>
                    <w:jc w:val="center"/>
                    <w:rPr>
                      <w:color w:val="auto"/>
                      <w:szCs w:val="21"/>
                    </w:rPr>
                  </w:pPr>
                  <w:r>
                    <w:rPr>
                      <w:rFonts w:hint="eastAsia"/>
                      <w:color w:val="auto"/>
                      <w:szCs w:val="21"/>
                    </w:rPr>
                    <w:t>0.099</w:t>
                  </w:r>
                </w:p>
              </w:tc>
              <w:tc>
                <w:tcPr>
                  <w:tcW w:w="1089" w:type="dxa"/>
                  <w:vAlign w:val="center"/>
                </w:tcPr>
                <w:p w14:paraId="74A1C91E">
                  <w:pPr>
                    <w:jc w:val="center"/>
                    <w:rPr>
                      <w:color w:val="auto"/>
                      <w:szCs w:val="21"/>
                    </w:rPr>
                  </w:pPr>
                  <w:r>
                    <w:rPr>
                      <w:color w:val="auto"/>
                      <w:szCs w:val="21"/>
                    </w:rPr>
                    <w:t>—</w:t>
                  </w:r>
                </w:p>
              </w:tc>
              <w:tc>
                <w:tcPr>
                  <w:tcW w:w="795" w:type="dxa"/>
                  <w:vAlign w:val="center"/>
                </w:tcPr>
                <w:p w14:paraId="7DAD81D9">
                  <w:pPr>
                    <w:jc w:val="center"/>
                    <w:rPr>
                      <w:color w:val="auto"/>
                      <w:szCs w:val="21"/>
                    </w:rPr>
                  </w:pPr>
                  <w:r>
                    <w:rPr>
                      <w:color w:val="auto"/>
                      <w:szCs w:val="21"/>
                    </w:rPr>
                    <w:t>—</w:t>
                  </w:r>
                </w:p>
              </w:tc>
              <w:tc>
                <w:tcPr>
                  <w:tcW w:w="1080" w:type="dxa"/>
                  <w:vAlign w:val="center"/>
                </w:tcPr>
                <w:p w14:paraId="045B6F13">
                  <w:pPr>
                    <w:jc w:val="center"/>
                    <w:rPr>
                      <w:color w:val="auto"/>
                      <w:szCs w:val="21"/>
                    </w:rPr>
                  </w:pPr>
                  <w:r>
                    <w:rPr>
                      <w:rFonts w:hint="eastAsia"/>
                      <w:color w:val="auto"/>
                      <w:szCs w:val="21"/>
                    </w:rPr>
                    <w:t>0.031</w:t>
                  </w:r>
                </w:p>
              </w:tc>
            </w:tr>
            <w:tr w14:paraId="20C7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7E8B03C8">
                  <w:pPr>
                    <w:jc w:val="center"/>
                    <w:rPr>
                      <w:color w:val="auto"/>
                      <w:szCs w:val="21"/>
                    </w:rPr>
                  </w:pPr>
                  <w:r>
                    <w:rPr>
                      <w:color w:val="auto"/>
                      <w:szCs w:val="21"/>
                    </w:rPr>
                    <w:t>化粪池</w:t>
                  </w:r>
                </w:p>
                <w:p w14:paraId="361D1AF3">
                  <w:pPr>
                    <w:jc w:val="center"/>
                    <w:rPr>
                      <w:color w:val="auto"/>
                      <w:szCs w:val="21"/>
                    </w:rPr>
                  </w:pPr>
                  <w:r>
                    <w:rPr>
                      <w:color w:val="auto"/>
                      <w:szCs w:val="21"/>
                    </w:rPr>
                    <w:t>出水</w:t>
                  </w:r>
                  <w:r>
                    <w:rPr>
                      <w:rFonts w:hint="eastAsia"/>
                      <w:color w:val="auto"/>
                      <w:szCs w:val="21"/>
                    </w:rPr>
                    <w:t>2483.825</w:t>
                  </w:r>
                  <w:r>
                    <w:rPr>
                      <w:color w:val="auto"/>
                      <w:szCs w:val="21"/>
                    </w:rPr>
                    <w:t>t/a</w:t>
                  </w:r>
                </w:p>
              </w:tc>
              <w:tc>
                <w:tcPr>
                  <w:tcW w:w="671" w:type="dxa"/>
                  <w:vAlign w:val="center"/>
                </w:tcPr>
                <w:p w14:paraId="159FA988">
                  <w:pPr>
                    <w:jc w:val="center"/>
                    <w:rPr>
                      <w:color w:val="auto"/>
                      <w:szCs w:val="21"/>
                    </w:rPr>
                  </w:pPr>
                  <w:r>
                    <w:rPr>
                      <w:color w:val="auto"/>
                      <w:szCs w:val="21"/>
                    </w:rPr>
                    <w:t>出水浓度mg/L</w:t>
                  </w:r>
                </w:p>
              </w:tc>
              <w:tc>
                <w:tcPr>
                  <w:tcW w:w="1065" w:type="dxa"/>
                  <w:vAlign w:val="center"/>
                </w:tcPr>
                <w:p w14:paraId="2937844C">
                  <w:pPr>
                    <w:jc w:val="center"/>
                    <w:rPr>
                      <w:color w:val="auto"/>
                      <w:szCs w:val="21"/>
                    </w:rPr>
                  </w:pPr>
                  <w:r>
                    <w:rPr>
                      <w:rFonts w:hint="eastAsia"/>
                      <w:color w:val="auto"/>
                      <w:szCs w:val="21"/>
                    </w:rPr>
                    <w:t>7</w:t>
                  </w:r>
                </w:p>
              </w:tc>
              <w:tc>
                <w:tcPr>
                  <w:tcW w:w="689" w:type="dxa"/>
                  <w:vAlign w:val="center"/>
                </w:tcPr>
                <w:p w14:paraId="51DB32CC">
                  <w:pPr>
                    <w:jc w:val="center"/>
                    <w:rPr>
                      <w:color w:val="auto"/>
                      <w:szCs w:val="21"/>
                    </w:rPr>
                  </w:pPr>
                  <w:r>
                    <w:rPr>
                      <w:color w:val="auto"/>
                      <w:szCs w:val="21"/>
                    </w:rPr>
                    <w:t>240</w:t>
                  </w:r>
                </w:p>
              </w:tc>
              <w:tc>
                <w:tcPr>
                  <w:tcW w:w="740" w:type="dxa"/>
                  <w:vAlign w:val="center"/>
                </w:tcPr>
                <w:p w14:paraId="6138981F">
                  <w:pPr>
                    <w:jc w:val="center"/>
                    <w:rPr>
                      <w:color w:val="auto"/>
                      <w:szCs w:val="21"/>
                    </w:rPr>
                  </w:pPr>
                  <w:r>
                    <w:rPr>
                      <w:color w:val="auto"/>
                      <w:szCs w:val="21"/>
                    </w:rPr>
                    <w:t>1</w:t>
                  </w:r>
                  <w:r>
                    <w:rPr>
                      <w:rFonts w:hint="eastAsia"/>
                      <w:color w:val="auto"/>
                      <w:szCs w:val="21"/>
                    </w:rPr>
                    <w:t>43</w:t>
                  </w:r>
                </w:p>
              </w:tc>
              <w:tc>
                <w:tcPr>
                  <w:tcW w:w="689" w:type="dxa"/>
                  <w:vAlign w:val="center"/>
                </w:tcPr>
                <w:p w14:paraId="5330B933">
                  <w:pPr>
                    <w:jc w:val="center"/>
                    <w:rPr>
                      <w:color w:val="auto"/>
                      <w:szCs w:val="21"/>
                    </w:rPr>
                  </w:pPr>
                  <w:r>
                    <w:rPr>
                      <w:color w:val="auto"/>
                      <w:szCs w:val="21"/>
                    </w:rPr>
                    <w:t>80</w:t>
                  </w:r>
                </w:p>
              </w:tc>
              <w:tc>
                <w:tcPr>
                  <w:tcW w:w="821" w:type="dxa"/>
                  <w:vAlign w:val="center"/>
                </w:tcPr>
                <w:p w14:paraId="0F3DAE80">
                  <w:pPr>
                    <w:jc w:val="center"/>
                    <w:rPr>
                      <w:color w:val="auto"/>
                      <w:szCs w:val="21"/>
                    </w:rPr>
                  </w:pPr>
                  <w:r>
                    <w:rPr>
                      <w:color w:val="auto"/>
                      <w:szCs w:val="21"/>
                    </w:rPr>
                    <w:t>32</w:t>
                  </w:r>
                </w:p>
              </w:tc>
              <w:tc>
                <w:tcPr>
                  <w:tcW w:w="1089" w:type="dxa"/>
                  <w:vAlign w:val="center"/>
                </w:tcPr>
                <w:p w14:paraId="4C5C173A">
                  <w:pPr>
                    <w:jc w:val="center"/>
                    <w:rPr>
                      <w:color w:val="auto"/>
                      <w:szCs w:val="21"/>
                    </w:rPr>
                  </w:pPr>
                  <w:r>
                    <w:rPr>
                      <w:color w:val="auto"/>
                      <w:szCs w:val="21"/>
                    </w:rPr>
                    <w:t>3.0×10</w:t>
                  </w:r>
                  <w:r>
                    <w:rPr>
                      <w:color w:val="auto"/>
                      <w:szCs w:val="21"/>
                      <w:vertAlign w:val="superscript"/>
                    </w:rPr>
                    <w:t>8</w:t>
                  </w:r>
                </w:p>
              </w:tc>
              <w:tc>
                <w:tcPr>
                  <w:tcW w:w="795" w:type="dxa"/>
                  <w:vAlign w:val="center"/>
                </w:tcPr>
                <w:p w14:paraId="03F3E4CA">
                  <w:pPr>
                    <w:jc w:val="center"/>
                    <w:rPr>
                      <w:color w:val="auto"/>
                      <w:szCs w:val="21"/>
                    </w:rPr>
                  </w:pPr>
                  <w:r>
                    <w:rPr>
                      <w:color w:val="auto"/>
                      <w:szCs w:val="21"/>
                    </w:rPr>
                    <w:t>—</w:t>
                  </w:r>
                </w:p>
              </w:tc>
              <w:tc>
                <w:tcPr>
                  <w:tcW w:w="1080" w:type="dxa"/>
                  <w:vAlign w:val="center"/>
                </w:tcPr>
                <w:p w14:paraId="3E9CCF42">
                  <w:pPr>
                    <w:jc w:val="center"/>
                    <w:rPr>
                      <w:color w:val="auto"/>
                      <w:szCs w:val="21"/>
                    </w:rPr>
                  </w:pPr>
                  <w:r>
                    <w:rPr>
                      <w:rFonts w:hint="eastAsia"/>
                      <w:color w:val="auto"/>
                      <w:szCs w:val="21"/>
                    </w:rPr>
                    <w:t>10.4</w:t>
                  </w:r>
                </w:p>
              </w:tc>
            </w:tr>
            <w:tr w14:paraId="7164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2F210E1C">
                  <w:pPr>
                    <w:jc w:val="center"/>
                    <w:rPr>
                      <w:color w:val="auto"/>
                      <w:szCs w:val="21"/>
                    </w:rPr>
                  </w:pPr>
                </w:p>
              </w:tc>
              <w:tc>
                <w:tcPr>
                  <w:tcW w:w="671" w:type="dxa"/>
                  <w:vAlign w:val="center"/>
                </w:tcPr>
                <w:p w14:paraId="22272263">
                  <w:pPr>
                    <w:jc w:val="center"/>
                    <w:rPr>
                      <w:color w:val="auto"/>
                      <w:szCs w:val="21"/>
                    </w:rPr>
                  </w:pPr>
                  <w:r>
                    <w:rPr>
                      <w:color w:val="auto"/>
                      <w:szCs w:val="21"/>
                    </w:rPr>
                    <w:t>产生量t/a</w:t>
                  </w:r>
                </w:p>
              </w:tc>
              <w:tc>
                <w:tcPr>
                  <w:tcW w:w="1065" w:type="dxa"/>
                  <w:vAlign w:val="center"/>
                </w:tcPr>
                <w:p w14:paraId="525EFE1D">
                  <w:pPr>
                    <w:jc w:val="center"/>
                    <w:rPr>
                      <w:color w:val="auto"/>
                      <w:szCs w:val="21"/>
                    </w:rPr>
                  </w:pPr>
                  <w:r>
                    <w:rPr>
                      <w:color w:val="auto"/>
                      <w:szCs w:val="21"/>
                    </w:rPr>
                    <w:t>—</w:t>
                  </w:r>
                </w:p>
              </w:tc>
              <w:tc>
                <w:tcPr>
                  <w:tcW w:w="689" w:type="dxa"/>
                  <w:vAlign w:val="center"/>
                </w:tcPr>
                <w:p w14:paraId="214789AF">
                  <w:pPr>
                    <w:jc w:val="center"/>
                    <w:rPr>
                      <w:color w:val="auto"/>
                      <w:szCs w:val="21"/>
                    </w:rPr>
                  </w:pPr>
                  <w:r>
                    <w:rPr>
                      <w:rFonts w:hint="eastAsia"/>
                      <w:color w:val="auto"/>
                      <w:szCs w:val="21"/>
                    </w:rPr>
                    <w:t>0.596</w:t>
                  </w:r>
                </w:p>
              </w:tc>
              <w:tc>
                <w:tcPr>
                  <w:tcW w:w="740" w:type="dxa"/>
                  <w:vAlign w:val="center"/>
                </w:tcPr>
                <w:p w14:paraId="5079CEAC">
                  <w:pPr>
                    <w:jc w:val="center"/>
                    <w:rPr>
                      <w:color w:val="auto"/>
                      <w:szCs w:val="21"/>
                    </w:rPr>
                  </w:pPr>
                  <w:r>
                    <w:rPr>
                      <w:rFonts w:hint="eastAsia"/>
                      <w:color w:val="auto"/>
                      <w:szCs w:val="21"/>
                    </w:rPr>
                    <w:t>0.355</w:t>
                  </w:r>
                </w:p>
              </w:tc>
              <w:tc>
                <w:tcPr>
                  <w:tcW w:w="689" w:type="dxa"/>
                  <w:vAlign w:val="center"/>
                </w:tcPr>
                <w:p w14:paraId="6BFA7CFD">
                  <w:pPr>
                    <w:jc w:val="center"/>
                    <w:rPr>
                      <w:color w:val="auto"/>
                      <w:szCs w:val="21"/>
                    </w:rPr>
                  </w:pPr>
                  <w:r>
                    <w:rPr>
                      <w:rFonts w:hint="eastAsia"/>
                      <w:color w:val="auto"/>
                      <w:szCs w:val="21"/>
                    </w:rPr>
                    <w:t>0.199</w:t>
                  </w:r>
                </w:p>
              </w:tc>
              <w:tc>
                <w:tcPr>
                  <w:tcW w:w="821" w:type="dxa"/>
                  <w:vAlign w:val="center"/>
                </w:tcPr>
                <w:p w14:paraId="0399F451">
                  <w:pPr>
                    <w:jc w:val="center"/>
                    <w:rPr>
                      <w:color w:val="auto"/>
                      <w:szCs w:val="21"/>
                    </w:rPr>
                  </w:pPr>
                  <w:r>
                    <w:rPr>
                      <w:rFonts w:hint="eastAsia"/>
                      <w:color w:val="auto"/>
                      <w:szCs w:val="21"/>
                    </w:rPr>
                    <w:t>0.079</w:t>
                  </w:r>
                </w:p>
              </w:tc>
              <w:tc>
                <w:tcPr>
                  <w:tcW w:w="1089" w:type="dxa"/>
                  <w:vAlign w:val="center"/>
                </w:tcPr>
                <w:p w14:paraId="443E8B63">
                  <w:pPr>
                    <w:jc w:val="center"/>
                    <w:rPr>
                      <w:color w:val="auto"/>
                      <w:szCs w:val="21"/>
                    </w:rPr>
                  </w:pPr>
                  <w:r>
                    <w:rPr>
                      <w:color w:val="auto"/>
                      <w:szCs w:val="21"/>
                    </w:rPr>
                    <w:t>—</w:t>
                  </w:r>
                </w:p>
              </w:tc>
              <w:tc>
                <w:tcPr>
                  <w:tcW w:w="795" w:type="dxa"/>
                  <w:vAlign w:val="center"/>
                </w:tcPr>
                <w:p w14:paraId="2E762524">
                  <w:pPr>
                    <w:jc w:val="center"/>
                    <w:rPr>
                      <w:color w:val="auto"/>
                      <w:szCs w:val="21"/>
                    </w:rPr>
                  </w:pPr>
                  <w:r>
                    <w:rPr>
                      <w:color w:val="auto"/>
                      <w:szCs w:val="21"/>
                    </w:rPr>
                    <w:t>—</w:t>
                  </w:r>
                </w:p>
              </w:tc>
              <w:tc>
                <w:tcPr>
                  <w:tcW w:w="1080" w:type="dxa"/>
                  <w:vAlign w:val="center"/>
                </w:tcPr>
                <w:p w14:paraId="057B9732">
                  <w:pPr>
                    <w:jc w:val="center"/>
                    <w:rPr>
                      <w:color w:val="auto"/>
                      <w:szCs w:val="21"/>
                    </w:rPr>
                  </w:pPr>
                  <w:r>
                    <w:rPr>
                      <w:rFonts w:hint="eastAsia"/>
                      <w:color w:val="auto"/>
                      <w:szCs w:val="21"/>
                    </w:rPr>
                    <w:t>0.026</w:t>
                  </w:r>
                </w:p>
              </w:tc>
            </w:tr>
            <w:tr w14:paraId="2C9A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2562AB78">
                  <w:pPr>
                    <w:jc w:val="center"/>
                    <w:rPr>
                      <w:color w:val="auto"/>
                      <w:szCs w:val="21"/>
                    </w:rPr>
                  </w:pPr>
                </w:p>
              </w:tc>
              <w:tc>
                <w:tcPr>
                  <w:tcW w:w="671" w:type="dxa"/>
                  <w:vAlign w:val="center"/>
                </w:tcPr>
                <w:p w14:paraId="5558E05A">
                  <w:pPr>
                    <w:jc w:val="center"/>
                    <w:rPr>
                      <w:color w:val="auto"/>
                      <w:szCs w:val="21"/>
                    </w:rPr>
                  </w:pPr>
                  <w:r>
                    <w:rPr>
                      <w:color w:val="auto"/>
                      <w:szCs w:val="21"/>
                    </w:rPr>
                    <w:t>削减量t/a</w:t>
                  </w:r>
                </w:p>
              </w:tc>
              <w:tc>
                <w:tcPr>
                  <w:tcW w:w="1065" w:type="dxa"/>
                  <w:vAlign w:val="center"/>
                </w:tcPr>
                <w:p w14:paraId="4DA3BAA8">
                  <w:pPr>
                    <w:jc w:val="center"/>
                    <w:rPr>
                      <w:color w:val="auto"/>
                      <w:szCs w:val="21"/>
                    </w:rPr>
                  </w:pPr>
                  <w:r>
                    <w:rPr>
                      <w:color w:val="auto"/>
                      <w:szCs w:val="21"/>
                    </w:rPr>
                    <w:t>—</w:t>
                  </w:r>
                </w:p>
              </w:tc>
              <w:tc>
                <w:tcPr>
                  <w:tcW w:w="689" w:type="dxa"/>
                  <w:vAlign w:val="center"/>
                </w:tcPr>
                <w:p w14:paraId="1D3C9055">
                  <w:pPr>
                    <w:jc w:val="center"/>
                    <w:rPr>
                      <w:color w:val="auto"/>
                      <w:szCs w:val="21"/>
                    </w:rPr>
                  </w:pPr>
                  <w:r>
                    <w:rPr>
                      <w:rFonts w:hint="eastAsia"/>
                      <w:color w:val="auto"/>
                      <w:szCs w:val="21"/>
                    </w:rPr>
                    <w:t>0.149</w:t>
                  </w:r>
                </w:p>
              </w:tc>
              <w:tc>
                <w:tcPr>
                  <w:tcW w:w="740" w:type="dxa"/>
                  <w:vAlign w:val="center"/>
                </w:tcPr>
                <w:p w14:paraId="3779C36D">
                  <w:pPr>
                    <w:jc w:val="center"/>
                    <w:rPr>
                      <w:color w:val="auto"/>
                      <w:szCs w:val="21"/>
                    </w:rPr>
                  </w:pPr>
                  <w:r>
                    <w:rPr>
                      <w:rFonts w:hint="eastAsia"/>
                      <w:color w:val="auto"/>
                      <w:szCs w:val="21"/>
                    </w:rPr>
                    <w:t>0.018</w:t>
                  </w:r>
                </w:p>
              </w:tc>
              <w:tc>
                <w:tcPr>
                  <w:tcW w:w="689" w:type="dxa"/>
                  <w:vAlign w:val="center"/>
                </w:tcPr>
                <w:p w14:paraId="554B0F6D">
                  <w:pPr>
                    <w:jc w:val="center"/>
                    <w:rPr>
                      <w:color w:val="auto"/>
                      <w:szCs w:val="21"/>
                    </w:rPr>
                  </w:pPr>
                  <w:r>
                    <w:rPr>
                      <w:rFonts w:hint="eastAsia"/>
                      <w:color w:val="auto"/>
                      <w:szCs w:val="21"/>
                    </w:rPr>
                    <w:t>0.099</w:t>
                  </w:r>
                </w:p>
              </w:tc>
              <w:tc>
                <w:tcPr>
                  <w:tcW w:w="821" w:type="dxa"/>
                  <w:vAlign w:val="center"/>
                </w:tcPr>
                <w:p w14:paraId="3B9BB8D7">
                  <w:pPr>
                    <w:jc w:val="center"/>
                    <w:rPr>
                      <w:color w:val="auto"/>
                      <w:szCs w:val="21"/>
                    </w:rPr>
                  </w:pPr>
                  <w:r>
                    <w:rPr>
                      <w:rFonts w:hint="eastAsia"/>
                      <w:color w:val="auto"/>
                      <w:szCs w:val="21"/>
                    </w:rPr>
                    <w:t>0.02</w:t>
                  </w:r>
                </w:p>
              </w:tc>
              <w:tc>
                <w:tcPr>
                  <w:tcW w:w="1089" w:type="dxa"/>
                  <w:vAlign w:val="center"/>
                </w:tcPr>
                <w:p w14:paraId="600EEDB0">
                  <w:pPr>
                    <w:jc w:val="center"/>
                    <w:rPr>
                      <w:color w:val="auto"/>
                      <w:szCs w:val="21"/>
                    </w:rPr>
                  </w:pPr>
                  <w:r>
                    <w:rPr>
                      <w:color w:val="auto"/>
                      <w:szCs w:val="21"/>
                    </w:rPr>
                    <w:t>—</w:t>
                  </w:r>
                </w:p>
              </w:tc>
              <w:tc>
                <w:tcPr>
                  <w:tcW w:w="795" w:type="dxa"/>
                  <w:vAlign w:val="center"/>
                </w:tcPr>
                <w:p w14:paraId="37C1741F">
                  <w:pPr>
                    <w:jc w:val="center"/>
                    <w:rPr>
                      <w:color w:val="auto"/>
                      <w:szCs w:val="21"/>
                    </w:rPr>
                  </w:pPr>
                  <w:r>
                    <w:rPr>
                      <w:color w:val="auto"/>
                      <w:szCs w:val="21"/>
                    </w:rPr>
                    <w:t>—</w:t>
                  </w:r>
                </w:p>
              </w:tc>
              <w:tc>
                <w:tcPr>
                  <w:tcW w:w="1080" w:type="dxa"/>
                  <w:vAlign w:val="center"/>
                </w:tcPr>
                <w:p w14:paraId="1390946B">
                  <w:pPr>
                    <w:jc w:val="center"/>
                    <w:rPr>
                      <w:color w:val="auto"/>
                      <w:szCs w:val="21"/>
                    </w:rPr>
                  </w:pPr>
                  <w:r>
                    <w:rPr>
                      <w:rFonts w:hint="eastAsia"/>
                      <w:color w:val="auto"/>
                      <w:szCs w:val="21"/>
                    </w:rPr>
                    <w:t>0.005</w:t>
                  </w:r>
                </w:p>
              </w:tc>
            </w:tr>
            <w:tr w14:paraId="47F8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3F4BBBB8">
                  <w:pPr>
                    <w:jc w:val="center"/>
                    <w:rPr>
                      <w:color w:val="auto"/>
                      <w:szCs w:val="21"/>
                    </w:rPr>
                  </w:pPr>
                  <w:r>
                    <w:rPr>
                      <w:color w:val="auto"/>
                      <w:szCs w:val="21"/>
                    </w:rPr>
                    <w:t>污水处理站出水</w:t>
                  </w:r>
                  <w:r>
                    <w:rPr>
                      <w:rFonts w:hint="eastAsia"/>
                      <w:color w:val="auto"/>
                      <w:szCs w:val="21"/>
                    </w:rPr>
                    <w:t>2483.825</w:t>
                  </w:r>
                  <w:r>
                    <w:rPr>
                      <w:color w:val="auto"/>
                      <w:szCs w:val="21"/>
                    </w:rPr>
                    <w:t>t/a</w:t>
                  </w:r>
                </w:p>
              </w:tc>
              <w:tc>
                <w:tcPr>
                  <w:tcW w:w="671" w:type="dxa"/>
                  <w:vAlign w:val="center"/>
                </w:tcPr>
                <w:p w14:paraId="576D535D">
                  <w:pPr>
                    <w:jc w:val="center"/>
                    <w:rPr>
                      <w:color w:val="auto"/>
                      <w:szCs w:val="21"/>
                    </w:rPr>
                  </w:pPr>
                  <w:r>
                    <w:rPr>
                      <w:color w:val="auto"/>
                      <w:szCs w:val="21"/>
                    </w:rPr>
                    <w:t>排放浓度mg/L</w:t>
                  </w:r>
                </w:p>
              </w:tc>
              <w:tc>
                <w:tcPr>
                  <w:tcW w:w="1065" w:type="dxa"/>
                  <w:vAlign w:val="center"/>
                </w:tcPr>
                <w:p w14:paraId="1824089B">
                  <w:pPr>
                    <w:jc w:val="center"/>
                    <w:rPr>
                      <w:color w:val="auto"/>
                      <w:szCs w:val="21"/>
                    </w:rPr>
                  </w:pPr>
                  <w:r>
                    <w:rPr>
                      <w:rFonts w:hint="eastAsia"/>
                      <w:color w:val="auto"/>
                      <w:szCs w:val="21"/>
                    </w:rPr>
                    <w:t>7.85~7.87</w:t>
                  </w:r>
                </w:p>
              </w:tc>
              <w:tc>
                <w:tcPr>
                  <w:tcW w:w="689" w:type="dxa"/>
                  <w:vAlign w:val="center"/>
                </w:tcPr>
                <w:p w14:paraId="396AD26A">
                  <w:pPr>
                    <w:jc w:val="center"/>
                    <w:rPr>
                      <w:color w:val="auto"/>
                      <w:szCs w:val="21"/>
                    </w:rPr>
                  </w:pPr>
                  <w:r>
                    <w:rPr>
                      <w:rFonts w:hint="eastAsia"/>
                      <w:color w:val="auto"/>
                      <w:szCs w:val="21"/>
                    </w:rPr>
                    <w:t>44</w:t>
                  </w:r>
                </w:p>
              </w:tc>
              <w:tc>
                <w:tcPr>
                  <w:tcW w:w="740" w:type="dxa"/>
                  <w:vAlign w:val="center"/>
                </w:tcPr>
                <w:p w14:paraId="5216F783">
                  <w:pPr>
                    <w:jc w:val="center"/>
                    <w:rPr>
                      <w:color w:val="auto"/>
                      <w:szCs w:val="21"/>
                    </w:rPr>
                  </w:pPr>
                  <w:r>
                    <w:rPr>
                      <w:rFonts w:hint="eastAsia"/>
                      <w:color w:val="auto"/>
                      <w:szCs w:val="21"/>
                    </w:rPr>
                    <w:t>7.2</w:t>
                  </w:r>
                </w:p>
              </w:tc>
              <w:tc>
                <w:tcPr>
                  <w:tcW w:w="689" w:type="dxa"/>
                  <w:vAlign w:val="center"/>
                </w:tcPr>
                <w:p w14:paraId="56222F9C">
                  <w:pPr>
                    <w:jc w:val="center"/>
                    <w:rPr>
                      <w:color w:val="auto"/>
                      <w:szCs w:val="21"/>
                    </w:rPr>
                  </w:pPr>
                  <w:r>
                    <w:rPr>
                      <w:rFonts w:hint="eastAsia"/>
                      <w:color w:val="auto"/>
                      <w:szCs w:val="21"/>
                    </w:rPr>
                    <w:t>17</w:t>
                  </w:r>
                </w:p>
              </w:tc>
              <w:tc>
                <w:tcPr>
                  <w:tcW w:w="821" w:type="dxa"/>
                  <w:vAlign w:val="center"/>
                </w:tcPr>
                <w:p w14:paraId="78895766">
                  <w:pPr>
                    <w:jc w:val="center"/>
                    <w:rPr>
                      <w:color w:val="auto"/>
                      <w:szCs w:val="21"/>
                    </w:rPr>
                  </w:pPr>
                  <w:r>
                    <w:rPr>
                      <w:rFonts w:hint="eastAsia"/>
                      <w:color w:val="auto"/>
                      <w:szCs w:val="21"/>
                    </w:rPr>
                    <w:t>13.4</w:t>
                  </w:r>
                </w:p>
              </w:tc>
              <w:tc>
                <w:tcPr>
                  <w:tcW w:w="1089" w:type="dxa"/>
                  <w:vAlign w:val="center"/>
                </w:tcPr>
                <w:p w14:paraId="47EADB31">
                  <w:pPr>
                    <w:jc w:val="center"/>
                    <w:rPr>
                      <w:color w:val="auto"/>
                      <w:szCs w:val="21"/>
                    </w:rPr>
                  </w:pPr>
                  <w:r>
                    <w:rPr>
                      <w:rFonts w:hint="eastAsia"/>
                      <w:color w:val="auto"/>
                      <w:szCs w:val="21"/>
                    </w:rPr>
                    <w:t>70</w:t>
                  </w:r>
                </w:p>
              </w:tc>
              <w:tc>
                <w:tcPr>
                  <w:tcW w:w="795" w:type="dxa"/>
                  <w:vAlign w:val="center"/>
                </w:tcPr>
                <w:p w14:paraId="17E7B973">
                  <w:pPr>
                    <w:jc w:val="center"/>
                    <w:rPr>
                      <w:color w:val="auto"/>
                      <w:szCs w:val="21"/>
                    </w:rPr>
                  </w:pPr>
                  <w:r>
                    <w:rPr>
                      <w:rFonts w:hint="eastAsia"/>
                      <w:color w:val="auto"/>
                      <w:szCs w:val="21"/>
                    </w:rPr>
                    <w:t>0.4</w:t>
                  </w:r>
                </w:p>
              </w:tc>
              <w:tc>
                <w:tcPr>
                  <w:tcW w:w="1080" w:type="dxa"/>
                  <w:vAlign w:val="center"/>
                </w:tcPr>
                <w:p w14:paraId="2FC231AB">
                  <w:pPr>
                    <w:jc w:val="center"/>
                    <w:rPr>
                      <w:color w:val="auto"/>
                      <w:szCs w:val="21"/>
                    </w:rPr>
                  </w:pPr>
                  <w:r>
                    <w:rPr>
                      <w:rFonts w:hint="eastAsia"/>
                      <w:color w:val="auto"/>
                      <w:szCs w:val="21"/>
                    </w:rPr>
                    <w:t>4.69</w:t>
                  </w:r>
                </w:p>
              </w:tc>
            </w:tr>
            <w:tr w14:paraId="4C64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16C20B57">
                  <w:pPr>
                    <w:jc w:val="center"/>
                    <w:rPr>
                      <w:color w:val="auto"/>
                      <w:szCs w:val="21"/>
                    </w:rPr>
                  </w:pPr>
                </w:p>
              </w:tc>
              <w:tc>
                <w:tcPr>
                  <w:tcW w:w="671" w:type="dxa"/>
                  <w:vAlign w:val="center"/>
                </w:tcPr>
                <w:p w14:paraId="2D39CD2B">
                  <w:pPr>
                    <w:jc w:val="center"/>
                    <w:rPr>
                      <w:color w:val="auto"/>
                      <w:szCs w:val="21"/>
                    </w:rPr>
                  </w:pPr>
                  <w:r>
                    <w:rPr>
                      <w:color w:val="auto"/>
                      <w:szCs w:val="21"/>
                    </w:rPr>
                    <w:t>排放量t/a</w:t>
                  </w:r>
                </w:p>
              </w:tc>
              <w:tc>
                <w:tcPr>
                  <w:tcW w:w="1065" w:type="dxa"/>
                  <w:vAlign w:val="center"/>
                </w:tcPr>
                <w:p w14:paraId="1D80A5D1">
                  <w:pPr>
                    <w:jc w:val="center"/>
                    <w:rPr>
                      <w:color w:val="auto"/>
                      <w:szCs w:val="21"/>
                    </w:rPr>
                  </w:pPr>
                  <w:r>
                    <w:rPr>
                      <w:color w:val="auto"/>
                      <w:szCs w:val="21"/>
                    </w:rPr>
                    <w:t>—</w:t>
                  </w:r>
                </w:p>
              </w:tc>
              <w:tc>
                <w:tcPr>
                  <w:tcW w:w="689" w:type="dxa"/>
                  <w:vAlign w:val="center"/>
                </w:tcPr>
                <w:p w14:paraId="6B66096E">
                  <w:pPr>
                    <w:jc w:val="center"/>
                    <w:rPr>
                      <w:color w:val="auto"/>
                      <w:szCs w:val="21"/>
                    </w:rPr>
                  </w:pPr>
                  <w:r>
                    <w:rPr>
                      <w:rFonts w:hint="eastAsia"/>
                      <w:color w:val="auto"/>
                      <w:szCs w:val="21"/>
                    </w:rPr>
                    <w:t>0.109</w:t>
                  </w:r>
                </w:p>
              </w:tc>
              <w:tc>
                <w:tcPr>
                  <w:tcW w:w="740" w:type="dxa"/>
                  <w:vAlign w:val="center"/>
                </w:tcPr>
                <w:p w14:paraId="4484BE3E">
                  <w:pPr>
                    <w:jc w:val="center"/>
                    <w:rPr>
                      <w:color w:val="auto"/>
                    </w:rPr>
                  </w:pPr>
                  <w:r>
                    <w:rPr>
                      <w:rFonts w:hint="eastAsia"/>
                      <w:color w:val="auto"/>
                    </w:rPr>
                    <w:t>0.018</w:t>
                  </w:r>
                </w:p>
              </w:tc>
              <w:tc>
                <w:tcPr>
                  <w:tcW w:w="689" w:type="dxa"/>
                  <w:vAlign w:val="center"/>
                </w:tcPr>
                <w:p w14:paraId="33831EF9">
                  <w:pPr>
                    <w:jc w:val="center"/>
                    <w:rPr>
                      <w:color w:val="auto"/>
                      <w:szCs w:val="21"/>
                    </w:rPr>
                  </w:pPr>
                  <w:r>
                    <w:rPr>
                      <w:rFonts w:hint="eastAsia"/>
                      <w:color w:val="auto"/>
                      <w:szCs w:val="21"/>
                    </w:rPr>
                    <w:t>0.042</w:t>
                  </w:r>
                </w:p>
              </w:tc>
              <w:tc>
                <w:tcPr>
                  <w:tcW w:w="821" w:type="dxa"/>
                  <w:vAlign w:val="center"/>
                </w:tcPr>
                <w:p w14:paraId="4848171D">
                  <w:pPr>
                    <w:jc w:val="center"/>
                    <w:rPr>
                      <w:color w:val="auto"/>
                      <w:szCs w:val="21"/>
                    </w:rPr>
                  </w:pPr>
                  <w:r>
                    <w:rPr>
                      <w:rFonts w:hint="eastAsia"/>
                      <w:color w:val="auto"/>
                      <w:szCs w:val="21"/>
                    </w:rPr>
                    <w:t>0.033</w:t>
                  </w:r>
                </w:p>
              </w:tc>
              <w:tc>
                <w:tcPr>
                  <w:tcW w:w="1089" w:type="dxa"/>
                  <w:vAlign w:val="center"/>
                </w:tcPr>
                <w:p w14:paraId="10AB9984">
                  <w:pPr>
                    <w:jc w:val="center"/>
                    <w:rPr>
                      <w:color w:val="auto"/>
                      <w:szCs w:val="21"/>
                    </w:rPr>
                  </w:pPr>
                  <w:r>
                    <w:rPr>
                      <w:color w:val="auto"/>
                      <w:szCs w:val="21"/>
                    </w:rPr>
                    <w:t>—</w:t>
                  </w:r>
                </w:p>
              </w:tc>
              <w:tc>
                <w:tcPr>
                  <w:tcW w:w="795" w:type="dxa"/>
                  <w:vAlign w:val="center"/>
                </w:tcPr>
                <w:p w14:paraId="222D1899">
                  <w:pPr>
                    <w:jc w:val="center"/>
                    <w:rPr>
                      <w:color w:val="auto"/>
                      <w:szCs w:val="21"/>
                    </w:rPr>
                  </w:pPr>
                  <w:r>
                    <w:rPr>
                      <w:color w:val="auto"/>
                      <w:szCs w:val="21"/>
                    </w:rPr>
                    <w:t>—</w:t>
                  </w:r>
                </w:p>
              </w:tc>
              <w:tc>
                <w:tcPr>
                  <w:tcW w:w="1080" w:type="dxa"/>
                  <w:vAlign w:val="center"/>
                </w:tcPr>
                <w:p w14:paraId="37156F8A">
                  <w:pPr>
                    <w:jc w:val="center"/>
                    <w:rPr>
                      <w:color w:val="auto"/>
                      <w:szCs w:val="21"/>
                    </w:rPr>
                  </w:pPr>
                  <w:r>
                    <w:rPr>
                      <w:rFonts w:hint="eastAsia"/>
                      <w:color w:val="auto"/>
                      <w:szCs w:val="21"/>
                    </w:rPr>
                    <w:t>0.012</w:t>
                  </w:r>
                </w:p>
              </w:tc>
            </w:tr>
            <w:tr w14:paraId="5462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4" w:type="dxa"/>
                  <w:vMerge w:val="continue"/>
                  <w:vAlign w:val="center"/>
                </w:tcPr>
                <w:p w14:paraId="500CA3D9">
                  <w:pPr>
                    <w:jc w:val="center"/>
                    <w:rPr>
                      <w:color w:val="auto"/>
                      <w:szCs w:val="21"/>
                    </w:rPr>
                  </w:pPr>
                </w:p>
              </w:tc>
              <w:tc>
                <w:tcPr>
                  <w:tcW w:w="671" w:type="dxa"/>
                  <w:vAlign w:val="center"/>
                </w:tcPr>
                <w:p w14:paraId="0FF6ADBA">
                  <w:pPr>
                    <w:jc w:val="center"/>
                    <w:rPr>
                      <w:color w:val="auto"/>
                      <w:szCs w:val="21"/>
                    </w:rPr>
                  </w:pPr>
                  <w:r>
                    <w:rPr>
                      <w:color w:val="auto"/>
                      <w:szCs w:val="21"/>
                    </w:rPr>
                    <w:t>削减量t/a</w:t>
                  </w:r>
                </w:p>
              </w:tc>
              <w:tc>
                <w:tcPr>
                  <w:tcW w:w="1065" w:type="dxa"/>
                  <w:vAlign w:val="center"/>
                </w:tcPr>
                <w:p w14:paraId="05736FA6">
                  <w:pPr>
                    <w:jc w:val="center"/>
                    <w:rPr>
                      <w:color w:val="auto"/>
                      <w:szCs w:val="21"/>
                    </w:rPr>
                  </w:pPr>
                  <w:r>
                    <w:rPr>
                      <w:color w:val="auto"/>
                      <w:szCs w:val="21"/>
                    </w:rPr>
                    <w:t>—</w:t>
                  </w:r>
                </w:p>
              </w:tc>
              <w:tc>
                <w:tcPr>
                  <w:tcW w:w="689" w:type="dxa"/>
                  <w:vAlign w:val="center"/>
                </w:tcPr>
                <w:p w14:paraId="388ED3D3">
                  <w:pPr>
                    <w:jc w:val="center"/>
                    <w:rPr>
                      <w:color w:val="auto"/>
                      <w:szCs w:val="21"/>
                    </w:rPr>
                  </w:pPr>
                  <w:r>
                    <w:rPr>
                      <w:rFonts w:hint="eastAsia"/>
                      <w:color w:val="auto"/>
                      <w:szCs w:val="21"/>
                    </w:rPr>
                    <w:t>0.487</w:t>
                  </w:r>
                </w:p>
              </w:tc>
              <w:tc>
                <w:tcPr>
                  <w:tcW w:w="740" w:type="dxa"/>
                  <w:vAlign w:val="center"/>
                </w:tcPr>
                <w:p w14:paraId="5A61190C">
                  <w:pPr>
                    <w:jc w:val="center"/>
                    <w:rPr>
                      <w:color w:val="auto"/>
                      <w:szCs w:val="21"/>
                    </w:rPr>
                  </w:pPr>
                  <w:r>
                    <w:rPr>
                      <w:rFonts w:hint="eastAsia"/>
                      <w:color w:val="auto"/>
                      <w:szCs w:val="21"/>
                    </w:rPr>
                    <w:t>0.28</w:t>
                  </w:r>
                </w:p>
              </w:tc>
              <w:tc>
                <w:tcPr>
                  <w:tcW w:w="689" w:type="dxa"/>
                  <w:vAlign w:val="center"/>
                </w:tcPr>
                <w:p w14:paraId="5A0AC191">
                  <w:pPr>
                    <w:jc w:val="center"/>
                    <w:rPr>
                      <w:color w:val="auto"/>
                      <w:szCs w:val="21"/>
                    </w:rPr>
                  </w:pPr>
                  <w:r>
                    <w:rPr>
                      <w:rFonts w:hint="eastAsia"/>
                      <w:color w:val="auto"/>
                      <w:szCs w:val="21"/>
                    </w:rPr>
                    <w:t>0.157</w:t>
                  </w:r>
                </w:p>
              </w:tc>
              <w:tc>
                <w:tcPr>
                  <w:tcW w:w="821" w:type="dxa"/>
                  <w:vAlign w:val="center"/>
                </w:tcPr>
                <w:p w14:paraId="69B0BA34">
                  <w:pPr>
                    <w:jc w:val="center"/>
                    <w:rPr>
                      <w:color w:val="auto"/>
                      <w:szCs w:val="21"/>
                    </w:rPr>
                  </w:pPr>
                  <w:r>
                    <w:rPr>
                      <w:rFonts w:hint="eastAsia"/>
                      <w:color w:val="auto"/>
                      <w:szCs w:val="21"/>
                    </w:rPr>
                    <w:t>0.046</w:t>
                  </w:r>
                </w:p>
              </w:tc>
              <w:tc>
                <w:tcPr>
                  <w:tcW w:w="1089" w:type="dxa"/>
                  <w:vAlign w:val="center"/>
                </w:tcPr>
                <w:p w14:paraId="3BE457A0">
                  <w:pPr>
                    <w:jc w:val="center"/>
                    <w:rPr>
                      <w:color w:val="auto"/>
                      <w:szCs w:val="21"/>
                    </w:rPr>
                  </w:pPr>
                  <w:r>
                    <w:rPr>
                      <w:color w:val="auto"/>
                      <w:szCs w:val="21"/>
                    </w:rPr>
                    <w:t>—</w:t>
                  </w:r>
                </w:p>
              </w:tc>
              <w:tc>
                <w:tcPr>
                  <w:tcW w:w="795" w:type="dxa"/>
                  <w:vAlign w:val="center"/>
                </w:tcPr>
                <w:p w14:paraId="42025CD5">
                  <w:pPr>
                    <w:jc w:val="center"/>
                    <w:rPr>
                      <w:color w:val="auto"/>
                      <w:szCs w:val="21"/>
                    </w:rPr>
                  </w:pPr>
                  <w:r>
                    <w:rPr>
                      <w:color w:val="auto"/>
                      <w:szCs w:val="21"/>
                    </w:rPr>
                    <w:t>—</w:t>
                  </w:r>
                </w:p>
              </w:tc>
              <w:tc>
                <w:tcPr>
                  <w:tcW w:w="1080" w:type="dxa"/>
                  <w:vAlign w:val="center"/>
                </w:tcPr>
                <w:p w14:paraId="6FB02AB2">
                  <w:pPr>
                    <w:jc w:val="center"/>
                    <w:rPr>
                      <w:color w:val="auto"/>
                      <w:szCs w:val="21"/>
                    </w:rPr>
                  </w:pPr>
                  <w:r>
                    <w:rPr>
                      <w:rFonts w:hint="eastAsia"/>
                      <w:color w:val="auto"/>
                      <w:szCs w:val="21"/>
                    </w:rPr>
                    <w:t>0.014</w:t>
                  </w:r>
                </w:p>
              </w:tc>
            </w:tr>
            <w:tr w14:paraId="682A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885" w:type="dxa"/>
                  <w:gridSpan w:val="2"/>
                  <w:vAlign w:val="center"/>
                </w:tcPr>
                <w:p w14:paraId="725B8D6D">
                  <w:pPr>
                    <w:jc w:val="center"/>
                    <w:rPr>
                      <w:color w:val="auto"/>
                      <w:szCs w:val="21"/>
                    </w:rPr>
                  </w:pPr>
                  <w:r>
                    <w:rPr>
                      <w:color w:val="auto"/>
                      <w:szCs w:val="21"/>
                    </w:rPr>
                    <w:t>削减量合计t/a</w:t>
                  </w:r>
                </w:p>
              </w:tc>
              <w:tc>
                <w:tcPr>
                  <w:tcW w:w="1065" w:type="dxa"/>
                  <w:vAlign w:val="center"/>
                </w:tcPr>
                <w:p w14:paraId="3D4D8FED">
                  <w:pPr>
                    <w:jc w:val="center"/>
                    <w:rPr>
                      <w:color w:val="auto"/>
                      <w:szCs w:val="21"/>
                    </w:rPr>
                  </w:pPr>
                  <w:r>
                    <w:rPr>
                      <w:color w:val="auto"/>
                      <w:szCs w:val="21"/>
                    </w:rPr>
                    <w:t>—</w:t>
                  </w:r>
                </w:p>
              </w:tc>
              <w:tc>
                <w:tcPr>
                  <w:tcW w:w="689" w:type="dxa"/>
                  <w:vAlign w:val="center"/>
                </w:tcPr>
                <w:p w14:paraId="63973E5A">
                  <w:pPr>
                    <w:jc w:val="center"/>
                    <w:rPr>
                      <w:color w:val="auto"/>
                      <w:szCs w:val="21"/>
                    </w:rPr>
                  </w:pPr>
                  <w:r>
                    <w:rPr>
                      <w:rFonts w:hint="eastAsia"/>
                      <w:color w:val="auto"/>
                      <w:szCs w:val="21"/>
                    </w:rPr>
                    <w:t>0.636</w:t>
                  </w:r>
                </w:p>
              </w:tc>
              <w:tc>
                <w:tcPr>
                  <w:tcW w:w="740" w:type="dxa"/>
                  <w:vAlign w:val="center"/>
                </w:tcPr>
                <w:p w14:paraId="3C3FF8EF">
                  <w:pPr>
                    <w:jc w:val="center"/>
                    <w:rPr>
                      <w:color w:val="auto"/>
                      <w:szCs w:val="21"/>
                    </w:rPr>
                  </w:pPr>
                  <w:r>
                    <w:rPr>
                      <w:rFonts w:hint="eastAsia"/>
                      <w:color w:val="auto"/>
                      <w:szCs w:val="21"/>
                    </w:rPr>
                    <w:t>0.355</w:t>
                  </w:r>
                </w:p>
              </w:tc>
              <w:tc>
                <w:tcPr>
                  <w:tcW w:w="689" w:type="dxa"/>
                  <w:vAlign w:val="center"/>
                </w:tcPr>
                <w:p w14:paraId="7D3DB46C">
                  <w:pPr>
                    <w:jc w:val="center"/>
                    <w:rPr>
                      <w:color w:val="auto"/>
                      <w:szCs w:val="21"/>
                    </w:rPr>
                  </w:pPr>
                  <w:r>
                    <w:rPr>
                      <w:rFonts w:hint="eastAsia"/>
                      <w:color w:val="auto"/>
                      <w:szCs w:val="21"/>
                    </w:rPr>
                    <w:t>0.256</w:t>
                  </w:r>
                </w:p>
              </w:tc>
              <w:tc>
                <w:tcPr>
                  <w:tcW w:w="821" w:type="dxa"/>
                  <w:vAlign w:val="center"/>
                </w:tcPr>
                <w:p w14:paraId="433F9E00">
                  <w:pPr>
                    <w:jc w:val="center"/>
                    <w:rPr>
                      <w:color w:val="auto"/>
                      <w:szCs w:val="21"/>
                    </w:rPr>
                  </w:pPr>
                  <w:r>
                    <w:rPr>
                      <w:rFonts w:hint="eastAsia"/>
                      <w:color w:val="auto"/>
                      <w:szCs w:val="21"/>
                    </w:rPr>
                    <w:t>0.066</w:t>
                  </w:r>
                </w:p>
              </w:tc>
              <w:tc>
                <w:tcPr>
                  <w:tcW w:w="1089" w:type="dxa"/>
                  <w:vAlign w:val="center"/>
                </w:tcPr>
                <w:p w14:paraId="7A9D4F1F">
                  <w:pPr>
                    <w:jc w:val="center"/>
                    <w:rPr>
                      <w:color w:val="auto"/>
                      <w:szCs w:val="21"/>
                    </w:rPr>
                  </w:pPr>
                  <w:r>
                    <w:rPr>
                      <w:color w:val="auto"/>
                      <w:szCs w:val="21"/>
                    </w:rPr>
                    <w:t>—</w:t>
                  </w:r>
                </w:p>
              </w:tc>
              <w:tc>
                <w:tcPr>
                  <w:tcW w:w="795" w:type="dxa"/>
                  <w:vAlign w:val="center"/>
                </w:tcPr>
                <w:p w14:paraId="7FF15264">
                  <w:pPr>
                    <w:jc w:val="center"/>
                    <w:rPr>
                      <w:color w:val="auto"/>
                      <w:szCs w:val="21"/>
                    </w:rPr>
                  </w:pPr>
                  <w:r>
                    <w:rPr>
                      <w:color w:val="auto"/>
                      <w:szCs w:val="21"/>
                    </w:rPr>
                    <w:t>—</w:t>
                  </w:r>
                </w:p>
              </w:tc>
              <w:tc>
                <w:tcPr>
                  <w:tcW w:w="1080" w:type="dxa"/>
                  <w:vAlign w:val="center"/>
                </w:tcPr>
                <w:p w14:paraId="67F2C987">
                  <w:pPr>
                    <w:jc w:val="center"/>
                    <w:rPr>
                      <w:color w:val="auto"/>
                      <w:szCs w:val="21"/>
                    </w:rPr>
                  </w:pPr>
                  <w:r>
                    <w:rPr>
                      <w:rFonts w:hint="eastAsia"/>
                      <w:color w:val="auto"/>
                      <w:szCs w:val="21"/>
                    </w:rPr>
                    <w:t>0.019</w:t>
                  </w:r>
                </w:p>
              </w:tc>
            </w:tr>
          </w:tbl>
          <w:p w14:paraId="32804127">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7</w:t>
            </w:r>
            <w:r>
              <w:rPr>
                <w:b/>
                <w:color w:val="auto"/>
                <w:sz w:val="24"/>
              </w:rPr>
              <w:t xml:space="preserve"> </w:t>
            </w:r>
            <w:r>
              <w:rPr>
                <w:rFonts w:hint="eastAsia"/>
                <w:b/>
                <w:color w:val="auto"/>
                <w:sz w:val="24"/>
              </w:rPr>
              <w:t>本项目（纳古卫生院）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671"/>
              <w:gridCol w:w="1065"/>
              <w:gridCol w:w="689"/>
              <w:gridCol w:w="740"/>
              <w:gridCol w:w="689"/>
              <w:gridCol w:w="821"/>
              <w:gridCol w:w="1152"/>
              <w:gridCol w:w="1005"/>
              <w:gridCol w:w="935"/>
            </w:tblGrid>
            <w:tr w14:paraId="31F4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80" w:type="dxa"/>
                  <w:gridSpan w:val="2"/>
                  <w:vMerge w:val="restart"/>
                  <w:vAlign w:val="center"/>
                </w:tcPr>
                <w:p w14:paraId="7D504E41">
                  <w:pPr>
                    <w:jc w:val="center"/>
                    <w:rPr>
                      <w:b/>
                      <w:color w:val="auto"/>
                      <w:szCs w:val="21"/>
                    </w:rPr>
                  </w:pPr>
                  <w:r>
                    <w:rPr>
                      <w:b/>
                      <w:color w:val="auto"/>
                      <w:szCs w:val="21"/>
                    </w:rPr>
                    <w:t>指标</w:t>
                  </w:r>
                </w:p>
              </w:tc>
              <w:tc>
                <w:tcPr>
                  <w:tcW w:w="7096" w:type="dxa"/>
                  <w:gridSpan w:val="8"/>
                </w:tcPr>
                <w:p w14:paraId="0CD712B2">
                  <w:pPr>
                    <w:jc w:val="center"/>
                    <w:rPr>
                      <w:b/>
                      <w:color w:val="auto"/>
                      <w:szCs w:val="21"/>
                    </w:rPr>
                  </w:pPr>
                  <w:r>
                    <w:rPr>
                      <w:b/>
                      <w:color w:val="auto"/>
                      <w:szCs w:val="21"/>
                    </w:rPr>
                    <w:t>主要污染物名称</w:t>
                  </w:r>
                </w:p>
              </w:tc>
            </w:tr>
            <w:tr w14:paraId="0964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780" w:type="dxa"/>
                  <w:gridSpan w:val="2"/>
                  <w:vMerge w:val="continue"/>
                  <w:vAlign w:val="center"/>
                </w:tcPr>
                <w:p w14:paraId="1C23349D">
                  <w:pPr>
                    <w:jc w:val="center"/>
                    <w:rPr>
                      <w:color w:val="auto"/>
                      <w:szCs w:val="21"/>
                    </w:rPr>
                  </w:pPr>
                </w:p>
              </w:tc>
              <w:tc>
                <w:tcPr>
                  <w:tcW w:w="1065" w:type="dxa"/>
                  <w:vAlign w:val="center"/>
                </w:tcPr>
                <w:p w14:paraId="0DA633A5">
                  <w:pPr>
                    <w:jc w:val="center"/>
                    <w:rPr>
                      <w:b/>
                      <w:color w:val="auto"/>
                      <w:szCs w:val="21"/>
                    </w:rPr>
                  </w:pPr>
                  <w:r>
                    <w:rPr>
                      <w:rFonts w:hint="eastAsia"/>
                      <w:b/>
                      <w:color w:val="auto"/>
                      <w:szCs w:val="21"/>
                    </w:rPr>
                    <w:t>PH</w:t>
                  </w:r>
                </w:p>
              </w:tc>
              <w:tc>
                <w:tcPr>
                  <w:tcW w:w="689" w:type="dxa"/>
                  <w:vAlign w:val="center"/>
                </w:tcPr>
                <w:p w14:paraId="3C17F4CB">
                  <w:pPr>
                    <w:jc w:val="center"/>
                    <w:rPr>
                      <w:b/>
                      <w:color w:val="auto"/>
                      <w:szCs w:val="21"/>
                    </w:rPr>
                  </w:pPr>
                  <w:r>
                    <w:rPr>
                      <w:b/>
                      <w:color w:val="auto"/>
                      <w:szCs w:val="21"/>
                    </w:rPr>
                    <w:t>COD</w:t>
                  </w:r>
                </w:p>
              </w:tc>
              <w:tc>
                <w:tcPr>
                  <w:tcW w:w="740" w:type="dxa"/>
                  <w:vAlign w:val="center"/>
                </w:tcPr>
                <w:p w14:paraId="7E16DDE5">
                  <w:pPr>
                    <w:jc w:val="center"/>
                    <w:rPr>
                      <w:b/>
                      <w:color w:val="auto"/>
                      <w:szCs w:val="21"/>
                    </w:rPr>
                  </w:pPr>
                  <w:r>
                    <w:rPr>
                      <w:b/>
                      <w:color w:val="auto"/>
                      <w:szCs w:val="21"/>
                    </w:rPr>
                    <w:t>BOD</w:t>
                  </w:r>
                  <w:r>
                    <w:rPr>
                      <w:b/>
                      <w:color w:val="auto"/>
                      <w:szCs w:val="21"/>
                      <w:vertAlign w:val="subscript"/>
                    </w:rPr>
                    <w:t>5</w:t>
                  </w:r>
                </w:p>
              </w:tc>
              <w:tc>
                <w:tcPr>
                  <w:tcW w:w="689" w:type="dxa"/>
                  <w:vAlign w:val="center"/>
                </w:tcPr>
                <w:p w14:paraId="4E4B8557">
                  <w:pPr>
                    <w:jc w:val="center"/>
                    <w:rPr>
                      <w:b/>
                      <w:color w:val="auto"/>
                      <w:szCs w:val="21"/>
                    </w:rPr>
                  </w:pPr>
                  <w:r>
                    <w:rPr>
                      <w:b/>
                      <w:color w:val="auto"/>
                      <w:szCs w:val="21"/>
                    </w:rPr>
                    <w:t>SS</w:t>
                  </w:r>
                </w:p>
              </w:tc>
              <w:tc>
                <w:tcPr>
                  <w:tcW w:w="821" w:type="dxa"/>
                  <w:vAlign w:val="center"/>
                </w:tcPr>
                <w:p w14:paraId="42472ADB">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152" w:type="dxa"/>
                  <w:vAlign w:val="center"/>
                </w:tcPr>
                <w:p w14:paraId="3F43DBA4">
                  <w:pPr>
                    <w:jc w:val="center"/>
                    <w:rPr>
                      <w:b/>
                      <w:color w:val="auto"/>
                    </w:rPr>
                  </w:pPr>
                  <w:r>
                    <w:rPr>
                      <w:b/>
                      <w:color w:val="auto"/>
                    </w:rPr>
                    <w:t>粪大肠菌群数</w:t>
                  </w:r>
                  <w:r>
                    <w:rPr>
                      <w:rFonts w:hint="eastAsia"/>
                      <w:b/>
                      <w:color w:val="auto"/>
                    </w:rPr>
                    <w:t>（</w:t>
                  </w:r>
                  <w:r>
                    <w:rPr>
                      <w:b/>
                      <w:color w:val="auto"/>
                    </w:rPr>
                    <w:t>个/L)</w:t>
                  </w:r>
                </w:p>
              </w:tc>
              <w:tc>
                <w:tcPr>
                  <w:tcW w:w="1005" w:type="dxa"/>
                  <w:vAlign w:val="center"/>
                </w:tcPr>
                <w:p w14:paraId="294DF261">
                  <w:pPr>
                    <w:jc w:val="center"/>
                    <w:rPr>
                      <w:b/>
                      <w:color w:val="auto"/>
                    </w:rPr>
                  </w:pPr>
                  <w:r>
                    <w:rPr>
                      <w:b/>
                      <w:color w:val="auto"/>
                    </w:rPr>
                    <w:t>总余氯</w:t>
                  </w:r>
                </w:p>
              </w:tc>
              <w:tc>
                <w:tcPr>
                  <w:tcW w:w="935" w:type="dxa"/>
                  <w:vAlign w:val="center"/>
                </w:tcPr>
                <w:p w14:paraId="2E5837E0">
                  <w:pPr>
                    <w:jc w:val="center"/>
                    <w:rPr>
                      <w:b/>
                      <w:color w:val="auto"/>
                    </w:rPr>
                  </w:pPr>
                  <w:r>
                    <w:rPr>
                      <w:b/>
                      <w:bCs/>
                      <w:color w:val="auto"/>
                      <w:szCs w:val="21"/>
                    </w:rPr>
                    <w:t>总磷</w:t>
                  </w:r>
                </w:p>
              </w:tc>
            </w:tr>
            <w:tr w14:paraId="00C9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109" w:type="dxa"/>
                  <w:vMerge w:val="restart"/>
                  <w:vAlign w:val="center"/>
                </w:tcPr>
                <w:p w14:paraId="6825C684">
                  <w:pPr>
                    <w:jc w:val="center"/>
                    <w:rPr>
                      <w:color w:val="auto"/>
                      <w:szCs w:val="21"/>
                    </w:rPr>
                  </w:pPr>
                  <w:r>
                    <w:rPr>
                      <w:rFonts w:hint="eastAsia"/>
                      <w:color w:val="auto"/>
                      <w:szCs w:val="21"/>
                    </w:rPr>
                    <w:t>本项目纳古卫生院废水</w:t>
                  </w:r>
                  <w:r>
                    <w:rPr>
                      <w:color w:val="auto"/>
                      <w:szCs w:val="21"/>
                    </w:rPr>
                    <w:t>产生量</w:t>
                  </w:r>
                </w:p>
                <w:p w14:paraId="0C3DB39D">
                  <w:pPr>
                    <w:jc w:val="center"/>
                    <w:rPr>
                      <w:color w:val="auto"/>
                      <w:szCs w:val="21"/>
                    </w:rPr>
                  </w:pPr>
                  <w:r>
                    <w:rPr>
                      <w:rFonts w:hint="eastAsia"/>
                      <w:color w:val="auto"/>
                      <w:szCs w:val="21"/>
                    </w:rPr>
                    <w:t>2557.56</w:t>
                  </w:r>
                  <w:r>
                    <w:rPr>
                      <w:color w:val="auto"/>
                      <w:szCs w:val="21"/>
                    </w:rPr>
                    <w:t>t/a</w:t>
                  </w:r>
                </w:p>
              </w:tc>
              <w:tc>
                <w:tcPr>
                  <w:tcW w:w="671" w:type="dxa"/>
                  <w:vAlign w:val="center"/>
                </w:tcPr>
                <w:p w14:paraId="3620329A">
                  <w:pPr>
                    <w:jc w:val="center"/>
                    <w:rPr>
                      <w:color w:val="auto"/>
                      <w:szCs w:val="21"/>
                    </w:rPr>
                  </w:pPr>
                  <w:r>
                    <w:rPr>
                      <w:color w:val="auto"/>
                      <w:szCs w:val="21"/>
                    </w:rPr>
                    <w:t>产生浓度mg/L</w:t>
                  </w:r>
                </w:p>
              </w:tc>
              <w:tc>
                <w:tcPr>
                  <w:tcW w:w="1065" w:type="dxa"/>
                  <w:vAlign w:val="center"/>
                </w:tcPr>
                <w:p w14:paraId="0C420A00">
                  <w:pPr>
                    <w:jc w:val="center"/>
                    <w:rPr>
                      <w:color w:val="auto"/>
                      <w:szCs w:val="21"/>
                    </w:rPr>
                  </w:pPr>
                  <w:r>
                    <w:rPr>
                      <w:color w:val="auto"/>
                      <w:szCs w:val="21"/>
                    </w:rPr>
                    <w:t>7~8</w:t>
                  </w:r>
                </w:p>
              </w:tc>
              <w:tc>
                <w:tcPr>
                  <w:tcW w:w="689" w:type="dxa"/>
                  <w:vAlign w:val="center"/>
                </w:tcPr>
                <w:p w14:paraId="5C86637C">
                  <w:pPr>
                    <w:jc w:val="center"/>
                    <w:rPr>
                      <w:color w:val="auto"/>
                      <w:szCs w:val="21"/>
                    </w:rPr>
                  </w:pPr>
                  <w:r>
                    <w:rPr>
                      <w:color w:val="auto"/>
                      <w:szCs w:val="21"/>
                    </w:rPr>
                    <w:t>300</w:t>
                  </w:r>
                </w:p>
              </w:tc>
              <w:tc>
                <w:tcPr>
                  <w:tcW w:w="740" w:type="dxa"/>
                  <w:vAlign w:val="center"/>
                </w:tcPr>
                <w:p w14:paraId="2AA382CF">
                  <w:pPr>
                    <w:jc w:val="center"/>
                    <w:rPr>
                      <w:color w:val="auto"/>
                      <w:szCs w:val="21"/>
                    </w:rPr>
                  </w:pPr>
                  <w:r>
                    <w:rPr>
                      <w:color w:val="auto"/>
                      <w:szCs w:val="21"/>
                    </w:rPr>
                    <w:t>150</w:t>
                  </w:r>
                </w:p>
              </w:tc>
              <w:tc>
                <w:tcPr>
                  <w:tcW w:w="689" w:type="dxa"/>
                  <w:vAlign w:val="center"/>
                </w:tcPr>
                <w:p w14:paraId="5DDE1537">
                  <w:pPr>
                    <w:jc w:val="center"/>
                    <w:rPr>
                      <w:color w:val="auto"/>
                      <w:szCs w:val="21"/>
                    </w:rPr>
                  </w:pPr>
                  <w:r>
                    <w:rPr>
                      <w:color w:val="auto"/>
                      <w:szCs w:val="21"/>
                    </w:rPr>
                    <w:t>120</w:t>
                  </w:r>
                </w:p>
              </w:tc>
              <w:tc>
                <w:tcPr>
                  <w:tcW w:w="821" w:type="dxa"/>
                  <w:vAlign w:val="center"/>
                </w:tcPr>
                <w:p w14:paraId="2BE0CCE7">
                  <w:pPr>
                    <w:jc w:val="center"/>
                    <w:rPr>
                      <w:color w:val="auto"/>
                      <w:szCs w:val="21"/>
                    </w:rPr>
                  </w:pPr>
                  <w:r>
                    <w:rPr>
                      <w:color w:val="auto"/>
                      <w:szCs w:val="21"/>
                    </w:rPr>
                    <w:t>40</w:t>
                  </w:r>
                </w:p>
              </w:tc>
              <w:tc>
                <w:tcPr>
                  <w:tcW w:w="1152" w:type="dxa"/>
                  <w:vAlign w:val="center"/>
                </w:tcPr>
                <w:p w14:paraId="6A217F4D">
                  <w:pPr>
                    <w:jc w:val="center"/>
                    <w:rPr>
                      <w:color w:val="auto"/>
                      <w:szCs w:val="21"/>
                    </w:rPr>
                  </w:pPr>
                  <w:r>
                    <w:rPr>
                      <w:color w:val="auto"/>
                      <w:szCs w:val="21"/>
                    </w:rPr>
                    <w:t>3.0×10</w:t>
                  </w:r>
                  <w:r>
                    <w:rPr>
                      <w:color w:val="auto"/>
                      <w:szCs w:val="21"/>
                      <w:vertAlign w:val="superscript"/>
                    </w:rPr>
                    <w:t>8</w:t>
                  </w:r>
                </w:p>
              </w:tc>
              <w:tc>
                <w:tcPr>
                  <w:tcW w:w="1005" w:type="dxa"/>
                  <w:vAlign w:val="center"/>
                </w:tcPr>
                <w:p w14:paraId="221D8E75">
                  <w:pPr>
                    <w:jc w:val="center"/>
                    <w:rPr>
                      <w:color w:val="auto"/>
                      <w:szCs w:val="21"/>
                    </w:rPr>
                  </w:pPr>
                  <w:r>
                    <w:rPr>
                      <w:color w:val="auto"/>
                      <w:szCs w:val="21"/>
                    </w:rPr>
                    <w:t>—</w:t>
                  </w:r>
                </w:p>
              </w:tc>
              <w:tc>
                <w:tcPr>
                  <w:tcW w:w="935" w:type="dxa"/>
                  <w:vAlign w:val="center"/>
                </w:tcPr>
                <w:p w14:paraId="62EEDE0B">
                  <w:pPr>
                    <w:jc w:val="center"/>
                    <w:rPr>
                      <w:color w:val="auto"/>
                      <w:szCs w:val="21"/>
                    </w:rPr>
                  </w:pPr>
                  <w:r>
                    <w:rPr>
                      <w:rFonts w:hint="eastAsia"/>
                      <w:color w:val="auto"/>
                      <w:szCs w:val="21"/>
                    </w:rPr>
                    <w:t>12.8</w:t>
                  </w:r>
                </w:p>
              </w:tc>
            </w:tr>
            <w:tr w14:paraId="6829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3FEB5258">
                  <w:pPr>
                    <w:jc w:val="center"/>
                    <w:rPr>
                      <w:color w:val="auto"/>
                      <w:szCs w:val="21"/>
                    </w:rPr>
                  </w:pPr>
                </w:p>
              </w:tc>
              <w:tc>
                <w:tcPr>
                  <w:tcW w:w="671" w:type="dxa"/>
                  <w:vAlign w:val="center"/>
                </w:tcPr>
                <w:p w14:paraId="41C2DE26">
                  <w:pPr>
                    <w:jc w:val="center"/>
                    <w:rPr>
                      <w:color w:val="auto"/>
                      <w:szCs w:val="21"/>
                    </w:rPr>
                  </w:pPr>
                  <w:r>
                    <w:rPr>
                      <w:color w:val="auto"/>
                      <w:szCs w:val="21"/>
                    </w:rPr>
                    <w:t>产生量t/a</w:t>
                  </w:r>
                </w:p>
              </w:tc>
              <w:tc>
                <w:tcPr>
                  <w:tcW w:w="1065" w:type="dxa"/>
                  <w:vAlign w:val="center"/>
                </w:tcPr>
                <w:p w14:paraId="6BD1377C">
                  <w:pPr>
                    <w:jc w:val="center"/>
                    <w:rPr>
                      <w:color w:val="auto"/>
                      <w:szCs w:val="21"/>
                    </w:rPr>
                  </w:pPr>
                  <w:r>
                    <w:rPr>
                      <w:color w:val="auto"/>
                      <w:szCs w:val="21"/>
                    </w:rPr>
                    <w:t>—</w:t>
                  </w:r>
                </w:p>
              </w:tc>
              <w:tc>
                <w:tcPr>
                  <w:tcW w:w="689" w:type="dxa"/>
                  <w:vAlign w:val="center"/>
                </w:tcPr>
                <w:p w14:paraId="544A8E86">
                  <w:pPr>
                    <w:jc w:val="center"/>
                    <w:rPr>
                      <w:color w:val="auto"/>
                      <w:szCs w:val="21"/>
                    </w:rPr>
                  </w:pPr>
                  <w:r>
                    <w:rPr>
                      <w:rFonts w:hint="eastAsia"/>
                      <w:color w:val="auto"/>
                      <w:szCs w:val="21"/>
                    </w:rPr>
                    <w:t>0.784</w:t>
                  </w:r>
                </w:p>
              </w:tc>
              <w:tc>
                <w:tcPr>
                  <w:tcW w:w="740" w:type="dxa"/>
                  <w:vAlign w:val="center"/>
                </w:tcPr>
                <w:p w14:paraId="4B4A9BE5">
                  <w:pPr>
                    <w:jc w:val="center"/>
                    <w:rPr>
                      <w:color w:val="auto"/>
                      <w:szCs w:val="21"/>
                    </w:rPr>
                  </w:pPr>
                  <w:r>
                    <w:rPr>
                      <w:rFonts w:hint="eastAsia"/>
                      <w:color w:val="auto"/>
                      <w:szCs w:val="21"/>
                    </w:rPr>
                    <w:t>0.392</w:t>
                  </w:r>
                </w:p>
              </w:tc>
              <w:tc>
                <w:tcPr>
                  <w:tcW w:w="689" w:type="dxa"/>
                  <w:vAlign w:val="center"/>
                </w:tcPr>
                <w:p w14:paraId="084B8BA4">
                  <w:pPr>
                    <w:jc w:val="center"/>
                    <w:rPr>
                      <w:color w:val="auto"/>
                      <w:szCs w:val="21"/>
                    </w:rPr>
                  </w:pPr>
                  <w:r>
                    <w:rPr>
                      <w:rFonts w:hint="eastAsia"/>
                      <w:color w:val="auto"/>
                      <w:szCs w:val="21"/>
                    </w:rPr>
                    <w:t>0.313</w:t>
                  </w:r>
                </w:p>
              </w:tc>
              <w:tc>
                <w:tcPr>
                  <w:tcW w:w="821" w:type="dxa"/>
                  <w:vAlign w:val="center"/>
                </w:tcPr>
                <w:p w14:paraId="5538D82F">
                  <w:pPr>
                    <w:jc w:val="center"/>
                    <w:rPr>
                      <w:color w:val="auto"/>
                      <w:szCs w:val="21"/>
                    </w:rPr>
                  </w:pPr>
                  <w:r>
                    <w:rPr>
                      <w:rFonts w:hint="eastAsia"/>
                      <w:color w:val="auto"/>
                      <w:szCs w:val="21"/>
                    </w:rPr>
                    <w:t>0.105</w:t>
                  </w:r>
                </w:p>
              </w:tc>
              <w:tc>
                <w:tcPr>
                  <w:tcW w:w="1152" w:type="dxa"/>
                  <w:vAlign w:val="center"/>
                </w:tcPr>
                <w:p w14:paraId="00CA7977">
                  <w:pPr>
                    <w:jc w:val="center"/>
                    <w:rPr>
                      <w:color w:val="auto"/>
                      <w:szCs w:val="21"/>
                    </w:rPr>
                  </w:pPr>
                  <w:r>
                    <w:rPr>
                      <w:color w:val="auto"/>
                      <w:szCs w:val="21"/>
                    </w:rPr>
                    <w:t>—</w:t>
                  </w:r>
                </w:p>
              </w:tc>
              <w:tc>
                <w:tcPr>
                  <w:tcW w:w="1005" w:type="dxa"/>
                  <w:vAlign w:val="center"/>
                </w:tcPr>
                <w:p w14:paraId="72A27D67">
                  <w:pPr>
                    <w:jc w:val="center"/>
                    <w:rPr>
                      <w:color w:val="auto"/>
                      <w:szCs w:val="21"/>
                    </w:rPr>
                  </w:pPr>
                  <w:r>
                    <w:rPr>
                      <w:color w:val="auto"/>
                      <w:szCs w:val="21"/>
                    </w:rPr>
                    <w:t>—</w:t>
                  </w:r>
                </w:p>
              </w:tc>
              <w:tc>
                <w:tcPr>
                  <w:tcW w:w="935" w:type="dxa"/>
                  <w:vAlign w:val="center"/>
                </w:tcPr>
                <w:p w14:paraId="5EB1DAF1">
                  <w:pPr>
                    <w:jc w:val="center"/>
                    <w:rPr>
                      <w:color w:val="auto"/>
                      <w:szCs w:val="21"/>
                    </w:rPr>
                  </w:pPr>
                  <w:r>
                    <w:rPr>
                      <w:rFonts w:hint="eastAsia"/>
                      <w:color w:val="auto"/>
                      <w:szCs w:val="21"/>
                    </w:rPr>
                    <w:t>0.033</w:t>
                  </w:r>
                </w:p>
              </w:tc>
            </w:tr>
            <w:tr w14:paraId="44A0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12478369">
                  <w:pPr>
                    <w:jc w:val="center"/>
                    <w:rPr>
                      <w:color w:val="auto"/>
                      <w:szCs w:val="21"/>
                    </w:rPr>
                  </w:pPr>
                  <w:r>
                    <w:rPr>
                      <w:color w:val="auto"/>
                      <w:szCs w:val="21"/>
                    </w:rPr>
                    <w:t>化粪池</w:t>
                  </w:r>
                </w:p>
                <w:p w14:paraId="5C891827">
                  <w:pPr>
                    <w:jc w:val="center"/>
                    <w:rPr>
                      <w:color w:val="auto"/>
                      <w:szCs w:val="21"/>
                    </w:rPr>
                  </w:pPr>
                  <w:r>
                    <w:rPr>
                      <w:color w:val="auto"/>
                      <w:szCs w:val="21"/>
                    </w:rPr>
                    <w:t>出水</w:t>
                  </w:r>
                  <w:r>
                    <w:rPr>
                      <w:rFonts w:hint="eastAsia"/>
                      <w:color w:val="auto"/>
                      <w:szCs w:val="21"/>
                    </w:rPr>
                    <w:t>2557.56</w:t>
                  </w:r>
                  <w:r>
                    <w:rPr>
                      <w:color w:val="auto"/>
                      <w:szCs w:val="21"/>
                    </w:rPr>
                    <w:t>t/a</w:t>
                  </w:r>
                </w:p>
              </w:tc>
              <w:tc>
                <w:tcPr>
                  <w:tcW w:w="671" w:type="dxa"/>
                  <w:vAlign w:val="center"/>
                </w:tcPr>
                <w:p w14:paraId="1270752D">
                  <w:pPr>
                    <w:jc w:val="center"/>
                    <w:rPr>
                      <w:color w:val="auto"/>
                      <w:szCs w:val="21"/>
                    </w:rPr>
                  </w:pPr>
                  <w:r>
                    <w:rPr>
                      <w:color w:val="auto"/>
                      <w:szCs w:val="21"/>
                    </w:rPr>
                    <w:t>出水浓度mg/L</w:t>
                  </w:r>
                </w:p>
              </w:tc>
              <w:tc>
                <w:tcPr>
                  <w:tcW w:w="1065" w:type="dxa"/>
                  <w:vAlign w:val="center"/>
                </w:tcPr>
                <w:p w14:paraId="7F4BED20">
                  <w:pPr>
                    <w:jc w:val="center"/>
                    <w:rPr>
                      <w:color w:val="auto"/>
                      <w:szCs w:val="21"/>
                    </w:rPr>
                  </w:pPr>
                  <w:r>
                    <w:rPr>
                      <w:rFonts w:hint="eastAsia"/>
                      <w:color w:val="auto"/>
                      <w:szCs w:val="21"/>
                    </w:rPr>
                    <w:t>7</w:t>
                  </w:r>
                </w:p>
              </w:tc>
              <w:tc>
                <w:tcPr>
                  <w:tcW w:w="689" w:type="dxa"/>
                  <w:vAlign w:val="center"/>
                </w:tcPr>
                <w:p w14:paraId="1ED4E428">
                  <w:pPr>
                    <w:jc w:val="center"/>
                    <w:rPr>
                      <w:color w:val="auto"/>
                      <w:szCs w:val="21"/>
                    </w:rPr>
                  </w:pPr>
                  <w:r>
                    <w:rPr>
                      <w:color w:val="auto"/>
                      <w:szCs w:val="21"/>
                    </w:rPr>
                    <w:t>240</w:t>
                  </w:r>
                </w:p>
              </w:tc>
              <w:tc>
                <w:tcPr>
                  <w:tcW w:w="740" w:type="dxa"/>
                  <w:vAlign w:val="center"/>
                </w:tcPr>
                <w:p w14:paraId="68418C00">
                  <w:pPr>
                    <w:jc w:val="center"/>
                    <w:rPr>
                      <w:color w:val="auto"/>
                      <w:szCs w:val="21"/>
                    </w:rPr>
                  </w:pPr>
                  <w:r>
                    <w:rPr>
                      <w:rFonts w:hint="eastAsia"/>
                      <w:color w:val="auto"/>
                      <w:szCs w:val="21"/>
                    </w:rPr>
                    <w:t>143</w:t>
                  </w:r>
                </w:p>
              </w:tc>
              <w:tc>
                <w:tcPr>
                  <w:tcW w:w="689" w:type="dxa"/>
                  <w:vAlign w:val="center"/>
                </w:tcPr>
                <w:p w14:paraId="35A4C20E">
                  <w:pPr>
                    <w:jc w:val="center"/>
                    <w:rPr>
                      <w:color w:val="auto"/>
                      <w:szCs w:val="21"/>
                    </w:rPr>
                  </w:pPr>
                  <w:r>
                    <w:rPr>
                      <w:color w:val="auto"/>
                      <w:szCs w:val="21"/>
                    </w:rPr>
                    <w:t>80</w:t>
                  </w:r>
                </w:p>
              </w:tc>
              <w:tc>
                <w:tcPr>
                  <w:tcW w:w="821" w:type="dxa"/>
                  <w:vAlign w:val="center"/>
                </w:tcPr>
                <w:p w14:paraId="0CB555B3">
                  <w:pPr>
                    <w:jc w:val="center"/>
                    <w:rPr>
                      <w:color w:val="auto"/>
                      <w:szCs w:val="21"/>
                    </w:rPr>
                  </w:pPr>
                  <w:r>
                    <w:rPr>
                      <w:color w:val="auto"/>
                      <w:szCs w:val="21"/>
                    </w:rPr>
                    <w:t>32</w:t>
                  </w:r>
                </w:p>
              </w:tc>
              <w:tc>
                <w:tcPr>
                  <w:tcW w:w="1152" w:type="dxa"/>
                  <w:vAlign w:val="center"/>
                </w:tcPr>
                <w:p w14:paraId="23A579DD">
                  <w:pPr>
                    <w:jc w:val="center"/>
                    <w:rPr>
                      <w:color w:val="auto"/>
                      <w:szCs w:val="21"/>
                    </w:rPr>
                  </w:pPr>
                  <w:r>
                    <w:rPr>
                      <w:color w:val="auto"/>
                      <w:szCs w:val="21"/>
                    </w:rPr>
                    <w:t>3.0×10</w:t>
                  </w:r>
                  <w:r>
                    <w:rPr>
                      <w:color w:val="auto"/>
                      <w:szCs w:val="21"/>
                      <w:vertAlign w:val="superscript"/>
                    </w:rPr>
                    <w:t>8</w:t>
                  </w:r>
                </w:p>
              </w:tc>
              <w:tc>
                <w:tcPr>
                  <w:tcW w:w="1005" w:type="dxa"/>
                  <w:vAlign w:val="center"/>
                </w:tcPr>
                <w:p w14:paraId="1E40D1DA">
                  <w:pPr>
                    <w:jc w:val="center"/>
                    <w:rPr>
                      <w:color w:val="auto"/>
                      <w:szCs w:val="21"/>
                    </w:rPr>
                  </w:pPr>
                  <w:r>
                    <w:rPr>
                      <w:color w:val="auto"/>
                      <w:szCs w:val="21"/>
                    </w:rPr>
                    <w:t>—</w:t>
                  </w:r>
                </w:p>
              </w:tc>
              <w:tc>
                <w:tcPr>
                  <w:tcW w:w="935" w:type="dxa"/>
                  <w:vAlign w:val="center"/>
                </w:tcPr>
                <w:p w14:paraId="37BF655F">
                  <w:pPr>
                    <w:jc w:val="center"/>
                    <w:rPr>
                      <w:color w:val="auto"/>
                      <w:szCs w:val="21"/>
                    </w:rPr>
                  </w:pPr>
                  <w:r>
                    <w:rPr>
                      <w:rFonts w:hint="eastAsia"/>
                      <w:color w:val="auto"/>
                      <w:szCs w:val="21"/>
                    </w:rPr>
                    <w:t>10.4</w:t>
                  </w:r>
                </w:p>
              </w:tc>
            </w:tr>
            <w:tr w14:paraId="7571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6790D36B">
                  <w:pPr>
                    <w:jc w:val="center"/>
                    <w:rPr>
                      <w:color w:val="auto"/>
                      <w:szCs w:val="21"/>
                    </w:rPr>
                  </w:pPr>
                </w:p>
              </w:tc>
              <w:tc>
                <w:tcPr>
                  <w:tcW w:w="671" w:type="dxa"/>
                  <w:vAlign w:val="center"/>
                </w:tcPr>
                <w:p w14:paraId="3A0B8B82">
                  <w:pPr>
                    <w:jc w:val="center"/>
                    <w:rPr>
                      <w:color w:val="auto"/>
                      <w:szCs w:val="21"/>
                    </w:rPr>
                  </w:pPr>
                  <w:r>
                    <w:rPr>
                      <w:color w:val="auto"/>
                      <w:szCs w:val="21"/>
                    </w:rPr>
                    <w:t>产生量t/a</w:t>
                  </w:r>
                </w:p>
              </w:tc>
              <w:tc>
                <w:tcPr>
                  <w:tcW w:w="1065" w:type="dxa"/>
                  <w:vAlign w:val="center"/>
                </w:tcPr>
                <w:p w14:paraId="67F3D9AF">
                  <w:pPr>
                    <w:jc w:val="center"/>
                    <w:rPr>
                      <w:color w:val="auto"/>
                      <w:szCs w:val="21"/>
                    </w:rPr>
                  </w:pPr>
                  <w:r>
                    <w:rPr>
                      <w:color w:val="auto"/>
                      <w:szCs w:val="21"/>
                    </w:rPr>
                    <w:t>—</w:t>
                  </w:r>
                </w:p>
              </w:tc>
              <w:tc>
                <w:tcPr>
                  <w:tcW w:w="689" w:type="dxa"/>
                  <w:vAlign w:val="center"/>
                </w:tcPr>
                <w:p w14:paraId="10F2F827">
                  <w:pPr>
                    <w:jc w:val="center"/>
                    <w:rPr>
                      <w:color w:val="auto"/>
                      <w:szCs w:val="21"/>
                    </w:rPr>
                  </w:pPr>
                  <w:r>
                    <w:rPr>
                      <w:rFonts w:hint="eastAsia"/>
                      <w:color w:val="auto"/>
                      <w:szCs w:val="21"/>
                    </w:rPr>
                    <w:t>0.627</w:t>
                  </w:r>
                </w:p>
              </w:tc>
              <w:tc>
                <w:tcPr>
                  <w:tcW w:w="740" w:type="dxa"/>
                  <w:vAlign w:val="center"/>
                </w:tcPr>
                <w:p w14:paraId="5426A105">
                  <w:pPr>
                    <w:jc w:val="center"/>
                    <w:rPr>
                      <w:color w:val="auto"/>
                      <w:szCs w:val="21"/>
                    </w:rPr>
                  </w:pPr>
                  <w:r>
                    <w:rPr>
                      <w:rFonts w:hint="eastAsia"/>
                      <w:color w:val="auto"/>
                      <w:szCs w:val="21"/>
                    </w:rPr>
                    <w:t>0.365</w:t>
                  </w:r>
                </w:p>
              </w:tc>
              <w:tc>
                <w:tcPr>
                  <w:tcW w:w="689" w:type="dxa"/>
                  <w:vAlign w:val="center"/>
                </w:tcPr>
                <w:p w14:paraId="68FC2723">
                  <w:pPr>
                    <w:jc w:val="center"/>
                    <w:rPr>
                      <w:color w:val="auto"/>
                      <w:szCs w:val="21"/>
                    </w:rPr>
                  </w:pPr>
                  <w:r>
                    <w:rPr>
                      <w:rFonts w:hint="eastAsia"/>
                      <w:color w:val="auto"/>
                      <w:szCs w:val="21"/>
                    </w:rPr>
                    <w:t>0.209</w:t>
                  </w:r>
                </w:p>
              </w:tc>
              <w:tc>
                <w:tcPr>
                  <w:tcW w:w="821" w:type="dxa"/>
                  <w:vAlign w:val="center"/>
                </w:tcPr>
                <w:p w14:paraId="2C766041">
                  <w:pPr>
                    <w:jc w:val="center"/>
                    <w:rPr>
                      <w:color w:val="auto"/>
                      <w:szCs w:val="21"/>
                    </w:rPr>
                  </w:pPr>
                  <w:r>
                    <w:rPr>
                      <w:rFonts w:hint="eastAsia"/>
                      <w:color w:val="auto"/>
                      <w:szCs w:val="21"/>
                    </w:rPr>
                    <w:t>0.084</w:t>
                  </w:r>
                </w:p>
              </w:tc>
              <w:tc>
                <w:tcPr>
                  <w:tcW w:w="1152" w:type="dxa"/>
                  <w:vAlign w:val="center"/>
                </w:tcPr>
                <w:p w14:paraId="54575EBA">
                  <w:pPr>
                    <w:jc w:val="center"/>
                    <w:rPr>
                      <w:color w:val="auto"/>
                      <w:szCs w:val="21"/>
                    </w:rPr>
                  </w:pPr>
                  <w:r>
                    <w:rPr>
                      <w:color w:val="auto"/>
                      <w:szCs w:val="21"/>
                    </w:rPr>
                    <w:t>—</w:t>
                  </w:r>
                </w:p>
              </w:tc>
              <w:tc>
                <w:tcPr>
                  <w:tcW w:w="1005" w:type="dxa"/>
                  <w:vAlign w:val="center"/>
                </w:tcPr>
                <w:p w14:paraId="36D9D97E">
                  <w:pPr>
                    <w:jc w:val="center"/>
                    <w:rPr>
                      <w:color w:val="auto"/>
                      <w:szCs w:val="21"/>
                    </w:rPr>
                  </w:pPr>
                  <w:r>
                    <w:rPr>
                      <w:color w:val="auto"/>
                      <w:szCs w:val="21"/>
                    </w:rPr>
                    <w:t>—</w:t>
                  </w:r>
                </w:p>
              </w:tc>
              <w:tc>
                <w:tcPr>
                  <w:tcW w:w="935" w:type="dxa"/>
                  <w:vAlign w:val="center"/>
                </w:tcPr>
                <w:p w14:paraId="5E797B08">
                  <w:pPr>
                    <w:jc w:val="center"/>
                    <w:rPr>
                      <w:color w:val="auto"/>
                      <w:szCs w:val="21"/>
                    </w:rPr>
                  </w:pPr>
                  <w:r>
                    <w:rPr>
                      <w:rFonts w:hint="eastAsia"/>
                      <w:color w:val="auto"/>
                      <w:szCs w:val="21"/>
                    </w:rPr>
                    <w:t>0.026</w:t>
                  </w:r>
                </w:p>
              </w:tc>
            </w:tr>
            <w:tr w14:paraId="43B9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29F6E0A2">
                  <w:pPr>
                    <w:jc w:val="center"/>
                    <w:rPr>
                      <w:color w:val="auto"/>
                      <w:szCs w:val="21"/>
                    </w:rPr>
                  </w:pPr>
                </w:p>
              </w:tc>
              <w:tc>
                <w:tcPr>
                  <w:tcW w:w="671" w:type="dxa"/>
                  <w:vAlign w:val="center"/>
                </w:tcPr>
                <w:p w14:paraId="7F147C57">
                  <w:pPr>
                    <w:jc w:val="center"/>
                    <w:rPr>
                      <w:color w:val="auto"/>
                      <w:szCs w:val="21"/>
                    </w:rPr>
                  </w:pPr>
                  <w:r>
                    <w:rPr>
                      <w:color w:val="auto"/>
                      <w:szCs w:val="21"/>
                    </w:rPr>
                    <w:t>削减量t/a</w:t>
                  </w:r>
                </w:p>
              </w:tc>
              <w:tc>
                <w:tcPr>
                  <w:tcW w:w="1065" w:type="dxa"/>
                  <w:vAlign w:val="center"/>
                </w:tcPr>
                <w:p w14:paraId="4FF31F79">
                  <w:pPr>
                    <w:jc w:val="center"/>
                    <w:rPr>
                      <w:color w:val="auto"/>
                      <w:szCs w:val="21"/>
                    </w:rPr>
                  </w:pPr>
                  <w:r>
                    <w:rPr>
                      <w:color w:val="auto"/>
                      <w:szCs w:val="21"/>
                    </w:rPr>
                    <w:t>—</w:t>
                  </w:r>
                </w:p>
              </w:tc>
              <w:tc>
                <w:tcPr>
                  <w:tcW w:w="689" w:type="dxa"/>
                  <w:vAlign w:val="center"/>
                </w:tcPr>
                <w:p w14:paraId="3D0B4730">
                  <w:pPr>
                    <w:jc w:val="center"/>
                    <w:rPr>
                      <w:color w:val="auto"/>
                      <w:szCs w:val="21"/>
                    </w:rPr>
                  </w:pPr>
                  <w:r>
                    <w:rPr>
                      <w:rFonts w:hint="eastAsia"/>
                      <w:color w:val="auto"/>
                      <w:szCs w:val="21"/>
                    </w:rPr>
                    <w:t>0.156</w:t>
                  </w:r>
                </w:p>
              </w:tc>
              <w:tc>
                <w:tcPr>
                  <w:tcW w:w="740" w:type="dxa"/>
                  <w:vAlign w:val="center"/>
                </w:tcPr>
                <w:p w14:paraId="74B6DB4B">
                  <w:pPr>
                    <w:jc w:val="center"/>
                    <w:rPr>
                      <w:color w:val="auto"/>
                      <w:szCs w:val="21"/>
                    </w:rPr>
                  </w:pPr>
                  <w:r>
                    <w:rPr>
                      <w:rFonts w:hint="eastAsia"/>
                      <w:color w:val="auto"/>
                      <w:szCs w:val="21"/>
                    </w:rPr>
                    <w:t>0.027</w:t>
                  </w:r>
                </w:p>
              </w:tc>
              <w:tc>
                <w:tcPr>
                  <w:tcW w:w="689" w:type="dxa"/>
                  <w:vAlign w:val="center"/>
                </w:tcPr>
                <w:p w14:paraId="2607CACD">
                  <w:pPr>
                    <w:jc w:val="center"/>
                    <w:rPr>
                      <w:color w:val="auto"/>
                      <w:szCs w:val="21"/>
                    </w:rPr>
                  </w:pPr>
                  <w:r>
                    <w:rPr>
                      <w:rFonts w:hint="eastAsia"/>
                      <w:color w:val="auto"/>
                      <w:szCs w:val="21"/>
                    </w:rPr>
                    <w:t>0.105</w:t>
                  </w:r>
                </w:p>
              </w:tc>
              <w:tc>
                <w:tcPr>
                  <w:tcW w:w="821" w:type="dxa"/>
                  <w:vAlign w:val="center"/>
                </w:tcPr>
                <w:p w14:paraId="13FBEC5F">
                  <w:pPr>
                    <w:jc w:val="center"/>
                    <w:rPr>
                      <w:color w:val="auto"/>
                      <w:szCs w:val="21"/>
                    </w:rPr>
                  </w:pPr>
                  <w:r>
                    <w:rPr>
                      <w:rFonts w:hint="eastAsia"/>
                      <w:color w:val="auto"/>
                      <w:szCs w:val="21"/>
                    </w:rPr>
                    <w:t>0.021</w:t>
                  </w:r>
                </w:p>
              </w:tc>
              <w:tc>
                <w:tcPr>
                  <w:tcW w:w="1152" w:type="dxa"/>
                  <w:vAlign w:val="center"/>
                </w:tcPr>
                <w:p w14:paraId="42A7C071">
                  <w:pPr>
                    <w:jc w:val="center"/>
                    <w:rPr>
                      <w:color w:val="auto"/>
                      <w:szCs w:val="21"/>
                    </w:rPr>
                  </w:pPr>
                  <w:r>
                    <w:rPr>
                      <w:color w:val="auto"/>
                      <w:szCs w:val="21"/>
                    </w:rPr>
                    <w:t>—</w:t>
                  </w:r>
                </w:p>
              </w:tc>
              <w:tc>
                <w:tcPr>
                  <w:tcW w:w="1005" w:type="dxa"/>
                  <w:vAlign w:val="center"/>
                </w:tcPr>
                <w:p w14:paraId="388E9747">
                  <w:pPr>
                    <w:jc w:val="center"/>
                    <w:rPr>
                      <w:color w:val="auto"/>
                      <w:szCs w:val="21"/>
                    </w:rPr>
                  </w:pPr>
                  <w:r>
                    <w:rPr>
                      <w:color w:val="auto"/>
                      <w:szCs w:val="21"/>
                    </w:rPr>
                    <w:t>—</w:t>
                  </w:r>
                </w:p>
              </w:tc>
              <w:tc>
                <w:tcPr>
                  <w:tcW w:w="935" w:type="dxa"/>
                  <w:vAlign w:val="center"/>
                </w:tcPr>
                <w:p w14:paraId="514E4BAB">
                  <w:pPr>
                    <w:jc w:val="center"/>
                    <w:rPr>
                      <w:color w:val="auto"/>
                      <w:szCs w:val="21"/>
                    </w:rPr>
                  </w:pPr>
                  <w:r>
                    <w:rPr>
                      <w:rFonts w:hint="eastAsia"/>
                      <w:color w:val="auto"/>
                      <w:szCs w:val="21"/>
                    </w:rPr>
                    <w:t>0.007</w:t>
                  </w:r>
                </w:p>
              </w:tc>
            </w:tr>
            <w:tr w14:paraId="0E85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49102EFC">
                  <w:pPr>
                    <w:jc w:val="center"/>
                    <w:rPr>
                      <w:color w:val="auto"/>
                      <w:szCs w:val="21"/>
                    </w:rPr>
                  </w:pPr>
                  <w:r>
                    <w:rPr>
                      <w:color w:val="auto"/>
                      <w:szCs w:val="21"/>
                    </w:rPr>
                    <w:t>污水处理站出水</w:t>
                  </w:r>
                  <w:r>
                    <w:rPr>
                      <w:rFonts w:hint="eastAsia"/>
                      <w:color w:val="auto"/>
                      <w:szCs w:val="21"/>
                    </w:rPr>
                    <w:t>2557.56</w:t>
                  </w:r>
                  <w:r>
                    <w:rPr>
                      <w:color w:val="auto"/>
                      <w:szCs w:val="21"/>
                    </w:rPr>
                    <w:t>t/a</w:t>
                  </w:r>
                </w:p>
              </w:tc>
              <w:tc>
                <w:tcPr>
                  <w:tcW w:w="671" w:type="dxa"/>
                  <w:vAlign w:val="center"/>
                </w:tcPr>
                <w:p w14:paraId="0CE753B0">
                  <w:pPr>
                    <w:jc w:val="center"/>
                    <w:rPr>
                      <w:color w:val="auto"/>
                      <w:szCs w:val="21"/>
                    </w:rPr>
                  </w:pPr>
                  <w:r>
                    <w:rPr>
                      <w:color w:val="auto"/>
                      <w:szCs w:val="21"/>
                    </w:rPr>
                    <w:t>排放浓度mg/L</w:t>
                  </w:r>
                </w:p>
              </w:tc>
              <w:tc>
                <w:tcPr>
                  <w:tcW w:w="1065" w:type="dxa"/>
                  <w:vAlign w:val="center"/>
                </w:tcPr>
                <w:p w14:paraId="21824E1F">
                  <w:pPr>
                    <w:jc w:val="center"/>
                    <w:rPr>
                      <w:color w:val="auto"/>
                      <w:szCs w:val="21"/>
                    </w:rPr>
                  </w:pPr>
                  <w:r>
                    <w:rPr>
                      <w:rFonts w:hint="eastAsia"/>
                      <w:color w:val="auto"/>
                      <w:szCs w:val="21"/>
                    </w:rPr>
                    <w:t>7.85~7.87</w:t>
                  </w:r>
                </w:p>
              </w:tc>
              <w:tc>
                <w:tcPr>
                  <w:tcW w:w="689" w:type="dxa"/>
                  <w:vAlign w:val="center"/>
                </w:tcPr>
                <w:p w14:paraId="1EFBC42B">
                  <w:pPr>
                    <w:jc w:val="center"/>
                    <w:rPr>
                      <w:color w:val="auto"/>
                      <w:szCs w:val="21"/>
                    </w:rPr>
                  </w:pPr>
                  <w:r>
                    <w:rPr>
                      <w:rFonts w:hint="eastAsia"/>
                      <w:color w:val="auto"/>
                      <w:szCs w:val="21"/>
                    </w:rPr>
                    <w:t>44</w:t>
                  </w:r>
                </w:p>
              </w:tc>
              <w:tc>
                <w:tcPr>
                  <w:tcW w:w="740" w:type="dxa"/>
                  <w:vAlign w:val="center"/>
                </w:tcPr>
                <w:p w14:paraId="3BA17558">
                  <w:pPr>
                    <w:jc w:val="center"/>
                    <w:rPr>
                      <w:color w:val="auto"/>
                      <w:szCs w:val="21"/>
                    </w:rPr>
                  </w:pPr>
                  <w:r>
                    <w:rPr>
                      <w:rFonts w:hint="eastAsia"/>
                      <w:color w:val="auto"/>
                      <w:szCs w:val="21"/>
                    </w:rPr>
                    <w:t>7.2</w:t>
                  </w:r>
                </w:p>
              </w:tc>
              <w:tc>
                <w:tcPr>
                  <w:tcW w:w="689" w:type="dxa"/>
                  <w:vAlign w:val="center"/>
                </w:tcPr>
                <w:p w14:paraId="3C1F9500">
                  <w:pPr>
                    <w:jc w:val="center"/>
                    <w:rPr>
                      <w:color w:val="auto"/>
                      <w:szCs w:val="21"/>
                    </w:rPr>
                  </w:pPr>
                  <w:r>
                    <w:rPr>
                      <w:rFonts w:hint="eastAsia"/>
                      <w:color w:val="auto"/>
                      <w:szCs w:val="21"/>
                    </w:rPr>
                    <w:t>17</w:t>
                  </w:r>
                </w:p>
              </w:tc>
              <w:tc>
                <w:tcPr>
                  <w:tcW w:w="821" w:type="dxa"/>
                  <w:vAlign w:val="center"/>
                </w:tcPr>
                <w:p w14:paraId="22A3E749">
                  <w:pPr>
                    <w:jc w:val="center"/>
                    <w:rPr>
                      <w:color w:val="auto"/>
                      <w:szCs w:val="21"/>
                    </w:rPr>
                  </w:pPr>
                  <w:r>
                    <w:rPr>
                      <w:rFonts w:hint="eastAsia"/>
                      <w:color w:val="auto"/>
                      <w:szCs w:val="21"/>
                    </w:rPr>
                    <w:t>13.4</w:t>
                  </w:r>
                </w:p>
              </w:tc>
              <w:tc>
                <w:tcPr>
                  <w:tcW w:w="1152" w:type="dxa"/>
                  <w:vAlign w:val="center"/>
                </w:tcPr>
                <w:p w14:paraId="04EC9D89">
                  <w:pPr>
                    <w:jc w:val="center"/>
                    <w:rPr>
                      <w:color w:val="auto"/>
                      <w:szCs w:val="21"/>
                    </w:rPr>
                  </w:pPr>
                  <w:r>
                    <w:rPr>
                      <w:rFonts w:hint="eastAsia"/>
                      <w:color w:val="auto"/>
                      <w:szCs w:val="21"/>
                    </w:rPr>
                    <w:t>70</w:t>
                  </w:r>
                </w:p>
              </w:tc>
              <w:tc>
                <w:tcPr>
                  <w:tcW w:w="1005" w:type="dxa"/>
                  <w:vAlign w:val="center"/>
                </w:tcPr>
                <w:p w14:paraId="04644539">
                  <w:pPr>
                    <w:jc w:val="center"/>
                    <w:rPr>
                      <w:color w:val="auto"/>
                      <w:szCs w:val="21"/>
                    </w:rPr>
                  </w:pPr>
                  <w:r>
                    <w:rPr>
                      <w:rFonts w:hint="eastAsia"/>
                      <w:color w:val="auto"/>
                      <w:szCs w:val="21"/>
                    </w:rPr>
                    <w:t>0.4</w:t>
                  </w:r>
                </w:p>
              </w:tc>
              <w:tc>
                <w:tcPr>
                  <w:tcW w:w="935" w:type="dxa"/>
                  <w:vAlign w:val="center"/>
                </w:tcPr>
                <w:p w14:paraId="15C054E1">
                  <w:pPr>
                    <w:jc w:val="center"/>
                    <w:rPr>
                      <w:color w:val="auto"/>
                      <w:szCs w:val="21"/>
                    </w:rPr>
                  </w:pPr>
                  <w:r>
                    <w:rPr>
                      <w:rFonts w:hint="eastAsia"/>
                      <w:color w:val="auto"/>
                      <w:szCs w:val="21"/>
                    </w:rPr>
                    <w:t>4.69</w:t>
                  </w:r>
                </w:p>
              </w:tc>
            </w:tr>
            <w:tr w14:paraId="2BD8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2040DB78">
                  <w:pPr>
                    <w:jc w:val="center"/>
                    <w:rPr>
                      <w:color w:val="auto"/>
                      <w:szCs w:val="21"/>
                    </w:rPr>
                  </w:pPr>
                </w:p>
              </w:tc>
              <w:tc>
                <w:tcPr>
                  <w:tcW w:w="671" w:type="dxa"/>
                  <w:vAlign w:val="center"/>
                </w:tcPr>
                <w:p w14:paraId="73304EED">
                  <w:pPr>
                    <w:jc w:val="center"/>
                    <w:rPr>
                      <w:color w:val="auto"/>
                      <w:szCs w:val="21"/>
                    </w:rPr>
                  </w:pPr>
                  <w:r>
                    <w:rPr>
                      <w:color w:val="auto"/>
                      <w:szCs w:val="21"/>
                    </w:rPr>
                    <w:t>排放量t/a</w:t>
                  </w:r>
                </w:p>
              </w:tc>
              <w:tc>
                <w:tcPr>
                  <w:tcW w:w="1065" w:type="dxa"/>
                  <w:vAlign w:val="center"/>
                </w:tcPr>
                <w:p w14:paraId="1F50CD1D">
                  <w:pPr>
                    <w:jc w:val="center"/>
                    <w:rPr>
                      <w:color w:val="auto"/>
                      <w:szCs w:val="21"/>
                    </w:rPr>
                  </w:pPr>
                  <w:r>
                    <w:rPr>
                      <w:color w:val="auto"/>
                      <w:szCs w:val="21"/>
                    </w:rPr>
                    <w:t>—</w:t>
                  </w:r>
                </w:p>
              </w:tc>
              <w:tc>
                <w:tcPr>
                  <w:tcW w:w="689" w:type="dxa"/>
                  <w:vAlign w:val="center"/>
                </w:tcPr>
                <w:p w14:paraId="79D9A47A">
                  <w:pPr>
                    <w:jc w:val="center"/>
                    <w:rPr>
                      <w:color w:val="auto"/>
                      <w:szCs w:val="21"/>
                    </w:rPr>
                  </w:pPr>
                  <w:r>
                    <w:rPr>
                      <w:rFonts w:hint="eastAsia"/>
                      <w:color w:val="auto"/>
                      <w:szCs w:val="21"/>
                    </w:rPr>
                    <w:t>0.115</w:t>
                  </w:r>
                </w:p>
              </w:tc>
              <w:tc>
                <w:tcPr>
                  <w:tcW w:w="740" w:type="dxa"/>
                  <w:vAlign w:val="center"/>
                </w:tcPr>
                <w:p w14:paraId="2D87DF72">
                  <w:pPr>
                    <w:jc w:val="center"/>
                    <w:rPr>
                      <w:color w:val="auto"/>
                    </w:rPr>
                  </w:pPr>
                  <w:r>
                    <w:rPr>
                      <w:rFonts w:hint="eastAsia"/>
                      <w:color w:val="auto"/>
                    </w:rPr>
                    <w:t>0.019</w:t>
                  </w:r>
                </w:p>
              </w:tc>
              <w:tc>
                <w:tcPr>
                  <w:tcW w:w="689" w:type="dxa"/>
                  <w:vAlign w:val="center"/>
                </w:tcPr>
                <w:p w14:paraId="5093ED75">
                  <w:pPr>
                    <w:jc w:val="center"/>
                    <w:rPr>
                      <w:color w:val="auto"/>
                      <w:szCs w:val="21"/>
                    </w:rPr>
                  </w:pPr>
                  <w:r>
                    <w:rPr>
                      <w:rFonts w:hint="eastAsia"/>
                      <w:color w:val="auto"/>
                      <w:szCs w:val="21"/>
                    </w:rPr>
                    <w:t>0.044</w:t>
                  </w:r>
                </w:p>
              </w:tc>
              <w:tc>
                <w:tcPr>
                  <w:tcW w:w="821" w:type="dxa"/>
                  <w:vAlign w:val="center"/>
                </w:tcPr>
                <w:p w14:paraId="56098190">
                  <w:pPr>
                    <w:jc w:val="center"/>
                    <w:rPr>
                      <w:color w:val="auto"/>
                      <w:szCs w:val="21"/>
                    </w:rPr>
                  </w:pPr>
                  <w:r>
                    <w:rPr>
                      <w:rFonts w:hint="eastAsia"/>
                      <w:color w:val="auto"/>
                      <w:szCs w:val="21"/>
                    </w:rPr>
                    <w:t>0.035</w:t>
                  </w:r>
                </w:p>
              </w:tc>
              <w:tc>
                <w:tcPr>
                  <w:tcW w:w="1152" w:type="dxa"/>
                  <w:vAlign w:val="center"/>
                </w:tcPr>
                <w:p w14:paraId="45BC45E8">
                  <w:pPr>
                    <w:jc w:val="center"/>
                    <w:rPr>
                      <w:color w:val="auto"/>
                      <w:szCs w:val="21"/>
                    </w:rPr>
                  </w:pPr>
                  <w:r>
                    <w:rPr>
                      <w:color w:val="auto"/>
                      <w:szCs w:val="21"/>
                    </w:rPr>
                    <w:t>—</w:t>
                  </w:r>
                </w:p>
              </w:tc>
              <w:tc>
                <w:tcPr>
                  <w:tcW w:w="1005" w:type="dxa"/>
                  <w:vAlign w:val="center"/>
                </w:tcPr>
                <w:p w14:paraId="62D2B1E4">
                  <w:pPr>
                    <w:jc w:val="center"/>
                    <w:rPr>
                      <w:color w:val="auto"/>
                      <w:szCs w:val="21"/>
                    </w:rPr>
                  </w:pPr>
                  <w:r>
                    <w:rPr>
                      <w:color w:val="auto"/>
                      <w:szCs w:val="21"/>
                    </w:rPr>
                    <w:t>—</w:t>
                  </w:r>
                </w:p>
              </w:tc>
              <w:tc>
                <w:tcPr>
                  <w:tcW w:w="935" w:type="dxa"/>
                  <w:vAlign w:val="center"/>
                </w:tcPr>
                <w:p w14:paraId="47FF6526">
                  <w:pPr>
                    <w:jc w:val="center"/>
                    <w:rPr>
                      <w:color w:val="auto"/>
                      <w:szCs w:val="21"/>
                    </w:rPr>
                  </w:pPr>
                  <w:r>
                    <w:rPr>
                      <w:rFonts w:hint="eastAsia"/>
                      <w:color w:val="auto"/>
                      <w:szCs w:val="21"/>
                    </w:rPr>
                    <w:t>0.012</w:t>
                  </w:r>
                </w:p>
              </w:tc>
            </w:tr>
            <w:tr w14:paraId="77DF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21AF76B6">
                  <w:pPr>
                    <w:jc w:val="center"/>
                    <w:rPr>
                      <w:color w:val="auto"/>
                      <w:szCs w:val="21"/>
                    </w:rPr>
                  </w:pPr>
                </w:p>
              </w:tc>
              <w:tc>
                <w:tcPr>
                  <w:tcW w:w="671" w:type="dxa"/>
                  <w:vAlign w:val="center"/>
                </w:tcPr>
                <w:p w14:paraId="6369E0A8">
                  <w:pPr>
                    <w:jc w:val="center"/>
                    <w:rPr>
                      <w:color w:val="auto"/>
                      <w:szCs w:val="21"/>
                    </w:rPr>
                  </w:pPr>
                  <w:r>
                    <w:rPr>
                      <w:color w:val="auto"/>
                      <w:szCs w:val="21"/>
                    </w:rPr>
                    <w:t>削减量t/a</w:t>
                  </w:r>
                </w:p>
              </w:tc>
              <w:tc>
                <w:tcPr>
                  <w:tcW w:w="1065" w:type="dxa"/>
                  <w:vAlign w:val="center"/>
                </w:tcPr>
                <w:p w14:paraId="6FDC843D">
                  <w:pPr>
                    <w:jc w:val="center"/>
                    <w:rPr>
                      <w:color w:val="auto"/>
                      <w:szCs w:val="21"/>
                    </w:rPr>
                  </w:pPr>
                  <w:r>
                    <w:rPr>
                      <w:color w:val="auto"/>
                      <w:szCs w:val="21"/>
                    </w:rPr>
                    <w:t>—</w:t>
                  </w:r>
                </w:p>
              </w:tc>
              <w:tc>
                <w:tcPr>
                  <w:tcW w:w="689" w:type="dxa"/>
                  <w:vAlign w:val="center"/>
                </w:tcPr>
                <w:p w14:paraId="79CA17FC">
                  <w:pPr>
                    <w:jc w:val="center"/>
                    <w:rPr>
                      <w:color w:val="auto"/>
                      <w:szCs w:val="21"/>
                    </w:rPr>
                  </w:pPr>
                  <w:r>
                    <w:rPr>
                      <w:rFonts w:hint="eastAsia"/>
                      <w:color w:val="auto"/>
                      <w:szCs w:val="21"/>
                    </w:rPr>
                    <w:t>0.512</w:t>
                  </w:r>
                </w:p>
              </w:tc>
              <w:tc>
                <w:tcPr>
                  <w:tcW w:w="740" w:type="dxa"/>
                  <w:vAlign w:val="center"/>
                </w:tcPr>
                <w:p w14:paraId="59071A41">
                  <w:pPr>
                    <w:jc w:val="center"/>
                    <w:rPr>
                      <w:color w:val="auto"/>
                      <w:szCs w:val="21"/>
                    </w:rPr>
                  </w:pPr>
                  <w:r>
                    <w:rPr>
                      <w:rFonts w:hint="eastAsia"/>
                      <w:color w:val="auto"/>
                      <w:szCs w:val="21"/>
                    </w:rPr>
                    <w:t>0.295</w:t>
                  </w:r>
                </w:p>
              </w:tc>
              <w:tc>
                <w:tcPr>
                  <w:tcW w:w="689" w:type="dxa"/>
                  <w:vAlign w:val="center"/>
                </w:tcPr>
                <w:p w14:paraId="00870543">
                  <w:pPr>
                    <w:jc w:val="center"/>
                    <w:rPr>
                      <w:color w:val="auto"/>
                      <w:szCs w:val="21"/>
                    </w:rPr>
                  </w:pPr>
                  <w:r>
                    <w:rPr>
                      <w:rFonts w:hint="eastAsia"/>
                      <w:color w:val="auto"/>
                      <w:szCs w:val="21"/>
                    </w:rPr>
                    <w:t>0.165</w:t>
                  </w:r>
                </w:p>
              </w:tc>
              <w:tc>
                <w:tcPr>
                  <w:tcW w:w="821" w:type="dxa"/>
                  <w:vAlign w:val="center"/>
                </w:tcPr>
                <w:p w14:paraId="56E1800E">
                  <w:pPr>
                    <w:jc w:val="center"/>
                    <w:rPr>
                      <w:color w:val="auto"/>
                      <w:szCs w:val="21"/>
                    </w:rPr>
                  </w:pPr>
                  <w:r>
                    <w:rPr>
                      <w:rFonts w:hint="eastAsia"/>
                      <w:color w:val="auto"/>
                      <w:szCs w:val="21"/>
                    </w:rPr>
                    <w:t>0.049</w:t>
                  </w:r>
                </w:p>
              </w:tc>
              <w:tc>
                <w:tcPr>
                  <w:tcW w:w="1152" w:type="dxa"/>
                  <w:vAlign w:val="center"/>
                </w:tcPr>
                <w:p w14:paraId="23FA7314">
                  <w:pPr>
                    <w:jc w:val="center"/>
                    <w:rPr>
                      <w:color w:val="auto"/>
                      <w:szCs w:val="21"/>
                    </w:rPr>
                  </w:pPr>
                  <w:r>
                    <w:rPr>
                      <w:color w:val="auto"/>
                      <w:szCs w:val="21"/>
                    </w:rPr>
                    <w:t>—</w:t>
                  </w:r>
                </w:p>
              </w:tc>
              <w:tc>
                <w:tcPr>
                  <w:tcW w:w="1005" w:type="dxa"/>
                  <w:vAlign w:val="center"/>
                </w:tcPr>
                <w:p w14:paraId="5A1D8AF9">
                  <w:pPr>
                    <w:jc w:val="center"/>
                    <w:rPr>
                      <w:color w:val="auto"/>
                      <w:szCs w:val="21"/>
                    </w:rPr>
                  </w:pPr>
                  <w:r>
                    <w:rPr>
                      <w:color w:val="auto"/>
                      <w:szCs w:val="21"/>
                    </w:rPr>
                    <w:t>—</w:t>
                  </w:r>
                </w:p>
              </w:tc>
              <w:tc>
                <w:tcPr>
                  <w:tcW w:w="935" w:type="dxa"/>
                  <w:vAlign w:val="center"/>
                </w:tcPr>
                <w:p w14:paraId="3A6961F3">
                  <w:pPr>
                    <w:jc w:val="center"/>
                    <w:rPr>
                      <w:color w:val="auto"/>
                      <w:szCs w:val="21"/>
                    </w:rPr>
                  </w:pPr>
                  <w:r>
                    <w:rPr>
                      <w:rFonts w:hint="eastAsia"/>
                      <w:color w:val="auto"/>
                      <w:szCs w:val="21"/>
                    </w:rPr>
                    <w:t>0.014</w:t>
                  </w:r>
                </w:p>
              </w:tc>
            </w:tr>
            <w:tr w14:paraId="50B0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80" w:type="dxa"/>
                  <w:gridSpan w:val="2"/>
                  <w:vAlign w:val="center"/>
                </w:tcPr>
                <w:p w14:paraId="56071AF2">
                  <w:pPr>
                    <w:jc w:val="center"/>
                    <w:rPr>
                      <w:color w:val="auto"/>
                      <w:szCs w:val="21"/>
                    </w:rPr>
                  </w:pPr>
                  <w:r>
                    <w:rPr>
                      <w:color w:val="auto"/>
                      <w:szCs w:val="21"/>
                    </w:rPr>
                    <w:t>削减量合计t/a</w:t>
                  </w:r>
                </w:p>
              </w:tc>
              <w:tc>
                <w:tcPr>
                  <w:tcW w:w="1065" w:type="dxa"/>
                  <w:vAlign w:val="center"/>
                </w:tcPr>
                <w:p w14:paraId="69A1A3D5">
                  <w:pPr>
                    <w:jc w:val="center"/>
                    <w:rPr>
                      <w:color w:val="auto"/>
                      <w:szCs w:val="21"/>
                    </w:rPr>
                  </w:pPr>
                  <w:r>
                    <w:rPr>
                      <w:color w:val="auto"/>
                      <w:szCs w:val="21"/>
                    </w:rPr>
                    <w:t>—</w:t>
                  </w:r>
                </w:p>
              </w:tc>
              <w:tc>
                <w:tcPr>
                  <w:tcW w:w="689" w:type="dxa"/>
                  <w:vAlign w:val="center"/>
                </w:tcPr>
                <w:p w14:paraId="79170E1F">
                  <w:pPr>
                    <w:jc w:val="center"/>
                    <w:rPr>
                      <w:color w:val="auto"/>
                      <w:szCs w:val="21"/>
                    </w:rPr>
                  </w:pPr>
                  <w:r>
                    <w:rPr>
                      <w:rFonts w:hint="eastAsia"/>
                      <w:color w:val="auto"/>
                      <w:szCs w:val="21"/>
                    </w:rPr>
                    <w:t>0.669</w:t>
                  </w:r>
                </w:p>
              </w:tc>
              <w:tc>
                <w:tcPr>
                  <w:tcW w:w="740" w:type="dxa"/>
                  <w:vAlign w:val="center"/>
                </w:tcPr>
                <w:p w14:paraId="0485C31C">
                  <w:pPr>
                    <w:jc w:val="center"/>
                    <w:rPr>
                      <w:color w:val="auto"/>
                      <w:szCs w:val="21"/>
                    </w:rPr>
                  </w:pPr>
                  <w:r>
                    <w:rPr>
                      <w:rFonts w:hint="eastAsia"/>
                      <w:color w:val="auto"/>
                      <w:szCs w:val="21"/>
                    </w:rPr>
                    <w:t>0.373</w:t>
                  </w:r>
                </w:p>
              </w:tc>
              <w:tc>
                <w:tcPr>
                  <w:tcW w:w="689" w:type="dxa"/>
                  <w:vAlign w:val="center"/>
                </w:tcPr>
                <w:p w14:paraId="1A9AC8CA">
                  <w:pPr>
                    <w:jc w:val="center"/>
                    <w:rPr>
                      <w:color w:val="auto"/>
                      <w:szCs w:val="21"/>
                    </w:rPr>
                  </w:pPr>
                  <w:r>
                    <w:rPr>
                      <w:rFonts w:hint="eastAsia"/>
                      <w:color w:val="auto"/>
                      <w:szCs w:val="21"/>
                    </w:rPr>
                    <w:t>0.269</w:t>
                  </w:r>
                </w:p>
              </w:tc>
              <w:tc>
                <w:tcPr>
                  <w:tcW w:w="821" w:type="dxa"/>
                  <w:vAlign w:val="center"/>
                </w:tcPr>
                <w:p w14:paraId="3F15A907">
                  <w:pPr>
                    <w:jc w:val="center"/>
                    <w:rPr>
                      <w:color w:val="auto"/>
                      <w:szCs w:val="21"/>
                    </w:rPr>
                  </w:pPr>
                  <w:r>
                    <w:rPr>
                      <w:rFonts w:hint="eastAsia"/>
                      <w:color w:val="auto"/>
                      <w:szCs w:val="21"/>
                    </w:rPr>
                    <w:t>0.07</w:t>
                  </w:r>
                </w:p>
              </w:tc>
              <w:tc>
                <w:tcPr>
                  <w:tcW w:w="1152" w:type="dxa"/>
                  <w:vAlign w:val="center"/>
                </w:tcPr>
                <w:p w14:paraId="3D023B7F">
                  <w:pPr>
                    <w:jc w:val="center"/>
                    <w:rPr>
                      <w:color w:val="auto"/>
                      <w:szCs w:val="21"/>
                    </w:rPr>
                  </w:pPr>
                  <w:r>
                    <w:rPr>
                      <w:color w:val="auto"/>
                      <w:szCs w:val="21"/>
                    </w:rPr>
                    <w:t>—</w:t>
                  </w:r>
                </w:p>
              </w:tc>
              <w:tc>
                <w:tcPr>
                  <w:tcW w:w="1005" w:type="dxa"/>
                  <w:vAlign w:val="center"/>
                </w:tcPr>
                <w:p w14:paraId="19B15BB1">
                  <w:pPr>
                    <w:jc w:val="center"/>
                    <w:rPr>
                      <w:color w:val="auto"/>
                      <w:szCs w:val="21"/>
                    </w:rPr>
                  </w:pPr>
                  <w:r>
                    <w:rPr>
                      <w:color w:val="auto"/>
                      <w:szCs w:val="21"/>
                    </w:rPr>
                    <w:t>—</w:t>
                  </w:r>
                </w:p>
              </w:tc>
              <w:tc>
                <w:tcPr>
                  <w:tcW w:w="935" w:type="dxa"/>
                  <w:vAlign w:val="center"/>
                </w:tcPr>
                <w:p w14:paraId="44176600">
                  <w:pPr>
                    <w:jc w:val="center"/>
                    <w:rPr>
                      <w:color w:val="auto"/>
                      <w:szCs w:val="21"/>
                    </w:rPr>
                  </w:pPr>
                  <w:r>
                    <w:rPr>
                      <w:rFonts w:hint="eastAsia"/>
                      <w:color w:val="auto"/>
                      <w:szCs w:val="21"/>
                    </w:rPr>
                    <w:t>0.021</w:t>
                  </w:r>
                </w:p>
              </w:tc>
            </w:tr>
          </w:tbl>
          <w:p w14:paraId="7000A70F">
            <w:pPr>
              <w:widowControl/>
              <w:spacing w:line="360" w:lineRule="auto"/>
              <w:jc w:val="center"/>
              <w:rPr>
                <w:b/>
                <w:color w:val="auto"/>
                <w:sz w:val="24"/>
              </w:rPr>
            </w:pPr>
          </w:p>
          <w:p w14:paraId="2655AC2F">
            <w:pPr>
              <w:widowControl/>
              <w:spacing w:line="360" w:lineRule="auto"/>
              <w:jc w:val="center"/>
              <w:rPr>
                <w:b/>
                <w:color w:val="auto"/>
                <w:sz w:val="24"/>
              </w:rPr>
            </w:pPr>
          </w:p>
          <w:p w14:paraId="43FEB469">
            <w:pPr>
              <w:widowControl/>
              <w:spacing w:line="360" w:lineRule="auto"/>
              <w:jc w:val="center"/>
              <w:rPr>
                <w:b/>
                <w:color w:val="auto"/>
                <w:sz w:val="24"/>
              </w:rPr>
            </w:pPr>
          </w:p>
          <w:p w14:paraId="2B95ED7B">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8</w:t>
            </w:r>
            <w:r>
              <w:rPr>
                <w:b/>
                <w:color w:val="auto"/>
                <w:sz w:val="24"/>
              </w:rPr>
              <w:t xml:space="preserve"> </w:t>
            </w:r>
            <w:r>
              <w:rPr>
                <w:rFonts w:hint="eastAsia"/>
                <w:b/>
                <w:color w:val="auto"/>
                <w:sz w:val="24"/>
              </w:rPr>
              <w:t>本项目（四街卫生院）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671"/>
              <w:gridCol w:w="1065"/>
              <w:gridCol w:w="689"/>
              <w:gridCol w:w="740"/>
              <w:gridCol w:w="689"/>
              <w:gridCol w:w="821"/>
              <w:gridCol w:w="1182"/>
              <w:gridCol w:w="1020"/>
              <w:gridCol w:w="995"/>
            </w:tblGrid>
            <w:tr w14:paraId="4A68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675" w:type="dxa"/>
                  <w:gridSpan w:val="2"/>
                  <w:vMerge w:val="restart"/>
                  <w:vAlign w:val="center"/>
                </w:tcPr>
                <w:p w14:paraId="31C44E91">
                  <w:pPr>
                    <w:jc w:val="center"/>
                    <w:rPr>
                      <w:b/>
                      <w:color w:val="auto"/>
                      <w:szCs w:val="21"/>
                    </w:rPr>
                  </w:pPr>
                  <w:r>
                    <w:rPr>
                      <w:b/>
                      <w:color w:val="auto"/>
                      <w:szCs w:val="21"/>
                    </w:rPr>
                    <w:t>指标</w:t>
                  </w:r>
                </w:p>
              </w:tc>
              <w:tc>
                <w:tcPr>
                  <w:tcW w:w="7201" w:type="dxa"/>
                  <w:gridSpan w:val="8"/>
                </w:tcPr>
                <w:p w14:paraId="5306E412">
                  <w:pPr>
                    <w:jc w:val="center"/>
                    <w:rPr>
                      <w:b/>
                      <w:color w:val="auto"/>
                      <w:szCs w:val="21"/>
                    </w:rPr>
                  </w:pPr>
                  <w:r>
                    <w:rPr>
                      <w:b/>
                      <w:color w:val="auto"/>
                      <w:szCs w:val="21"/>
                    </w:rPr>
                    <w:t>主要污染物名称</w:t>
                  </w:r>
                </w:p>
              </w:tc>
            </w:tr>
            <w:tr w14:paraId="77D9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75" w:type="dxa"/>
                  <w:gridSpan w:val="2"/>
                  <w:vMerge w:val="continue"/>
                  <w:vAlign w:val="center"/>
                </w:tcPr>
                <w:p w14:paraId="223A8FEB">
                  <w:pPr>
                    <w:jc w:val="center"/>
                    <w:rPr>
                      <w:color w:val="auto"/>
                      <w:szCs w:val="21"/>
                    </w:rPr>
                  </w:pPr>
                </w:p>
              </w:tc>
              <w:tc>
                <w:tcPr>
                  <w:tcW w:w="1065" w:type="dxa"/>
                  <w:vAlign w:val="center"/>
                </w:tcPr>
                <w:p w14:paraId="3BAFFEBE">
                  <w:pPr>
                    <w:jc w:val="center"/>
                    <w:rPr>
                      <w:b/>
                      <w:color w:val="auto"/>
                      <w:szCs w:val="21"/>
                    </w:rPr>
                  </w:pPr>
                  <w:r>
                    <w:rPr>
                      <w:rFonts w:hint="eastAsia"/>
                      <w:b/>
                      <w:color w:val="auto"/>
                      <w:szCs w:val="21"/>
                    </w:rPr>
                    <w:t>PH</w:t>
                  </w:r>
                </w:p>
              </w:tc>
              <w:tc>
                <w:tcPr>
                  <w:tcW w:w="689" w:type="dxa"/>
                  <w:vAlign w:val="center"/>
                </w:tcPr>
                <w:p w14:paraId="69CC86BA">
                  <w:pPr>
                    <w:jc w:val="center"/>
                    <w:rPr>
                      <w:b/>
                      <w:color w:val="auto"/>
                      <w:szCs w:val="21"/>
                    </w:rPr>
                  </w:pPr>
                  <w:r>
                    <w:rPr>
                      <w:b/>
                      <w:color w:val="auto"/>
                      <w:szCs w:val="21"/>
                    </w:rPr>
                    <w:t>COD</w:t>
                  </w:r>
                </w:p>
              </w:tc>
              <w:tc>
                <w:tcPr>
                  <w:tcW w:w="740" w:type="dxa"/>
                  <w:vAlign w:val="center"/>
                </w:tcPr>
                <w:p w14:paraId="66598740">
                  <w:pPr>
                    <w:jc w:val="center"/>
                    <w:rPr>
                      <w:b/>
                      <w:color w:val="auto"/>
                      <w:szCs w:val="21"/>
                    </w:rPr>
                  </w:pPr>
                  <w:r>
                    <w:rPr>
                      <w:b/>
                      <w:color w:val="auto"/>
                      <w:szCs w:val="21"/>
                    </w:rPr>
                    <w:t>BOD</w:t>
                  </w:r>
                  <w:r>
                    <w:rPr>
                      <w:b/>
                      <w:color w:val="auto"/>
                      <w:szCs w:val="21"/>
                      <w:vertAlign w:val="subscript"/>
                    </w:rPr>
                    <w:t>5</w:t>
                  </w:r>
                </w:p>
              </w:tc>
              <w:tc>
                <w:tcPr>
                  <w:tcW w:w="689" w:type="dxa"/>
                  <w:vAlign w:val="center"/>
                </w:tcPr>
                <w:p w14:paraId="13A6A1DB">
                  <w:pPr>
                    <w:jc w:val="center"/>
                    <w:rPr>
                      <w:b/>
                      <w:color w:val="auto"/>
                      <w:szCs w:val="21"/>
                    </w:rPr>
                  </w:pPr>
                  <w:r>
                    <w:rPr>
                      <w:b/>
                      <w:color w:val="auto"/>
                      <w:szCs w:val="21"/>
                    </w:rPr>
                    <w:t>SS</w:t>
                  </w:r>
                </w:p>
              </w:tc>
              <w:tc>
                <w:tcPr>
                  <w:tcW w:w="821" w:type="dxa"/>
                  <w:vAlign w:val="center"/>
                </w:tcPr>
                <w:p w14:paraId="7A9C0ED8">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182" w:type="dxa"/>
                  <w:vAlign w:val="center"/>
                </w:tcPr>
                <w:p w14:paraId="4FF26ED3">
                  <w:pPr>
                    <w:jc w:val="center"/>
                    <w:rPr>
                      <w:b/>
                      <w:color w:val="auto"/>
                    </w:rPr>
                  </w:pPr>
                  <w:r>
                    <w:rPr>
                      <w:b/>
                      <w:color w:val="auto"/>
                    </w:rPr>
                    <w:t>粪大肠菌群数</w:t>
                  </w:r>
                  <w:r>
                    <w:rPr>
                      <w:rFonts w:hint="eastAsia"/>
                      <w:b/>
                      <w:color w:val="auto"/>
                    </w:rPr>
                    <w:t>（</w:t>
                  </w:r>
                  <w:r>
                    <w:rPr>
                      <w:b/>
                      <w:color w:val="auto"/>
                    </w:rPr>
                    <w:t>个/L)</w:t>
                  </w:r>
                </w:p>
              </w:tc>
              <w:tc>
                <w:tcPr>
                  <w:tcW w:w="1020" w:type="dxa"/>
                  <w:vAlign w:val="center"/>
                </w:tcPr>
                <w:p w14:paraId="22928652">
                  <w:pPr>
                    <w:jc w:val="center"/>
                    <w:rPr>
                      <w:b/>
                      <w:color w:val="auto"/>
                    </w:rPr>
                  </w:pPr>
                  <w:r>
                    <w:rPr>
                      <w:b/>
                      <w:color w:val="auto"/>
                    </w:rPr>
                    <w:t>总余氯</w:t>
                  </w:r>
                </w:p>
              </w:tc>
              <w:tc>
                <w:tcPr>
                  <w:tcW w:w="995" w:type="dxa"/>
                  <w:vAlign w:val="center"/>
                </w:tcPr>
                <w:p w14:paraId="6A37C051">
                  <w:pPr>
                    <w:jc w:val="center"/>
                    <w:rPr>
                      <w:b/>
                      <w:color w:val="auto"/>
                    </w:rPr>
                  </w:pPr>
                  <w:r>
                    <w:rPr>
                      <w:b/>
                      <w:bCs/>
                      <w:color w:val="auto"/>
                      <w:szCs w:val="21"/>
                    </w:rPr>
                    <w:t>总磷</w:t>
                  </w:r>
                </w:p>
              </w:tc>
            </w:tr>
            <w:tr w14:paraId="5962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04" w:type="dxa"/>
                  <w:vMerge w:val="restart"/>
                  <w:vAlign w:val="center"/>
                </w:tcPr>
                <w:p w14:paraId="7C01748A">
                  <w:pPr>
                    <w:jc w:val="center"/>
                    <w:rPr>
                      <w:color w:val="auto"/>
                      <w:szCs w:val="21"/>
                    </w:rPr>
                  </w:pPr>
                  <w:r>
                    <w:rPr>
                      <w:rFonts w:hint="eastAsia"/>
                      <w:color w:val="auto"/>
                      <w:szCs w:val="21"/>
                    </w:rPr>
                    <w:t>本项目四街卫生院废水</w:t>
                  </w:r>
                  <w:r>
                    <w:rPr>
                      <w:color w:val="auto"/>
                      <w:szCs w:val="21"/>
                    </w:rPr>
                    <w:t>产生量</w:t>
                  </w:r>
                </w:p>
                <w:p w14:paraId="5EE0BD0E">
                  <w:pPr>
                    <w:jc w:val="center"/>
                    <w:rPr>
                      <w:color w:val="auto"/>
                      <w:szCs w:val="21"/>
                    </w:rPr>
                  </w:pPr>
                  <w:r>
                    <w:rPr>
                      <w:rFonts w:hint="eastAsia"/>
                      <w:color w:val="auto"/>
                      <w:szCs w:val="21"/>
                    </w:rPr>
                    <w:t>2591.5</w:t>
                  </w:r>
                  <w:r>
                    <w:rPr>
                      <w:color w:val="auto"/>
                      <w:szCs w:val="21"/>
                    </w:rPr>
                    <w:t>t/a</w:t>
                  </w:r>
                </w:p>
              </w:tc>
              <w:tc>
                <w:tcPr>
                  <w:tcW w:w="671" w:type="dxa"/>
                  <w:vAlign w:val="center"/>
                </w:tcPr>
                <w:p w14:paraId="6EC1A3B7">
                  <w:pPr>
                    <w:jc w:val="center"/>
                    <w:rPr>
                      <w:color w:val="auto"/>
                      <w:szCs w:val="21"/>
                    </w:rPr>
                  </w:pPr>
                  <w:r>
                    <w:rPr>
                      <w:color w:val="auto"/>
                      <w:szCs w:val="21"/>
                    </w:rPr>
                    <w:t>产生浓度mg/L</w:t>
                  </w:r>
                </w:p>
              </w:tc>
              <w:tc>
                <w:tcPr>
                  <w:tcW w:w="1065" w:type="dxa"/>
                  <w:vAlign w:val="center"/>
                </w:tcPr>
                <w:p w14:paraId="15B29753">
                  <w:pPr>
                    <w:jc w:val="center"/>
                    <w:rPr>
                      <w:color w:val="auto"/>
                      <w:szCs w:val="21"/>
                    </w:rPr>
                  </w:pPr>
                  <w:r>
                    <w:rPr>
                      <w:color w:val="auto"/>
                      <w:szCs w:val="21"/>
                    </w:rPr>
                    <w:t>7~8</w:t>
                  </w:r>
                </w:p>
              </w:tc>
              <w:tc>
                <w:tcPr>
                  <w:tcW w:w="689" w:type="dxa"/>
                  <w:vAlign w:val="center"/>
                </w:tcPr>
                <w:p w14:paraId="7F63F7BB">
                  <w:pPr>
                    <w:jc w:val="center"/>
                    <w:rPr>
                      <w:color w:val="auto"/>
                      <w:szCs w:val="21"/>
                    </w:rPr>
                  </w:pPr>
                  <w:r>
                    <w:rPr>
                      <w:color w:val="auto"/>
                      <w:szCs w:val="21"/>
                    </w:rPr>
                    <w:t>300</w:t>
                  </w:r>
                </w:p>
              </w:tc>
              <w:tc>
                <w:tcPr>
                  <w:tcW w:w="740" w:type="dxa"/>
                  <w:vAlign w:val="center"/>
                </w:tcPr>
                <w:p w14:paraId="3923C40F">
                  <w:pPr>
                    <w:jc w:val="center"/>
                    <w:rPr>
                      <w:color w:val="auto"/>
                      <w:szCs w:val="21"/>
                    </w:rPr>
                  </w:pPr>
                  <w:r>
                    <w:rPr>
                      <w:color w:val="auto"/>
                      <w:szCs w:val="21"/>
                    </w:rPr>
                    <w:t>150</w:t>
                  </w:r>
                </w:p>
              </w:tc>
              <w:tc>
                <w:tcPr>
                  <w:tcW w:w="689" w:type="dxa"/>
                  <w:vAlign w:val="center"/>
                </w:tcPr>
                <w:p w14:paraId="2C25487F">
                  <w:pPr>
                    <w:jc w:val="center"/>
                    <w:rPr>
                      <w:color w:val="auto"/>
                      <w:szCs w:val="21"/>
                    </w:rPr>
                  </w:pPr>
                  <w:r>
                    <w:rPr>
                      <w:color w:val="auto"/>
                      <w:szCs w:val="21"/>
                    </w:rPr>
                    <w:t>120</w:t>
                  </w:r>
                </w:p>
              </w:tc>
              <w:tc>
                <w:tcPr>
                  <w:tcW w:w="821" w:type="dxa"/>
                  <w:vAlign w:val="center"/>
                </w:tcPr>
                <w:p w14:paraId="2D5AE9D5">
                  <w:pPr>
                    <w:jc w:val="center"/>
                    <w:rPr>
                      <w:color w:val="auto"/>
                      <w:szCs w:val="21"/>
                    </w:rPr>
                  </w:pPr>
                  <w:r>
                    <w:rPr>
                      <w:color w:val="auto"/>
                      <w:szCs w:val="21"/>
                    </w:rPr>
                    <w:t>40</w:t>
                  </w:r>
                </w:p>
              </w:tc>
              <w:tc>
                <w:tcPr>
                  <w:tcW w:w="1182" w:type="dxa"/>
                  <w:vAlign w:val="center"/>
                </w:tcPr>
                <w:p w14:paraId="13C964FA">
                  <w:pPr>
                    <w:jc w:val="center"/>
                    <w:rPr>
                      <w:color w:val="auto"/>
                      <w:szCs w:val="21"/>
                    </w:rPr>
                  </w:pPr>
                  <w:r>
                    <w:rPr>
                      <w:color w:val="auto"/>
                      <w:szCs w:val="21"/>
                    </w:rPr>
                    <w:t>3.0×10</w:t>
                  </w:r>
                  <w:r>
                    <w:rPr>
                      <w:color w:val="auto"/>
                      <w:szCs w:val="21"/>
                      <w:vertAlign w:val="superscript"/>
                    </w:rPr>
                    <w:t>8</w:t>
                  </w:r>
                </w:p>
              </w:tc>
              <w:tc>
                <w:tcPr>
                  <w:tcW w:w="1020" w:type="dxa"/>
                  <w:vAlign w:val="center"/>
                </w:tcPr>
                <w:p w14:paraId="30338112">
                  <w:pPr>
                    <w:jc w:val="center"/>
                    <w:rPr>
                      <w:color w:val="auto"/>
                      <w:szCs w:val="21"/>
                    </w:rPr>
                  </w:pPr>
                  <w:r>
                    <w:rPr>
                      <w:color w:val="auto"/>
                      <w:szCs w:val="21"/>
                    </w:rPr>
                    <w:t>—</w:t>
                  </w:r>
                </w:p>
              </w:tc>
              <w:tc>
                <w:tcPr>
                  <w:tcW w:w="995" w:type="dxa"/>
                  <w:vAlign w:val="center"/>
                </w:tcPr>
                <w:p w14:paraId="42EB567F">
                  <w:pPr>
                    <w:jc w:val="center"/>
                    <w:rPr>
                      <w:color w:val="auto"/>
                      <w:szCs w:val="21"/>
                    </w:rPr>
                  </w:pPr>
                  <w:r>
                    <w:rPr>
                      <w:rFonts w:hint="eastAsia"/>
                      <w:color w:val="auto"/>
                      <w:szCs w:val="21"/>
                    </w:rPr>
                    <w:t>12.8</w:t>
                  </w:r>
                </w:p>
              </w:tc>
            </w:tr>
            <w:tr w14:paraId="72EF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continue"/>
                  <w:vAlign w:val="center"/>
                </w:tcPr>
                <w:p w14:paraId="2485AA97">
                  <w:pPr>
                    <w:jc w:val="center"/>
                    <w:rPr>
                      <w:color w:val="auto"/>
                      <w:szCs w:val="21"/>
                    </w:rPr>
                  </w:pPr>
                </w:p>
              </w:tc>
              <w:tc>
                <w:tcPr>
                  <w:tcW w:w="671" w:type="dxa"/>
                  <w:vAlign w:val="center"/>
                </w:tcPr>
                <w:p w14:paraId="36EE1F66">
                  <w:pPr>
                    <w:jc w:val="center"/>
                    <w:rPr>
                      <w:color w:val="auto"/>
                      <w:szCs w:val="21"/>
                    </w:rPr>
                  </w:pPr>
                  <w:r>
                    <w:rPr>
                      <w:color w:val="auto"/>
                      <w:szCs w:val="21"/>
                    </w:rPr>
                    <w:t>产生量t/a</w:t>
                  </w:r>
                </w:p>
              </w:tc>
              <w:tc>
                <w:tcPr>
                  <w:tcW w:w="1065" w:type="dxa"/>
                  <w:vAlign w:val="center"/>
                </w:tcPr>
                <w:p w14:paraId="68375CE6">
                  <w:pPr>
                    <w:jc w:val="center"/>
                    <w:rPr>
                      <w:color w:val="auto"/>
                      <w:szCs w:val="21"/>
                    </w:rPr>
                  </w:pPr>
                  <w:r>
                    <w:rPr>
                      <w:color w:val="auto"/>
                      <w:szCs w:val="21"/>
                    </w:rPr>
                    <w:t>—</w:t>
                  </w:r>
                </w:p>
              </w:tc>
              <w:tc>
                <w:tcPr>
                  <w:tcW w:w="689" w:type="dxa"/>
                  <w:vAlign w:val="center"/>
                </w:tcPr>
                <w:p w14:paraId="2EF3E362">
                  <w:pPr>
                    <w:jc w:val="center"/>
                    <w:rPr>
                      <w:color w:val="auto"/>
                      <w:szCs w:val="21"/>
                    </w:rPr>
                  </w:pPr>
                  <w:r>
                    <w:rPr>
                      <w:rFonts w:hint="eastAsia"/>
                      <w:color w:val="auto"/>
                      <w:szCs w:val="21"/>
                    </w:rPr>
                    <w:t>0.777</w:t>
                  </w:r>
                </w:p>
              </w:tc>
              <w:tc>
                <w:tcPr>
                  <w:tcW w:w="740" w:type="dxa"/>
                  <w:vAlign w:val="center"/>
                </w:tcPr>
                <w:p w14:paraId="5D66FBCB">
                  <w:pPr>
                    <w:jc w:val="center"/>
                    <w:rPr>
                      <w:color w:val="auto"/>
                      <w:szCs w:val="21"/>
                    </w:rPr>
                  </w:pPr>
                  <w:r>
                    <w:rPr>
                      <w:rFonts w:hint="eastAsia"/>
                      <w:color w:val="auto"/>
                      <w:szCs w:val="21"/>
                    </w:rPr>
                    <w:t>0.388</w:t>
                  </w:r>
                </w:p>
              </w:tc>
              <w:tc>
                <w:tcPr>
                  <w:tcW w:w="689" w:type="dxa"/>
                  <w:vAlign w:val="center"/>
                </w:tcPr>
                <w:p w14:paraId="52D688BD">
                  <w:pPr>
                    <w:jc w:val="center"/>
                    <w:rPr>
                      <w:color w:val="auto"/>
                      <w:szCs w:val="21"/>
                    </w:rPr>
                  </w:pPr>
                  <w:r>
                    <w:rPr>
                      <w:rFonts w:hint="eastAsia"/>
                      <w:color w:val="auto"/>
                      <w:szCs w:val="21"/>
                    </w:rPr>
                    <w:t>0.311</w:t>
                  </w:r>
                </w:p>
              </w:tc>
              <w:tc>
                <w:tcPr>
                  <w:tcW w:w="821" w:type="dxa"/>
                  <w:vAlign w:val="center"/>
                </w:tcPr>
                <w:p w14:paraId="0B48AD61">
                  <w:pPr>
                    <w:jc w:val="center"/>
                    <w:rPr>
                      <w:color w:val="auto"/>
                      <w:szCs w:val="21"/>
                    </w:rPr>
                  </w:pPr>
                  <w:r>
                    <w:rPr>
                      <w:rFonts w:hint="eastAsia"/>
                      <w:color w:val="auto"/>
                      <w:szCs w:val="21"/>
                    </w:rPr>
                    <w:t>0.104</w:t>
                  </w:r>
                </w:p>
              </w:tc>
              <w:tc>
                <w:tcPr>
                  <w:tcW w:w="1182" w:type="dxa"/>
                  <w:vAlign w:val="center"/>
                </w:tcPr>
                <w:p w14:paraId="7E30193B">
                  <w:pPr>
                    <w:jc w:val="center"/>
                    <w:rPr>
                      <w:color w:val="auto"/>
                      <w:szCs w:val="21"/>
                    </w:rPr>
                  </w:pPr>
                  <w:r>
                    <w:rPr>
                      <w:color w:val="auto"/>
                      <w:szCs w:val="21"/>
                    </w:rPr>
                    <w:t>—</w:t>
                  </w:r>
                </w:p>
              </w:tc>
              <w:tc>
                <w:tcPr>
                  <w:tcW w:w="1020" w:type="dxa"/>
                  <w:vAlign w:val="center"/>
                </w:tcPr>
                <w:p w14:paraId="1644F914">
                  <w:pPr>
                    <w:jc w:val="center"/>
                    <w:rPr>
                      <w:color w:val="auto"/>
                      <w:szCs w:val="21"/>
                    </w:rPr>
                  </w:pPr>
                  <w:r>
                    <w:rPr>
                      <w:color w:val="auto"/>
                      <w:szCs w:val="21"/>
                    </w:rPr>
                    <w:t>—</w:t>
                  </w:r>
                </w:p>
              </w:tc>
              <w:tc>
                <w:tcPr>
                  <w:tcW w:w="995" w:type="dxa"/>
                  <w:vAlign w:val="center"/>
                </w:tcPr>
                <w:p w14:paraId="6F14257E">
                  <w:pPr>
                    <w:jc w:val="center"/>
                    <w:rPr>
                      <w:color w:val="auto"/>
                      <w:szCs w:val="21"/>
                    </w:rPr>
                  </w:pPr>
                  <w:r>
                    <w:rPr>
                      <w:rFonts w:hint="eastAsia"/>
                      <w:color w:val="auto"/>
                      <w:szCs w:val="21"/>
                    </w:rPr>
                    <w:t>0.033</w:t>
                  </w:r>
                </w:p>
              </w:tc>
            </w:tr>
            <w:tr w14:paraId="299B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restart"/>
                  <w:vAlign w:val="center"/>
                </w:tcPr>
                <w:p w14:paraId="5E809E55">
                  <w:pPr>
                    <w:jc w:val="center"/>
                    <w:rPr>
                      <w:color w:val="auto"/>
                      <w:szCs w:val="21"/>
                    </w:rPr>
                  </w:pPr>
                  <w:r>
                    <w:rPr>
                      <w:color w:val="auto"/>
                      <w:szCs w:val="21"/>
                    </w:rPr>
                    <w:t>化粪池</w:t>
                  </w:r>
                </w:p>
                <w:p w14:paraId="07470C4F">
                  <w:pPr>
                    <w:jc w:val="center"/>
                    <w:rPr>
                      <w:color w:val="auto"/>
                      <w:szCs w:val="21"/>
                    </w:rPr>
                  </w:pPr>
                  <w:r>
                    <w:rPr>
                      <w:color w:val="auto"/>
                      <w:szCs w:val="21"/>
                    </w:rPr>
                    <w:t>出水</w:t>
                  </w:r>
                  <w:r>
                    <w:rPr>
                      <w:rFonts w:hint="eastAsia"/>
                      <w:color w:val="auto"/>
                      <w:szCs w:val="21"/>
                    </w:rPr>
                    <w:t>2591.5</w:t>
                  </w:r>
                  <w:r>
                    <w:rPr>
                      <w:color w:val="auto"/>
                      <w:szCs w:val="21"/>
                    </w:rPr>
                    <w:t>t/a</w:t>
                  </w:r>
                </w:p>
              </w:tc>
              <w:tc>
                <w:tcPr>
                  <w:tcW w:w="671" w:type="dxa"/>
                  <w:vAlign w:val="center"/>
                </w:tcPr>
                <w:p w14:paraId="4BAFD59E">
                  <w:pPr>
                    <w:jc w:val="center"/>
                    <w:rPr>
                      <w:color w:val="auto"/>
                      <w:szCs w:val="21"/>
                    </w:rPr>
                  </w:pPr>
                  <w:r>
                    <w:rPr>
                      <w:color w:val="auto"/>
                      <w:szCs w:val="21"/>
                    </w:rPr>
                    <w:t>出水浓度mg/L</w:t>
                  </w:r>
                </w:p>
              </w:tc>
              <w:tc>
                <w:tcPr>
                  <w:tcW w:w="1065" w:type="dxa"/>
                  <w:vAlign w:val="center"/>
                </w:tcPr>
                <w:p w14:paraId="33A2DA9A">
                  <w:pPr>
                    <w:jc w:val="center"/>
                    <w:rPr>
                      <w:color w:val="auto"/>
                      <w:szCs w:val="21"/>
                    </w:rPr>
                  </w:pPr>
                  <w:r>
                    <w:rPr>
                      <w:rFonts w:hint="eastAsia"/>
                      <w:color w:val="auto"/>
                      <w:szCs w:val="21"/>
                    </w:rPr>
                    <w:t>7</w:t>
                  </w:r>
                </w:p>
              </w:tc>
              <w:tc>
                <w:tcPr>
                  <w:tcW w:w="689" w:type="dxa"/>
                  <w:vAlign w:val="center"/>
                </w:tcPr>
                <w:p w14:paraId="09A9155F">
                  <w:pPr>
                    <w:jc w:val="center"/>
                    <w:rPr>
                      <w:color w:val="auto"/>
                      <w:szCs w:val="21"/>
                    </w:rPr>
                  </w:pPr>
                  <w:r>
                    <w:rPr>
                      <w:color w:val="auto"/>
                      <w:szCs w:val="21"/>
                    </w:rPr>
                    <w:t>240</w:t>
                  </w:r>
                </w:p>
              </w:tc>
              <w:tc>
                <w:tcPr>
                  <w:tcW w:w="740" w:type="dxa"/>
                  <w:vAlign w:val="center"/>
                </w:tcPr>
                <w:p w14:paraId="36A5A5AB">
                  <w:pPr>
                    <w:jc w:val="center"/>
                    <w:rPr>
                      <w:color w:val="auto"/>
                      <w:szCs w:val="21"/>
                    </w:rPr>
                  </w:pPr>
                  <w:r>
                    <w:rPr>
                      <w:rFonts w:hint="eastAsia"/>
                      <w:color w:val="auto"/>
                      <w:szCs w:val="21"/>
                    </w:rPr>
                    <w:t>143</w:t>
                  </w:r>
                </w:p>
              </w:tc>
              <w:tc>
                <w:tcPr>
                  <w:tcW w:w="689" w:type="dxa"/>
                  <w:vAlign w:val="center"/>
                </w:tcPr>
                <w:p w14:paraId="0BD167E4">
                  <w:pPr>
                    <w:jc w:val="center"/>
                    <w:rPr>
                      <w:color w:val="auto"/>
                      <w:szCs w:val="21"/>
                    </w:rPr>
                  </w:pPr>
                  <w:r>
                    <w:rPr>
                      <w:color w:val="auto"/>
                      <w:szCs w:val="21"/>
                    </w:rPr>
                    <w:t>80</w:t>
                  </w:r>
                </w:p>
              </w:tc>
              <w:tc>
                <w:tcPr>
                  <w:tcW w:w="821" w:type="dxa"/>
                  <w:vAlign w:val="center"/>
                </w:tcPr>
                <w:p w14:paraId="7B8B5657">
                  <w:pPr>
                    <w:jc w:val="center"/>
                    <w:rPr>
                      <w:color w:val="auto"/>
                      <w:szCs w:val="21"/>
                    </w:rPr>
                  </w:pPr>
                  <w:r>
                    <w:rPr>
                      <w:color w:val="auto"/>
                      <w:szCs w:val="21"/>
                    </w:rPr>
                    <w:t>32</w:t>
                  </w:r>
                </w:p>
              </w:tc>
              <w:tc>
                <w:tcPr>
                  <w:tcW w:w="1182" w:type="dxa"/>
                  <w:vAlign w:val="center"/>
                </w:tcPr>
                <w:p w14:paraId="2B7C3082">
                  <w:pPr>
                    <w:jc w:val="center"/>
                    <w:rPr>
                      <w:color w:val="auto"/>
                      <w:szCs w:val="21"/>
                    </w:rPr>
                  </w:pPr>
                  <w:r>
                    <w:rPr>
                      <w:color w:val="auto"/>
                      <w:szCs w:val="21"/>
                    </w:rPr>
                    <w:t>3.0×10</w:t>
                  </w:r>
                  <w:r>
                    <w:rPr>
                      <w:color w:val="auto"/>
                      <w:szCs w:val="21"/>
                      <w:vertAlign w:val="superscript"/>
                    </w:rPr>
                    <w:t>8</w:t>
                  </w:r>
                </w:p>
              </w:tc>
              <w:tc>
                <w:tcPr>
                  <w:tcW w:w="1020" w:type="dxa"/>
                  <w:vAlign w:val="center"/>
                </w:tcPr>
                <w:p w14:paraId="565DAA17">
                  <w:pPr>
                    <w:jc w:val="center"/>
                    <w:rPr>
                      <w:color w:val="auto"/>
                      <w:szCs w:val="21"/>
                    </w:rPr>
                  </w:pPr>
                  <w:r>
                    <w:rPr>
                      <w:color w:val="auto"/>
                      <w:szCs w:val="21"/>
                    </w:rPr>
                    <w:t>—</w:t>
                  </w:r>
                </w:p>
              </w:tc>
              <w:tc>
                <w:tcPr>
                  <w:tcW w:w="995" w:type="dxa"/>
                  <w:vAlign w:val="center"/>
                </w:tcPr>
                <w:p w14:paraId="62531D67">
                  <w:pPr>
                    <w:jc w:val="center"/>
                    <w:rPr>
                      <w:color w:val="auto"/>
                      <w:szCs w:val="21"/>
                    </w:rPr>
                  </w:pPr>
                  <w:r>
                    <w:rPr>
                      <w:rFonts w:hint="eastAsia"/>
                      <w:color w:val="auto"/>
                      <w:szCs w:val="21"/>
                    </w:rPr>
                    <w:t>10.4</w:t>
                  </w:r>
                </w:p>
              </w:tc>
            </w:tr>
            <w:tr w14:paraId="70E4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004" w:type="dxa"/>
                  <w:vMerge w:val="continue"/>
                  <w:vAlign w:val="center"/>
                </w:tcPr>
                <w:p w14:paraId="5DA993EF">
                  <w:pPr>
                    <w:jc w:val="center"/>
                    <w:rPr>
                      <w:color w:val="auto"/>
                      <w:szCs w:val="21"/>
                    </w:rPr>
                  </w:pPr>
                </w:p>
              </w:tc>
              <w:tc>
                <w:tcPr>
                  <w:tcW w:w="671" w:type="dxa"/>
                  <w:vAlign w:val="center"/>
                </w:tcPr>
                <w:p w14:paraId="4D9D2BBD">
                  <w:pPr>
                    <w:jc w:val="center"/>
                    <w:rPr>
                      <w:color w:val="auto"/>
                      <w:szCs w:val="21"/>
                    </w:rPr>
                  </w:pPr>
                  <w:r>
                    <w:rPr>
                      <w:color w:val="auto"/>
                      <w:szCs w:val="21"/>
                    </w:rPr>
                    <w:t>产生量t/a</w:t>
                  </w:r>
                </w:p>
              </w:tc>
              <w:tc>
                <w:tcPr>
                  <w:tcW w:w="1065" w:type="dxa"/>
                  <w:vAlign w:val="center"/>
                </w:tcPr>
                <w:p w14:paraId="21A3CB6D">
                  <w:pPr>
                    <w:jc w:val="center"/>
                    <w:rPr>
                      <w:color w:val="auto"/>
                      <w:szCs w:val="21"/>
                    </w:rPr>
                  </w:pPr>
                  <w:r>
                    <w:rPr>
                      <w:color w:val="auto"/>
                      <w:szCs w:val="21"/>
                    </w:rPr>
                    <w:t>—</w:t>
                  </w:r>
                </w:p>
              </w:tc>
              <w:tc>
                <w:tcPr>
                  <w:tcW w:w="689" w:type="dxa"/>
                  <w:vAlign w:val="center"/>
                </w:tcPr>
                <w:p w14:paraId="23BFDF4E">
                  <w:pPr>
                    <w:jc w:val="center"/>
                    <w:rPr>
                      <w:color w:val="auto"/>
                      <w:szCs w:val="21"/>
                    </w:rPr>
                  </w:pPr>
                  <w:r>
                    <w:rPr>
                      <w:rFonts w:hint="eastAsia"/>
                      <w:color w:val="auto"/>
                      <w:szCs w:val="21"/>
                    </w:rPr>
                    <w:t>0.622</w:t>
                  </w:r>
                </w:p>
              </w:tc>
              <w:tc>
                <w:tcPr>
                  <w:tcW w:w="740" w:type="dxa"/>
                  <w:vAlign w:val="center"/>
                </w:tcPr>
                <w:p w14:paraId="12E66A7C">
                  <w:pPr>
                    <w:jc w:val="center"/>
                    <w:rPr>
                      <w:color w:val="auto"/>
                      <w:szCs w:val="21"/>
                    </w:rPr>
                  </w:pPr>
                  <w:r>
                    <w:rPr>
                      <w:rFonts w:hint="eastAsia"/>
                      <w:color w:val="auto"/>
                      <w:szCs w:val="21"/>
                    </w:rPr>
                    <w:t>0.371</w:t>
                  </w:r>
                </w:p>
              </w:tc>
              <w:tc>
                <w:tcPr>
                  <w:tcW w:w="689" w:type="dxa"/>
                  <w:vAlign w:val="center"/>
                </w:tcPr>
                <w:p w14:paraId="2C8FE4E6">
                  <w:pPr>
                    <w:jc w:val="center"/>
                    <w:rPr>
                      <w:color w:val="auto"/>
                      <w:szCs w:val="21"/>
                    </w:rPr>
                  </w:pPr>
                  <w:r>
                    <w:rPr>
                      <w:rFonts w:hint="eastAsia"/>
                      <w:color w:val="auto"/>
                      <w:szCs w:val="21"/>
                    </w:rPr>
                    <w:t>0.207</w:t>
                  </w:r>
                </w:p>
              </w:tc>
              <w:tc>
                <w:tcPr>
                  <w:tcW w:w="821" w:type="dxa"/>
                  <w:vAlign w:val="center"/>
                </w:tcPr>
                <w:p w14:paraId="274D1AD5">
                  <w:pPr>
                    <w:jc w:val="center"/>
                    <w:rPr>
                      <w:color w:val="auto"/>
                      <w:szCs w:val="21"/>
                    </w:rPr>
                  </w:pPr>
                  <w:r>
                    <w:rPr>
                      <w:rFonts w:hint="eastAsia"/>
                      <w:color w:val="auto"/>
                      <w:szCs w:val="21"/>
                    </w:rPr>
                    <w:t>0.083</w:t>
                  </w:r>
                </w:p>
              </w:tc>
              <w:tc>
                <w:tcPr>
                  <w:tcW w:w="1182" w:type="dxa"/>
                  <w:vAlign w:val="center"/>
                </w:tcPr>
                <w:p w14:paraId="540B1799">
                  <w:pPr>
                    <w:jc w:val="center"/>
                    <w:rPr>
                      <w:color w:val="auto"/>
                      <w:szCs w:val="21"/>
                    </w:rPr>
                  </w:pPr>
                  <w:r>
                    <w:rPr>
                      <w:color w:val="auto"/>
                      <w:szCs w:val="21"/>
                    </w:rPr>
                    <w:t>—</w:t>
                  </w:r>
                </w:p>
              </w:tc>
              <w:tc>
                <w:tcPr>
                  <w:tcW w:w="1020" w:type="dxa"/>
                  <w:vAlign w:val="center"/>
                </w:tcPr>
                <w:p w14:paraId="48952797">
                  <w:pPr>
                    <w:jc w:val="center"/>
                    <w:rPr>
                      <w:color w:val="auto"/>
                      <w:szCs w:val="21"/>
                    </w:rPr>
                  </w:pPr>
                  <w:r>
                    <w:rPr>
                      <w:color w:val="auto"/>
                      <w:szCs w:val="21"/>
                    </w:rPr>
                    <w:t>—</w:t>
                  </w:r>
                </w:p>
              </w:tc>
              <w:tc>
                <w:tcPr>
                  <w:tcW w:w="995" w:type="dxa"/>
                  <w:vAlign w:val="center"/>
                </w:tcPr>
                <w:p w14:paraId="1D1CB1FC">
                  <w:pPr>
                    <w:jc w:val="center"/>
                    <w:rPr>
                      <w:color w:val="auto"/>
                      <w:szCs w:val="21"/>
                    </w:rPr>
                  </w:pPr>
                  <w:r>
                    <w:rPr>
                      <w:rFonts w:hint="eastAsia"/>
                      <w:color w:val="auto"/>
                      <w:szCs w:val="21"/>
                    </w:rPr>
                    <w:t>0.027</w:t>
                  </w:r>
                </w:p>
              </w:tc>
            </w:tr>
            <w:tr w14:paraId="5544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continue"/>
                  <w:vAlign w:val="center"/>
                </w:tcPr>
                <w:p w14:paraId="1690E5B4">
                  <w:pPr>
                    <w:jc w:val="center"/>
                    <w:rPr>
                      <w:color w:val="auto"/>
                      <w:szCs w:val="21"/>
                    </w:rPr>
                  </w:pPr>
                </w:p>
              </w:tc>
              <w:tc>
                <w:tcPr>
                  <w:tcW w:w="671" w:type="dxa"/>
                  <w:vAlign w:val="center"/>
                </w:tcPr>
                <w:p w14:paraId="4FC8E968">
                  <w:pPr>
                    <w:jc w:val="center"/>
                    <w:rPr>
                      <w:color w:val="auto"/>
                      <w:szCs w:val="21"/>
                    </w:rPr>
                  </w:pPr>
                  <w:r>
                    <w:rPr>
                      <w:color w:val="auto"/>
                      <w:szCs w:val="21"/>
                    </w:rPr>
                    <w:t>削减量t/a</w:t>
                  </w:r>
                </w:p>
              </w:tc>
              <w:tc>
                <w:tcPr>
                  <w:tcW w:w="1065" w:type="dxa"/>
                  <w:vAlign w:val="center"/>
                </w:tcPr>
                <w:p w14:paraId="69AF0B67">
                  <w:pPr>
                    <w:jc w:val="center"/>
                    <w:rPr>
                      <w:color w:val="auto"/>
                      <w:szCs w:val="21"/>
                    </w:rPr>
                  </w:pPr>
                  <w:r>
                    <w:rPr>
                      <w:color w:val="auto"/>
                      <w:szCs w:val="21"/>
                    </w:rPr>
                    <w:t>—</w:t>
                  </w:r>
                </w:p>
              </w:tc>
              <w:tc>
                <w:tcPr>
                  <w:tcW w:w="689" w:type="dxa"/>
                  <w:vAlign w:val="center"/>
                </w:tcPr>
                <w:p w14:paraId="7B555956">
                  <w:pPr>
                    <w:jc w:val="center"/>
                    <w:rPr>
                      <w:color w:val="auto"/>
                      <w:szCs w:val="21"/>
                    </w:rPr>
                  </w:pPr>
                  <w:r>
                    <w:rPr>
                      <w:rFonts w:hint="eastAsia"/>
                      <w:color w:val="auto"/>
                      <w:szCs w:val="21"/>
                    </w:rPr>
                    <w:t>0.155</w:t>
                  </w:r>
                </w:p>
              </w:tc>
              <w:tc>
                <w:tcPr>
                  <w:tcW w:w="740" w:type="dxa"/>
                  <w:vAlign w:val="center"/>
                </w:tcPr>
                <w:p w14:paraId="1451402A">
                  <w:pPr>
                    <w:jc w:val="center"/>
                    <w:rPr>
                      <w:color w:val="auto"/>
                      <w:szCs w:val="21"/>
                    </w:rPr>
                  </w:pPr>
                  <w:r>
                    <w:rPr>
                      <w:rFonts w:hint="eastAsia"/>
                      <w:color w:val="auto"/>
                      <w:szCs w:val="21"/>
                    </w:rPr>
                    <w:t>0.017</w:t>
                  </w:r>
                </w:p>
              </w:tc>
              <w:tc>
                <w:tcPr>
                  <w:tcW w:w="689" w:type="dxa"/>
                  <w:vAlign w:val="center"/>
                </w:tcPr>
                <w:p w14:paraId="0C1751EB">
                  <w:pPr>
                    <w:jc w:val="center"/>
                    <w:rPr>
                      <w:color w:val="auto"/>
                      <w:szCs w:val="21"/>
                    </w:rPr>
                  </w:pPr>
                  <w:r>
                    <w:rPr>
                      <w:rFonts w:hint="eastAsia"/>
                      <w:color w:val="auto"/>
                      <w:szCs w:val="21"/>
                    </w:rPr>
                    <w:t>0.104</w:t>
                  </w:r>
                </w:p>
              </w:tc>
              <w:tc>
                <w:tcPr>
                  <w:tcW w:w="821" w:type="dxa"/>
                  <w:vAlign w:val="center"/>
                </w:tcPr>
                <w:p w14:paraId="75AE62DC">
                  <w:pPr>
                    <w:jc w:val="center"/>
                    <w:rPr>
                      <w:color w:val="auto"/>
                      <w:szCs w:val="21"/>
                    </w:rPr>
                  </w:pPr>
                  <w:r>
                    <w:rPr>
                      <w:rFonts w:hint="eastAsia"/>
                      <w:color w:val="auto"/>
                      <w:szCs w:val="21"/>
                    </w:rPr>
                    <w:t>0.021</w:t>
                  </w:r>
                </w:p>
              </w:tc>
              <w:tc>
                <w:tcPr>
                  <w:tcW w:w="1182" w:type="dxa"/>
                  <w:vAlign w:val="center"/>
                </w:tcPr>
                <w:p w14:paraId="3E137E7E">
                  <w:pPr>
                    <w:jc w:val="center"/>
                    <w:rPr>
                      <w:color w:val="auto"/>
                      <w:szCs w:val="21"/>
                    </w:rPr>
                  </w:pPr>
                  <w:r>
                    <w:rPr>
                      <w:color w:val="auto"/>
                      <w:szCs w:val="21"/>
                    </w:rPr>
                    <w:t>—</w:t>
                  </w:r>
                </w:p>
              </w:tc>
              <w:tc>
                <w:tcPr>
                  <w:tcW w:w="1020" w:type="dxa"/>
                  <w:vAlign w:val="center"/>
                </w:tcPr>
                <w:p w14:paraId="0CE88942">
                  <w:pPr>
                    <w:jc w:val="center"/>
                    <w:rPr>
                      <w:color w:val="auto"/>
                      <w:szCs w:val="21"/>
                    </w:rPr>
                  </w:pPr>
                  <w:r>
                    <w:rPr>
                      <w:color w:val="auto"/>
                      <w:szCs w:val="21"/>
                    </w:rPr>
                    <w:t>—</w:t>
                  </w:r>
                </w:p>
              </w:tc>
              <w:tc>
                <w:tcPr>
                  <w:tcW w:w="995" w:type="dxa"/>
                  <w:vAlign w:val="center"/>
                </w:tcPr>
                <w:p w14:paraId="4FE66884">
                  <w:pPr>
                    <w:jc w:val="center"/>
                    <w:rPr>
                      <w:color w:val="auto"/>
                      <w:szCs w:val="21"/>
                    </w:rPr>
                  </w:pPr>
                  <w:r>
                    <w:rPr>
                      <w:rFonts w:hint="eastAsia"/>
                      <w:color w:val="auto"/>
                      <w:szCs w:val="21"/>
                    </w:rPr>
                    <w:t>0.006</w:t>
                  </w:r>
                </w:p>
              </w:tc>
            </w:tr>
            <w:tr w14:paraId="7DD3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restart"/>
                  <w:vAlign w:val="center"/>
                </w:tcPr>
                <w:p w14:paraId="3CC96059">
                  <w:pPr>
                    <w:jc w:val="center"/>
                    <w:rPr>
                      <w:color w:val="auto"/>
                      <w:szCs w:val="21"/>
                    </w:rPr>
                  </w:pPr>
                  <w:r>
                    <w:rPr>
                      <w:color w:val="auto"/>
                      <w:szCs w:val="21"/>
                    </w:rPr>
                    <w:t>污水处理站出水</w:t>
                  </w:r>
                  <w:r>
                    <w:rPr>
                      <w:rFonts w:hint="eastAsia"/>
                      <w:color w:val="auto"/>
                      <w:szCs w:val="21"/>
                    </w:rPr>
                    <w:t>2591.5</w:t>
                  </w:r>
                  <w:r>
                    <w:rPr>
                      <w:color w:val="auto"/>
                      <w:szCs w:val="21"/>
                    </w:rPr>
                    <w:t>t/a</w:t>
                  </w:r>
                </w:p>
              </w:tc>
              <w:tc>
                <w:tcPr>
                  <w:tcW w:w="671" w:type="dxa"/>
                  <w:vAlign w:val="center"/>
                </w:tcPr>
                <w:p w14:paraId="14821A84">
                  <w:pPr>
                    <w:jc w:val="center"/>
                    <w:rPr>
                      <w:color w:val="auto"/>
                      <w:szCs w:val="21"/>
                    </w:rPr>
                  </w:pPr>
                  <w:r>
                    <w:rPr>
                      <w:color w:val="auto"/>
                      <w:szCs w:val="21"/>
                    </w:rPr>
                    <w:t>排放浓度mg/L</w:t>
                  </w:r>
                </w:p>
              </w:tc>
              <w:tc>
                <w:tcPr>
                  <w:tcW w:w="1065" w:type="dxa"/>
                  <w:vAlign w:val="center"/>
                </w:tcPr>
                <w:p w14:paraId="5E3FE7CF">
                  <w:pPr>
                    <w:jc w:val="center"/>
                    <w:rPr>
                      <w:color w:val="auto"/>
                      <w:szCs w:val="21"/>
                    </w:rPr>
                  </w:pPr>
                  <w:r>
                    <w:rPr>
                      <w:rFonts w:hint="eastAsia"/>
                      <w:color w:val="auto"/>
                      <w:szCs w:val="21"/>
                    </w:rPr>
                    <w:t>7.85~7.87</w:t>
                  </w:r>
                </w:p>
              </w:tc>
              <w:tc>
                <w:tcPr>
                  <w:tcW w:w="689" w:type="dxa"/>
                  <w:vAlign w:val="center"/>
                </w:tcPr>
                <w:p w14:paraId="54ACD055">
                  <w:pPr>
                    <w:jc w:val="center"/>
                    <w:rPr>
                      <w:color w:val="auto"/>
                      <w:szCs w:val="21"/>
                    </w:rPr>
                  </w:pPr>
                  <w:r>
                    <w:rPr>
                      <w:rFonts w:hint="eastAsia"/>
                      <w:color w:val="auto"/>
                      <w:szCs w:val="21"/>
                    </w:rPr>
                    <w:t>44</w:t>
                  </w:r>
                </w:p>
              </w:tc>
              <w:tc>
                <w:tcPr>
                  <w:tcW w:w="740" w:type="dxa"/>
                  <w:vAlign w:val="center"/>
                </w:tcPr>
                <w:p w14:paraId="04C12872">
                  <w:pPr>
                    <w:jc w:val="center"/>
                    <w:rPr>
                      <w:color w:val="auto"/>
                      <w:szCs w:val="21"/>
                    </w:rPr>
                  </w:pPr>
                  <w:r>
                    <w:rPr>
                      <w:rFonts w:hint="eastAsia"/>
                      <w:color w:val="auto"/>
                      <w:szCs w:val="21"/>
                    </w:rPr>
                    <w:t>7.2</w:t>
                  </w:r>
                </w:p>
              </w:tc>
              <w:tc>
                <w:tcPr>
                  <w:tcW w:w="689" w:type="dxa"/>
                  <w:vAlign w:val="center"/>
                </w:tcPr>
                <w:p w14:paraId="01394F8C">
                  <w:pPr>
                    <w:jc w:val="center"/>
                    <w:rPr>
                      <w:color w:val="auto"/>
                      <w:szCs w:val="21"/>
                    </w:rPr>
                  </w:pPr>
                  <w:r>
                    <w:rPr>
                      <w:rFonts w:hint="eastAsia"/>
                      <w:color w:val="auto"/>
                      <w:szCs w:val="21"/>
                    </w:rPr>
                    <w:t>17</w:t>
                  </w:r>
                </w:p>
              </w:tc>
              <w:tc>
                <w:tcPr>
                  <w:tcW w:w="821" w:type="dxa"/>
                  <w:vAlign w:val="center"/>
                </w:tcPr>
                <w:p w14:paraId="0EAD4ED5">
                  <w:pPr>
                    <w:jc w:val="center"/>
                    <w:rPr>
                      <w:color w:val="auto"/>
                      <w:szCs w:val="21"/>
                    </w:rPr>
                  </w:pPr>
                  <w:r>
                    <w:rPr>
                      <w:rFonts w:hint="eastAsia"/>
                      <w:color w:val="auto"/>
                      <w:szCs w:val="21"/>
                    </w:rPr>
                    <w:t>13.4</w:t>
                  </w:r>
                </w:p>
              </w:tc>
              <w:tc>
                <w:tcPr>
                  <w:tcW w:w="1182" w:type="dxa"/>
                  <w:vAlign w:val="center"/>
                </w:tcPr>
                <w:p w14:paraId="29B5F1DC">
                  <w:pPr>
                    <w:jc w:val="center"/>
                    <w:rPr>
                      <w:color w:val="auto"/>
                      <w:szCs w:val="21"/>
                    </w:rPr>
                  </w:pPr>
                  <w:r>
                    <w:rPr>
                      <w:rFonts w:hint="eastAsia"/>
                      <w:color w:val="auto"/>
                      <w:szCs w:val="21"/>
                    </w:rPr>
                    <w:t>70</w:t>
                  </w:r>
                </w:p>
              </w:tc>
              <w:tc>
                <w:tcPr>
                  <w:tcW w:w="1020" w:type="dxa"/>
                  <w:vAlign w:val="center"/>
                </w:tcPr>
                <w:p w14:paraId="440C57E8">
                  <w:pPr>
                    <w:jc w:val="center"/>
                    <w:rPr>
                      <w:color w:val="auto"/>
                      <w:szCs w:val="21"/>
                    </w:rPr>
                  </w:pPr>
                  <w:r>
                    <w:rPr>
                      <w:rFonts w:hint="eastAsia"/>
                      <w:color w:val="auto"/>
                      <w:szCs w:val="21"/>
                    </w:rPr>
                    <w:t>0.4</w:t>
                  </w:r>
                </w:p>
              </w:tc>
              <w:tc>
                <w:tcPr>
                  <w:tcW w:w="995" w:type="dxa"/>
                  <w:vAlign w:val="center"/>
                </w:tcPr>
                <w:p w14:paraId="28952C59">
                  <w:pPr>
                    <w:jc w:val="center"/>
                    <w:rPr>
                      <w:color w:val="auto"/>
                      <w:szCs w:val="21"/>
                    </w:rPr>
                  </w:pPr>
                  <w:r>
                    <w:rPr>
                      <w:rFonts w:hint="eastAsia"/>
                      <w:color w:val="auto"/>
                      <w:szCs w:val="21"/>
                    </w:rPr>
                    <w:t>4.69</w:t>
                  </w:r>
                </w:p>
              </w:tc>
            </w:tr>
            <w:tr w14:paraId="59D2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continue"/>
                  <w:vAlign w:val="center"/>
                </w:tcPr>
                <w:p w14:paraId="256732CB">
                  <w:pPr>
                    <w:jc w:val="center"/>
                    <w:rPr>
                      <w:color w:val="auto"/>
                      <w:szCs w:val="21"/>
                    </w:rPr>
                  </w:pPr>
                </w:p>
              </w:tc>
              <w:tc>
                <w:tcPr>
                  <w:tcW w:w="671" w:type="dxa"/>
                  <w:vAlign w:val="center"/>
                </w:tcPr>
                <w:p w14:paraId="03145BA9">
                  <w:pPr>
                    <w:jc w:val="center"/>
                    <w:rPr>
                      <w:color w:val="auto"/>
                      <w:szCs w:val="21"/>
                    </w:rPr>
                  </w:pPr>
                  <w:r>
                    <w:rPr>
                      <w:color w:val="auto"/>
                      <w:szCs w:val="21"/>
                    </w:rPr>
                    <w:t>排放量t/a</w:t>
                  </w:r>
                </w:p>
              </w:tc>
              <w:tc>
                <w:tcPr>
                  <w:tcW w:w="1065" w:type="dxa"/>
                  <w:vAlign w:val="center"/>
                </w:tcPr>
                <w:p w14:paraId="3F0D0191">
                  <w:pPr>
                    <w:jc w:val="center"/>
                    <w:rPr>
                      <w:color w:val="auto"/>
                      <w:szCs w:val="21"/>
                    </w:rPr>
                  </w:pPr>
                  <w:r>
                    <w:rPr>
                      <w:color w:val="auto"/>
                      <w:szCs w:val="21"/>
                    </w:rPr>
                    <w:t>—</w:t>
                  </w:r>
                </w:p>
              </w:tc>
              <w:tc>
                <w:tcPr>
                  <w:tcW w:w="689" w:type="dxa"/>
                  <w:vAlign w:val="center"/>
                </w:tcPr>
                <w:p w14:paraId="7101E0BB">
                  <w:pPr>
                    <w:jc w:val="center"/>
                    <w:rPr>
                      <w:color w:val="auto"/>
                      <w:szCs w:val="21"/>
                    </w:rPr>
                  </w:pPr>
                  <w:r>
                    <w:rPr>
                      <w:rFonts w:hint="eastAsia"/>
                      <w:color w:val="auto"/>
                      <w:szCs w:val="21"/>
                    </w:rPr>
                    <w:t>0.114</w:t>
                  </w:r>
                </w:p>
              </w:tc>
              <w:tc>
                <w:tcPr>
                  <w:tcW w:w="740" w:type="dxa"/>
                  <w:vAlign w:val="center"/>
                </w:tcPr>
                <w:p w14:paraId="70175A98">
                  <w:pPr>
                    <w:jc w:val="center"/>
                    <w:rPr>
                      <w:color w:val="auto"/>
                    </w:rPr>
                  </w:pPr>
                  <w:r>
                    <w:rPr>
                      <w:rFonts w:hint="eastAsia"/>
                      <w:color w:val="auto"/>
                    </w:rPr>
                    <w:t>0.019</w:t>
                  </w:r>
                </w:p>
              </w:tc>
              <w:tc>
                <w:tcPr>
                  <w:tcW w:w="689" w:type="dxa"/>
                  <w:vAlign w:val="center"/>
                </w:tcPr>
                <w:p w14:paraId="4AFB7261">
                  <w:pPr>
                    <w:jc w:val="center"/>
                    <w:rPr>
                      <w:color w:val="auto"/>
                      <w:szCs w:val="21"/>
                    </w:rPr>
                  </w:pPr>
                  <w:r>
                    <w:rPr>
                      <w:rFonts w:hint="eastAsia"/>
                      <w:color w:val="auto"/>
                      <w:szCs w:val="21"/>
                    </w:rPr>
                    <w:t>0.044</w:t>
                  </w:r>
                </w:p>
              </w:tc>
              <w:tc>
                <w:tcPr>
                  <w:tcW w:w="821" w:type="dxa"/>
                  <w:vAlign w:val="center"/>
                </w:tcPr>
                <w:p w14:paraId="2B5FC224">
                  <w:pPr>
                    <w:jc w:val="center"/>
                    <w:rPr>
                      <w:color w:val="auto"/>
                      <w:szCs w:val="21"/>
                    </w:rPr>
                  </w:pPr>
                  <w:r>
                    <w:rPr>
                      <w:rFonts w:hint="eastAsia"/>
                      <w:color w:val="auto"/>
                      <w:szCs w:val="21"/>
                    </w:rPr>
                    <w:t>0.035</w:t>
                  </w:r>
                </w:p>
              </w:tc>
              <w:tc>
                <w:tcPr>
                  <w:tcW w:w="1182" w:type="dxa"/>
                  <w:vAlign w:val="center"/>
                </w:tcPr>
                <w:p w14:paraId="13A79CD2">
                  <w:pPr>
                    <w:jc w:val="center"/>
                    <w:rPr>
                      <w:color w:val="auto"/>
                      <w:szCs w:val="21"/>
                    </w:rPr>
                  </w:pPr>
                  <w:r>
                    <w:rPr>
                      <w:color w:val="auto"/>
                      <w:szCs w:val="21"/>
                    </w:rPr>
                    <w:t>—</w:t>
                  </w:r>
                </w:p>
              </w:tc>
              <w:tc>
                <w:tcPr>
                  <w:tcW w:w="1020" w:type="dxa"/>
                  <w:vAlign w:val="center"/>
                </w:tcPr>
                <w:p w14:paraId="2037F18B">
                  <w:pPr>
                    <w:jc w:val="center"/>
                    <w:rPr>
                      <w:color w:val="auto"/>
                      <w:szCs w:val="21"/>
                    </w:rPr>
                  </w:pPr>
                  <w:r>
                    <w:rPr>
                      <w:color w:val="auto"/>
                      <w:szCs w:val="21"/>
                    </w:rPr>
                    <w:t>—</w:t>
                  </w:r>
                </w:p>
              </w:tc>
              <w:tc>
                <w:tcPr>
                  <w:tcW w:w="995" w:type="dxa"/>
                  <w:vAlign w:val="center"/>
                </w:tcPr>
                <w:p w14:paraId="1D3A1F64">
                  <w:pPr>
                    <w:jc w:val="center"/>
                    <w:rPr>
                      <w:color w:val="auto"/>
                      <w:szCs w:val="21"/>
                    </w:rPr>
                  </w:pPr>
                  <w:r>
                    <w:rPr>
                      <w:rFonts w:hint="eastAsia"/>
                      <w:color w:val="auto"/>
                      <w:szCs w:val="21"/>
                    </w:rPr>
                    <w:t>0.012</w:t>
                  </w:r>
                </w:p>
              </w:tc>
            </w:tr>
            <w:tr w14:paraId="50E9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continue"/>
                  <w:vAlign w:val="center"/>
                </w:tcPr>
                <w:p w14:paraId="0CED582F">
                  <w:pPr>
                    <w:jc w:val="center"/>
                    <w:rPr>
                      <w:color w:val="auto"/>
                      <w:szCs w:val="21"/>
                    </w:rPr>
                  </w:pPr>
                </w:p>
              </w:tc>
              <w:tc>
                <w:tcPr>
                  <w:tcW w:w="671" w:type="dxa"/>
                  <w:vAlign w:val="center"/>
                </w:tcPr>
                <w:p w14:paraId="085CB8A7">
                  <w:pPr>
                    <w:jc w:val="center"/>
                    <w:rPr>
                      <w:color w:val="auto"/>
                      <w:szCs w:val="21"/>
                    </w:rPr>
                  </w:pPr>
                  <w:r>
                    <w:rPr>
                      <w:color w:val="auto"/>
                      <w:szCs w:val="21"/>
                    </w:rPr>
                    <w:t>削减量t/a</w:t>
                  </w:r>
                </w:p>
              </w:tc>
              <w:tc>
                <w:tcPr>
                  <w:tcW w:w="1065" w:type="dxa"/>
                  <w:vAlign w:val="center"/>
                </w:tcPr>
                <w:p w14:paraId="68248D45">
                  <w:pPr>
                    <w:jc w:val="center"/>
                    <w:rPr>
                      <w:color w:val="auto"/>
                      <w:szCs w:val="21"/>
                    </w:rPr>
                  </w:pPr>
                  <w:r>
                    <w:rPr>
                      <w:color w:val="auto"/>
                      <w:szCs w:val="21"/>
                    </w:rPr>
                    <w:t>—</w:t>
                  </w:r>
                </w:p>
              </w:tc>
              <w:tc>
                <w:tcPr>
                  <w:tcW w:w="689" w:type="dxa"/>
                  <w:vAlign w:val="center"/>
                </w:tcPr>
                <w:p w14:paraId="5D4C8F85">
                  <w:pPr>
                    <w:jc w:val="center"/>
                    <w:rPr>
                      <w:color w:val="auto"/>
                      <w:szCs w:val="21"/>
                    </w:rPr>
                  </w:pPr>
                  <w:r>
                    <w:rPr>
                      <w:rFonts w:hint="eastAsia"/>
                      <w:color w:val="auto"/>
                      <w:szCs w:val="21"/>
                    </w:rPr>
                    <w:t>0.508</w:t>
                  </w:r>
                </w:p>
              </w:tc>
              <w:tc>
                <w:tcPr>
                  <w:tcW w:w="740" w:type="dxa"/>
                  <w:vAlign w:val="center"/>
                </w:tcPr>
                <w:p w14:paraId="5D2ABA08">
                  <w:pPr>
                    <w:jc w:val="center"/>
                    <w:rPr>
                      <w:color w:val="auto"/>
                      <w:szCs w:val="21"/>
                    </w:rPr>
                  </w:pPr>
                  <w:r>
                    <w:rPr>
                      <w:rFonts w:hint="eastAsia"/>
                      <w:color w:val="auto"/>
                      <w:szCs w:val="21"/>
                    </w:rPr>
                    <w:t>0.292</w:t>
                  </w:r>
                </w:p>
              </w:tc>
              <w:tc>
                <w:tcPr>
                  <w:tcW w:w="689" w:type="dxa"/>
                  <w:vAlign w:val="center"/>
                </w:tcPr>
                <w:p w14:paraId="4B2FA125">
                  <w:pPr>
                    <w:jc w:val="center"/>
                    <w:rPr>
                      <w:color w:val="auto"/>
                      <w:szCs w:val="21"/>
                    </w:rPr>
                  </w:pPr>
                  <w:r>
                    <w:rPr>
                      <w:rFonts w:hint="eastAsia"/>
                      <w:color w:val="auto"/>
                      <w:szCs w:val="21"/>
                    </w:rPr>
                    <w:t>0.163</w:t>
                  </w:r>
                </w:p>
              </w:tc>
              <w:tc>
                <w:tcPr>
                  <w:tcW w:w="821" w:type="dxa"/>
                  <w:vAlign w:val="center"/>
                </w:tcPr>
                <w:p w14:paraId="7D45D2EB">
                  <w:pPr>
                    <w:jc w:val="center"/>
                    <w:rPr>
                      <w:color w:val="auto"/>
                      <w:szCs w:val="21"/>
                    </w:rPr>
                  </w:pPr>
                  <w:r>
                    <w:rPr>
                      <w:rFonts w:hint="eastAsia"/>
                      <w:color w:val="auto"/>
                      <w:szCs w:val="21"/>
                    </w:rPr>
                    <w:t>0.048</w:t>
                  </w:r>
                </w:p>
              </w:tc>
              <w:tc>
                <w:tcPr>
                  <w:tcW w:w="1182" w:type="dxa"/>
                  <w:vAlign w:val="center"/>
                </w:tcPr>
                <w:p w14:paraId="7AB97056">
                  <w:pPr>
                    <w:jc w:val="center"/>
                    <w:rPr>
                      <w:color w:val="auto"/>
                      <w:szCs w:val="21"/>
                    </w:rPr>
                  </w:pPr>
                  <w:r>
                    <w:rPr>
                      <w:color w:val="auto"/>
                      <w:szCs w:val="21"/>
                    </w:rPr>
                    <w:t>—</w:t>
                  </w:r>
                </w:p>
              </w:tc>
              <w:tc>
                <w:tcPr>
                  <w:tcW w:w="1020" w:type="dxa"/>
                  <w:vAlign w:val="center"/>
                </w:tcPr>
                <w:p w14:paraId="371793E5">
                  <w:pPr>
                    <w:jc w:val="center"/>
                    <w:rPr>
                      <w:color w:val="auto"/>
                      <w:szCs w:val="21"/>
                    </w:rPr>
                  </w:pPr>
                  <w:r>
                    <w:rPr>
                      <w:color w:val="auto"/>
                      <w:szCs w:val="21"/>
                    </w:rPr>
                    <w:t>—</w:t>
                  </w:r>
                </w:p>
              </w:tc>
              <w:tc>
                <w:tcPr>
                  <w:tcW w:w="995" w:type="dxa"/>
                  <w:vAlign w:val="center"/>
                </w:tcPr>
                <w:p w14:paraId="1E918D63">
                  <w:pPr>
                    <w:jc w:val="center"/>
                    <w:rPr>
                      <w:color w:val="auto"/>
                      <w:szCs w:val="21"/>
                    </w:rPr>
                  </w:pPr>
                  <w:r>
                    <w:rPr>
                      <w:rFonts w:hint="eastAsia"/>
                      <w:color w:val="auto"/>
                      <w:szCs w:val="21"/>
                    </w:rPr>
                    <w:t>0.015</w:t>
                  </w:r>
                </w:p>
              </w:tc>
            </w:tr>
            <w:tr w14:paraId="5B21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675" w:type="dxa"/>
                  <w:gridSpan w:val="2"/>
                  <w:vAlign w:val="center"/>
                </w:tcPr>
                <w:p w14:paraId="35DA77EF">
                  <w:pPr>
                    <w:jc w:val="center"/>
                    <w:rPr>
                      <w:color w:val="auto"/>
                      <w:szCs w:val="21"/>
                    </w:rPr>
                  </w:pPr>
                  <w:r>
                    <w:rPr>
                      <w:color w:val="auto"/>
                      <w:szCs w:val="21"/>
                    </w:rPr>
                    <w:t>削减量合计t/a</w:t>
                  </w:r>
                </w:p>
              </w:tc>
              <w:tc>
                <w:tcPr>
                  <w:tcW w:w="1065" w:type="dxa"/>
                  <w:vAlign w:val="center"/>
                </w:tcPr>
                <w:p w14:paraId="1937E930">
                  <w:pPr>
                    <w:jc w:val="center"/>
                    <w:rPr>
                      <w:color w:val="auto"/>
                      <w:szCs w:val="21"/>
                    </w:rPr>
                  </w:pPr>
                  <w:r>
                    <w:rPr>
                      <w:color w:val="auto"/>
                      <w:szCs w:val="21"/>
                    </w:rPr>
                    <w:t>—</w:t>
                  </w:r>
                </w:p>
              </w:tc>
              <w:tc>
                <w:tcPr>
                  <w:tcW w:w="689" w:type="dxa"/>
                  <w:vAlign w:val="center"/>
                </w:tcPr>
                <w:p w14:paraId="10F9965B">
                  <w:pPr>
                    <w:jc w:val="center"/>
                    <w:rPr>
                      <w:color w:val="auto"/>
                      <w:szCs w:val="21"/>
                    </w:rPr>
                  </w:pPr>
                  <w:r>
                    <w:rPr>
                      <w:rFonts w:hint="eastAsia"/>
                      <w:color w:val="auto"/>
                      <w:szCs w:val="21"/>
                    </w:rPr>
                    <w:t>0.663</w:t>
                  </w:r>
                </w:p>
              </w:tc>
              <w:tc>
                <w:tcPr>
                  <w:tcW w:w="740" w:type="dxa"/>
                  <w:vAlign w:val="center"/>
                </w:tcPr>
                <w:p w14:paraId="5209D236">
                  <w:pPr>
                    <w:jc w:val="center"/>
                    <w:rPr>
                      <w:color w:val="auto"/>
                      <w:szCs w:val="21"/>
                    </w:rPr>
                  </w:pPr>
                  <w:r>
                    <w:rPr>
                      <w:rFonts w:hint="eastAsia"/>
                      <w:color w:val="auto"/>
                      <w:szCs w:val="21"/>
                    </w:rPr>
                    <w:t>0.369</w:t>
                  </w:r>
                </w:p>
              </w:tc>
              <w:tc>
                <w:tcPr>
                  <w:tcW w:w="689" w:type="dxa"/>
                  <w:vAlign w:val="center"/>
                </w:tcPr>
                <w:p w14:paraId="5DD24173">
                  <w:pPr>
                    <w:jc w:val="center"/>
                    <w:rPr>
                      <w:color w:val="auto"/>
                      <w:szCs w:val="21"/>
                    </w:rPr>
                  </w:pPr>
                  <w:r>
                    <w:rPr>
                      <w:rFonts w:hint="eastAsia"/>
                      <w:color w:val="auto"/>
                      <w:szCs w:val="21"/>
                    </w:rPr>
                    <w:t>0.267</w:t>
                  </w:r>
                </w:p>
              </w:tc>
              <w:tc>
                <w:tcPr>
                  <w:tcW w:w="821" w:type="dxa"/>
                  <w:vAlign w:val="center"/>
                </w:tcPr>
                <w:p w14:paraId="6625BED4">
                  <w:pPr>
                    <w:jc w:val="center"/>
                    <w:rPr>
                      <w:color w:val="auto"/>
                      <w:szCs w:val="21"/>
                    </w:rPr>
                  </w:pPr>
                  <w:r>
                    <w:rPr>
                      <w:rFonts w:hint="eastAsia"/>
                      <w:color w:val="auto"/>
                      <w:szCs w:val="21"/>
                    </w:rPr>
                    <w:t>0.069</w:t>
                  </w:r>
                </w:p>
              </w:tc>
              <w:tc>
                <w:tcPr>
                  <w:tcW w:w="1182" w:type="dxa"/>
                  <w:vAlign w:val="center"/>
                </w:tcPr>
                <w:p w14:paraId="5116B3FD">
                  <w:pPr>
                    <w:jc w:val="center"/>
                    <w:rPr>
                      <w:color w:val="auto"/>
                      <w:szCs w:val="21"/>
                    </w:rPr>
                  </w:pPr>
                  <w:r>
                    <w:rPr>
                      <w:color w:val="auto"/>
                      <w:szCs w:val="21"/>
                    </w:rPr>
                    <w:t>—</w:t>
                  </w:r>
                </w:p>
              </w:tc>
              <w:tc>
                <w:tcPr>
                  <w:tcW w:w="1020" w:type="dxa"/>
                  <w:vAlign w:val="center"/>
                </w:tcPr>
                <w:p w14:paraId="6F03DD1B">
                  <w:pPr>
                    <w:jc w:val="center"/>
                    <w:rPr>
                      <w:color w:val="auto"/>
                      <w:szCs w:val="21"/>
                    </w:rPr>
                  </w:pPr>
                  <w:r>
                    <w:rPr>
                      <w:color w:val="auto"/>
                      <w:szCs w:val="21"/>
                    </w:rPr>
                    <w:t>—</w:t>
                  </w:r>
                </w:p>
              </w:tc>
              <w:tc>
                <w:tcPr>
                  <w:tcW w:w="995" w:type="dxa"/>
                  <w:vAlign w:val="center"/>
                </w:tcPr>
                <w:p w14:paraId="024639BE">
                  <w:pPr>
                    <w:jc w:val="center"/>
                    <w:rPr>
                      <w:color w:val="auto"/>
                      <w:szCs w:val="21"/>
                    </w:rPr>
                  </w:pPr>
                  <w:r>
                    <w:rPr>
                      <w:rFonts w:hint="eastAsia"/>
                      <w:color w:val="auto"/>
                      <w:szCs w:val="21"/>
                    </w:rPr>
                    <w:t>0.021</w:t>
                  </w:r>
                </w:p>
              </w:tc>
            </w:tr>
          </w:tbl>
          <w:p w14:paraId="3BF1D2E7">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9</w:t>
            </w:r>
            <w:r>
              <w:rPr>
                <w:b/>
                <w:color w:val="auto"/>
                <w:sz w:val="24"/>
              </w:rPr>
              <w:t xml:space="preserve"> </w:t>
            </w:r>
            <w:r>
              <w:rPr>
                <w:rFonts w:hint="eastAsia"/>
                <w:b/>
                <w:color w:val="auto"/>
                <w:sz w:val="24"/>
              </w:rPr>
              <w:t>本项目（九龙卫生院）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671"/>
              <w:gridCol w:w="1065"/>
              <w:gridCol w:w="689"/>
              <w:gridCol w:w="740"/>
              <w:gridCol w:w="689"/>
              <w:gridCol w:w="821"/>
              <w:gridCol w:w="1017"/>
              <w:gridCol w:w="900"/>
              <w:gridCol w:w="1175"/>
            </w:tblGrid>
            <w:tr w14:paraId="7D9B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80" w:type="dxa"/>
                  <w:gridSpan w:val="2"/>
                  <w:vMerge w:val="restart"/>
                  <w:vAlign w:val="center"/>
                </w:tcPr>
                <w:p w14:paraId="4734B3BF">
                  <w:pPr>
                    <w:jc w:val="center"/>
                    <w:rPr>
                      <w:b/>
                      <w:color w:val="auto"/>
                      <w:szCs w:val="21"/>
                    </w:rPr>
                  </w:pPr>
                  <w:r>
                    <w:rPr>
                      <w:b/>
                      <w:color w:val="auto"/>
                      <w:szCs w:val="21"/>
                    </w:rPr>
                    <w:t>指标</w:t>
                  </w:r>
                </w:p>
              </w:tc>
              <w:tc>
                <w:tcPr>
                  <w:tcW w:w="7096" w:type="dxa"/>
                  <w:gridSpan w:val="8"/>
                </w:tcPr>
                <w:p w14:paraId="4BE07955">
                  <w:pPr>
                    <w:jc w:val="center"/>
                    <w:rPr>
                      <w:b/>
                      <w:color w:val="auto"/>
                      <w:szCs w:val="21"/>
                    </w:rPr>
                  </w:pPr>
                  <w:r>
                    <w:rPr>
                      <w:b/>
                      <w:color w:val="auto"/>
                      <w:szCs w:val="21"/>
                    </w:rPr>
                    <w:t>主要污染物名称</w:t>
                  </w:r>
                </w:p>
              </w:tc>
            </w:tr>
            <w:tr w14:paraId="157E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780" w:type="dxa"/>
                  <w:gridSpan w:val="2"/>
                  <w:vMerge w:val="continue"/>
                  <w:vAlign w:val="center"/>
                </w:tcPr>
                <w:p w14:paraId="53BBFE79">
                  <w:pPr>
                    <w:jc w:val="center"/>
                    <w:rPr>
                      <w:color w:val="auto"/>
                      <w:szCs w:val="21"/>
                    </w:rPr>
                  </w:pPr>
                </w:p>
              </w:tc>
              <w:tc>
                <w:tcPr>
                  <w:tcW w:w="1065" w:type="dxa"/>
                  <w:vAlign w:val="center"/>
                </w:tcPr>
                <w:p w14:paraId="6E1E3A27">
                  <w:pPr>
                    <w:jc w:val="center"/>
                    <w:rPr>
                      <w:b/>
                      <w:color w:val="auto"/>
                      <w:szCs w:val="21"/>
                    </w:rPr>
                  </w:pPr>
                  <w:r>
                    <w:rPr>
                      <w:rFonts w:hint="eastAsia"/>
                      <w:b/>
                      <w:color w:val="auto"/>
                      <w:szCs w:val="21"/>
                    </w:rPr>
                    <w:t>PH</w:t>
                  </w:r>
                </w:p>
              </w:tc>
              <w:tc>
                <w:tcPr>
                  <w:tcW w:w="689" w:type="dxa"/>
                  <w:vAlign w:val="center"/>
                </w:tcPr>
                <w:p w14:paraId="18A9CDFA">
                  <w:pPr>
                    <w:jc w:val="center"/>
                    <w:rPr>
                      <w:b/>
                      <w:color w:val="auto"/>
                      <w:szCs w:val="21"/>
                    </w:rPr>
                  </w:pPr>
                  <w:r>
                    <w:rPr>
                      <w:b/>
                      <w:color w:val="auto"/>
                      <w:szCs w:val="21"/>
                    </w:rPr>
                    <w:t>COD</w:t>
                  </w:r>
                </w:p>
              </w:tc>
              <w:tc>
                <w:tcPr>
                  <w:tcW w:w="740" w:type="dxa"/>
                  <w:vAlign w:val="center"/>
                </w:tcPr>
                <w:p w14:paraId="454FA133">
                  <w:pPr>
                    <w:jc w:val="center"/>
                    <w:rPr>
                      <w:b/>
                      <w:color w:val="auto"/>
                      <w:szCs w:val="21"/>
                    </w:rPr>
                  </w:pPr>
                  <w:r>
                    <w:rPr>
                      <w:b/>
                      <w:color w:val="auto"/>
                      <w:szCs w:val="21"/>
                    </w:rPr>
                    <w:t>BOD</w:t>
                  </w:r>
                  <w:r>
                    <w:rPr>
                      <w:b/>
                      <w:color w:val="auto"/>
                      <w:szCs w:val="21"/>
                      <w:vertAlign w:val="subscript"/>
                    </w:rPr>
                    <w:t>5</w:t>
                  </w:r>
                </w:p>
              </w:tc>
              <w:tc>
                <w:tcPr>
                  <w:tcW w:w="689" w:type="dxa"/>
                  <w:vAlign w:val="center"/>
                </w:tcPr>
                <w:p w14:paraId="1AE7EFE8">
                  <w:pPr>
                    <w:jc w:val="center"/>
                    <w:rPr>
                      <w:b/>
                      <w:color w:val="auto"/>
                      <w:szCs w:val="21"/>
                    </w:rPr>
                  </w:pPr>
                  <w:r>
                    <w:rPr>
                      <w:b/>
                      <w:color w:val="auto"/>
                      <w:szCs w:val="21"/>
                    </w:rPr>
                    <w:t>SS</w:t>
                  </w:r>
                </w:p>
              </w:tc>
              <w:tc>
                <w:tcPr>
                  <w:tcW w:w="821" w:type="dxa"/>
                  <w:vAlign w:val="center"/>
                </w:tcPr>
                <w:p w14:paraId="4EEB4A9B">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017" w:type="dxa"/>
                  <w:vAlign w:val="center"/>
                </w:tcPr>
                <w:p w14:paraId="339A0668">
                  <w:pPr>
                    <w:jc w:val="center"/>
                    <w:rPr>
                      <w:b/>
                      <w:color w:val="auto"/>
                    </w:rPr>
                  </w:pPr>
                  <w:r>
                    <w:rPr>
                      <w:b/>
                      <w:color w:val="auto"/>
                    </w:rPr>
                    <w:t>粪大肠菌群数</w:t>
                  </w:r>
                  <w:r>
                    <w:rPr>
                      <w:rFonts w:hint="eastAsia"/>
                      <w:b/>
                      <w:color w:val="auto"/>
                    </w:rPr>
                    <w:t>（</w:t>
                  </w:r>
                  <w:r>
                    <w:rPr>
                      <w:b/>
                      <w:color w:val="auto"/>
                    </w:rPr>
                    <w:t>个/L)</w:t>
                  </w:r>
                </w:p>
              </w:tc>
              <w:tc>
                <w:tcPr>
                  <w:tcW w:w="900" w:type="dxa"/>
                  <w:vAlign w:val="center"/>
                </w:tcPr>
                <w:p w14:paraId="36F4A56A">
                  <w:pPr>
                    <w:jc w:val="center"/>
                    <w:rPr>
                      <w:b/>
                      <w:color w:val="auto"/>
                    </w:rPr>
                  </w:pPr>
                  <w:r>
                    <w:rPr>
                      <w:b/>
                      <w:color w:val="auto"/>
                    </w:rPr>
                    <w:t>总余氯</w:t>
                  </w:r>
                </w:p>
              </w:tc>
              <w:tc>
                <w:tcPr>
                  <w:tcW w:w="1175" w:type="dxa"/>
                  <w:vAlign w:val="center"/>
                </w:tcPr>
                <w:p w14:paraId="627AA0FB">
                  <w:pPr>
                    <w:jc w:val="center"/>
                    <w:rPr>
                      <w:b/>
                      <w:color w:val="auto"/>
                    </w:rPr>
                  </w:pPr>
                  <w:r>
                    <w:rPr>
                      <w:b/>
                      <w:bCs/>
                      <w:color w:val="auto"/>
                      <w:szCs w:val="21"/>
                    </w:rPr>
                    <w:t>总磷</w:t>
                  </w:r>
                </w:p>
              </w:tc>
            </w:tr>
            <w:tr w14:paraId="092C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109" w:type="dxa"/>
                  <w:vMerge w:val="restart"/>
                  <w:vAlign w:val="center"/>
                </w:tcPr>
                <w:p w14:paraId="39261CCB">
                  <w:pPr>
                    <w:jc w:val="center"/>
                    <w:rPr>
                      <w:color w:val="auto"/>
                      <w:szCs w:val="21"/>
                    </w:rPr>
                  </w:pPr>
                  <w:r>
                    <w:rPr>
                      <w:rFonts w:hint="eastAsia"/>
                      <w:color w:val="auto"/>
                      <w:szCs w:val="21"/>
                    </w:rPr>
                    <w:t>本项目九龙卫生院废水</w:t>
                  </w:r>
                  <w:r>
                    <w:rPr>
                      <w:color w:val="auto"/>
                      <w:szCs w:val="21"/>
                    </w:rPr>
                    <w:t>产生量</w:t>
                  </w:r>
                </w:p>
                <w:p w14:paraId="062B74E3">
                  <w:pPr>
                    <w:jc w:val="center"/>
                    <w:rPr>
                      <w:color w:val="auto"/>
                      <w:szCs w:val="21"/>
                    </w:rPr>
                  </w:pPr>
                  <w:r>
                    <w:rPr>
                      <w:rFonts w:hint="eastAsia"/>
                      <w:color w:val="auto"/>
                      <w:szCs w:val="21"/>
                    </w:rPr>
                    <w:t>2646.25</w:t>
                  </w:r>
                  <w:r>
                    <w:rPr>
                      <w:color w:val="auto"/>
                      <w:szCs w:val="21"/>
                    </w:rPr>
                    <w:t>t/a</w:t>
                  </w:r>
                </w:p>
              </w:tc>
              <w:tc>
                <w:tcPr>
                  <w:tcW w:w="671" w:type="dxa"/>
                  <w:vAlign w:val="center"/>
                </w:tcPr>
                <w:p w14:paraId="4C2FD379">
                  <w:pPr>
                    <w:jc w:val="center"/>
                    <w:rPr>
                      <w:color w:val="auto"/>
                      <w:szCs w:val="21"/>
                    </w:rPr>
                  </w:pPr>
                  <w:r>
                    <w:rPr>
                      <w:color w:val="auto"/>
                      <w:szCs w:val="21"/>
                    </w:rPr>
                    <w:t>产生浓度mg/L</w:t>
                  </w:r>
                </w:p>
              </w:tc>
              <w:tc>
                <w:tcPr>
                  <w:tcW w:w="1065" w:type="dxa"/>
                  <w:vAlign w:val="center"/>
                </w:tcPr>
                <w:p w14:paraId="61D0ACD6">
                  <w:pPr>
                    <w:jc w:val="center"/>
                    <w:rPr>
                      <w:color w:val="auto"/>
                      <w:szCs w:val="21"/>
                    </w:rPr>
                  </w:pPr>
                  <w:r>
                    <w:rPr>
                      <w:color w:val="auto"/>
                      <w:szCs w:val="21"/>
                    </w:rPr>
                    <w:t>7~8</w:t>
                  </w:r>
                </w:p>
              </w:tc>
              <w:tc>
                <w:tcPr>
                  <w:tcW w:w="689" w:type="dxa"/>
                  <w:vAlign w:val="center"/>
                </w:tcPr>
                <w:p w14:paraId="1D836C74">
                  <w:pPr>
                    <w:jc w:val="center"/>
                    <w:rPr>
                      <w:color w:val="auto"/>
                      <w:szCs w:val="21"/>
                    </w:rPr>
                  </w:pPr>
                  <w:r>
                    <w:rPr>
                      <w:color w:val="auto"/>
                      <w:szCs w:val="21"/>
                    </w:rPr>
                    <w:t>300</w:t>
                  </w:r>
                </w:p>
              </w:tc>
              <w:tc>
                <w:tcPr>
                  <w:tcW w:w="740" w:type="dxa"/>
                  <w:vAlign w:val="center"/>
                </w:tcPr>
                <w:p w14:paraId="55E46865">
                  <w:pPr>
                    <w:jc w:val="center"/>
                    <w:rPr>
                      <w:color w:val="auto"/>
                      <w:szCs w:val="21"/>
                    </w:rPr>
                  </w:pPr>
                  <w:r>
                    <w:rPr>
                      <w:color w:val="auto"/>
                      <w:szCs w:val="21"/>
                    </w:rPr>
                    <w:t>150</w:t>
                  </w:r>
                </w:p>
              </w:tc>
              <w:tc>
                <w:tcPr>
                  <w:tcW w:w="689" w:type="dxa"/>
                  <w:vAlign w:val="center"/>
                </w:tcPr>
                <w:p w14:paraId="3685C4C2">
                  <w:pPr>
                    <w:jc w:val="center"/>
                    <w:rPr>
                      <w:color w:val="auto"/>
                      <w:szCs w:val="21"/>
                    </w:rPr>
                  </w:pPr>
                  <w:r>
                    <w:rPr>
                      <w:color w:val="auto"/>
                      <w:szCs w:val="21"/>
                    </w:rPr>
                    <w:t>120</w:t>
                  </w:r>
                </w:p>
              </w:tc>
              <w:tc>
                <w:tcPr>
                  <w:tcW w:w="821" w:type="dxa"/>
                  <w:vAlign w:val="center"/>
                </w:tcPr>
                <w:p w14:paraId="44DA06B1">
                  <w:pPr>
                    <w:jc w:val="center"/>
                    <w:rPr>
                      <w:color w:val="auto"/>
                      <w:szCs w:val="21"/>
                    </w:rPr>
                  </w:pPr>
                  <w:r>
                    <w:rPr>
                      <w:color w:val="auto"/>
                      <w:szCs w:val="21"/>
                    </w:rPr>
                    <w:t>40</w:t>
                  </w:r>
                </w:p>
              </w:tc>
              <w:tc>
                <w:tcPr>
                  <w:tcW w:w="1017" w:type="dxa"/>
                  <w:vAlign w:val="center"/>
                </w:tcPr>
                <w:p w14:paraId="7B3F8153">
                  <w:pPr>
                    <w:jc w:val="center"/>
                    <w:rPr>
                      <w:color w:val="auto"/>
                      <w:szCs w:val="21"/>
                    </w:rPr>
                  </w:pPr>
                  <w:r>
                    <w:rPr>
                      <w:color w:val="auto"/>
                      <w:szCs w:val="21"/>
                    </w:rPr>
                    <w:t>3.0×10</w:t>
                  </w:r>
                  <w:r>
                    <w:rPr>
                      <w:color w:val="auto"/>
                      <w:szCs w:val="21"/>
                      <w:vertAlign w:val="superscript"/>
                    </w:rPr>
                    <w:t>8</w:t>
                  </w:r>
                </w:p>
              </w:tc>
              <w:tc>
                <w:tcPr>
                  <w:tcW w:w="900" w:type="dxa"/>
                  <w:vAlign w:val="center"/>
                </w:tcPr>
                <w:p w14:paraId="4E5142DD">
                  <w:pPr>
                    <w:jc w:val="center"/>
                    <w:rPr>
                      <w:color w:val="auto"/>
                      <w:szCs w:val="21"/>
                    </w:rPr>
                  </w:pPr>
                  <w:r>
                    <w:rPr>
                      <w:color w:val="auto"/>
                      <w:szCs w:val="21"/>
                    </w:rPr>
                    <w:t>—</w:t>
                  </w:r>
                </w:p>
              </w:tc>
              <w:tc>
                <w:tcPr>
                  <w:tcW w:w="1175" w:type="dxa"/>
                  <w:vAlign w:val="center"/>
                </w:tcPr>
                <w:p w14:paraId="1E7EFFEA">
                  <w:pPr>
                    <w:jc w:val="center"/>
                    <w:rPr>
                      <w:color w:val="auto"/>
                      <w:szCs w:val="21"/>
                    </w:rPr>
                  </w:pPr>
                  <w:r>
                    <w:rPr>
                      <w:rFonts w:hint="eastAsia"/>
                      <w:color w:val="auto"/>
                      <w:szCs w:val="21"/>
                    </w:rPr>
                    <w:t>12.8</w:t>
                  </w:r>
                </w:p>
              </w:tc>
            </w:tr>
            <w:tr w14:paraId="04EF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08BE63E2">
                  <w:pPr>
                    <w:jc w:val="center"/>
                    <w:rPr>
                      <w:color w:val="auto"/>
                      <w:szCs w:val="21"/>
                    </w:rPr>
                  </w:pPr>
                </w:p>
              </w:tc>
              <w:tc>
                <w:tcPr>
                  <w:tcW w:w="671" w:type="dxa"/>
                  <w:vAlign w:val="center"/>
                </w:tcPr>
                <w:p w14:paraId="0B0A9B8A">
                  <w:pPr>
                    <w:jc w:val="center"/>
                    <w:rPr>
                      <w:color w:val="auto"/>
                      <w:szCs w:val="21"/>
                    </w:rPr>
                  </w:pPr>
                  <w:r>
                    <w:rPr>
                      <w:color w:val="auto"/>
                      <w:szCs w:val="21"/>
                    </w:rPr>
                    <w:t>产生量t/a</w:t>
                  </w:r>
                </w:p>
              </w:tc>
              <w:tc>
                <w:tcPr>
                  <w:tcW w:w="1065" w:type="dxa"/>
                  <w:vAlign w:val="center"/>
                </w:tcPr>
                <w:p w14:paraId="30FDA6B8">
                  <w:pPr>
                    <w:jc w:val="center"/>
                    <w:rPr>
                      <w:color w:val="auto"/>
                      <w:szCs w:val="21"/>
                    </w:rPr>
                  </w:pPr>
                  <w:r>
                    <w:rPr>
                      <w:color w:val="auto"/>
                      <w:szCs w:val="21"/>
                    </w:rPr>
                    <w:t>—</w:t>
                  </w:r>
                </w:p>
              </w:tc>
              <w:tc>
                <w:tcPr>
                  <w:tcW w:w="689" w:type="dxa"/>
                  <w:vAlign w:val="center"/>
                </w:tcPr>
                <w:p w14:paraId="0DF1B36B">
                  <w:pPr>
                    <w:jc w:val="center"/>
                    <w:rPr>
                      <w:color w:val="auto"/>
                      <w:szCs w:val="21"/>
                    </w:rPr>
                  </w:pPr>
                  <w:r>
                    <w:rPr>
                      <w:rFonts w:hint="eastAsia"/>
                      <w:color w:val="auto"/>
                      <w:szCs w:val="21"/>
                    </w:rPr>
                    <w:t>0.812</w:t>
                  </w:r>
                </w:p>
              </w:tc>
              <w:tc>
                <w:tcPr>
                  <w:tcW w:w="740" w:type="dxa"/>
                  <w:vAlign w:val="center"/>
                </w:tcPr>
                <w:p w14:paraId="0C7CC9CB">
                  <w:pPr>
                    <w:jc w:val="center"/>
                    <w:rPr>
                      <w:color w:val="auto"/>
                      <w:szCs w:val="21"/>
                    </w:rPr>
                  </w:pPr>
                  <w:r>
                    <w:rPr>
                      <w:rFonts w:hint="eastAsia"/>
                      <w:color w:val="auto"/>
                      <w:szCs w:val="21"/>
                    </w:rPr>
                    <w:t>0.406</w:t>
                  </w:r>
                </w:p>
              </w:tc>
              <w:tc>
                <w:tcPr>
                  <w:tcW w:w="689" w:type="dxa"/>
                  <w:vAlign w:val="center"/>
                </w:tcPr>
                <w:p w14:paraId="2A5633E2">
                  <w:pPr>
                    <w:jc w:val="center"/>
                    <w:rPr>
                      <w:color w:val="auto"/>
                      <w:szCs w:val="21"/>
                    </w:rPr>
                  </w:pPr>
                  <w:r>
                    <w:rPr>
                      <w:rFonts w:hint="eastAsia"/>
                      <w:color w:val="auto"/>
                      <w:szCs w:val="21"/>
                    </w:rPr>
                    <w:t>0.325</w:t>
                  </w:r>
                </w:p>
              </w:tc>
              <w:tc>
                <w:tcPr>
                  <w:tcW w:w="821" w:type="dxa"/>
                  <w:vAlign w:val="center"/>
                </w:tcPr>
                <w:p w14:paraId="48113559">
                  <w:pPr>
                    <w:jc w:val="center"/>
                    <w:rPr>
                      <w:color w:val="auto"/>
                      <w:szCs w:val="21"/>
                    </w:rPr>
                  </w:pPr>
                  <w:r>
                    <w:rPr>
                      <w:rFonts w:hint="eastAsia"/>
                      <w:color w:val="auto"/>
                      <w:szCs w:val="21"/>
                    </w:rPr>
                    <w:t>0.108</w:t>
                  </w:r>
                </w:p>
              </w:tc>
              <w:tc>
                <w:tcPr>
                  <w:tcW w:w="1017" w:type="dxa"/>
                  <w:vAlign w:val="center"/>
                </w:tcPr>
                <w:p w14:paraId="573885C6">
                  <w:pPr>
                    <w:jc w:val="center"/>
                    <w:rPr>
                      <w:color w:val="auto"/>
                      <w:szCs w:val="21"/>
                    </w:rPr>
                  </w:pPr>
                  <w:r>
                    <w:rPr>
                      <w:color w:val="auto"/>
                      <w:szCs w:val="21"/>
                    </w:rPr>
                    <w:t>—</w:t>
                  </w:r>
                </w:p>
              </w:tc>
              <w:tc>
                <w:tcPr>
                  <w:tcW w:w="900" w:type="dxa"/>
                  <w:vAlign w:val="center"/>
                </w:tcPr>
                <w:p w14:paraId="2E70F318">
                  <w:pPr>
                    <w:jc w:val="center"/>
                    <w:rPr>
                      <w:color w:val="auto"/>
                      <w:szCs w:val="21"/>
                    </w:rPr>
                  </w:pPr>
                  <w:r>
                    <w:rPr>
                      <w:color w:val="auto"/>
                      <w:szCs w:val="21"/>
                    </w:rPr>
                    <w:t>—</w:t>
                  </w:r>
                </w:p>
              </w:tc>
              <w:tc>
                <w:tcPr>
                  <w:tcW w:w="1175" w:type="dxa"/>
                  <w:vAlign w:val="center"/>
                </w:tcPr>
                <w:p w14:paraId="3E2AA45A">
                  <w:pPr>
                    <w:jc w:val="center"/>
                    <w:rPr>
                      <w:color w:val="auto"/>
                      <w:szCs w:val="21"/>
                    </w:rPr>
                  </w:pPr>
                  <w:r>
                    <w:rPr>
                      <w:rFonts w:hint="eastAsia"/>
                      <w:color w:val="auto"/>
                      <w:szCs w:val="21"/>
                    </w:rPr>
                    <w:t>0.034</w:t>
                  </w:r>
                </w:p>
              </w:tc>
            </w:tr>
            <w:tr w14:paraId="6F02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0538C219">
                  <w:pPr>
                    <w:jc w:val="center"/>
                    <w:rPr>
                      <w:color w:val="auto"/>
                      <w:szCs w:val="21"/>
                    </w:rPr>
                  </w:pPr>
                  <w:r>
                    <w:rPr>
                      <w:color w:val="auto"/>
                      <w:szCs w:val="21"/>
                    </w:rPr>
                    <w:t>化粪池</w:t>
                  </w:r>
                </w:p>
                <w:p w14:paraId="6D7AEA02">
                  <w:pPr>
                    <w:jc w:val="center"/>
                    <w:rPr>
                      <w:color w:val="auto"/>
                      <w:szCs w:val="21"/>
                    </w:rPr>
                  </w:pPr>
                  <w:r>
                    <w:rPr>
                      <w:color w:val="auto"/>
                      <w:szCs w:val="21"/>
                    </w:rPr>
                    <w:t>出水</w:t>
                  </w:r>
                  <w:r>
                    <w:rPr>
                      <w:rFonts w:hint="eastAsia"/>
                      <w:color w:val="auto"/>
                      <w:szCs w:val="21"/>
                    </w:rPr>
                    <w:t>2646.25</w:t>
                  </w:r>
                  <w:r>
                    <w:rPr>
                      <w:color w:val="auto"/>
                      <w:szCs w:val="21"/>
                    </w:rPr>
                    <w:t>t/a</w:t>
                  </w:r>
                </w:p>
              </w:tc>
              <w:tc>
                <w:tcPr>
                  <w:tcW w:w="671" w:type="dxa"/>
                  <w:vAlign w:val="center"/>
                </w:tcPr>
                <w:p w14:paraId="1F704005">
                  <w:pPr>
                    <w:jc w:val="center"/>
                    <w:rPr>
                      <w:color w:val="auto"/>
                      <w:szCs w:val="21"/>
                    </w:rPr>
                  </w:pPr>
                  <w:r>
                    <w:rPr>
                      <w:color w:val="auto"/>
                      <w:szCs w:val="21"/>
                    </w:rPr>
                    <w:t>出水浓度mg/L</w:t>
                  </w:r>
                </w:p>
              </w:tc>
              <w:tc>
                <w:tcPr>
                  <w:tcW w:w="1065" w:type="dxa"/>
                  <w:vAlign w:val="center"/>
                </w:tcPr>
                <w:p w14:paraId="3054CBDF">
                  <w:pPr>
                    <w:jc w:val="center"/>
                    <w:rPr>
                      <w:color w:val="auto"/>
                      <w:szCs w:val="21"/>
                    </w:rPr>
                  </w:pPr>
                  <w:r>
                    <w:rPr>
                      <w:rFonts w:hint="eastAsia"/>
                      <w:color w:val="auto"/>
                      <w:szCs w:val="21"/>
                    </w:rPr>
                    <w:t>7</w:t>
                  </w:r>
                </w:p>
              </w:tc>
              <w:tc>
                <w:tcPr>
                  <w:tcW w:w="689" w:type="dxa"/>
                  <w:vAlign w:val="center"/>
                </w:tcPr>
                <w:p w14:paraId="401DEB80">
                  <w:pPr>
                    <w:jc w:val="center"/>
                    <w:rPr>
                      <w:color w:val="auto"/>
                      <w:szCs w:val="21"/>
                    </w:rPr>
                  </w:pPr>
                  <w:r>
                    <w:rPr>
                      <w:color w:val="auto"/>
                      <w:szCs w:val="21"/>
                    </w:rPr>
                    <w:t>240</w:t>
                  </w:r>
                </w:p>
              </w:tc>
              <w:tc>
                <w:tcPr>
                  <w:tcW w:w="740" w:type="dxa"/>
                  <w:vAlign w:val="center"/>
                </w:tcPr>
                <w:p w14:paraId="56E05DE6">
                  <w:pPr>
                    <w:jc w:val="center"/>
                    <w:rPr>
                      <w:color w:val="auto"/>
                      <w:szCs w:val="21"/>
                    </w:rPr>
                  </w:pPr>
                  <w:r>
                    <w:rPr>
                      <w:color w:val="auto"/>
                      <w:szCs w:val="21"/>
                    </w:rPr>
                    <w:t>1</w:t>
                  </w:r>
                  <w:r>
                    <w:rPr>
                      <w:rFonts w:hint="eastAsia"/>
                      <w:color w:val="auto"/>
                      <w:szCs w:val="21"/>
                    </w:rPr>
                    <w:t>43</w:t>
                  </w:r>
                </w:p>
              </w:tc>
              <w:tc>
                <w:tcPr>
                  <w:tcW w:w="689" w:type="dxa"/>
                  <w:vAlign w:val="center"/>
                </w:tcPr>
                <w:p w14:paraId="787F1692">
                  <w:pPr>
                    <w:jc w:val="center"/>
                    <w:rPr>
                      <w:color w:val="auto"/>
                      <w:szCs w:val="21"/>
                    </w:rPr>
                  </w:pPr>
                  <w:r>
                    <w:rPr>
                      <w:color w:val="auto"/>
                      <w:szCs w:val="21"/>
                    </w:rPr>
                    <w:t>80</w:t>
                  </w:r>
                </w:p>
              </w:tc>
              <w:tc>
                <w:tcPr>
                  <w:tcW w:w="821" w:type="dxa"/>
                  <w:vAlign w:val="center"/>
                </w:tcPr>
                <w:p w14:paraId="3E91CCF6">
                  <w:pPr>
                    <w:jc w:val="center"/>
                    <w:rPr>
                      <w:color w:val="auto"/>
                      <w:szCs w:val="21"/>
                    </w:rPr>
                  </w:pPr>
                  <w:r>
                    <w:rPr>
                      <w:color w:val="auto"/>
                      <w:szCs w:val="21"/>
                    </w:rPr>
                    <w:t>32</w:t>
                  </w:r>
                </w:p>
              </w:tc>
              <w:tc>
                <w:tcPr>
                  <w:tcW w:w="1017" w:type="dxa"/>
                  <w:vAlign w:val="center"/>
                </w:tcPr>
                <w:p w14:paraId="7A70BED3">
                  <w:pPr>
                    <w:jc w:val="center"/>
                    <w:rPr>
                      <w:color w:val="auto"/>
                      <w:szCs w:val="21"/>
                    </w:rPr>
                  </w:pPr>
                  <w:r>
                    <w:rPr>
                      <w:color w:val="auto"/>
                      <w:szCs w:val="21"/>
                    </w:rPr>
                    <w:t>3.0×10</w:t>
                  </w:r>
                  <w:r>
                    <w:rPr>
                      <w:color w:val="auto"/>
                      <w:szCs w:val="21"/>
                      <w:vertAlign w:val="superscript"/>
                    </w:rPr>
                    <w:t>8</w:t>
                  </w:r>
                </w:p>
              </w:tc>
              <w:tc>
                <w:tcPr>
                  <w:tcW w:w="900" w:type="dxa"/>
                  <w:vAlign w:val="center"/>
                </w:tcPr>
                <w:p w14:paraId="52558D1A">
                  <w:pPr>
                    <w:jc w:val="center"/>
                    <w:rPr>
                      <w:color w:val="auto"/>
                      <w:szCs w:val="21"/>
                    </w:rPr>
                  </w:pPr>
                  <w:r>
                    <w:rPr>
                      <w:color w:val="auto"/>
                      <w:szCs w:val="21"/>
                    </w:rPr>
                    <w:t>—</w:t>
                  </w:r>
                </w:p>
              </w:tc>
              <w:tc>
                <w:tcPr>
                  <w:tcW w:w="1175" w:type="dxa"/>
                  <w:vAlign w:val="center"/>
                </w:tcPr>
                <w:p w14:paraId="37130061">
                  <w:pPr>
                    <w:jc w:val="center"/>
                    <w:rPr>
                      <w:color w:val="auto"/>
                      <w:szCs w:val="21"/>
                    </w:rPr>
                  </w:pPr>
                  <w:r>
                    <w:rPr>
                      <w:rFonts w:hint="eastAsia"/>
                      <w:color w:val="auto"/>
                      <w:szCs w:val="21"/>
                    </w:rPr>
                    <w:t>10.4</w:t>
                  </w:r>
                </w:p>
              </w:tc>
            </w:tr>
            <w:tr w14:paraId="6DC6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109" w:type="dxa"/>
                  <w:vMerge w:val="continue"/>
                  <w:vAlign w:val="center"/>
                </w:tcPr>
                <w:p w14:paraId="46330F62">
                  <w:pPr>
                    <w:jc w:val="center"/>
                    <w:rPr>
                      <w:color w:val="auto"/>
                      <w:szCs w:val="21"/>
                    </w:rPr>
                  </w:pPr>
                </w:p>
              </w:tc>
              <w:tc>
                <w:tcPr>
                  <w:tcW w:w="671" w:type="dxa"/>
                  <w:vAlign w:val="center"/>
                </w:tcPr>
                <w:p w14:paraId="2FE1F300">
                  <w:pPr>
                    <w:jc w:val="center"/>
                    <w:rPr>
                      <w:color w:val="auto"/>
                      <w:szCs w:val="21"/>
                    </w:rPr>
                  </w:pPr>
                  <w:r>
                    <w:rPr>
                      <w:color w:val="auto"/>
                      <w:szCs w:val="21"/>
                    </w:rPr>
                    <w:t>产生量t/a</w:t>
                  </w:r>
                </w:p>
              </w:tc>
              <w:tc>
                <w:tcPr>
                  <w:tcW w:w="1065" w:type="dxa"/>
                  <w:vAlign w:val="center"/>
                </w:tcPr>
                <w:p w14:paraId="0A341D05">
                  <w:pPr>
                    <w:jc w:val="center"/>
                    <w:rPr>
                      <w:color w:val="auto"/>
                      <w:szCs w:val="21"/>
                    </w:rPr>
                  </w:pPr>
                  <w:r>
                    <w:rPr>
                      <w:color w:val="auto"/>
                      <w:szCs w:val="21"/>
                    </w:rPr>
                    <w:t>—</w:t>
                  </w:r>
                </w:p>
              </w:tc>
              <w:tc>
                <w:tcPr>
                  <w:tcW w:w="689" w:type="dxa"/>
                  <w:vAlign w:val="center"/>
                </w:tcPr>
                <w:p w14:paraId="0C4A1060">
                  <w:pPr>
                    <w:jc w:val="center"/>
                    <w:rPr>
                      <w:color w:val="auto"/>
                      <w:szCs w:val="21"/>
                    </w:rPr>
                  </w:pPr>
                  <w:r>
                    <w:rPr>
                      <w:rFonts w:hint="eastAsia"/>
                      <w:color w:val="auto"/>
                      <w:szCs w:val="21"/>
                    </w:rPr>
                    <w:t>0.65</w:t>
                  </w:r>
                </w:p>
              </w:tc>
              <w:tc>
                <w:tcPr>
                  <w:tcW w:w="740" w:type="dxa"/>
                  <w:vAlign w:val="center"/>
                </w:tcPr>
                <w:p w14:paraId="1062F843">
                  <w:pPr>
                    <w:jc w:val="center"/>
                    <w:rPr>
                      <w:color w:val="auto"/>
                      <w:szCs w:val="21"/>
                    </w:rPr>
                  </w:pPr>
                  <w:r>
                    <w:rPr>
                      <w:rFonts w:hint="eastAsia"/>
                      <w:color w:val="auto"/>
                      <w:szCs w:val="21"/>
                    </w:rPr>
                    <w:t>0.378</w:t>
                  </w:r>
                </w:p>
              </w:tc>
              <w:tc>
                <w:tcPr>
                  <w:tcW w:w="689" w:type="dxa"/>
                  <w:vAlign w:val="center"/>
                </w:tcPr>
                <w:p w14:paraId="3FDADD75">
                  <w:pPr>
                    <w:jc w:val="center"/>
                    <w:rPr>
                      <w:color w:val="auto"/>
                      <w:szCs w:val="21"/>
                    </w:rPr>
                  </w:pPr>
                  <w:r>
                    <w:rPr>
                      <w:rFonts w:hint="eastAsia"/>
                      <w:color w:val="auto"/>
                      <w:szCs w:val="21"/>
                    </w:rPr>
                    <w:t>0.217</w:t>
                  </w:r>
                </w:p>
              </w:tc>
              <w:tc>
                <w:tcPr>
                  <w:tcW w:w="821" w:type="dxa"/>
                  <w:vAlign w:val="center"/>
                </w:tcPr>
                <w:p w14:paraId="4A6EB768">
                  <w:pPr>
                    <w:jc w:val="center"/>
                    <w:rPr>
                      <w:color w:val="auto"/>
                      <w:szCs w:val="21"/>
                    </w:rPr>
                  </w:pPr>
                  <w:r>
                    <w:rPr>
                      <w:rFonts w:hint="eastAsia"/>
                      <w:color w:val="auto"/>
                      <w:szCs w:val="21"/>
                    </w:rPr>
                    <w:t>0.087</w:t>
                  </w:r>
                </w:p>
              </w:tc>
              <w:tc>
                <w:tcPr>
                  <w:tcW w:w="1017" w:type="dxa"/>
                  <w:vAlign w:val="center"/>
                </w:tcPr>
                <w:p w14:paraId="147EEBD2">
                  <w:pPr>
                    <w:jc w:val="center"/>
                    <w:rPr>
                      <w:color w:val="auto"/>
                      <w:szCs w:val="21"/>
                    </w:rPr>
                  </w:pPr>
                  <w:r>
                    <w:rPr>
                      <w:color w:val="auto"/>
                      <w:szCs w:val="21"/>
                    </w:rPr>
                    <w:t>—</w:t>
                  </w:r>
                </w:p>
              </w:tc>
              <w:tc>
                <w:tcPr>
                  <w:tcW w:w="900" w:type="dxa"/>
                  <w:vAlign w:val="center"/>
                </w:tcPr>
                <w:p w14:paraId="6429A55D">
                  <w:pPr>
                    <w:jc w:val="center"/>
                    <w:rPr>
                      <w:color w:val="auto"/>
                      <w:szCs w:val="21"/>
                    </w:rPr>
                  </w:pPr>
                  <w:r>
                    <w:rPr>
                      <w:color w:val="auto"/>
                      <w:szCs w:val="21"/>
                    </w:rPr>
                    <w:t>—</w:t>
                  </w:r>
                </w:p>
              </w:tc>
              <w:tc>
                <w:tcPr>
                  <w:tcW w:w="1175" w:type="dxa"/>
                  <w:vAlign w:val="center"/>
                </w:tcPr>
                <w:p w14:paraId="2CB9C4F7">
                  <w:pPr>
                    <w:jc w:val="center"/>
                    <w:rPr>
                      <w:color w:val="auto"/>
                      <w:szCs w:val="21"/>
                    </w:rPr>
                  </w:pPr>
                  <w:r>
                    <w:rPr>
                      <w:rFonts w:hint="eastAsia"/>
                      <w:color w:val="auto"/>
                      <w:szCs w:val="21"/>
                    </w:rPr>
                    <w:t>0.027</w:t>
                  </w:r>
                </w:p>
              </w:tc>
            </w:tr>
            <w:tr w14:paraId="700C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61C54969">
                  <w:pPr>
                    <w:jc w:val="center"/>
                    <w:rPr>
                      <w:color w:val="auto"/>
                      <w:szCs w:val="21"/>
                    </w:rPr>
                  </w:pPr>
                </w:p>
              </w:tc>
              <w:tc>
                <w:tcPr>
                  <w:tcW w:w="671" w:type="dxa"/>
                  <w:vAlign w:val="center"/>
                </w:tcPr>
                <w:p w14:paraId="689E1CC8">
                  <w:pPr>
                    <w:jc w:val="center"/>
                    <w:rPr>
                      <w:color w:val="auto"/>
                      <w:szCs w:val="21"/>
                    </w:rPr>
                  </w:pPr>
                  <w:r>
                    <w:rPr>
                      <w:color w:val="auto"/>
                      <w:szCs w:val="21"/>
                    </w:rPr>
                    <w:t>削减量t/a</w:t>
                  </w:r>
                </w:p>
              </w:tc>
              <w:tc>
                <w:tcPr>
                  <w:tcW w:w="1065" w:type="dxa"/>
                  <w:vAlign w:val="center"/>
                </w:tcPr>
                <w:p w14:paraId="14C3041E">
                  <w:pPr>
                    <w:jc w:val="center"/>
                    <w:rPr>
                      <w:color w:val="auto"/>
                      <w:szCs w:val="21"/>
                    </w:rPr>
                  </w:pPr>
                  <w:r>
                    <w:rPr>
                      <w:color w:val="auto"/>
                      <w:szCs w:val="21"/>
                    </w:rPr>
                    <w:t>—</w:t>
                  </w:r>
                </w:p>
              </w:tc>
              <w:tc>
                <w:tcPr>
                  <w:tcW w:w="689" w:type="dxa"/>
                  <w:vAlign w:val="center"/>
                </w:tcPr>
                <w:p w14:paraId="1881B61D">
                  <w:pPr>
                    <w:jc w:val="center"/>
                    <w:rPr>
                      <w:color w:val="auto"/>
                      <w:szCs w:val="21"/>
                    </w:rPr>
                  </w:pPr>
                  <w:r>
                    <w:rPr>
                      <w:rFonts w:hint="eastAsia"/>
                      <w:color w:val="auto"/>
                      <w:szCs w:val="21"/>
                    </w:rPr>
                    <w:t>0.162</w:t>
                  </w:r>
                </w:p>
              </w:tc>
              <w:tc>
                <w:tcPr>
                  <w:tcW w:w="740" w:type="dxa"/>
                  <w:vAlign w:val="center"/>
                </w:tcPr>
                <w:p w14:paraId="43342763">
                  <w:pPr>
                    <w:jc w:val="center"/>
                    <w:rPr>
                      <w:color w:val="auto"/>
                      <w:szCs w:val="21"/>
                    </w:rPr>
                  </w:pPr>
                  <w:r>
                    <w:rPr>
                      <w:rFonts w:hint="eastAsia"/>
                      <w:color w:val="auto"/>
                      <w:szCs w:val="21"/>
                    </w:rPr>
                    <w:t>0.028</w:t>
                  </w:r>
                </w:p>
              </w:tc>
              <w:tc>
                <w:tcPr>
                  <w:tcW w:w="689" w:type="dxa"/>
                  <w:vAlign w:val="center"/>
                </w:tcPr>
                <w:p w14:paraId="42D7EB4A">
                  <w:pPr>
                    <w:jc w:val="center"/>
                    <w:rPr>
                      <w:color w:val="auto"/>
                      <w:szCs w:val="21"/>
                    </w:rPr>
                  </w:pPr>
                  <w:r>
                    <w:rPr>
                      <w:rFonts w:hint="eastAsia"/>
                      <w:color w:val="auto"/>
                      <w:szCs w:val="21"/>
                    </w:rPr>
                    <w:t>0.108</w:t>
                  </w:r>
                </w:p>
              </w:tc>
              <w:tc>
                <w:tcPr>
                  <w:tcW w:w="821" w:type="dxa"/>
                  <w:vAlign w:val="center"/>
                </w:tcPr>
                <w:p w14:paraId="706A460E">
                  <w:pPr>
                    <w:jc w:val="center"/>
                    <w:rPr>
                      <w:color w:val="auto"/>
                      <w:szCs w:val="21"/>
                    </w:rPr>
                  </w:pPr>
                  <w:r>
                    <w:rPr>
                      <w:rFonts w:hint="eastAsia"/>
                      <w:color w:val="auto"/>
                      <w:szCs w:val="21"/>
                    </w:rPr>
                    <w:t>0.021</w:t>
                  </w:r>
                </w:p>
              </w:tc>
              <w:tc>
                <w:tcPr>
                  <w:tcW w:w="1017" w:type="dxa"/>
                  <w:vAlign w:val="center"/>
                </w:tcPr>
                <w:p w14:paraId="380E6E90">
                  <w:pPr>
                    <w:jc w:val="center"/>
                    <w:rPr>
                      <w:color w:val="auto"/>
                      <w:szCs w:val="21"/>
                    </w:rPr>
                  </w:pPr>
                  <w:r>
                    <w:rPr>
                      <w:color w:val="auto"/>
                      <w:szCs w:val="21"/>
                    </w:rPr>
                    <w:t>—</w:t>
                  </w:r>
                </w:p>
              </w:tc>
              <w:tc>
                <w:tcPr>
                  <w:tcW w:w="900" w:type="dxa"/>
                  <w:vAlign w:val="center"/>
                </w:tcPr>
                <w:p w14:paraId="1CB45E4F">
                  <w:pPr>
                    <w:jc w:val="center"/>
                    <w:rPr>
                      <w:color w:val="auto"/>
                      <w:szCs w:val="21"/>
                    </w:rPr>
                  </w:pPr>
                  <w:r>
                    <w:rPr>
                      <w:color w:val="auto"/>
                      <w:szCs w:val="21"/>
                    </w:rPr>
                    <w:t>—</w:t>
                  </w:r>
                </w:p>
              </w:tc>
              <w:tc>
                <w:tcPr>
                  <w:tcW w:w="1175" w:type="dxa"/>
                  <w:vAlign w:val="center"/>
                </w:tcPr>
                <w:p w14:paraId="4E92C7ED">
                  <w:pPr>
                    <w:jc w:val="center"/>
                    <w:rPr>
                      <w:color w:val="auto"/>
                      <w:szCs w:val="21"/>
                    </w:rPr>
                  </w:pPr>
                  <w:r>
                    <w:rPr>
                      <w:rFonts w:hint="eastAsia"/>
                      <w:color w:val="auto"/>
                      <w:szCs w:val="21"/>
                    </w:rPr>
                    <w:t>0.007</w:t>
                  </w:r>
                </w:p>
              </w:tc>
            </w:tr>
            <w:tr w14:paraId="5B7A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32D6388C">
                  <w:pPr>
                    <w:jc w:val="center"/>
                    <w:rPr>
                      <w:color w:val="auto"/>
                      <w:szCs w:val="21"/>
                    </w:rPr>
                  </w:pPr>
                  <w:r>
                    <w:rPr>
                      <w:color w:val="auto"/>
                      <w:szCs w:val="21"/>
                    </w:rPr>
                    <w:t>污水处理站出水</w:t>
                  </w:r>
                  <w:r>
                    <w:rPr>
                      <w:rFonts w:hint="eastAsia"/>
                      <w:color w:val="auto"/>
                      <w:szCs w:val="21"/>
                    </w:rPr>
                    <w:t>2646.25</w:t>
                  </w:r>
                  <w:r>
                    <w:rPr>
                      <w:color w:val="auto"/>
                      <w:szCs w:val="21"/>
                    </w:rPr>
                    <w:t>t/a</w:t>
                  </w:r>
                </w:p>
              </w:tc>
              <w:tc>
                <w:tcPr>
                  <w:tcW w:w="671" w:type="dxa"/>
                  <w:vAlign w:val="center"/>
                </w:tcPr>
                <w:p w14:paraId="5F4424E7">
                  <w:pPr>
                    <w:jc w:val="center"/>
                    <w:rPr>
                      <w:color w:val="auto"/>
                      <w:szCs w:val="21"/>
                    </w:rPr>
                  </w:pPr>
                  <w:r>
                    <w:rPr>
                      <w:color w:val="auto"/>
                      <w:szCs w:val="21"/>
                    </w:rPr>
                    <w:t>排放浓度mg/L</w:t>
                  </w:r>
                </w:p>
              </w:tc>
              <w:tc>
                <w:tcPr>
                  <w:tcW w:w="1065" w:type="dxa"/>
                  <w:vAlign w:val="center"/>
                </w:tcPr>
                <w:p w14:paraId="5448AE26">
                  <w:pPr>
                    <w:jc w:val="center"/>
                    <w:rPr>
                      <w:color w:val="auto"/>
                      <w:szCs w:val="21"/>
                    </w:rPr>
                  </w:pPr>
                  <w:r>
                    <w:rPr>
                      <w:rFonts w:hint="eastAsia"/>
                      <w:color w:val="auto"/>
                      <w:szCs w:val="21"/>
                    </w:rPr>
                    <w:t>7.85~7.87</w:t>
                  </w:r>
                </w:p>
              </w:tc>
              <w:tc>
                <w:tcPr>
                  <w:tcW w:w="689" w:type="dxa"/>
                  <w:vAlign w:val="center"/>
                </w:tcPr>
                <w:p w14:paraId="034DC7CB">
                  <w:pPr>
                    <w:jc w:val="center"/>
                    <w:rPr>
                      <w:color w:val="auto"/>
                      <w:szCs w:val="21"/>
                    </w:rPr>
                  </w:pPr>
                  <w:r>
                    <w:rPr>
                      <w:rFonts w:hint="eastAsia"/>
                      <w:color w:val="auto"/>
                      <w:szCs w:val="21"/>
                    </w:rPr>
                    <w:t>44</w:t>
                  </w:r>
                </w:p>
              </w:tc>
              <w:tc>
                <w:tcPr>
                  <w:tcW w:w="740" w:type="dxa"/>
                  <w:vAlign w:val="center"/>
                </w:tcPr>
                <w:p w14:paraId="59F65E02">
                  <w:pPr>
                    <w:jc w:val="center"/>
                    <w:rPr>
                      <w:color w:val="auto"/>
                      <w:szCs w:val="21"/>
                    </w:rPr>
                  </w:pPr>
                  <w:r>
                    <w:rPr>
                      <w:rFonts w:hint="eastAsia"/>
                      <w:color w:val="auto"/>
                      <w:szCs w:val="21"/>
                    </w:rPr>
                    <w:t>7.2</w:t>
                  </w:r>
                </w:p>
              </w:tc>
              <w:tc>
                <w:tcPr>
                  <w:tcW w:w="689" w:type="dxa"/>
                  <w:vAlign w:val="center"/>
                </w:tcPr>
                <w:p w14:paraId="5B815376">
                  <w:pPr>
                    <w:jc w:val="center"/>
                    <w:rPr>
                      <w:color w:val="auto"/>
                      <w:szCs w:val="21"/>
                    </w:rPr>
                  </w:pPr>
                  <w:r>
                    <w:rPr>
                      <w:rFonts w:hint="eastAsia"/>
                      <w:color w:val="auto"/>
                      <w:szCs w:val="21"/>
                    </w:rPr>
                    <w:t>17</w:t>
                  </w:r>
                </w:p>
              </w:tc>
              <w:tc>
                <w:tcPr>
                  <w:tcW w:w="821" w:type="dxa"/>
                  <w:vAlign w:val="center"/>
                </w:tcPr>
                <w:p w14:paraId="0B6BB375">
                  <w:pPr>
                    <w:jc w:val="center"/>
                    <w:rPr>
                      <w:color w:val="auto"/>
                      <w:szCs w:val="21"/>
                    </w:rPr>
                  </w:pPr>
                  <w:r>
                    <w:rPr>
                      <w:rFonts w:hint="eastAsia"/>
                      <w:color w:val="auto"/>
                      <w:szCs w:val="21"/>
                    </w:rPr>
                    <w:t>13.4</w:t>
                  </w:r>
                </w:p>
              </w:tc>
              <w:tc>
                <w:tcPr>
                  <w:tcW w:w="1017" w:type="dxa"/>
                  <w:vAlign w:val="center"/>
                </w:tcPr>
                <w:p w14:paraId="3DD03DF6">
                  <w:pPr>
                    <w:jc w:val="center"/>
                    <w:rPr>
                      <w:color w:val="auto"/>
                      <w:szCs w:val="21"/>
                    </w:rPr>
                  </w:pPr>
                  <w:r>
                    <w:rPr>
                      <w:rFonts w:hint="eastAsia"/>
                      <w:color w:val="auto"/>
                      <w:szCs w:val="21"/>
                    </w:rPr>
                    <w:t>70</w:t>
                  </w:r>
                </w:p>
              </w:tc>
              <w:tc>
                <w:tcPr>
                  <w:tcW w:w="900" w:type="dxa"/>
                  <w:vAlign w:val="center"/>
                </w:tcPr>
                <w:p w14:paraId="78E5D184">
                  <w:pPr>
                    <w:jc w:val="center"/>
                    <w:rPr>
                      <w:color w:val="auto"/>
                      <w:szCs w:val="21"/>
                    </w:rPr>
                  </w:pPr>
                  <w:r>
                    <w:rPr>
                      <w:rFonts w:hint="eastAsia"/>
                      <w:color w:val="auto"/>
                      <w:szCs w:val="21"/>
                    </w:rPr>
                    <w:t>0.4</w:t>
                  </w:r>
                </w:p>
              </w:tc>
              <w:tc>
                <w:tcPr>
                  <w:tcW w:w="1175" w:type="dxa"/>
                  <w:vAlign w:val="center"/>
                </w:tcPr>
                <w:p w14:paraId="23A3BC47">
                  <w:pPr>
                    <w:jc w:val="center"/>
                    <w:rPr>
                      <w:color w:val="auto"/>
                      <w:szCs w:val="21"/>
                    </w:rPr>
                  </w:pPr>
                  <w:r>
                    <w:rPr>
                      <w:rFonts w:hint="eastAsia"/>
                      <w:color w:val="auto"/>
                      <w:szCs w:val="21"/>
                    </w:rPr>
                    <w:t>4.69</w:t>
                  </w:r>
                </w:p>
              </w:tc>
            </w:tr>
            <w:tr w14:paraId="4F24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0B1B5CA3">
                  <w:pPr>
                    <w:jc w:val="center"/>
                    <w:rPr>
                      <w:color w:val="auto"/>
                      <w:szCs w:val="21"/>
                    </w:rPr>
                  </w:pPr>
                </w:p>
              </w:tc>
              <w:tc>
                <w:tcPr>
                  <w:tcW w:w="671" w:type="dxa"/>
                  <w:vAlign w:val="center"/>
                </w:tcPr>
                <w:p w14:paraId="33BD9C6D">
                  <w:pPr>
                    <w:jc w:val="center"/>
                    <w:rPr>
                      <w:color w:val="auto"/>
                      <w:szCs w:val="21"/>
                    </w:rPr>
                  </w:pPr>
                  <w:r>
                    <w:rPr>
                      <w:color w:val="auto"/>
                      <w:szCs w:val="21"/>
                    </w:rPr>
                    <w:t>排放量t/a</w:t>
                  </w:r>
                </w:p>
              </w:tc>
              <w:tc>
                <w:tcPr>
                  <w:tcW w:w="1065" w:type="dxa"/>
                  <w:vAlign w:val="center"/>
                </w:tcPr>
                <w:p w14:paraId="0C26D8D1">
                  <w:pPr>
                    <w:jc w:val="center"/>
                    <w:rPr>
                      <w:color w:val="auto"/>
                      <w:szCs w:val="21"/>
                    </w:rPr>
                  </w:pPr>
                  <w:r>
                    <w:rPr>
                      <w:color w:val="auto"/>
                      <w:szCs w:val="21"/>
                    </w:rPr>
                    <w:t>—</w:t>
                  </w:r>
                </w:p>
              </w:tc>
              <w:tc>
                <w:tcPr>
                  <w:tcW w:w="689" w:type="dxa"/>
                  <w:vAlign w:val="center"/>
                </w:tcPr>
                <w:p w14:paraId="49588DE3">
                  <w:pPr>
                    <w:jc w:val="center"/>
                    <w:rPr>
                      <w:color w:val="auto"/>
                      <w:szCs w:val="21"/>
                    </w:rPr>
                  </w:pPr>
                  <w:r>
                    <w:rPr>
                      <w:rFonts w:hint="eastAsia"/>
                      <w:color w:val="auto"/>
                      <w:szCs w:val="21"/>
                    </w:rPr>
                    <w:t>0.119</w:t>
                  </w:r>
                </w:p>
              </w:tc>
              <w:tc>
                <w:tcPr>
                  <w:tcW w:w="740" w:type="dxa"/>
                  <w:vAlign w:val="center"/>
                </w:tcPr>
                <w:p w14:paraId="65480DA3">
                  <w:pPr>
                    <w:jc w:val="center"/>
                    <w:rPr>
                      <w:color w:val="auto"/>
                    </w:rPr>
                  </w:pPr>
                  <w:r>
                    <w:rPr>
                      <w:rFonts w:hint="eastAsia"/>
                      <w:color w:val="auto"/>
                    </w:rPr>
                    <w:t>0.019</w:t>
                  </w:r>
                </w:p>
              </w:tc>
              <w:tc>
                <w:tcPr>
                  <w:tcW w:w="689" w:type="dxa"/>
                  <w:vAlign w:val="center"/>
                </w:tcPr>
                <w:p w14:paraId="18400DB2">
                  <w:pPr>
                    <w:jc w:val="center"/>
                    <w:rPr>
                      <w:color w:val="auto"/>
                      <w:szCs w:val="21"/>
                    </w:rPr>
                  </w:pPr>
                  <w:r>
                    <w:rPr>
                      <w:rFonts w:hint="eastAsia"/>
                      <w:color w:val="auto"/>
                      <w:szCs w:val="21"/>
                    </w:rPr>
                    <w:t>0.046</w:t>
                  </w:r>
                </w:p>
              </w:tc>
              <w:tc>
                <w:tcPr>
                  <w:tcW w:w="821" w:type="dxa"/>
                  <w:vAlign w:val="center"/>
                </w:tcPr>
                <w:p w14:paraId="6C5A1338">
                  <w:pPr>
                    <w:jc w:val="center"/>
                    <w:rPr>
                      <w:color w:val="auto"/>
                      <w:szCs w:val="21"/>
                    </w:rPr>
                  </w:pPr>
                  <w:r>
                    <w:rPr>
                      <w:rFonts w:hint="eastAsia"/>
                      <w:color w:val="auto"/>
                      <w:szCs w:val="21"/>
                    </w:rPr>
                    <w:t>0.036</w:t>
                  </w:r>
                </w:p>
              </w:tc>
              <w:tc>
                <w:tcPr>
                  <w:tcW w:w="1017" w:type="dxa"/>
                  <w:vAlign w:val="center"/>
                </w:tcPr>
                <w:p w14:paraId="56A035F7">
                  <w:pPr>
                    <w:jc w:val="center"/>
                    <w:rPr>
                      <w:color w:val="auto"/>
                      <w:szCs w:val="21"/>
                    </w:rPr>
                  </w:pPr>
                  <w:r>
                    <w:rPr>
                      <w:color w:val="auto"/>
                      <w:szCs w:val="21"/>
                    </w:rPr>
                    <w:t>—</w:t>
                  </w:r>
                </w:p>
              </w:tc>
              <w:tc>
                <w:tcPr>
                  <w:tcW w:w="900" w:type="dxa"/>
                  <w:vAlign w:val="center"/>
                </w:tcPr>
                <w:p w14:paraId="5B4330DA">
                  <w:pPr>
                    <w:jc w:val="center"/>
                    <w:rPr>
                      <w:color w:val="auto"/>
                      <w:szCs w:val="21"/>
                    </w:rPr>
                  </w:pPr>
                  <w:r>
                    <w:rPr>
                      <w:color w:val="auto"/>
                      <w:szCs w:val="21"/>
                    </w:rPr>
                    <w:t>—</w:t>
                  </w:r>
                </w:p>
              </w:tc>
              <w:tc>
                <w:tcPr>
                  <w:tcW w:w="1175" w:type="dxa"/>
                  <w:vAlign w:val="center"/>
                </w:tcPr>
                <w:p w14:paraId="3BB5F928">
                  <w:pPr>
                    <w:jc w:val="center"/>
                    <w:rPr>
                      <w:color w:val="auto"/>
                      <w:szCs w:val="21"/>
                    </w:rPr>
                  </w:pPr>
                  <w:r>
                    <w:rPr>
                      <w:rFonts w:hint="eastAsia"/>
                      <w:color w:val="auto"/>
                      <w:szCs w:val="21"/>
                    </w:rPr>
                    <w:t>0.012</w:t>
                  </w:r>
                </w:p>
              </w:tc>
            </w:tr>
            <w:tr w14:paraId="14AC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3D7155ED">
                  <w:pPr>
                    <w:jc w:val="center"/>
                    <w:rPr>
                      <w:color w:val="auto"/>
                      <w:szCs w:val="21"/>
                    </w:rPr>
                  </w:pPr>
                </w:p>
              </w:tc>
              <w:tc>
                <w:tcPr>
                  <w:tcW w:w="671" w:type="dxa"/>
                  <w:vAlign w:val="center"/>
                </w:tcPr>
                <w:p w14:paraId="3FFA47EE">
                  <w:pPr>
                    <w:jc w:val="center"/>
                    <w:rPr>
                      <w:color w:val="auto"/>
                      <w:szCs w:val="21"/>
                    </w:rPr>
                  </w:pPr>
                  <w:r>
                    <w:rPr>
                      <w:color w:val="auto"/>
                      <w:szCs w:val="21"/>
                    </w:rPr>
                    <w:t>削减量t/a</w:t>
                  </w:r>
                </w:p>
              </w:tc>
              <w:tc>
                <w:tcPr>
                  <w:tcW w:w="1065" w:type="dxa"/>
                  <w:vAlign w:val="center"/>
                </w:tcPr>
                <w:p w14:paraId="7FA63F56">
                  <w:pPr>
                    <w:jc w:val="center"/>
                    <w:rPr>
                      <w:color w:val="auto"/>
                      <w:szCs w:val="21"/>
                    </w:rPr>
                  </w:pPr>
                  <w:r>
                    <w:rPr>
                      <w:color w:val="auto"/>
                      <w:szCs w:val="21"/>
                    </w:rPr>
                    <w:t>—</w:t>
                  </w:r>
                </w:p>
              </w:tc>
              <w:tc>
                <w:tcPr>
                  <w:tcW w:w="689" w:type="dxa"/>
                  <w:vAlign w:val="center"/>
                </w:tcPr>
                <w:p w14:paraId="27D8CA31">
                  <w:pPr>
                    <w:jc w:val="center"/>
                    <w:rPr>
                      <w:color w:val="auto"/>
                      <w:szCs w:val="21"/>
                    </w:rPr>
                  </w:pPr>
                  <w:r>
                    <w:rPr>
                      <w:rFonts w:hint="eastAsia"/>
                      <w:color w:val="auto"/>
                      <w:szCs w:val="21"/>
                    </w:rPr>
                    <w:t>0.531</w:t>
                  </w:r>
                </w:p>
              </w:tc>
              <w:tc>
                <w:tcPr>
                  <w:tcW w:w="740" w:type="dxa"/>
                  <w:vAlign w:val="center"/>
                </w:tcPr>
                <w:p w14:paraId="42D18EB2">
                  <w:pPr>
                    <w:jc w:val="center"/>
                    <w:rPr>
                      <w:color w:val="auto"/>
                      <w:szCs w:val="21"/>
                    </w:rPr>
                  </w:pPr>
                  <w:r>
                    <w:rPr>
                      <w:rFonts w:hint="eastAsia"/>
                      <w:color w:val="auto"/>
                      <w:szCs w:val="21"/>
                    </w:rPr>
                    <w:t>0.306</w:t>
                  </w:r>
                </w:p>
              </w:tc>
              <w:tc>
                <w:tcPr>
                  <w:tcW w:w="689" w:type="dxa"/>
                  <w:vAlign w:val="center"/>
                </w:tcPr>
                <w:p w14:paraId="7C5C14C8">
                  <w:pPr>
                    <w:jc w:val="center"/>
                    <w:rPr>
                      <w:color w:val="auto"/>
                      <w:szCs w:val="21"/>
                    </w:rPr>
                  </w:pPr>
                  <w:r>
                    <w:rPr>
                      <w:rFonts w:hint="eastAsia"/>
                      <w:color w:val="auto"/>
                      <w:szCs w:val="21"/>
                    </w:rPr>
                    <w:t>0.171</w:t>
                  </w:r>
                </w:p>
              </w:tc>
              <w:tc>
                <w:tcPr>
                  <w:tcW w:w="821" w:type="dxa"/>
                  <w:vAlign w:val="center"/>
                </w:tcPr>
                <w:p w14:paraId="73963FDA">
                  <w:pPr>
                    <w:jc w:val="center"/>
                    <w:rPr>
                      <w:color w:val="auto"/>
                      <w:szCs w:val="21"/>
                    </w:rPr>
                  </w:pPr>
                  <w:r>
                    <w:rPr>
                      <w:rFonts w:hint="eastAsia"/>
                      <w:color w:val="auto"/>
                      <w:szCs w:val="21"/>
                    </w:rPr>
                    <w:t>0.051</w:t>
                  </w:r>
                </w:p>
              </w:tc>
              <w:tc>
                <w:tcPr>
                  <w:tcW w:w="1017" w:type="dxa"/>
                  <w:vAlign w:val="center"/>
                </w:tcPr>
                <w:p w14:paraId="661C907E">
                  <w:pPr>
                    <w:jc w:val="center"/>
                    <w:rPr>
                      <w:color w:val="auto"/>
                      <w:szCs w:val="21"/>
                    </w:rPr>
                  </w:pPr>
                  <w:r>
                    <w:rPr>
                      <w:color w:val="auto"/>
                      <w:szCs w:val="21"/>
                    </w:rPr>
                    <w:t>—</w:t>
                  </w:r>
                </w:p>
              </w:tc>
              <w:tc>
                <w:tcPr>
                  <w:tcW w:w="900" w:type="dxa"/>
                  <w:vAlign w:val="center"/>
                </w:tcPr>
                <w:p w14:paraId="70E02D2D">
                  <w:pPr>
                    <w:jc w:val="center"/>
                    <w:rPr>
                      <w:color w:val="auto"/>
                      <w:szCs w:val="21"/>
                    </w:rPr>
                  </w:pPr>
                  <w:r>
                    <w:rPr>
                      <w:color w:val="auto"/>
                      <w:szCs w:val="21"/>
                    </w:rPr>
                    <w:t>—</w:t>
                  </w:r>
                </w:p>
              </w:tc>
              <w:tc>
                <w:tcPr>
                  <w:tcW w:w="1175" w:type="dxa"/>
                  <w:vAlign w:val="center"/>
                </w:tcPr>
                <w:p w14:paraId="63321DC4">
                  <w:pPr>
                    <w:jc w:val="center"/>
                    <w:rPr>
                      <w:color w:val="auto"/>
                      <w:szCs w:val="21"/>
                    </w:rPr>
                  </w:pPr>
                  <w:r>
                    <w:rPr>
                      <w:rFonts w:hint="eastAsia"/>
                      <w:color w:val="auto"/>
                      <w:szCs w:val="21"/>
                    </w:rPr>
                    <w:t>0.022</w:t>
                  </w:r>
                </w:p>
              </w:tc>
            </w:tr>
            <w:tr w14:paraId="6445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80" w:type="dxa"/>
                  <w:gridSpan w:val="2"/>
                  <w:vAlign w:val="center"/>
                </w:tcPr>
                <w:p w14:paraId="4799383F">
                  <w:pPr>
                    <w:jc w:val="center"/>
                    <w:rPr>
                      <w:color w:val="auto"/>
                      <w:szCs w:val="21"/>
                    </w:rPr>
                  </w:pPr>
                  <w:r>
                    <w:rPr>
                      <w:color w:val="auto"/>
                      <w:szCs w:val="21"/>
                    </w:rPr>
                    <w:t>削减量合计t/a</w:t>
                  </w:r>
                </w:p>
              </w:tc>
              <w:tc>
                <w:tcPr>
                  <w:tcW w:w="1065" w:type="dxa"/>
                  <w:vAlign w:val="center"/>
                </w:tcPr>
                <w:p w14:paraId="5C0FADF7">
                  <w:pPr>
                    <w:jc w:val="center"/>
                    <w:rPr>
                      <w:color w:val="auto"/>
                      <w:szCs w:val="21"/>
                    </w:rPr>
                  </w:pPr>
                  <w:r>
                    <w:rPr>
                      <w:color w:val="auto"/>
                      <w:szCs w:val="21"/>
                    </w:rPr>
                    <w:t>—</w:t>
                  </w:r>
                </w:p>
              </w:tc>
              <w:tc>
                <w:tcPr>
                  <w:tcW w:w="689" w:type="dxa"/>
                  <w:vAlign w:val="center"/>
                </w:tcPr>
                <w:p w14:paraId="6091B7D7">
                  <w:pPr>
                    <w:jc w:val="center"/>
                    <w:rPr>
                      <w:color w:val="auto"/>
                      <w:szCs w:val="21"/>
                    </w:rPr>
                  </w:pPr>
                  <w:r>
                    <w:rPr>
                      <w:rFonts w:hint="eastAsia"/>
                      <w:color w:val="auto"/>
                      <w:szCs w:val="21"/>
                    </w:rPr>
                    <w:t>0.693</w:t>
                  </w:r>
                </w:p>
              </w:tc>
              <w:tc>
                <w:tcPr>
                  <w:tcW w:w="740" w:type="dxa"/>
                  <w:vAlign w:val="center"/>
                </w:tcPr>
                <w:p w14:paraId="5146AE83">
                  <w:pPr>
                    <w:jc w:val="center"/>
                    <w:rPr>
                      <w:color w:val="auto"/>
                      <w:szCs w:val="21"/>
                    </w:rPr>
                  </w:pPr>
                  <w:r>
                    <w:rPr>
                      <w:rFonts w:hint="eastAsia"/>
                      <w:color w:val="auto"/>
                      <w:szCs w:val="21"/>
                    </w:rPr>
                    <w:t>0.307</w:t>
                  </w:r>
                </w:p>
              </w:tc>
              <w:tc>
                <w:tcPr>
                  <w:tcW w:w="689" w:type="dxa"/>
                  <w:vAlign w:val="center"/>
                </w:tcPr>
                <w:p w14:paraId="1FA1B7A6">
                  <w:pPr>
                    <w:jc w:val="center"/>
                    <w:rPr>
                      <w:color w:val="auto"/>
                      <w:szCs w:val="21"/>
                    </w:rPr>
                  </w:pPr>
                  <w:r>
                    <w:rPr>
                      <w:rFonts w:hint="eastAsia"/>
                      <w:color w:val="auto"/>
                      <w:szCs w:val="21"/>
                    </w:rPr>
                    <w:t>0.279</w:t>
                  </w:r>
                </w:p>
              </w:tc>
              <w:tc>
                <w:tcPr>
                  <w:tcW w:w="821" w:type="dxa"/>
                  <w:vAlign w:val="center"/>
                </w:tcPr>
                <w:p w14:paraId="1A0F2FE7">
                  <w:pPr>
                    <w:jc w:val="center"/>
                    <w:rPr>
                      <w:color w:val="auto"/>
                      <w:szCs w:val="21"/>
                    </w:rPr>
                  </w:pPr>
                  <w:r>
                    <w:rPr>
                      <w:rFonts w:hint="eastAsia"/>
                      <w:color w:val="auto"/>
                      <w:szCs w:val="21"/>
                    </w:rPr>
                    <w:t>0.072</w:t>
                  </w:r>
                </w:p>
              </w:tc>
              <w:tc>
                <w:tcPr>
                  <w:tcW w:w="1017" w:type="dxa"/>
                  <w:vAlign w:val="center"/>
                </w:tcPr>
                <w:p w14:paraId="53AD672A">
                  <w:pPr>
                    <w:jc w:val="center"/>
                    <w:rPr>
                      <w:color w:val="auto"/>
                      <w:szCs w:val="21"/>
                    </w:rPr>
                  </w:pPr>
                  <w:r>
                    <w:rPr>
                      <w:color w:val="auto"/>
                      <w:szCs w:val="21"/>
                    </w:rPr>
                    <w:t>—</w:t>
                  </w:r>
                </w:p>
              </w:tc>
              <w:tc>
                <w:tcPr>
                  <w:tcW w:w="900" w:type="dxa"/>
                  <w:vAlign w:val="center"/>
                </w:tcPr>
                <w:p w14:paraId="3E5BA394">
                  <w:pPr>
                    <w:jc w:val="center"/>
                    <w:rPr>
                      <w:color w:val="auto"/>
                      <w:szCs w:val="21"/>
                    </w:rPr>
                  </w:pPr>
                  <w:r>
                    <w:rPr>
                      <w:color w:val="auto"/>
                      <w:szCs w:val="21"/>
                    </w:rPr>
                    <w:t>—</w:t>
                  </w:r>
                </w:p>
              </w:tc>
              <w:tc>
                <w:tcPr>
                  <w:tcW w:w="1175" w:type="dxa"/>
                  <w:vAlign w:val="center"/>
                </w:tcPr>
                <w:p w14:paraId="5C9F3F21">
                  <w:pPr>
                    <w:jc w:val="center"/>
                    <w:rPr>
                      <w:color w:val="auto"/>
                      <w:szCs w:val="21"/>
                    </w:rPr>
                  </w:pPr>
                  <w:r>
                    <w:rPr>
                      <w:rFonts w:hint="eastAsia"/>
                      <w:color w:val="auto"/>
                      <w:szCs w:val="21"/>
                    </w:rPr>
                    <w:t>0.029</w:t>
                  </w:r>
                </w:p>
              </w:tc>
            </w:tr>
          </w:tbl>
          <w:p w14:paraId="60A708CE">
            <w:pPr>
              <w:spacing w:line="360" w:lineRule="auto"/>
              <w:ind w:firstLine="482" w:firstLineChars="200"/>
              <w:rPr>
                <w:b/>
                <w:bCs/>
                <w:color w:val="auto"/>
                <w:sz w:val="24"/>
              </w:rPr>
            </w:pPr>
            <w:r>
              <w:rPr>
                <w:rFonts w:hint="eastAsia"/>
                <w:b/>
                <w:bCs/>
                <w:color w:val="auto"/>
                <w:sz w:val="24"/>
              </w:rPr>
              <w:t>废水非正常工况：</w:t>
            </w:r>
          </w:p>
          <w:p w14:paraId="0309BE0D">
            <w:pPr>
              <w:spacing w:line="360" w:lineRule="auto"/>
              <w:ind w:firstLine="480" w:firstLineChars="200"/>
              <w:rPr>
                <w:color w:val="auto"/>
                <w:sz w:val="24"/>
              </w:rPr>
            </w:pPr>
            <w:r>
              <w:rPr>
                <w:rFonts w:hint="eastAsia"/>
                <w:color w:val="auto"/>
                <w:sz w:val="24"/>
              </w:rPr>
              <w:t>废水非正常排放考虑卫生院污水站设置故障或池子泄漏。医疗废水可能沾染病人的血、尿、便，含有细菌、病毒等多种病原体，具有传染性，可以诱发疾病或造成水体污染，为防止污水处理设施出现故障时，医疗不能进行有效处理，出现非正常排放，院区设置了应急电源，保证污水站用电，避免在污水处理设备出现事故的时候污水不经过消毒处理就排放的情况发生。污水处理站污水提升泵一用一备，若设备发生故障时可及时换用备用设备。</w:t>
            </w:r>
          </w:p>
          <w:p w14:paraId="27CCABD3">
            <w:pPr>
              <w:spacing w:line="360" w:lineRule="auto"/>
              <w:ind w:firstLine="480" w:firstLineChars="200"/>
              <w:rPr>
                <w:color w:val="auto"/>
                <w:sz w:val="24"/>
              </w:rPr>
            </w:pPr>
            <w:r>
              <w:rPr>
                <w:rFonts w:hint="eastAsia"/>
                <w:color w:val="auto"/>
                <w:sz w:val="24"/>
              </w:rPr>
              <w:t>根据《卫生院污水处理工程技术规范》（</w:t>
            </w:r>
            <w:r>
              <w:rPr>
                <w:color w:val="auto"/>
                <w:sz w:val="24"/>
              </w:rPr>
              <w:t>HJ2029-2013</w:t>
            </w:r>
            <w:r>
              <w:rPr>
                <w:rFonts w:hint="eastAsia"/>
                <w:color w:val="auto"/>
                <w:sz w:val="24"/>
              </w:rPr>
              <w:t>）非传染病卫生院污水处理工程应急事故池容积应不小于日排放量的</w:t>
            </w:r>
            <w:r>
              <w:rPr>
                <w:color w:val="auto"/>
                <w:sz w:val="24"/>
              </w:rPr>
              <w:t>30%</w:t>
            </w:r>
            <w:r>
              <w:rPr>
                <w:rFonts w:hint="eastAsia"/>
                <w:color w:val="auto"/>
                <w:sz w:val="24"/>
              </w:rPr>
              <w:t>的要求，</w:t>
            </w:r>
            <w:r>
              <w:rPr>
                <w:rFonts w:hint="eastAsia"/>
                <w:color w:val="auto"/>
                <w:sz w:val="24"/>
                <w:lang w:val="en-US" w:eastAsia="zh-CN"/>
              </w:rPr>
              <w:t>因此本环评要求各卫生院建设污水处理站的同时，配套建设事故应急池，事故应急池容积均</w:t>
            </w:r>
            <w:bookmarkStart w:id="90" w:name="_GoBack"/>
            <w:bookmarkEnd w:id="90"/>
            <w:r>
              <w:rPr>
                <w:rFonts w:hint="eastAsia"/>
                <w:color w:val="auto"/>
                <w:sz w:val="24"/>
                <w:lang w:val="en-US" w:eastAsia="zh-CN"/>
              </w:rPr>
              <w:t>为6m³。本项目事故处置的具体设计方案为：提升泵、污泥回流泵、鼓风机等动力设备和排风机等环保设备均一用一备，当在用设备发生故障时，备用设备立即启动运行；设置事故应急池，在检修或事故情况下应限制用水以减少污水量的产生，并及时采取措施启动备用设备，及时维修或更换出现事故不能运行的设备。在出现污水池泄露等风险情况下关闭用水系统减少污水量的产生，同时将污水池中的水抽运到事故应急池中，清理被污染的土壤并修复污水池渗漏处。</w:t>
            </w:r>
            <w:r>
              <w:rPr>
                <w:rFonts w:hint="eastAsia"/>
                <w:color w:val="auto"/>
                <w:sz w:val="24"/>
              </w:rPr>
              <w:t>发生事故时，及时检修及更换设备，并通过在化粪池内人工投加次氯酸钠的消毒方式，保证废水中病原体及细菌的达标排放，最大限度地避免医疗废水事故排放现象的发生。</w:t>
            </w:r>
          </w:p>
          <w:p w14:paraId="71E892D8">
            <w:pPr>
              <w:spacing w:line="360" w:lineRule="auto"/>
              <w:ind w:firstLine="480" w:firstLineChars="200"/>
              <w:rPr>
                <w:color w:val="auto"/>
                <w:sz w:val="24"/>
              </w:rPr>
            </w:pPr>
            <w:r>
              <w:rPr>
                <w:rFonts w:hint="eastAsia"/>
                <w:color w:val="auto"/>
                <w:sz w:val="24"/>
              </w:rPr>
              <w:t>污水处理站各池均进行防渗处理，各池采用防渗钢筋混凝土，污水管道材料选择优质材质并做表面的防腐、防锈蚀处理，减轻管道腐蚀造成的渗漏，并进行定期检查，防止跑冒漏滴的现象发生，不会对地下水、土壤造成大的影响。</w:t>
            </w:r>
          </w:p>
          <w:p w14:paraId="02566D78">
            <w:pPr>
              <w:spacing w:line="360" w:lineRule="auto"/>
              <w:ind w:firstLine="482" w:firstLineChars="200"/>
              <w:rPr>
                <w:b/>
                <w:bCs/>
                <w:color w:val="auto"/>
                <w:sz w:val="24"/>
              </w:rPr>
            </w:pPr>
            <w:r>
              <w:rPr>
                <w:rFonts w:hint="eastAsia"/>
                <w:b/>
                <w:bCs/>
                <w:color w:val="auto"/>
                <w:sz w:val="24"/>
              </w:rPr>
              <w:t>非正常工况采取的措施：</w:t>
            </w:r>
          </w:p>
          <w:p w14:paraId="48B257F4">
            <w:pPr>
              <w:spacing w:line="360" w:lineRule="auto"/>
              <w:ind w:firstLine="480" w:firstLineChars="200"/>
              <w:rPr>
                <w:color w:val="auto"/>
                <w:sz w:val="24"/>
              </w:rPr>
            </w:pPr>
            <w:r>
              <w:rPr>
                <w:rFonts w:hint="eastAsia"/>
                <w:color w:val="auto"/>
                <w:sz w:val="24"/>
              </w:rPr>
              <w:t>发生废水事故性排放时，立即通知卫生院内各用水科室，采取停止或减少用水的措施，以达到减少废水排放量的目的，同时启用备用设备，并对出现故障的污水处理系统进行维修，与此同时，通过在化粪池内人工投加次氯酸钠的消毒方式，保证废水中病原体及细菌的达标排放，最大限度地避免医疗废水事故排放现象的发生。</w:t>
            </w:r>
          </w:p>
          <w:p w14:paraId="7CE510CB">
            <w:pPr>
              <w:spacing w:line="360" w:lineRule="auto"/>
              <w:ind w:firstLine="354" w:firstLineChars="147"/>
              <w:rPr>
                <w:b/>
                <w:color w:val="auto"/>
                <w:sz w:val="24"/>
              </w:rPr>
            </w:pPr>
            <w:r>
              <w:rPr>
                <w:b/>
                <w:color w:val="auto"/>
                <w:sz w:val="24"/>
              </w:rPr>
              <w:t>（</w:t>
            </w:r>
            <w:r>
              <w:rPr>
                <w:rFonts w:hint="eastAsia"/>
                <w:b/>
                <w:color w:val="auto"/>
                <w:sz w:val="24"/>
              </w:rPr>
              <w:t>3</w:t>
            </w:r>
            <w:r>
              <w:rPr>
                <w:b/>
                <w:color w:val="auto"/>
                <w:sz w:val="24"/>
              </w:rPr>
              <w:t>）地表水环境影响及措施可行性分析</w:t>
            </w:r>
          </w:p>
          <w:p w14:paraId="7AC234D4">
            <w:pPr>
              <w:pStyle w:val="58"/>
              <w:snapToGrid w:val="0"/>
              <w:spacing w:line="360" w:lineRule="auto"/>
              <w:ind w:firstLine="482" w:firstLineChars="200"/>
              <w:rPr>
                <w:rFonts w:ascii="Times New Roman" w:eastAsia="宋体" w:cs="Times New Roman"/>
                <w:b/>
                <w:color w:val="auto"/>
              </w:rPr>
            </w:pPr>
            <w:r>
              <w:rPr>
                <w:rFonts w:ascii="Times New Roman" w:eastAsia="宋体" w:cs="Times New Roman"/>
                <w:b/>
                <w:color w:val="auto"/>
              </w:rPr>
              <w:t>1）本项目依托的各污水处理设施规模合理性及依托可行性分析</w:t>
            </w:r>
          </w:p>
          <w:p w14:paraId="0771973D">
            <w:pPr>
              <w:spacing w:line="360" w:lineRule="auto"/>
              <w:ind w:firstLine="480" w:firstLineChars="200"/>
              <w:rPr>
                <w:color w:val="auto"/>
                <w:sz w:val="24"/>
              </w:rPr>
            </w:pPr>
            <w:r>
              <w:rPr>
                <w:rFonts w:hint="eastAsia"/>
                <w:color w:val="auto"/>
                <w:sz w:val="24"/>
              </w:rPr>
              <w:t>本项目纳古卫生院放射科影像使用激光胶片直接由电脑打印输出，无洗相废水；口腔科不使用涉及含汞等重金属药剂，不产生含重金属废水。本项目纳古卫生院检验科将搬迁至本项目新建综合楼三层，本项目检验科不需自制试剂，无制剂废水。检验室产生的废试剂和耗材经专用容器收集后作为医疗废物进行处置。检验科产生的检验污水主要是对检验用过的非一次性容器、托盘及诊疗仪器设备进行清洗消毒产生的。检验室在检验时使用盐酸、硝酸、硫酸、过氧酸等酸性物质，清洗时将产生含少量酸性物质的酸性废水，产</w:t>
            </w:r>
            <w:r>
              <w:rPr>
                <w:color w:val="auto"/>
                <w:sz w:val="24"/>
              </w:rPr>
              <w:t>生的废水主要为酸性废水。</w:t>
            </w:r>
            <w:r>
              <w:rPr>
                <w:rFonts w:hint="eastAsia"/>
                <w:color w:val="auto"/>
                <w:sz w:val="24"/>
              </w:rPr>
              <w:t>产生量为0.017m³/d。废水</w:t>
            </w:r>
            <w:r>
              <w:rPr>
                <w:color w:val="auto"/>
                <w:sz w:val="24"/>
              </w:rPr>
              <w:t>经桶</w:t>
            </w:r>
            <w:r>
              <w:rPr>
                <w:rFonts w:hint="eastAsia"/>
                <w:color w:val="auto"/>
                <w:sz w:val="24"/>
              </w:rPr>
              <w:t>（2个50L的收集桶</w:t>
            </w:r>
            <w:r>
              <w:rPr>
                <w:color w:val="auto"/>
                <w:sz w:val="24"/>
              </w:rPr>
              <w:t>收集酸性废水</w:t>
            </w:r>
            <w:r>
              <w:rPr>
                <w:rFonts w:hint="eastAsia"/>
                <w:color w:val="auto"/>
                <w:sz w:val="24"/>
              </w:rPr>
              <w:t>（两备两用））</w:t>
            </w:r>
            <w:r>
              <w:rPr>
                <w:color w:val="auto"/>
                <w:sz w:val="24"/>
              </w:rPr>
              <w:t>收集后，酸碱中和反应</w:t>
            </w:r>
            <w:r>
              <w:rPr>
                <w:rFonts w:hint="eastAsia"/>
                <w:color w:val="auto"/>
                <w:sz w:val="24"/>
              </w:rPr>
              <w:t>（</w:t>
            </w:r>
            <w:r>
              <w:rPr>
                <w:color w:val="auto"/>
                <w:sz w:val="24"/>
              </w:rPr>
              <w:t>和至pH7-8</w:t>
            </w:r>
            <w:r>
              <w:rPr>
                <w:rFonts w:hint="eastAsia"/>
                <w:color w:val="auto"/>
                <w:sz w:val="24"/>
              </w:rPr>
              <w:t>）</w:t>
            </w:r>
            <w:r>
              <w:rPr>
                <w:color w:val="auto"/>
                <w:sz w:val="24"/>
              </w:rPr>
              <w:t>，预处理后排入化粪池，最终进入</w:t>
            </w:r>
            <w:r>
              <w:rPr>
                <w:rFonts w:hint="eastAsia"/>
                <w:color w:val="auto"/>
                <w:sz w:val="24"/>
              </w:rPr>
              <w:t>卫生院</w:t>
            </w:r>
            <w:r>
              <w:rPr>
                <w:color w:val="auto"/>
                <w:sz w:val="24"/>
              </w:rPr>
              <w:t>污水处理站处理</w:t>
            </w:r>
            <w:r>
              <w:rPr>
                <w:rFonts w:hint="eastAsia"/>
                <w:color w:val="auto"/>
                <w:sz w:val="24"/>
              </w:rPr>
              <w:t>。因此化验废水依托现有预处理设施具有可行性。</w:t>
            </w:r>
          </w:p>
          <w:p w14:paraId="2BC3BA21">
            <w:pPr>
              <w:spacing w:line="360" w:lineRule="auto"/>
              <w:ind w:firstLine="480" w:firstLineChars="200"/>
              <w:rPr>
                <w:color w:val="auto"/>
                <w:sz w:val="24"/>
              </w:rPr>
            </w:pPr>
            <w:r>
              <w:rPr>
                <w:rFonts w:hint="eastAsia"/>
                <w:color w:val="auto"/>
                <w:sz w:val="24"/>
              </w:rPr>
              <w:t>本项目四街卫生院检验科将搬迁至本项目新建综合楼一层，本项目检验科不需自制试剂，无制剂废水。检验室产生的废试剂和耗材经专用容器收集后作为医疗废物进行处置。检验科产生的检验污水主要是对检验用过的非一次性容器、托盘及诊疗仪器设备进行清洗消毒产生的。检验室在检验时使用盐酸、硝酸、硫酸、过氧酸等酸性物质，清洗时将产生含少量酸性物质的酸性废水，产</w:t>
            </w:r>
            <w:r>
              <w:rPr>
                <w:color w:val="auto"/>
                <w:sz w:val="24"/>
              </w:rPr>
              <w:t>生的废水主要为酸性废水。</w:t>
            </w:r>
            <w:r>
              <w:rPr>
                <w:rFonts w:hint="eastAsia"/>
                <w:color w:val="auto"/>
                <w:sz w:val="24"/>
              </w:rPr>
              <w:t>产生量为0.04m³/d。废水</w:t>
            </w:r>
            <w:r>
              <w:rPr>
                <w:color w:val="auto"/>
                <w:sz w:val="24"/>
              </w:rPr>
              <w:t>经桶</w:t>
            </w:r>
            <w:r>
              <w:rPr>
                <w:rFonts w:hint="eastAsia"/>
                <w:color w:val="auto"/>
                <w:sz w:val="24"/>
              </w:rPr>
              <w:t>（4个50L的收集桶</w:t>
            </w:r>
            <w:r>
              <w:rPr>
                <w:color w:val="auto"/>
                <w:sz w:val="24"/>
              </w:rPr>
              <w:t>收集酸性废水</w:t>
            </w:r>
            <w:r>
              <w:rPr>
                <w:rFonts w:hint="eastAsia"/>
                <w:color w:val="auto"/>
                <w:sz w:val="24"/>
              </w:rPr>
              <w:t>（两备两用））</w:t>
            </w:r>
            <w:r>
              <w:rPr>
                <w:color w:val="auto"/>
                <w:sz w:val="24"/>
              </w:rPr>
              <w:t>收集后，酸碱中和反应</w:t>
            </w:r>
            <w:r>
              <w:rPr>
                <w:rFonts w:hint="eastAsia"/>
                <w:color w:val="auto"/>
                <w:sz w:val="24"/>
              </w:rPr>
              <w:t>（</w:t>
            </w:r>
            <w:r>
              <w:rPr>
                <w:color w:val="auto"/>
                <w:sz w:val="24"/>
              </w:rPr>
              <w:t>和至pH7-8</w:t>
            </w:r>
            <w:r>
              <w:rPr>
                <w:rFonts w:hint="eastAsia"/>
                <w:color w:val="auto"/>
                <w:sz w:val="24"/>
              </w:rPr>
              <w:t>）</w:t>
            </w:r>
            <w:r>
              <w:rPr>
                <w:color w:val="auto"/>
                <w:sz w:val="24"/>
              </w:rPr>
              <w:t>，预处理后排入化粪池，最终进入</w:t>
            </w:r>
            <w:r>
              <w:rPr>
                <w:rFonts w:hint="eastAsia"/>
                <w:color w:val="auto"/>
                <w:sz w:val="24"/>
              </w:rPr>
              <w:t>卫生院</w:t>
            </w:r>
            <w:r>
              <w:rPr>
                <w:color w:val="auto"/>
                <w:sz w:val="24"/>
              </w:rPr>
              <w:t>污水处理站处理</w:t>
            </w:r>
            <w:r>
              <w:rPr>
                <w:rFonts w:hint="eastAsia"/>
                <w:color w:val="auto"/>
                <w:sz w:val="24"/>
              </w:rPr>
              <w:t>。因此化验废水依托现有预处理设施具有可行性。</w:t>
            </w:r>
          </w:p>
          <w:p w14:paraId="0EC85BF5">
            <w:pPr>
              <w:pStyle w:val="58"/>
              <w:snapToGrid w:val="0"/>
              <w:spacing w:line="360" w:lineRule="auto"/>
              <w:ind w:firstLine="472" w:firstLineChars="196"/>
              <w:rPr>
                <w:rFonts w:hint="eastAsia" w:ascii="宋体" w:hAnsi="宋体" w:eastAsia="宋体" w:cs="宋体"/>
                <w:b/>
                <w:bCs/>
                <w:color w:val="auto"/>
              </w:rPr>
            </w:pPr>
            <w:r>
              <w:rPr>
                <w:rFonts w:hint="eastAsia" w:ascii="宋体" w:hAnsi="宋体" w:eastAsia="宋体" w:cs="宋体"/>
                <w:b/>
                <w:bCs/>
                <w:color w:val="auto"/>
              </w:rPr>
              <w:t>2）本项目设置的废水处理设施规模合理性分析</w:t>
            </w:r>
          </w:p>
          <w:p w14:paraId="377C82EC">
            <w:pPr>
              <w:pStyle w:val="108"/>
              <w:adjustRightInd w:val="0"/>
              <w:snapToGrid w:val="0"/>
              <w:spacing w:line="360" w:lineRule="auto"/>
              <w:ind w:firstLine="482"/>
              <w:rPr>
                <w:b/>
                <w:color w:val="auto"/>
                <w:sz w:val="24"/>
              </w:rPr>
            </w:pPr>
            <w:r>
              <w:rPr>
                <w:rFonts w:hint="eastAsia"/>
                <w:b/>
                <w:color w:val="auto"/>
                <w:sz w:val="24"/>
              </w:rPr>
              <w:t>（1）化粪池</w:t>
            </w:r>
          </w:p>
          <w:p w14:paraId="3EB76510">
            <w:pPr>
              <w:spacing w:line="360" w:lineRule="auto"/>
              <w:ind w:firstLine="480" w:firstLineChars="200"/>
              <w:rPr>
                <w:color w:val="auto"/>
                <w:sz w:val="24"/>
              </w:rPr>
            </w:pPr>
            <w:r>
              <w:rPr>
                <w:rFonts w:hint="eastAsia"/>
                <w:color w:val="auto"/>
                <w:sz w:val="24"/>
              </w:rPr>
              <w:t>本项目涉及4个卫生院，项目建成后纳古卫生院综合楼污水产生量为7.007m</w:t>
            </w:r>
            <w:r>
              <w:rPr>
                <w:rFonts w:hint="eastAsia"/>
                <w:color w:val="auto"/>
                <w:sz w:val="24"/>
                <w:vertAlign w:val="superscript"/>
              </w:rPr>
              <w:t>3</w:t>
            </w:r>
            <w:r>
              <w:rPr>
                <w:rFonts w:hint="eastAsia"/>
                <w:color w:val="auto"/>
                <w:sz w:val="24"/>
              </w:rPr>
              <w:t>/d，四街卫生院业务用房污水产生量为7.1m³/d，九龙卫生院业务用房污水产生量为</w:t>
            </w:r>
            <w:r>
              <w:rPr>
                <w:color w:val="auto"/>
                <w:sz w:val="24"/>
              </w:rPr>
              <w:t>7.25m³/d</w:t>
            </w:r>
            <w:r>
              <w:rPr>
                <w:rFonts w:hint="eastAsia"/>
                <w:color w:val="auto"/>
                <w:sz w:val="24"/>
              </w:rPr>
              <w:t>，杨广卫生院门诊楼1号楼污水产生量为6.805m³/d。</w:t>
            </w:r>
            <w:r>
              <w:rPr>
                <w:color w:val="auto"/>
                <w:sz w:val="24"/>
              </w:rPr>
              <w:t>根据《医疗机构水污染排放标准》（GB18466-2005）中“5.3化粪池应按最高日排水量设计，停留时间为24-36h，清掏周期为180-360d”，本次环评提出</w:t>
            </w:r>
            <w:r>
              <w:rPr>
                <w:rFonts w:hint="eastAsia"/>
                <w:color w:val="auto"/>
                <w:sz w:val="24"/>
              </w:rPr>
              <w:t>，共设置四个化粪池，其中，纳古卫生院一座、四街卫生院一座、九龙卫生院一座、杨广卫生院一座。化粪池容积按最大停留时间不小于24h进行设计，则纳古卫生院、九龙卫生院、四街卫生院、杨广卫生院设置的化粪池容积均应不小于9m</w:t>
            </w:r>
            <w:r>
              <w:rPr>
                <w:rFonts w:hint="eastAsia"/>
                <w:color w:val="auto"/>
                <w:sz w:val="24"/>
                <w:vertAlign w:val="superscript"/>
              </w:rPr>
              <w:t>3</w:t>
            </w:r>
            <w:r>
              <w:rPr>
                <w:rFonts w:hint="eastAsia"/>
                <w:color w:val="auto"/>
                <w:sz w:val="24"/>
              </w:rPr>
              <w:t>，符合《医疗机构水污染排放标准》（GB18466-2005）中的要求，设置合理可行。</w:t>
            </w:r>
          </w:p>
          <w:p w14:paraId="1CACDBAD">
            <w:pPr>
              <w:adjustRightInd w:val="0"/>
              <w:snapToGrid w:val="0"/>
              <w:spacing w:line="360" w:lineRule="auto"/>
              <w:ind w:firstLine="482"/>
              <w:rPr>
                <w:b/>
                <w:color w:val="auto"/>
                <w:sz w:val="24"/>
              </w:rPr>
            </w:pPr>
            <w:r>
              <w:rPr>
                <w:rFonts w:hint="eastAsia"/>
                <w:b/>
                <w:bCs/>
                <w:color w:val="auto"/>
                <w:sz w:val="24"/>
              </w:rPr>
              <w:t>（2）</w:t>
            </w:r>
            <w:r>
              <w:rPr>
                <w:b/>
                <w:color w:val="auto"/>
                <w:sz w:val="24"/>
              </w:rPr>
              <w:t>污水处理站</w:t>
            </w:r>
            <w:r>
              <w:rPr>
                <w:rFonts w:hint="eastAsia"/>
                <w:b/>
                <w:color w:val="auto"/>
                <w:sz w:val="24"/>
              </w:rPr>
              <w:t>建设合理性分析</w:t>
            </w:r>
          </w:p>
          <w:p w14:paraId="2E742C8D">
            <w:pPr>
              <w:adjustRightInd w:val="0"/>
              <w:snapToGrid w:val="0"/>
              <w:spacing w:line="360" w:lineRule="auto"/>
              <w:ind w:firstLine="482"/>
              <w:rPr>
                <w:b/>
                <w:color w:val="auto"/>
                <w:kern w:val="0"/>
                <w:sz w:val="24"/>
              </w:rPr>
            </w:pPr>
            <w:r>
              <w:rPr>
                <w:b/>
                <w:color w:val="auto"/>
                <w:kern w:val="0"/>
                <w:sz w:val="24"/>
              </w:rPr>
              <w:t>①建设规模</w:t>
            </w:r>
          </w:p>
          <w:p w14:paraId="39DDF99C">
            <w:pPr>
              <w:pStyle w:val="131"/>
              <w:adjustRightInd w:val="0"/>
              <w:snapToGrid w:val="0"/>
              <w:ind w:firstLine="480"/>
              <w:rPr>
                <w:bCs/>
                <w:color w:val="auto"/>
              </w:rPr>
            </w:pPr>
            <w:r>
              <w:rPr>
                <w:rFonts w:hint="eastAsia"/>
                <w:bCs/>
                <w:color w:val="auto"/>
              </w:rPr>
              <w:t>本项目涉及4个卫生院，根据工程分析可知，纳古卫生院</w:t>
            </w:r>
            <w:r>
              <w:rPr>
                <w:rFonts w:hint="eastAsia"/>
                <w:color w:val="auto"/>
              </w:rPr>
              <w:t>现有项目医疗废水产生量为7.6</w:t>
            </w:r>
            <w:r>
              <w:rPr>
                <w:color w:val="auto"/>
              </w:rPr>
              <w:t>m³/d</w:t>
            </w:r>
            <w:r>
              <w:rPr>
                <w:rFonts w:hint="eastAsia"/>
                <w:color w:val="auto"/>
              </w:rPr>
              <w:t>，经化粪池处理后进入本项目已建污水处理站处理。本项目建成后，全院医疗废水的量为</w:t>
            </w:r>
            <w:r>
              <w:rPr>
                <w:rFonts w:hint="eastAsia"/>
                <w:color w:val="auto"/>
                <w:szCs w:val="24"/>
              </w:rPr>
              <w:t>14.607m</w:t>
            </w:r>
            <w:r>
              <w:rPr>
                <w:rFonts w:hint="eastAsia"/>
                <w:color w:val="auto"/>
                <w:vertAlign w:val="superscript"/>
              </w:rPr>
              <w:t>3</w:t>
            </w:r>
            <w:r>
              <w:rPr>
                <w:color w:val="auto"/>
              </w:rPr>
              <w:t>/d</w:t>
            </w:r>
            <w:r>
              <w:rPr>
                <w:rFonts w:hint="eastAsia"/>
                <w:color w:val="auto"/>
              </w:rPr>
              <w:t>。根据现场踏勘，纳古卫生院已建设了一座处理规模为</w:t>
            </w:r>
            <w:r>
              <w:rPr>
                <w:color w:val="auto"/>
              </w:rPr>
              <w:t>10m³/d</w:t>
            </w:r>
            <w:r>
              <w:rPr>
                <w:rFonts w:hint="eastAsia"/>
                <w:color w:val="auto"/>
              </w:rPr>
              <w:t>的污水处理站，现有的污水处理站处理规模不能满足全院医疗废水的处理能力，因此本环评要求，另行建设一座污水处理站处理本次改扩建项目产生的医疗废水。本次新增医疗废水量为7.007m³/d，按新增医疗废水量1.2倍的安全系数考虑，项目新建污水处理站处理规模应大于8.41m</w:t>
            </w:r>
            <w:r>
              <w:rPr>
                <w:rFonts w:hint="eastAsia"/>
                <w:color w:val="auto"/>
                <w:vertAlign w:val="superscript"/>
              </w:rPr>
              <w:t>3</w:t>
            </w:r>
            <w:r>
              <w:rPr>
                <w:rFonts w:hint="eastAsia"/>
                <w:color w:val="auto"/>
              </w:rPr>
              <w:t>/d，环评要求本次纳古卫生院新建的污水处理站处理规模设计为10m</w:t>
            </w:r>
            <w:r>
              <w:rPr>
                <w:rFonts w:hint="eastAsia"/>
                <w:color w:val="auto"/>
                <w:vertAlign w:val="superscript"/>
              </w:rPr>
              <w:t>3</w:t>
            </w:r>
            <w:r>
              <w:rPr>
                <w:rFonts w:hint="eastAsia"/>
                <w:color w:val="auto"/>
              </w:rPr>
              <w:t>/d，设为地埋式。本项目建成后纳古卫生院污水产排源强见表4-13。</w:t>
            </w:r>
          </w:p>
          <w:p w14:paraId="13BDAE17">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10</w:t>
            </w:r>
            <w:r>
              <w:rPr>
                <w:b/>
                <w:color w:val="auto"/>
                <w:sz w:val="24"/>
              </w:rPr>
              <w:t xml:space="preserve"> </w:t>
            </w:r>
            <w:r>
              <w:rPr>
                <w:rFonts w:hint="eastAsia"/>
                <w:b/>
                <w:color w:val="auto"/>
                <w:sz w:val="24"/>
              </w:rPr>
              <w:t>本项目建成后全院（纳古卫生院）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671"/>
              <w:gridCol w:w="1065"/>
              <w:gridCol w:w="689"/>
              <w:gridCol w:w="740"/>
              <w:gridCol w:w="689"/>
              <w:gridCol w:w="821"/>
              <w:gridCol w:w="1377"/>
              <w:gridCol w:w="885"/>
              <w:gridCol w:w="830"/>
            </w:tblGrid>
            <w:tr w14:paraId="784F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80" w:type="dxa"/>
                  <w:gridSpan w:val="2"/>
                  <w:vMerge w:val="restart"/>
                  <w:vAlign w:val="center"/>
                </w:tcPr>
                <w:p w14:paraId="6ECC68B7">
                  <w:pPr>
                    <w:jc w:val="center"/>
                    <w:rPr>
                      <w:b/>
                      <w:color w:val="auto"/>
                      <w:szCs w:val="21"/>
                    </w:rPr>
                  </w:pPr>
                  <w:r>
                    <w:rPr>
                      <w:b/>
                      <w:color w:val="auto"/>
                      <w:szCs w:val="21"/>
                    </w:rPr>
                    <w:t>指标</w:t>
                  </w:r>
                </w:p>
              </w:tc>
              <w:tc>
                <w:tcPr>
                  <w:tcW w:w="7096" w:type="dxa"/>
                  <w:gridSpan w:val="8"/>
                </w:tcPr>
                <w:p w14:paraId="32DA35CF">
                  <w:pPr>
                    <w:jc w:val="center"/>
                    <w:rPr>
                      <w:b/>
                      <w:color w:val="auto"/>
                      <w:szCs w:val="21"/>
                    </w:rPr>
                  </w:pPr>
                  <w:r>
                    <w:rPr>
                      <w:b/>
                      <w:color w:val="auto"/>
                      <w:szCs w:val="21"/>
                    </w:rPr>
                    <w:t>主要污染物名称</w:t>
                  </w:r>
                </w:p>
              </w:tc>
            </w:tr>
            <w:tr w14:paraId="2B4F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780" w:type="dxa"/>
                  <w:gridSpan w:val="2"/>
                  <w:vMerge w:val="continue"/>
                  <w:vAlign w:val="center"/>
                </w:tcPr>
                <w:p w14:paraId="0BC41162">
                  <w:pPr>
                    <w:jc w:val="center"/>
                    <w:rPr>
                      <w:color w:val="auto"/>
                      <w:szCs w:val="21"/>
                    </w:rPr>
                  </w:pPr>
                </w:p>
              </w:tc>
              <w:tc>
                <w:tcPr>
                  <w:tcW w:w="1065" w:type="dxa"/>
                  <w:vAlign w:val="center"/>
                </w:tcPr>
                <w:p w14:paraId="7BDB81FD">
                  <w:pPr>
                    <w:jc w:val="center"/>
                    <w:rPr>
                      <w:b/>
                      <w:color w:val="auto"/>
                      <w:szCs w:val="21"/>
                    </w:rPr>
                  </w:pPr>
                  <w:r>
                    <w:rPr>
                      <w:rFonts w:hint="eastAsia"/>
                      <w:b/>
                      <w:color w:val="auto"/>
                      <w:szCs w:val="21"/>
                    </w:rPr>
                    <w:t>PH</w:t>
                  </w:r>
                </w:p>
              </w:tc>
              <w:tc>
                <w:tcPr>
                  <w:tcW w:w="689" w:type="dxa"/>
                  <w:vAlign w:val="center"/>
                </w:tcPr>
                <w:p w14:paraId="2F16B941">
                  <w:pPr>
                    <w:jc w:val="center"/>
                    <w:rPr>
                      <w:b/>
                      <w:color w:val="auto"/>
                      <w:szCs w:val="21"/>
                    </w:rPr>
                  </w:pPr>
                  <w:r>
                    <w:rPr>
                      <w:b/>
                      <w:color w:val="auto"/>
                      <w:szCs w:val="21"/>
                    </w:rPr>
                    <w:t>COD</w:t>
                  </w:r>
                </w:p>
              </w:tc>
              <w:tc>
                <w:tcPr>
                  <w:tcW w:w="740" w:type="dxa"/>
                  <w:vAlign w:val="center"/>
                </w:tcPr>
                <w:p w14:paraId="15CDAD49">
                  <w:pPr>
                    <w:jc w:val="center"/>
                    <w:rPr>
                      <w:b/>
                      <w:color w:val="auto"/>
                      <w:szCs w:val="21"/>
                    </w:rPr>
                  </w:pPr>
                  <w:r>
                    <w:rPr>
                      <w:b/>
                      <w:color w:val="auto"/>
                      <w:szCs w:val="21"/>
                    </w:rPr>
                    <w:t>BOD</w:t>
                  </w:r>
                  <w:r>
                    <w:rPr>
                      <w:b/>
                      <w:color w:val="auto"/>
                      <w:szCs w:val="21"/>
                      <w:vertAlign w:val="subscript"/>
                    </w:rPr>
                    <w:t>5</w:t>
                  </w:r>
                </w:p>
              </w:tc>
              <w:tc>
                <w:tcPr>
                  <w:tcW w:w="689" w:type="dxa"/>
                  <w:vAlign w:val="center"/>
                </w:tcPr>
                <w:p w14:paraId="0E7D859E">
                  <w:pPr>
                    <w:jc w:val="center"/>
                    <w:rPr>
                      <w:b/>
                      <w:color w:val="auto"/>
                      <w:szCs w:val="21"/>
                    </w:rPr>
                  </w:pPr>
                  <w:r>
                    <w:rPr>
                      <w:b/>
                      <w:color w:val="auto"/>
                      <w:szCs w:val="21"/>
                    </w:rPr>
                    <w:t>SS</w:t>
                  </w:r>
                </w:p>
              </w:tc>
              <w:tc>
                <w:tcPr>
                  <w:tcW w:w="821" w:type="dxa"/>
                  <w:vAlign w:val="center"/>
                </w:tcPr>
                <w:p w14:paraId="007BA571">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377" w:type="dxa"/>
                  <w:vAlign w:val="center"/>
                </w:tcPr>
                <w:p w14:paraId="22868584">
                  <w:pPr>
                    <w:jc w:val="center"/>
                    <w:rPr>
                      <w:b/>
                      <w:color w:val="auto"/>
                    </w:rPr>
                  </w:pPr>
                  <w:r>
                    <w:rPr>
                      <w:b/>
                      <w:color w:val="auto"/>
                    </w:rPr>
                    <w:t>粪大肠菌群数</w:t>
                  </w:r>
                  <w:r>
                    <w:rPr>
                      <w:rFonts w:hint="eastAsia"/>
                      <w:b/>
                      <w:color w:val="auto"/>
                    </w:rPr>
                    <w:t>（</w:t>
                  </w:r>
                  <w:r>
                    <w:rPr>
                      <w:b/>
                      <w:color w:val="auto"/>
                    </w:rPr>
                    <w:t>个/L)</w:t>
                  </w:r>
                </w:p>
              </w:tc>
              <w:tc>
                <w:tcPr>
                  <w:tcW w:w="885" w:type="dxa"/>
                  <w:vAlign w:val="center"/>
                </w:tcPr>
                <w:p w14:paraId="1DBCEBE7">
                  <w:pPr>
                    <w:jc w:val="center"/>
                    <w:rPr>
                      <w:b/>
                      <w:color w:val="auto"/>
                    </w:rPr>
                  </w:pPr>
                  <w:r>
                    <w:rPr>
                      <w:b/>
                      <w:color w:val="auto"/>
                    </w:rPr>
                    <w:t>总余氯</w:t>
                  </w:r>
                </w:p>
              </w:tc>
              <w:tc>
                <w:tcPr>
                  <w:tcW w:w="830" w:type="dxa"/>
                  <w:vAlign w:val="center"/>
                </w:tcPr>
                <w:p w14:paraId="73B2BED1">
                  <w:pPr>
                    <w:jc w:val="center"/>
                    <w:rPr>
                      <w:b/>
                      <w:color w:val="auto"/>
                    </w:rPr>
                  </w:pPr>
                  <w:r>
                    <w:rPr>
                      <w:b/>
                      <w:bCs/>
                      <w:color w:val="auto"/>
                      <w:szCs w:val="21"/>
                    </w:rPr>
                    <w:t>总磷</w:t>
                  </w:r>
                </w:p>
              </w:tc>
            </w:tr>
            <w:tr w14:paraId="11B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109" w:type="dxa"/>
                  <w:vMerge w:val="restart"/>
                  <w:vAlign w:val="center"/>
                </w:tcPr>
                <w:p w14:paraId="19A93D3E">
                  <w:pPr>
                    <w:jc w:val="center"/>
                    <w:rPr>
                      <w:color w:val="auto"/>
                      <w:szCs w:val="21"/>
                    </w:rPr>
                  </w:pPr>
                  <w:r>
                    <w:rPr>
                      <w:rFonts w:hint="eastAsia"/>
                      <w:color w:val="auto"/>
                      <w:szCs w:val="21"/>
                    </w:rPr>
                    <w:t>全院废水</w:t>
                  </w:r>
                  <w:r>
                    <w:rPr>
                      <w:color w:val="auto"/>
                      <w:szCs w:val="21"/>
                    </w:rPr>
                    <w:t>产生量</w:t>
                  </w:r>
                </w:p>
                <w:p w14:paraId="0C9F346A">
                  <w:pPr>
                    <w:jc w:val="center"/>
                    <w:rPr>
                      <w:color w:val="auto"/>
                      <w:szCs w:val="21"/>
                    </w:rPr>
                  </w:pPr>
                  <w:r>
                    <w:rPr>
                      <w:rFonts w:hint="eastAsia"/>
                      <w:color w:val="auto"/>
                      <w:szCs w:val="21"/>
                    </w:rPr>
                    <w:t>5331.56</w:t>
                  </w:r>
                  <w:r>
                    <w:rPr>
                      <w:color w:val="auto"/>
                      <w:szCs w:val="21"/>
                    </w:rPr>
                    <w:t>t/a</w:t>
                  </w:r>
                </w:p>
              </w:tc>
              <w:tc>
                <w:tcPr>
                  <w:tcW w:w="671" w:type="dxa"/>
                  <w:vAlign w:val="center"/>
                </w:tcPr>
                <w:p w14:paraId="52AA8586">
                  <w:pPr>
                    <w:jc w:val="center"/>
                    <w:rPr>
                      <w:color w:val="auto"/>
                      <w:szCs w:val="21"/>
                    </w:rPr>
                  </w:pPr>
                  <w:r>
                    <w:rPr>
                      <w:color w:val="auto"/>
                      <w:szCs w:val="21"/>
                    </w:rPr>
                    <w:t>产生浓度mg/L</w:t>
                  </w:r>
                </w:p>
              </w:tc>
              <w:tc>
                <w:tcPr>
                  <w:tcW w:w="1065" w:type="dxa"/>
                  <w:vAlign w:val="center"/>
                </w:tcPr>
                <w:p w14:paraId="72D1364D">
                  <w:pPr>
                    <w:jc w:val="center"/>
                    <w:rPr>
                      <w:color w:val="auto"/>
                      <w:szCs w:val="21"/>
                    </w:rPr>
                  </w:pPr>
                  <w:r>
                    <w:rPr>
                      <w:color w:val="auto"/>
                      <w:szCs w:val="21"/>
                    </w:rPr>
                    <w:t>7~8</w:t>
                  </w:r>
                </w:p>
              </w:tc>
              <w:tc>
                <w:tcPr>
                  <w:tcW w:w="689" w:type="dxa"/>
                  <w:vAlign w:val="center"/>
                </w:tcPr>
                <w:p w14:paraId="5F1D12E5">
                  <w:pPr>
                    <w:jc w:val="center"/>
                    <w:rPr>
                      <w:color w:val="auto"/>
                      <w:szCs w:val="21"/>
                    </w:rPr>
                  </w:pPr>
                  <w:r>
                    <w:rPr>
                      <w:color w:val="auto"/>
                      <w:szCs w:val="21"/>
                    </w:rPr>
                    <w:t>300</w:t>
                  </w:r>
                </w:p>
              </w:tc>
              <w:tc>
                <w:tcPr>
                  <w:tcW w:w="740" w:type="dxa"/>
                  <w:vAlign w:val="center"/>
                </w:tcPr>
                <w:p w14:paraId="796ABCD2">
                  <w:pPr>
                    <w:jc w:val="center"/>
                    <w:rPr>
                      <w:color w:val="auto"/>
                      <w:szCs w:val="21"/>
                    </w:rPr>
                  </w:pPr>
                  <w:r>
                    <w:rPr>
                      <w:color w:val="auto"/>
                      <w:szCs w:val="21"/>
                    </w:rPr>
                    <w:t>150</w:t>
                  </w:r>
                </w:p>
              </w:tc>
              <w:tc>
                <w:tcPr>
                  <w:tcW w:w="689" w:type="dxa"/>
                  <w:vAlign w:val="center"/>
                </w:tcPr>
                <w:p w14:paraId="0EDAB822">
                  <w:pPr>
                    <w:jc w:val="center"/>
                    <w:rPr>
                      <w:color w:val="auto"/>
                      <w:szCs w:val="21"/>
                    </w:rPr>
                  </w:pPr>
                  <w:r>
                    <w:rPr>
                      <w:color w:val="auto"/>
                      <w:szCs w:val="21"/>
                    </w:rPr>
                    <w:t>120</w:t>
                  </w:r>
                </w:p>
              </w:tc>
              <w:tc>
                <w:tcPr>
                  <w:tcW w:w="821" w:type="dxa"/>
                  <w:vAlign w:val="center"/>
                </w:tcPr>
                <w:p w14:paraId="77D69CEE">
                  <w:pPr>
                    <w:jc w:val="center"/>
                    <w:rPr>
                      <w:color w:val="auto"/>
                      <w:szCs w:val="21"/>
                    </w:rPr>
                  </w:pPr>
                  <w:r>
                    <w:rPr>
                      <w:color w:val="auto"/>
                      <w:szCs w:val="21"/>
                    </w:rPr>
                    <w:t>40</w:t>
                  </w:r>
                </w:p>
              </w:tc>
              <w:tc>
                <w:tcPr>
                  <w:tcW w:w="1377" w:type="dxa"/>
                  <w:vAlign w:val="center"/>
                </w:tcPr>
                <w:p w14:paraId="7F4F5995">
                  <w:pPr>
                    <w:jc w:val="center"/>
                    <w:rPr>
                      <w:color w:val="auto"/>
                      <w:szCs w:val="21"/>
                    </w:rPr>
                  </w:pPr>
                  <w:r>
                    <w:rPr>
                      <w:color w:val="auto"/>
                      <w:szCs w:val="21"/>
                    </w:rPr>
                    <w:t>3.0×10</w:t>
                  </w:r>
                  <w:r>
                    <w:rPr>
                      <w:color w:val="auto"/>
                      <w:szCs w:val="21"/>
                      <w:vertAlign w:val="superscript"/>
                    </w:rPr>
                    <w:t>8</w:t>
                  </w:r>
                </w:p>
              </w:tc>
              <w:tc>
                <w:tcPr>
                  <w:tcW w:w="885" w:type="dxa"/>
                  <w:vAlign w:val="center"/>
                </w:tcPr>
                <w:p w14:paraId="222CA48A">
                  <w:pPr>
                    <w:jc w:val="center"/>
                    <w:rPr>
                      <w:color w:val="auto"/>
                      <w:szCs w:val="21"/>
                    </w:rPr>
                  </w:pPr>
                  <w:r>
                    <w:rPr>
                      <w:color w:val="auto"/>
                      <w:szCs w:val="21"/>
                    </w:rPr>
                    <w:t>—</w:t>
                  </w:r>
                </w:p>
              </w:tc>
              <w:tc>
                <w:tcPr>
                  <w:tcW w:w="830" w:type="dxa"/>
                  <w:vAlign w:val="center"/>
                </w:tcPr>
                <w:p w14:paraId="25B0FBE8">
                  <w:pPr>
                    <w:jc w:val="center"/>
                    <w:rPr>
                      <w:color w:val="auto"/>
                      <w:szCs w:val="21"/>
                    </w:rPr>
                  </w:pPr>
                  <w:r>
                    <w:rPr>
                      <w:rFonts w:hint="eastAsia"/>
                      <w:color w:val="auto"/>
                      <w:szCs w:val="21"/>
                    </w:rPr>
                    <w:t>12.8</w:t>
                  </w:r>
                </w:p>
              </w:tc>
            </w:tr>
            <w:tr w14:paraId="5FCB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0D984F2D">
                  <w:pPr>
                    <w:jc w:val="center"/>
                    <w:rPr>
                      <w:color w:val="auto"/>
                      <w:szCs w:val="21"/>
                    </w:rPr>
                  </w:pPr>
                </w:p>
              </w:tc>
              <w:tc>
                <w:tcPr>
                  <w:tcW w:w="671" w:type="dxa"/>
                  <w:vAlign w:val="center"/>
                </w:tcPr>
                <w:p w14:paraId="272238AE">
                  <w:pPr>
                    <w:jc w:val="center"/>
                    <w:rPr>
                      <w:color w:val="auto"/>
                      <w:szCs w:val="21"/>
                    </w:rPr>
                  </w:pPr>
                  <w:r>
                    <w:rPr>
                      <w:color w:val="auto"/>
                      <w:szCs w:val="21"/>
                    </w:rPr>
                    <w:t>产生量t/a</w:t>
                  </w:r>
                </w:p>
              </w:tc>
              <w:tc>
                <w:tcPr>
                  <w:tcW w:w="1065" w:type="dxa"/>
                  <w:vAlign w:val="center"/>
                </w:tcPr>
                <w:p w14:paraId="66E5420D">
                  <w:pPr>
                    <w:jc w:val="center"/>
                    <w:rPr>
                      <w:color w:val="auto"/>
                      <w:szCs w:val="21"/>
                    </w:rPr>
                  </w:pPr>
                  <w:r>
                    <w:rPr>
                      <w:color w:val="auto"/>
                      <w:szCs w:val="21"/>
                    </w:rPr>
                    <w:t>—</w:t>
                  </w:r>
                </w:p>
              </w:tc>
              <w:tc>
                <w:tcPr>
                  <w:tcW w:w="689" w:type="dxa"/>
                  <w:vAlign w:val="center"/>
                </w:tcPr>
                <w:p w14:paraId="0423DA92">
                  <w:pPr>
                    <w:jc w:val="center"/>
                    <w:rPr>
                      <w:color w:val="auto"/>
                      <w:szCs w:val="21"/>
                    </w:rPr>
                  </w:pPr>
                  <w:r>
                    <w:rPr>
                      <w:rFonts w:hint="eastAsia"/>
                      <w:color w:val="auto"/>
                      <w:szCs w:val="21"/>
                    </w:rPr>
                    <w:t>1.616</w:t>
                  </w:r>
                </w:p>
              </w:tc>
              <w:tc>
                <w:tcPr>
                  <w:tcW w:w="740" w:type="dxa"/>
                  <w:vAlign w:val="center"/>
                </w:tcPr>
                <w:p w14:paraId="6E84D174">
                  <w:pPr>
                    <w:jc w:val="center"/>
                    <w:rPr>
                      <w:color w:val="auto"/>
                      <w:szCs w:val="21"/>
                    </w:rPr>
                  </w:pPr>
                  <w:r>
                    <w:rPr>
                      <w:rFonts w:hint="eastAsia"/>
                      <w:color w:val="auto"/>
                      <w:szCs w:val="21"/>
                    </w:rPr>
                    <w:t>0.808</w:t>
                  </w:r>
                </w:p>
              </w:tc>
              <w:tc>
                <w:tcPr>
                  <w:tcW w:w="689" w:type="dxa"/>
                  <w:vAlign w:val="center"/>
                </w:tcPr>
                <w:p w14:paraId="786434BE">
                  <w:pPr>
                    <w:jc w:val="center"/>
                    <w:rPr>
                      <w:color w:val="auto"/>
                      <w:szCs w:val="21"/>
                    </w:rPr>
                  </w:pPr>
                  <w:r>
                    <w:rPr>
                      <w:rFonts w:hint="eastAsia"/>
                      <w:color w:val="auto"/>
                      <w:szCs w:val="21"/>
                    </w:rPr>
                    <w:t>0.646</w:t>
                  </w:r>
                </w:p>
              </w:tc>
              <w:tc>
                <w:tcPr>
                  <w:tcW w:w="821" w:type="dxa"/>
                  <w:vAlign w:val="center"/>
                </w:tcPr>
                <w:p w14:paraId="3748428D">
                  <w:pPr>
                    <w:jc w:val="center"/>
                    <w:rPr>
                      <w:color w:val="auto"/>
                      <w:szCs w:val="21"/>
                    </w:rPr>
                  </w:pPr>
                  <w:r>
                    <w:rPr>
                      <w:rFonts w:hint="eastAsia"/>
                      <w:color w:val="auto"/>
                      <w:szCs w:val="21"/>
                    </w:rPr>
                    <w:t>0.215</w:t>
                  </w:r>
                </w:p>
              </w:tc>
              <w:tc>
                <w:tcPr>
                  <w:tcW w:w="1377" w:type="dxa"/>
                  <w:vAlign w:val="center"/>
                </w:tcPr>
                <w:p w14:paraId="6A2DF9DB">
                  <w:pPr>
                    <w:jc w:val="center"/>
                    <w:rPr>
                      <w:color w:val="auto"/>
                      <w:szCs w:val="21"/>
                    </w:rPr>
                  </w:pPr>
                  <w:r>
                    <w:rPr>
                      <w:color w:val="auto"/>
                      <w:szCs w:val="21"/>
                    </w:rPr>
                    <w:t>—</w:t>
                  </w:r>
                </w:p>
              </w:tc>
              <w:tc>
                <w:tcPr>
                  <w:tcW w:w="885" w:type="dxa"/>
                  <w:vAlign w:val="center"/>
                </w:tcPr>
                <w:p w14:paraId="00D73036">
                  <w:pPr>
                    <w:jc w:val="center"/>
                    <w:rPr>
                      <w:color w:val="auto"/>
                      <w:szCs w:val="21"/>
                    </w:rPr>
                  </w:pPr>
                  <w:r>
                    <w:rPr>
                      <w:color w:val="auto"/>
                      <w:szCs w:val="21"/>
                    </w:rPr>
                    <w:t>—</w:t>
                  </w:r>
                </w:p>
              </w:tc>
              <w:tc>
                <w:tcPr>
                  <w:tcW w:w="830" w:type="dxa"/>
                  <w:vAlign w:val="center"/>
                </w:tcPr>
                <w:p w14:paraId="5A613F70">
                  <w:pPr>
                    <w:jc w:val="center"/>
                    <w:rPr>
                      <w:color w:val="auto"/>
                      <w:szCs w:val="21"/>
                    </w:rPr>
                  </w:pPr>
                  <w:r>
                    <w:rPr>
                      <w:rFonts w:hint="eastAsia"/>
                      <w:color w:val="auto"/>
                      <w:szCs w:val="21"/>
                    </w:rPr>
                    <w:t>0.068</w:t>
                  </w:r>
                </w:p>
              </w:tc>
            </w:tr>
            <w:tr w14:paraId="2B6B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1FA8B3D8">
                  <w:pPr>
                    <w:jc w:val="center"/>
                    <w:rPr>
                      <w:color w:val="auto"/>
                      <w:szCs w:val="21"/>
                    </w:rPr>
                  </w:pPr>
                  <w:r>
                    <w:rPr>
                      <w:rFonts w:hint="eastAsia"/>
                      <w:color w:val="auto"/>
                      <w:szCs w:val="21"/>
                    </w:rPr>
                    <w:t>本项目污水处理站出水2557.56</w:t>
                  </w:r>
                  <w:r>
                    <w:rPr>
                      <w:color w:val="auto"/>
                      <w:szCs w:val="21"/>
                    </w:rPr>
                    <w:t>t/a</w:t>
                  </w:r>
                </w:p>
              </w:tc>
              <w:tc>
                <w:tcPr>
                  <w:tcW w:w="671" w:type="dxa"/>
                  <w:vAlign w:val="center"/>
                </w:tcPr>
                <w:p w14:paraId="26081B0B">
                  <w:pPr>
                    <w:jc w:val="center"/>
                    <w:rPr>
                      <w:color w:val="auto"/>
                      <w:szCs w:val="21"/>
                    </w:rPr>
                  </w:pPr>
                  <w:r>
                    <w:rPr>
                      <w:color w:val="auto"/>
                      <w:szCs w:val="21"/>
                    </w:rPr>
                    <w:t>排放浓度mg/L</w:t>
                  </w:r>
                </w:p>
              </w:tc>
              <w:tc>
                <w:tcPr>
                  <w:tcW w:w="1065" w:type="dxa"/>
                  <w:vAlign w:val="center"/>
                </w:tcPr>
                <w:p w14:paraId="200249F8">
                  <w:pPr>
                    <w:jc w:val="center"/>
                    <w:rPr>
                      <w:color w:val="auto"/>
                      <w:szCs w:val="21"/>
                    </w:rPr>
                  </w:pPr>
                  <w:r>
                    <w:rPr>
                      <w:rFonts w:hint="eastAsia"/>
                      <w:color w:val="auto"/>
                      <w:szCs w:val="21"/>
                    </w:rPr>
                    <w:t>7.85~7.87</w:t>
                  </w:r>
                </w:p>
              </w:tc>
              <w:tc>
                <w:tcPr>
                  <w:tcW w:w="689" w:type="dxa"/>
                  <w:vAlign w:val="center"/>
                </w:tcPr>
                <w:p w14:paraId="12DC61D3">
                  <w:pPr>
                    <w:jc w:val="center"/>
                    <w:rPr>
                      <w:color w:val="auto"/>
                      <w:szCs w:val="21"/>
                    </w:rPr>
                  </w:pPr>
                  <w:r>
                    <w:rPr>
                      <w:rFonts w:hint="eastAsia"/>
                      <w:color w:val="auto"/>
                      <w:szCs w:val="21"/>
                    </w:rPr>
                    <w:t>44</w:t>
                  </w:r>
                </w:p>
              </w:tc>
              <w:tc>
                <w:tcPr>
                  <w:tcW w:w="740" w:type="dxa"/>
                  <w:vAlign w:val="center"/>
                </w:tcPr>
                <w:p w14:paraId="2BA18E01">
                  <w:pPr>
                    <w:jc w:val="center"/>
                    <w:rPr>
                      <w:color w:val="auto"/>
                    </w:rPr>
                  </w:pPr>
                  <w:r>
                    <w:rPr>
                      <w:rFonts w:hint="eastAsia"/>
                      <w:color w:val="auto"/>
                      <w:szCs w:val="21"/>
                    </w:rPr>
                    <w:t>7.2</w:t>
                  </w:r>
                </w:p>
              </w:tc>
              <w:tc>
                <w:tcPr>
                  <w:tcW w:w="689" w:type="dxa"/>
                  <w:vAlign w:val="center"/>
                </w:tcPr>
                <w:p w14:paraId="6FD19899">
                  <w:pPr>
                    <w:jc w:val="center"/>
                    <w:rPr>
                      <w:color w:val="auto"/>
                      <w:szCs w:val="21"/>
                    </w:rPr>
                  </w:pPr>
                  <w:r>
                    <w:rPr>
                      <w:rFonts w:hint="eastAsia"/>
                      <w:color w:val="auto"/>
                      <w:szCs w:val="21"/>
                    </w:rPr>
                    <w:t>17</w:t>
                  </w:r>
                </w:p>
              </w:tc>
              <w:tc>
                <w:tcPr>
                  <w:tcW w:w="821" w:type="dxa"/>
                  <w:vAlign w:val="center"/>
                </w:tcPr>
                <w:p w14:paraId="56D8166C">
                  <w:pPr>
                    <w:jc w:val="center"/>
                    <w:rPr>
                      <w:color w:val="auto"/>
                      <w:szCs w:val="21"/>
                    </w:rPr>
                  </w:pPr>
                  <w:r>
                    <w:rPr>
                      <w:rFonts w:hint="eastAsia"/>
                      <w:color w:val="auto"/>
                      <w:szCs w:val="21"/>
                    </w:rPr>
                    <w:t>13.4</w:t>
                  </w:r>
                </w:p>
              </w:tc>
              <w:tc>
                <w:tcPr>
                  <w:tcW w:w="1377" w:type="dxa"/>
                  <w:vAlign w:val="center"/>
                </w:tcPr>
                <w:p w14:paraId="3AE11C5B">
                  <w:pPr>
                    <w:jc w:val="center"/>
                    <w:rPr>
                      <w:color w:val="auto"/>
                      <w:szCs w:val="21"/>
                    </w:rPr>
                  </w:pPr>
                  <w:r>
                    <w:rPr>
                      <w:rFonts w:hint="eastAsia"/>
                      <w:color w:val="auto"/>
                      <w:szCs w:val="21"/>
                    </w:rPr>
                    <w:t>70</w:t>
                  </w:r>
                </w:p>
              </w:tc>
              <w:tc>
                <w:tcPr>
                  <w:tcW w:w="885" w:type="dxa"/>
                  <w:vAlign w:val="center"/>
                </w:tcPr>
                <w:p w14:paraId="690990D8">
                  <w:pPr>
                    <w:jc w:val="center"/>
                    <w:rPr>
                      <w:color w:val="auto"/>
                      <w:szCs w:val="21"/>
                    </w:rPr>
                  </w:pPr>
                  <w:r>
                    <w:rPr>
                      <w:rFonts w:hint="eastAsia"/>
                      <w:color w:val="auto"/>
                      <w:szCs w:val="21"/>
                    </w:rPr>
                    <w:t>0.4</w:t>
                  </w:r>
                </w:p>
              </w:tc>
              <w:tc>
                <w:tcPr>
                  <w:tcW w:w="830" w:type="dxa"/>
                  <w:vAlign w:val="center"/>
                </w:tcPr>
                <w:p w14:paraId="2F069ABE">
                  <w:pPr>
                    <w:jc w:val="center"/>
                    <w:rPr>
                      <w:color w:val="auto"/>
                      <w:szCs w:val="21"/>
                    </w:rPr>
                  </w:pPr>
                  <w:r>
                    <w:rPr>
                      <w:rFonts w:hint="eastAsia"/>
                      <w:color w:val="auto"/>
                      <w:szCs w:val="21"/>
                    </w:rPr>
                    <w:t>4.69</w:t>
                  </w:r>
                </w:p>
              </w:tc>
            </w:tr>
            <w:tr w14:paraId="714D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09" w:type="dxa"/>
                  <w:vMerge w:val="continue"/>
                  <w:vAlign w:val="center"/>
                </w:tcPr>
                <w:p w14:paraId="4A32A701">
                  <w:pPr>
                    <w:jc w:val="center"/>
                    <w:rPr>
                      <w:color w:val="auto"/>
                      <w:szCs w:val="21"/>
                    </w:rPr>
                  </w:pPr>
                </w:p>
              </w:tc>
              <w:tc>
                <w:tcPr>
                  <w:tcW w:w="671" w:type="dxa"/>
                  <w:vAlign w:val="center"/>
                </w:tcPr>
                <w:p w14:paraId="143DAF07">
                  <w:pPr>
                    <w:jc w:val="center"/>
                    <w:rPr>
                      <w:color w:val="auto"/>
                      <w:szCs w:val="21"/>
                    </w:rPr>
                  </w:pPr>
                  <w:r>
                    <w:rPr>
                      <w:color w:val="auto"/>
                      <w:szCs w:val="21"/>
                    </w:rPr>
                    <w:t>排放量t/a</w:t>
                  </w:r>
                </w:p>
              </w:tc>
              <w:tc>
                <w:tcPr>
                  <w:tcW w:w="1065" w:type="dxa"/>
                  <w:vAlign w:val="center"/>
                </w:tcPr>
                <w:p w14:paraId="1D7054F8">
                  <w:pPr>
                    <w:jc w:val="center"/>
                    <w:rPr>
                      <w:color w:val="auto"/>
                      <w:szCs w:val="21"/>
                    </w:rPr>
                  </w:pPr>
                  <w:r>
                    <w:rPr>
                      <w:color w:val="auto"/>
                      <w:szCs w:val="21"/>
                    </w:rPr>
                    <w:t>—</w:t>
                  </w:r>
                </w:p>
              </w:tc>
              <w:tc>
                <w:tcPr>
                  <w:tcW w:w="689" w:type="dxa"/>
                  <w:vAlign w:val="center"/>
                </w:tcPr>
                <w:p w14:paraId="7978751F">
                  <w:pPr>
                    <w:jc w:val="center"/>
                    <w:rPr>
                      <w:color w:val="auto"/>
                      <w:szCs w:val="21"/>
                    </w:rPr>
                  </w:pPr>
                  <w:r>
                    <w:rPr>
                      <w:rFonts w:hint="eastAsia"/>
                      <w:color w:val="auto"/>
                      <w:szCs w:val="21"/>
                    </w:rPr>
                    <w:t>0.115</w:t>
                  </w:r>
                </w:p>
              </w:tc>
              <w:tc>
                <w:tcPr>
                  <w:tcW w:w="740" w:type="dxa"/>
                  <w:vAlign w:val="center"/>
                </w:tcPr>
                <w:p w14:paraId="1D322DF6">
                  <w:pPr>
                    <w:jc w:val="center"/>
                    <w:rPr>
                      <w:color w:val="auto"/>
                    </w:rPr>
                  </w:pPr>
                  <w:r>
                    <w:rPr>
                      <w:rFonts w:hint="eastAsia"/>
                      <w:color w:val="auto"/>
                    </w:rPr>
                    <w:t>0.019</w:t>
                  </w:r>
                </w:p>
              </w:tc>
              <w:tc>
                <w:tcPr>
                  <w:tcW w:w="689" w:type="dxa"/>
                  <w:vAlign w:val="center"/>
                </w:tcPr>
                <w:p w14:paraId="2919E80C">
                  <w:pPr>
                    <w:jc w:val="center"/>
                    <w:rPr>
                      <w:color w:val="auto"/>
                      <w:szCs w:val="21"/>
                    </w:rPr>
                  </w:pPr>
                  <w:r>
                    <w:rPr>
                      <w:rFonts w:hint="eastAsia"/>
                      <w:color w:val="auto"/>
                      <w:szCs w:val="21"/>
                    </w:rPr>
                    <w:t>0.044</w:t>
                  </w:r>
                </w:p>
              </w:tc>
              <w:tc>
                <w:tcPr>
                  <w:tcW w:w="821" w:type="dxa"/>
                  <w:vAlign w:val="center"/>
                </w:tcPr>
                <w:p w14:paraId="61E7D83E">
                  <w:pPr>
                    <w:jc w:val="center"/>
                    <w:rPr>
                      <w:color w:val="auto"/>
                      <w:szCs w:val="21"/>
                    </w:rPr>
                  </w:pPr>
                  <w:r>
                    <w:rPr>
                      <w:rFonts w:hint="eastAsia"/>
                      <w:color w:val="auto"/>
                      <w:szCs w:val="21"/>
                    </w:rPr>
                    <w:t>0.035</w:t>
                  </w:r>
                </w:p>
              </w:tc>
              <w:tc>
                <w:tcPr>
                  <w:tcW w:w="1377" w:type="dxa"/>
                  <w:vAlign w:val="center"/>
                </w:tcPr>
                <w:p w14:paraId="165FB218">
                  <w:pPr>
                    <w:jc w:val="center"/>
                    <w:rPr>
                      <w:color w:val="auto"/>
                      <w:szCs w:val="21"/>
                    </w:rPr>
                  </w:pPr>
                  <w:r>
                    <w:rPr>
                      <w:color w:val="auto"/>
                      <w:szCs w:val="21"/>
                    </w:rPr>
                    <w:t>—</w:t>
                  </w:r>
                </w:p>
              </w:tc>
              <w:tc>
                <w:tcPr>
                  <w:tcW w:w="885" w:type="dxa"/>
                  <w:vAlign w:val="center"/>
                </w:tcPr>
                <w:p w14:paraId="704007F3">
                  <w:pPr>
                    <w:jc w:val="center"/>
                    <w:rPr>
                      <w:color w:val="auto"/>
                      <w:szCs w:val="21"/>
                    </w:rPr>
                  </w:pPr>
                  <w:r>
                    <w:rPr>
                      <w:color w:val="auto"/>
                      <w:szCs w:val="21"/>
                    </w:rPr>
                    <w:t>—</w:t>
                  </w:r>
                </w:p>
              </w:tc>
              <w:tc>
                <w:tcPr>
                  <w:tcW w:w="830" w:type="dxa"/>
                  <w:vAlign w:val="center"/>
                </w:tcPr>
                <w:p w14:paraId="637DEF2F">
                  <w:pPr>
                    <w:jc w:val="center"/>
                    <w:rPr>
                      <w:color w:val="auto"/>
                      <w:szCs w:val="21"/>
                    </w:rPr>
                  </w:pPr>
                  <w:r>
                    <w:rPr>
                      <w:rFonts w:hint="eastAsia"/>
                      <w:color w:val="auto"/>
                      <w:szCs w:val="21"/>
                    </w:rPr>
                    <w:t>0.012</w:t>
                  </w:r>
                </w:p>
              </w:tc>
            </w:tr>
            <w:tr w14:paraId="58B4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50A33A81">
                  <w:pPr>
                    <w:jc w:val="center"/>
                    <w:rPr>
                      <w:color w:val="auto"/>
                      <w:szCs w:val="21"/>
                    </w:rPr>
                  </w:pPr>
                  <w:r>
                    <w:rPr>
                      <w:rFonts w:hint="eastAsia"/>
                      <w:color w:val="auto"/>
                      <w:szCs w:val="21"/>
                    </w:rPr>
                    <w:t>现有项目污水处理站出水2774</w:t>
                  </w:r>
                  <w:r>
                    <w:rPr>
                      <w:color w:val="auto"/>
                      <w:szCs w:val="21"/>
                    </w:rPr>
                    <w:t>t/a</w:t>
                  </w:r>
                </w:p>
              </w:tc>
              <w:tc>
                <w:tcPr>
                  <w:tcW w:w="671" w:type="dxa"/>
                  <w:vAlign w:val="center"/>
                </w:tcPr>
                <w:p w14:paraId="21083803">
                  <w:pPr>
                    <w:jc w:val="center"/>
                    <w:rPr>
                      <w:color w:val="auto"/>
                      <w:szCs w:val="21"/>
                    </w:rPr>
                  </w:pPr>
                  <w:r>
                    <w:rPr>
                      <w:color w:val="auto"/>
                      <w:szCs w:val="21"/>
                    </w:rPr>
                    <w:t>排放浓度mg/L</w:t>
                  </w:r>
                </w:p>
              </w:tc>
              <w:tc>
                <w:tcPr>
                  <w:tcW w:w="1065" w:type="dxa"/>
                  <w:vAlign w:val="center"/>
                </w:tcPr>
                <w:p w14:paraId="53599A10">
                  <w:pPr>
                    <w:jc w:val="center"/>
                    <w:rPr>
                      <w:color w:val="auto"/>
                      <w:szCs w:val="21"/>
                    </w:rPr>
                  </w:pPr>
                  <w:r>
                    <w:rPr>
                      <w:rFonts w:hint="eastAsia"/>
                      <w:color w:val="auto"/>
                      <w:szCs w:val="21"/>
                    </w:rPr>
                    <w:t>6.95</w:t>
                  </w:r>
                </w:p>
              </w:tc>
              <w:tc>
                <w:tcPr>
                  <w:tcW w:w="689" w:type="dxa"/>
                  <w:vAlign w:val="center"/>
                </w:tcPr>
                <w:p w14:paraId="2F7842E3">
                  <w:pPr>
                    <w:jc w:val="center"/>
                    <w:rPr>
                      <w:color w:val="auto"/>
                      <w:szCs w:val="21"/>
                    </w:rPr>
                  </w:pPr>
                  <w:r>
                    <w:rPr>
                      <w:rFonts w:hint="eastAsia"/>
                      <w:color w:val="auto"/>
                      <w:szCs w:val="21"/>
                    </w:rPr>
                    <w:t>22</w:t>
                  </w:r>
                </w:p>
              </w:tc>
              <w:tc>
                <w:tcPr>
                  <w:tcW w:w="740" w:type="dxa"/>
                  <w:vAlign w:val="center"/>
                </w:tcPr>
                <w:p w14:paraId="33AAC799">
                  <w:pPr>
                    <w:jc w:val="center"/>
                    <w:rPr>
                      <w:color w:val="auto"/>
                    </w:rPr>
                  </w:pPr>
                  <w:r>
                    <w:rPr>
                      <w:rFonts w:hint="eastAsia"/>
                      <w:color w:val="auto"/>
                      <w:szCs w:val="21"/>
                    </w:rPr>
                    <w:t>4.2</w:t>
                  </w:r>
                </w:p>
              </w:tc>
              <w:tc>
                <w:tcPr>
                  <w:tcW w:w="689" w:type="dxa"/>
                  <w:vAlign w:val="center"/>
                </w:tcPr>
                <w:p w14:paraId="39B7F6D9">
                  <w:pPr>
                    <w:jc w:val="center"/>
                    <w:rPr>
                      <w:color w:val="auto"/>
                      <w:szCs w:val="21"/>
                    </w:rPr>
                  </w:pPr>
                  <w:r>
                    <w:rPr>
                      <w:rFonts w:hint="eastAsia"/>
                      <w:color w:val="auto"/>
                      <w:szCs w:val="21"/>
                    </w:rPr>
                    <w:t>9.17</w:t>
                  </w:r>
                </w:p>
              </w:tc>
              <w:tc>
                <w:tcPr>
                  <w:tcW w:w="821" w:type="dxa"/>
                  <w:vAlign w:val="center"/>
                </w:tcPr>
                <w:p w14:paraId="6185BA7F">
                  <w:pPr>
                    <w:jc w:val="center"/>
                    <w:rPr>
                      <w:color w:val="auto"/>
                      <w:szCs w:val="21"/>
                    </w:rPr>
                  </w:pPr>
                  <w:r>
                    <w:rPr>
                      <w:rFonts w:hint="eastAsia"/>
                      <w:color w:val="auto"/>
                      <w:szCs w:val="21"/>
                    </w:rPr>
                    <w:t>41.63</w:t>
                  </w:r>
                </w:p>
              </w:tc>
              <w:tc>
                <w:tcPr>
                  <w:tcW w:w="1377" w:type="dxa"/>
                  <w:vAlign w:val="center"/>
                </w:tcPr>
                <w:p w14:paraId="625087E8">
                  <w:pPr>
                    <w:jc w:val="center"/>
                    <w:rPr>
                      <w:color w:val="auto"/>
                      <w:szCs w:val="21"/>
                    </w:rPr>
                  </w:pPr>
                  <w:r>
                    <w:rPr>
                      <w:color w:val="auto"/>
                      <w:szCs w:val="21"/>
                    </w:rPr>
                    <w:t>—</w:t>
                  </w:r>
                </w:p>
              </w:tc>
              <w:tc>
                <w:tcPr>
                  <w:tcW w:w="885" w:type="dxa"/>
                  <w:vAlign w:val="center"/>
                </w:tcPr>
                <w:p w14:paraId="467AAD17">
                  <w:pPr>
                    <w:jc w:val="center"/>
                    <w:rPr>
                      <w:color w:val="auto"/>
                      <w:szCs w:val="21"/>
                    </w:rPr>
                  </w:pPr>
                  <w:r>
                    <w:rPr>
                      <w:rFonts w:hint="eastAsia"/>
                      <w:color w:val="auto"/>
                      <w:szCs w:val="21"/>
                    </w:rPr>
                    <w:t>1.2</w:t>
                  </w:r>
                </w:p>
              </w:tc>
              <w:tc>
                <w:tcPr>
                  <w:tcW w:w="830" w:type="dxa"/>
                  <w:vAlign w:val="center"/>
                </w:tcPr>
                <w:p w14:paraId="6B4F3514">
                  <w:pPr>
                    <w:jc w:val="center"/>
                    <w:rPr>
                      <w:color w:val="auto"/>
                      <w:szCs w:val="21"/>
                    </w:rPr>
                  </w:pPr>
                  <w:r>
                    <w:rPr>
                      <w:rFonts w:hint="eastAsia"/>
                      <w:color w:val="auto"/>
                      <w:szCs w:val="21"/>
                    </w:rPr>
                    <w:t>5.02</w:t>
                  </w:r>
                </w:p>
              </w:tc>
            </w:tr>
            <w:tr w14:paraId="36BE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120C5C1B">
                  <w:pPr>
                    <w:jc w:val="center"/>
                    <w:rPr>
                      <w:color w:val="auto"/>
                      <w:szCs w:val="21"/>
                    </w:rPr>
                  </w:pPr>
                </w:p>
              </w:tc>
              <w:tc>
                <w:tcPr>
                  <w:tcW w:w="671" w:type="dxa"/>
                  <w:vAlign w:val="center"/>
                </w:tcPr>
                <w:p w14:paraId="7F36304D">
                  <w:pPr>
                    <w:jc w:val="center"/>
                    <w:rPr>
                      <w:color w:val="auto"/>
                      <w:szCs w:val="21"/>
                    </w:rPr>
                  </w:pPr>
                  <w:r>
                    <w:rPr>
                      <w:color w:val="auto"/>
                      <w:szCs w:val="21"/>
                    </w:rPr>
                    <w:t>排放量t/a</w:t>
                  </w:r>
                </w:p>
              </w:tc>
              <w:tc>
                <w:tcPr>
                  <w:tcW w:w="1065" w:type="dxa"/>
                  <w:vAlign w:val="center"/>
                </w:tcPr>
                <w:p w14:paraId="5CE7F886">
                  <w:pPr>
                    <w:jc w:val="center"/>
                    <w:rPr>
                      <w:color w:val="auto"/>
                      <w:szCs w:val="21"/>
                    </w:rPr>
                  </w:pPr>
                  <w:r>
                    <w:rPr>
                      <w:color w:val="auto"/>
                      <w:szCs w:val="21"/>
                    </w:rPr>
                    <w:t>—</w:t>
                  </w:r>
                </w:p>
              </w:tc>
              <w:tc>
                <w:tcPr>
                  <w:tcW w:w="689" w:type="dxa"/>
                  <w:vAlign w:val="center"/>
                </w:tcPr>
                <w:p w14:paraId="4A3624F0">
                  <w:pPr>
                    <w:jc w:val="center"/>
                    <w:rPr>
                      <w:color w:val="auto"/>
                      <w:szCs w:val="21"/>
                    </w:rPr>
                  </w:pPr>
                  <w:r>
                    <w:rPr>
                      <w:rFonts w:hint="eastAsia"/>
                      <w:color w:val="auto"/>
                      <w:szCs w:val="21"/>
                    </w:rPr>
                    <w:t>0.061</w:t>
                  </w:r>
                </w:p>
              </w:tc>
              <w:tc>
                <w:tcPr>
                  <w:tcW w:w="740" w:type="dxa"/>
                  <w:vAlign w:val="center"/>
                </w:tcPr>
                <w:p w14:paraId="1A33F97C">
                  <w:pPr>
                    <w:jc w:val="center"/>
                    <w:rPr>
                      <w:color w:val="auto"/>
                    </w:rPr>
                  </w:pPr>
                  <w:r>
                    <w:rPr>
                      <w:rFonts w:hint="eastAsia"/>
                      <w:color w:val="auto"/>
                    </w:rPr>
                    <w:t>0.012</w:t>
                  </w:r>
                </w:p>
              </w:tc>
              <w:tc>
                <w:tcPr>
                  <w:tcW w:w="689" w:type="dxa"/>
                  <w:vAlign w:val="center"/>
                </w:tcPr>
                <w:p w14:paraId="56F6CBE8">
                  <w:pPr>
                    <w:jc w:val="center"/>
                    <w:rPr>
                      <w:color w:val="auto"/>
                      <w:szCs w:val="21"/>
                    </w:rPr>
                  </w:pPr>
                  <w:r>
                    <w:rPr>
                      <w:rFonts w:hint="eastAsia"/>
                      <w:color w:val="auto"/>
                      <w:szCs w:val="21"/>
                    </w:rPr>
                    <w:t>0.025</w:t>
                  </w:r>
                </w:p>
              </w:tc>
              <w:tc>
                <w:tcPr>
                  <w:tcW w:w="821" w:type="dxa"/>
                  <w:vAlign w:val="center"/>
                </w:tcPr>
                <w:p w14:paraId="54F97685">
                  <w:pPr>
                    <w:jc w:val="center"/>
                    <w:rPr>
                      <w:color w:val="auto"/>
                      <w:szCs w:val="21"/>
                    </w:rPr>
                  </w:pPr>
                  <w:r>
                    <w:rPr>
                      <w:rFonts w:hint="eastAsia"/>
                      <w:color w:val="auto"/>
                      <w:szCs w:val="21"/>
                    </w:rPr>
                    <w:t>0.115</w:t>
                  </w:r>
                </w:p>
              </w:tc>
              <w:tc>
                <w:tcPr>
                  <w:tcW w:w="1377" w:type="dxa"/>
                  <w:vAlign w:val="center"/>
                </w:tcPr>
                <w:p w14:paraId="0144B419">
                  <w:pPr>
                    <w:jc w:val="center"/>
                    <w:rPr>
                      <w:color w:val="auto"/>
                      <w:szCs w:val="21"/>
                    </w:rPr>
                  </w:pPr>
                  <w:r>
                    <w:rPr>
                      <w:color w:val="auto"/>
                      <w:szCs w:val="21"/>
                    </w:rPr>
                    <w:t>—</w:t>
                  </w:r>
                </w:p>
              </w:tc>
              <w:tc>
                <w:tcPr>
                  <w:tcW w:w="885" w:type="dxa"/>
                  <w:vAlign w:val="center"/>
                </w:tcPr>
                <w:p w14:paraId="43BDC626">
                  <w:pPr>
                    <w:jc w:val="center"/>
                    <w:rPr>
                      <w:color w:val="auto"/>
                      <w:szCs w:val="21"/>
                    </w:rPr>
                  </w:pPr>
                  <w:r>
                    <w:rPr>
                      <w:color w:val="auto"/>
                      <w:szCs w:val="21"/>
                    </w:rPr>
                    <w:t>—</w:t>
                  </w:r>
                </w:p>
              </w:tc>
              <w:tc>
                <w:tcPr>
                  <w:tcW w:w="830" w:type="dxa"/>
                  <w:vAlign w:val="center"/>
                </w:tcPr>
                <w:p w14:paraId="626779F1">
                  <w:pPr>
                    <w:jc w:val="center"/>
                    <w:rPr>
                      <w:color w:val="auto"/>
                      <w:szCs w:val="21"/>
                    </w:rPr>
                  </w:pPr>
                  <w:r>
                    <w:rPr>
                      <w:rFonts w:hint="eastAsia"/>
                      <w:color w:val="auto"/>
                      <w:szCs w:val="21"/>
                    </w:rPr>
                    <w:t>0.014</w:t>
                  </w:r>
                </w:p>
              </w:tc>
            </w:tr>
            <w:tr w14:paraId="404D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Align w:val="center"/>
                </w:tcPr>
                <w:p w14:paraId="33CE5434">
                  <w:pPr>
                    <w:jc w:val="center"/>
                    <w:rPr>
                      <w:color w:val="auto"/>
                      <w:szCs w:val="21"/>
                    </w:rPr>
                  </w:pPr>
                  <w:r>
                    <w:rPr>
                      <w:color w:val="auto"/>
                      <w:szCs w:val="21"/>
                    </w:rPr>
                    <w:t>污水处理站出水</w:t>
                  </w:r>
                  <w:r>
                    <w:rPr>
                      <w:rFonts w:hint="eastAsia"/>
                      <w:color w:val="auto"/>
                      <w:szCs w:val="21"/>
                    </w:rPr>
                    <w:t>（现有+本项目）5331.56</w:t>
                  </w:r>
                  <w:r>
                    <w:rPr>
                      <w:color w:val="auto"/>
                      <w:szCs w:val="21"/>
                    </w:rPr>
                    <w:t>t/a</w:t>
                  </w:r>
                </w:p>
              </w:tc>
              <w:tc>
                <w:tcPr>
                  <w:tcW w:w="671" w:type="dxa"/>
                  <w:vAlign w:val="center"/>
                </w:tcPr>
                <w:p w14:paraId="0D810DE9">
                  <w:pPr>
                    <w:jc w:val="center"/>
                    <w:rPr>
                      <w:color w:val="auto"/>
                      <w:szCs w:val="21"/>
                    </w:rPr>
                  </w:pPr>
                  <w:r>
                    <w:rPr>
                      <w:color w:val="auto"/>
                      <w:szCs w:val="21"/>
                    </w:rPr>
                    <w:t>排放量t/a</w:t>
                  </w:r>
                </w:p>
              </w:tc>
              <w:tc>
                <w:tcPr>
                  <w:tcW w:w="1065" w:type="dxa"/>
                  <w:vAlign w:val="center"/>
                </w:tcPr>
                <w:p w14:paraId="2AFF4DE8">
                  <w:pPr>
                    <w:jc w:val="center"/>
                    <w:rPr>
                      <w:color w:val="auto"/>
                      <w:szCs w:val="21"/>
                    </w:rPr>
                  </w:pPr>
                  <w:r>
                    <w:rPr>
                      <w:color w:val="auto"/>
                      <w:szCs w:val="21"/>
                    </w:rPr>
                    <w:t>—</w:t>
                  </w:r>
                </w:p>
              </w:tc>
              <w:tc>
                <w:tcPr>
                  <w:tcW w:w="689" w:type="dxa"/>
                  <w:vAlign w:val="center"/>
                </w:tcPr>
                <w:p w14:paraId="1F5C81D8">
                  <w:pPr>
                    <w:jc w:val="center"/>
                    <w:rPr>
                      <w:color w:val="auto"/>
                      <w:szCs w:val="21"/>
                    </w:rPr>
                  </w:pPr>
                  <w:r>
                    <w:rPr>
                      <w:rFonts w:hint="eastAsia"/>
                      <w:color w:val="auto"/>
                      <w:szCs w:val="21"/>
                    </w:rPr>
                    <w:t>0.176</w:t>
                  </w:r>
                </w:p>
              </w:tc>
              <w:tc>
                <w:tcPr>
                  <w:tcW w:w="740" w:type="dxa"/>
                  <w:vAlign w:val="center"/>
                </w:tcPr>
                <w:p w14:paraId="3AEDF6AA">
                  <w:pPr>
                    <w:jc w:val="center"/>
                    <w:rPr>
                      <w:color w:val="auto"/>
                    </w:rPr>
                  </w:pPr>
                  <w:r>
                    <w:rPr>
                      <w:rFonts w:hint="eastAsia"/>
                      <w:color w:val="auto"/>
                    </w:rPr>
                    <w:t>0.031</w:t>
                  </w:r>
                </w:p>
              </w:tc>
              <w:tc>
                <w:tcPr>
                  <w:tcW w:w="689" w:type="dxa"/>
                  <w:vAlign w:val="center"/>
                </w:tcPr>
                <w:p w14:paraId="561C9E44">
                  <w:pPr>
                    <w:jc w:val="center"/>
                    <w:rPr>
                      <w:color w:val="auto"/>
                      <w:szCs w:val="21"/>
                    </w:rPr>
                  </w:pPr>
                  <w:r>
                    <w:rPr>
                      <w:rFonts w:hint="eastAsia"/>
                      <w:color w:val="auto"/>
                      <w:szCs w:val="21"/>
                    </w:rPr>
                    <w:t>0.069</w:t>
                  </w:r>
                </w:p>
              </w:tc>
              <w:tc>
                <w:tcPr>
                  <w:tcW w:w="821" w:type="dxa"/>
                  <w:vAlign w:val="center"/>
                </w:tcPr>
                <w:p w14:paraId="22F06D9F">
                  <w:pPr>
                    <w:jc w:val="center"/>
                    <w:rPr>
                      <w:color w:val="auto"/>
                      <w:szCs w:val="21"/>
                    </w:rPr>
                  </w:pPr>
                  <w:r>
                    <w:rPr>
                      <w:rFonts w:hint="eastAsia"/>
                      <w:color w:val="auto"/>
                      <w:szCs w:val="21"/>
                    </w:rPr>
                    <w:t>0.15</w:t>
                  </w:r>
                </w:p>
              </w:tc>
              <w:tc>
                <w:tcPr>
                  <w:tcW w:w="1377" w:type="dxa"/>
                  <w:vAlign w:val="center"/>
                </w:tcPr>
                <w:p w14:paraId="7CAA3B35">
                  <w:pPr>
                    <w:jc w:val="center"/>
                    <w:rPr>
                      <w:color w:val="auto"/>
                      <w:szCs w:val="21"/>
                    </w:rPr>
                  </w:pPr>
                  <w:r>
                    <w:rPr>
                      <w:color w:val="auto"/>
                      <w:szCs w:val="21"/>
                    </w:rPr>
                    <w:t>—</w:t>
                  </w:r>
                </w:p>
              </w:tc>
              <w:tc>
                <w:tcPr>
                  <w:tcW w:w="885" w:type="dxa"/>
                  <w:vAlign w:val="center"/>
                </w:tcPr>
                <w:p w14:paraId="29AE6747">
                  <w:pPr>
                    <w:jc w:val="center"/>
                    <w:rPr>
                      <w:color w:val="auto"/>
                      <w:szCs w:val="21"/>
                    </w:rPr>
                  </w:pPr>
                  <w:r>
                    <w:rPr>
                      <w:color w:val="auto"/>
                      <w:szCs w:val="21"/>
                    </w:rPr>
                    <w:t>—</w:t>
                  </w:r>
                </w:p>
              </w:tc>
              <w:tc>
                <w:tcPr>
                  <w:tcW w:w="830" w:type="dxa"/>
                  <w:vAlign w:val="center"/>
                </w:tcPr>
                <w:p w14:paraId="22BCCE8F">
                  <w:pPr>
                    <w:jc w:val="center"/>
                    <w:rPr>
                      <w:color w:val="auto"/>
                      <w:szCs w:val="21"/>
                    </w:rPr>
                  </w:pPr>
                  <w:r>
                    <w:rPr>
                      <w:rFonts w:hint="eastAsia"/>
                      <w:color w:val="auto"/>
                      <w:szCs w:val="21"/>
                    </w:rPr>
                    <w:t>0.026</w:t>
                  </w:r>
                </w:p>
              </w:tc>
            </w:tr>
          </w:tbl>
          <w:p w14:paraId="670CDC1E">
            <w:pPr>
              <w:pStyle w:val="131"/>
              <w:adjustRightInd w:val="0"/>
              <w:snapToGrid w:val="0"/>
              <w:ind w:firstLine="480"/>
              <w:rPr>
                <w:color w:val="auto"/>
              </w:rPr>
            </w:pPr>
            <w:r>
              <w:rPr>
                <w:rFonts w:hint="eastAsia"/>
                <w:bCs/>
                <w:color w:val="auto"/>
              </w:rPr>
              <w:t>四街卫生院</w:t>
            </w:r>
            <w:r>
              <w:rPr>
                <w:rFonts w:hint="eastAsia"/>
                <w:color w:val="auto"/>
              </w:rPr>
              <w:t>现有项目食堂和住宿废水产生量1.199m³/d，医疗废水产生量为6.375</w:t>
            </w:r>
            <w:r>
              <w:rPr>
                <w:color w:val="auto"/>
              </w:rPr>
              <w:t>m³/d</w:t>
            </w:r>
            <w:r>
              <w:rPr>
                <w:rFonts w:hint="eastAsia"/>
                <w:color w:val="auto"/>
              </w:rPr>
              <w:t>，本项目新增医疗废水7.1</w:t>
            </w:r>
            <w:r>
              <w:rPr>
                <w:color w:val="auto"/>
              </w:rPr>
              <w:t>m³/d</w:t>
            </w:r>
            <w:r>
              <w:rPr>
                <w:rFonts w:hint="eastAsia"/>
                <w:color w:val="auto"/>
              </w:rPr>
              <w:t>，卫生院共计产生废水量为14.674m³/d，现有项目食堂和住宿废水经化粪池处理后排入市政污水管网进入通海县第二污水处理厂处理，不进入本项目自建的污水处理站处理。全院医疗废水的量为</w:t>
            </w:r>
            <w:r>
              <w:rPr>
                <w:rFonts w:hint="eastAsia"/>
                <w:color w:val="auto"/>
                <w:szCs w:val="24"/>
              </w:rPr>
              <w:t>13.475m</w:t>
            </w:r>
            <w:r>
              <w:rPr>
                <w:rFonts w:hint="eastAsia"/>
                <w:color w:val="auto"/>
                <w:vertAlign w:val="superscript"/>
              </w:rPr>
              <w:t>3</w:t>
            </w:r>
            <w:r>
              <w:rPr>
                <w:color w:val="auto"/>
              </w:rPr>
              <w:t>/d</w:t>
            </w:r>
            <w:r>
              <w:rPr>
                <w:rFonts w:hint="eastAsia"/>
                <w:color w:val="auto"/>
              </w:rPr>
              <w:t>，均进入本项目自建的污水处理站处理，按总医疗废水量1.2倍的安全系数考虑，本项目自建污水处理站处理规模应大于16.17m</w:t>
            </w:r>
            <w:r>
              <w:rPr>
                <w:rFonts w:hint="eastAsia"/>
                <w:color w:val="auto"/>
                <w:vertAlign w:val="superscript"/>
              </w:rPr>
              <w:t>3</w:t>
            </w:r>
            <w:r>
              <w:rPr>
                <w:rFonts w:hint="eastAsia"/>
                <w:color w:val="auto"/>
              </w:rPr>
              <w:t>/d，环评要求本次四街卫生院新建的污水处理站处理规模设计为17m</w:t>
            </w:r>
            <w:r>
              <w:rPr>
                <w:rFonts w:hint="eastAsia"/>
                <w:color w:val="auto"/>
                <w:vertAlign w:val="superscript"/>
              </w:rPr>
              <w:t>3</w:t>
            </w:r>
            <w:r>
              <w:rPr>
                <w:rFonts w:hint="eastAsia"/>
                <w:color w:val="auto"/>
              </w:rPr>
              <w:t>/d，设为地埋式。本项目建成后四街卫生院污水产排源强见表4-11。</w:t>
            </w:r>
          </w:p>
          <w:p w14:paraId="73655033">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11</w:t>
            </w:r>
            <w:r>
              <w:rPr>
                <w:b/>
                <w:color w:val="auto"/>
                <w:sz w:val="24"/>
              </w:rPr>
              <w:t xml:space="preserve"> </w:t>
            </w:r>
            <w:r>
              <w:rPr>
                <w:rFonts w:hint="eastAsia"/>
                <w:b/>
                <w:color w:val="auto"/>
                <w:sz w:val="24"/>
              </w:rPr>
              <w:t>本项目建成后全院（四街卫生院）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671"/>
              <w:gridCol w:w="1065"/>
              <w:gridCol w:w="689"/>
              <w:gridCol w:w="740"/>
              <w:gridCol w:w="689"/>
              <w:gridCol w:w="821"/>
              <w:gridCol w:w="1167"/>
              <w:gridCol w:w="915"/>
              <w:gridCol w:w="905"/>
            </w:tblGrid>
            <w:tr w14:paraId="3141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885" w:type="dxa"/>
                  <w:gridSpan w:val="2"/>
                  <w:vMerge w:val="restart"/>
                  <w:vAlign w:val="center"/>
                </w:tcPr>
                <w:p w14:paraId="10C2A48C">
                  <w:pPr>
                    <w:jc w:val="center"/>
                    <w:rPr>
                      <w:b/>
                      <w:color w:val="auto"/>
                      <w:szCs w:val="21"/>
                    </w:rPr>
                  </w:pPr>
                  <w:r>
                    <w:rPr>
                      <w:b/>
                      <w:color w:val="auto"/>
                      <w:szCs w:val="21"/>
                    </w:rPr>
                    <w:t>指标</w:t>
                  </w:r>
                </w:p>
              </w:tc>
              <w:tc>
                <w:tcPr>
                  <w:tcW w:w="6991" w:type="dxa"/>
                  <w:gridSpan w:val="8"/>
                </w:tcPr>
                <w:p w14:paraId="162F579E">
                  <w:pPr>
                    <w:jc w:val="center"/>
                    <w:rPr>
                      <w:b/>
                      <w:color w:val="auto"/>
                      <w:szCs w:val="21"/>
                    </w:rPr>
                  </w:pPr>
                  <w:r>
                    <w:rPr>
                      <w:b/>
                      <w:color w:val="auto"/>
                      <w:szCs w:val="21"/>
                    </w:rPr>
                    <w:t>主要污染物名称</w:t>
                  </w:r>
                </w:p>
              </w:tc>
            </w:tr>
            <w:tr w14:paraId="19F6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85" w:type="dxa"/>
                  <w:gridSpan w:val="2"/>
                  <w:vMerge w:val="continue"/>
                  <w:vAlign w:val="center"/>
                </w:tcPr>
                <w:p w14:paraId="27309959">
                  <w:pPr>
                    <w:jc w:val="center"/>
                    <w:rPr>
                      <w:color w:val="auto"/>
                      <w:szCs w:val="21"/>
                    </w:rPr>
                  </w:pPr>
                </w:p>
              </w:tc>
              <w:tc>
                <w:tcPr>
                  <w:tcW w:w="1065" w:type="dxa"/>
                  <w:vAlign w:val="center"/>
                </w:tcPr>
                <w:p w14:paraId="0E77B0DE">
                  <w:pPr>
                    <w:jc w:val="center"/>
                    <w:rPr>
                      <w:b/>
                      <w:color w:val="auto"/>
                      <w:szCs w:val="21"/>
                    </w:rPr>
                  </w:pPr>
                  <w:r>
                    <w:rPr>
                      <w:rFonts w:hint="eastAsia"/>
                      <w:b/>
                      <w:color w:val="auto"/>
                      <w:szCs w:val="21"/>
                    </w:rPr>
                    <w:t>PH</w:t>
                  </w:r>
                </w:p>
              </w:tc>
              <w:tc>
                <w:tcPr>
                  <w:tcW w:w="689" w:type="dxa"/>
                  <w:vAlign w:val="center"/>
                </w:tcPr>
                <w:p w14:paraId="20C8FDB5">
                  <w:pPr>
                    <w:jc w:val="center"/>
                    <w:rPr>
                      <w:b/>
                      <w:color w:val="auto"/>
                      <w:szCs w:val="21"/>
                    </w:rPr>
                  </w:pPr>
                  <w:r>
                    <w:rPr>
                      <w:b/>
                      <w:color w:val="auto"/>
                      <w:szCs w:val="21"/>
                    </w:rPr>
                    <w:t>COD</w:t>
                  </w:r>
                </w:p>
              </w:tc>
              <w:tc>
                <w:tcPr>
                  <w:tcW w:w="740" w:type="dxa"/>
                  <w:vAlign w:val="center"/>
                </w:tcPr>
                <w:p w14:paraId="59B9C00D">
                  <w:pPr>
                    <w:jc w:val="center"/>
                    <w:rPr>
                      <w:b/>
                      <w:color w:val="auto"/>
                      <w:szCs w:val="21"/>
                    </w:rPr>
                  </w:pPr>
                  <w:r>
                    <w:rPr>
                      <w:b/>
                      <w:color w:val="auto"/>
                      <w:szCs w:val="21"/>
                    </w:rPr>
                    <w:t>BOD</w:t>
                  </w:r>
                  <w:r>
                    <w:rPr>
                      <w:b/>
                      <w:color w:val="auto"/>
                      <w:szCs w:val="21"/>
                      <w:vertAlign w:val="subscript"/>
                    </w:rPr>
                    <w:t>5</w:t>
                  </w:r>
                </w:p>
              </w:tc>
              <w:tc>
                <w:tcPr>
                  <w:tcW w:w="689" w:type="dxa"/>
                  <w:vAlign w:val="center"/>
                </w:tcPr>
                <w:p w14:paraId="46098E83">
                  <w:pPr>
                    <w:jc w:val="center"/>
                    <w:rPr>
                      <w:b/>
                      <w:color w:val="auto"/>
                      <w:szCs w:val="21"/>
                    </w:rPr>
                  </w:pPr>
                  <w:r>
                    <w:rPr>
                      <w:b/>
                      <w:color w:val="auto"/>
                      <w:szCs w:val="21"/>
                    </w:rPr>
                    <w:t>SS</w:t>
                  </w:r>
                </w:p>
              </w:tc>
              <w:tc>
                <w:tcPr>
                  <w:tcW w:w="821" w:type="dxa"/>
                  <w:vAlign w:val="center"/>
                </w:tcPr>
                <w:p w14:paraId="77ACFE9E">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167" w:type="dxa"/>
                  <w:vAlign w:val="center"/>
                </w:tcPr>
                <w:p w14:paraId="42B0FB18">
                  <w:pPr>
                    <w:jc w:val="center"/>
                    <w:rPr>
                      <w:b/>
                      <w:color w:val="auto"/>
                    </w:rPr>
                  </w:pPr>
                  <w:r>
                    <w:rPr>
                      <w:b/>
                      <w:color w:val="auto"/>
                    </w:rPr>
                    <w:t>粪大肠菌群数</w:t>
                  </w:r>
                  <w:r>
                    <w:rPr>
                      <w:rFonts w:hint="eastAsia"/>
                      <w:b/>
                      <w:color w:val="auto"/>
                    </w:rPr>
                    <w:t>（</w:t>
                  </w:r>
                  <w:r>
                    <w:rPr>
                      <w:b/>
                      <w:color w:val="auto"/>
                    </w:rPr>
                    <w:t>个/L)</w:t>
                  </w:r>
                </w:p>
              </w:tc>
              <w:tc>
                <w:tcPr>
                  <w:tcW w:w="915" w:type="dxa"/>
                  <w:vAlign w:val="center"/>
                </w:tcPr>
                <w:p w14:paraId="1A9D9FC3">
                  <w:pPr>
                    <w:jc w:val="center"/>
                    <w:rPr>
                      <w:b/>
                      <w:color w:val="auto"/>
                    </w:rPr>
                  </w:pPr>
                  <w:r>
                    <w:rPr>
                      <w:b/>
                      <w:color w:val="auto"/>
                    </w:rPr>
                    <w:t>总余氯</w:t>
                  </w:r>
                </w:p>
              </w:tc>
              <w:tc>
                <w:tcPr>
                  <w:tcW w:w="905" w:type="dxa"/>
                  <w:vAlign w:val="center"/>
                </w:tcPr>
                <w:p w14:paraId="2C06BFBA">
                  <w:pPr>
                    <w:jc w:val="center"/>
                    <w:rPr>
                      <w:b/>
                      <w:color w:val="auto"/>
                    </w:rPr>
                  </w:pPr>
                  <w:r>
                    <w:rPr>
                      <w:b/>
                      <w:bCs/>
                      <w:color w:val="auto"/>
                      <w:szCs w:val="21"/>
                    </w:rPr>
                    <w:t>总磷</w:t>
                  </w:r>
                </w:p>
              </w:tc>
            </w:tr>
            <w:tr w14:paraId="04DB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14" w:type="dxa"/>
                  <w:vMerge w:val="restart"/>
                  <w:vAlign w:val="center"/>
                </w:tcPr>
                <w:p w14:paraId="0F2E9688">
                  <w:pPr>
                    <w:jc w:val="center"/>
                    <w:rPr>
                      <w:color w:val="auto"/>
                      <w:szCs w:val="21"/>
                    </w:rPr>
                  </w:pPr>
                  <w:r>
                    <w:rPr>
                      <w:rFonts w:hint="eastAsia"/>
                      <w:color w:val="auto"/>
                      <w:szCs w:val="21"/>
                    </w:rPr>
                    <w:t>全院废水</w:t>
                  </w:r>
                  <w:r>
                    <w:rPr>
                      <w:color w:val="auto"/>
                      <w:szCs w:val="21"/>
                    </w:rPr>
                    <w:t>产生量</w:t>
                  </w:r>
                </w:p>
                <w:p w14:paraId="09518C97">
                  <w:pPr>
                    <w:jc w:val="center"/>
                    <w:rPr>
                      <w:color w:val="auto"/>
                      <w:szCs w:val="21"/>
                    </w:rPr>
                  </w:pPr>
                  <w:r>
                    <w:rPr>
                      <w:rFonts w:hint="eastAsia"/>
                      <w:color w:val="auto"/>
                      <w:szCs w:val="21"/>
                    </w:rPr>
                    <w:t>5356.01</w:t>
                  </w:r>
                  <w:r>
                    <w:rPr>
                      <w:color w:val="auto"/>
                      <w:szCs w:val="21"/>
                    </w:rPr>
                    <w:t>t/a</w:t>
                  </w:r>
                </w:p>
              </w:tc>
              <w:tc>
                <w:tcPr>
                  <w:tcW w:w="671" w:type="dxa"/>
                  <w:vAlign w:val="center"/>
                </w:tcPr>
                <w:p w14:paraId="188B44A4">
                  <w:pPr>
                    <w:jc w:val="center"/>
                    <w:rPr>
                      <w:color w:val="auto"/>
                      <w:szCs w:val="21"/>
                    </w:rPr>
                  </w:pPr>
                  <w:r>
                    <w:rPr>
                      <w:color w:val="auto"/>
                      <w:szCs w:val="21"/>
                    </w:rPr>
                    <w:t>产生浓度mg/L</w:t>
                  </w:r>
                </w:p>
              </w:tc>
              <w:tc>
                <w:tcPr>
                  <w:tcW w:w="1065" w:type="dxa"/>
                  <w:vAlign w:val="center"/>
                </w:tcPr>
                <w:p w14:paraId="31D4FB81">
                  <w:pPr>
                    <w:jc w:val="center"/>
                    <w:rPr>
                      <w:color w:val="auto"/>
                      <w:szCs w:val="21"/>
                    </w:rPr>
                  </w:pPr>
                  <w:r>
                    <w:rPr>
                      <w:color w:val="auto"/>
                      <w:szCs w:val="21"/>
                    </w:rPr>
                    <w:t>7~8</w:t>
                  </w:r>
                </w:p>
              </w:tc>
              <w:tc>
                <w:tcPr>
                  <w:tcW w:w="689" w:type="dxa"/>
                  <w:vAlign w:val="center"/>
                </w:tcPr>
                <w:p w14:paraId="52C158FB">
                  <w:pPr>
                    <w:jc w:val="center"/>
                    <w:rPr>
                      <w:color w:val="auto"/>
                      <w:szCs w:val="21"/>
                    </w:rPr>
                  </w:pPr>
                  <w:r>
                    <w:rPr>
                      <w:color w:val="auto"/>
                      <w:szCs w:val="21"/>
                    </w:rPr>
                    <w:t>300</w:t>
                  </w:r>
                </w:p>
              </w:tc>
              <w:tc>
                <w:tcPr>
                  <w:tcW w:w="740" w:type="dxa"/>
                  <w:vAlign w:val="center"/>
                </w:tcPr>
                <w:p w14:paraId="5E7F7C35">
                  <w:pPr>
                    <w:jc w:val="center"/>
                    <w:rPr>
                      <w:color w:val="auto"/>
                      <w:szCs w:val="21"/>
                    </w:rPr>
                  </w:pPr>
                  <w:r>
                    <w:rPr>
                      <w:color w:val="auto"/>
                      <w:szCs w:val="21"/>
                    </w:rPr>
                    <w:t>150</w:t>
                  </w:r>
                </w:p>
              </w:tc>
              <w:tc>
                <w:tcPr>
                  <w:tcW w:w="689" w:type="dxa"/>
                  <w:vAlign w:val="center"/>
                </w:tcPr>
                <w:p w14:paraId="5BCCF417">
                  <w:pPr>
                    <w:jc w:val="center"/>
                    <w:rPr>
                      <w:color w:val="auto"/>
                      <w:szCs w:val="21"/>
                    </w:rPr>
                  </w:pPr>
                  <w:r>
                    <w:rPr>
                      <w:color w:val="auto"/>
                      <w:szCs w:val="21"/>
                    </w:rPr>
                    <w:t>120</w:t>
                  </w:r>
                </w:p>
              </w:tc>
              <w:tc>
                <w:tcPr>
                  <w:tcW w:w="821" w:type="dxa"/>
                  <w:vAlign w:val="center"/>
                </w:tcPr>
                <w:p w14:paraId="60BCF357">
                  <w:pPr>
                    <w:jc w:val="center"/>
                    <w:rPr>
                      <w:color w:val="auto"/>
                      <w:szCs w:val="21"/>
                    </w:rPr>
                  </w:pPr>
                  <w:r>
                    <w:rPr>
                      <w:color w:val="auto"/>
                      <w:szCs w:val="21"/>
                    </w:rPr>
                    <w:t>40</w:t>
                  </w:r>
                </w:p>
              </w:tc>
              <w:tc>
                <w:tcPr>
                  <w:tcW w:w="1167" w:type="dxa"/>
                  <w:vAlign w:val="center"/>
                </w:tcPr>
                <w:p w14:paraId="4BD03A67">
                  <w:pPr>
                    <w:jc w:val="center"/>
                    <w:rPr>
                      <w:color w:val="auto"/>
                      <w:szCs w:val="21"/>
                    </w:rPr>
                  </w:pPr>
                  <w:r>
                    <w:rPr>
                      <w:color w:val="auto"/>
                      <w:szCs w:val="21"/>
                    </w:rPr>
                    <w:t>3.0×10</w:t>
                  </w:r>
                  <w:r>
                    <w:rPr>
                      <w:color w:val="auto"/>
                      <w:szCs w:val="21"/>
                      <w:vertAlign w:val="superscript"/>
                    </w:rPr>
                    <w:t>8</w:t>
                  </w:r>
                </w:p>
              </w:tc>
              <w:tc>
                <w:tcPr>
                  <w:tcW w:w="915" w:type="dxa"/>
                  <w:vAlign w:val="center"/>
                </w:tcPr>
                <w:p w14:paraId="0E5D6D8B">
                  <w:pPr>
                    <w:jc w:val="center"/>
                    <w:rPr>
                      <w:color w:val="auto"/>
                      <w:szCs w:val="21"/>
                    </w:rPr>
                  </w:pPr>
                  <w:r>
                    <w:rPr>
                      <w:color w:val="auto"/>
                      <w:szCs w:val="21"/>
                    </w:rPr>
                    <w:t>—</w:t>
                  </w:r>
                </w:p>
              </w:tc>
              <w:tc>
                <w:tcPr>
                  <w:tcW w:w="905" w:type="dxa"/>
                  <w:vAlign w:val="center"/>
                </w:tcPr>
                <w:p w14:paraId="31402518">
                  <w:pPr>
                    <w:jc w:val="center"/>
                    <w:rPr>
                      <w:color w:val="auto"/>
                      <w:szCs w:val="21"/>
                    </w:rPr>
                  </w:pPr>
                  <w:r>
                    <w:rPr>
                      <w:rFonts w:hint="eastAsia"/>
                      <w:color w:val="auto"/>
                      <w:szCs w:val="21"/>
                    </w:rPr>
                    <w:t>12.8</w:t>
                  </w:r>
                </w:p>
              </w:tc>
            </w:tr>
            <w:tr w14:paraId="5831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jc w:val="center"/>
              </w:trPr>
              <w:tc>
                <w:tcPr>
                  <w:tcW w:w="1214" w:type="dxa"/>
                  <w:vMerge w:val="continue"/>
                  <w:vAlign w:val="center"/>
                </w:tcPr>
                <w:p w14:paraId="016E055E">
                  <w:pPr>
                    <w:jc w:val="center"/>
                    <w:rPr>
                      <w:color w:val="auto"/>
                      <w:szCs w:val="21"/>
                    </w:rPr>
                  </w:pPr>
                </w:p>
              </w:tc>
              <w:tc>
                <w:tcPr>
                  <w:tcW w:w="671" w:type="dxa"/>
                  <w:vAlign w:val="center"/>
                </w:tcPr>
                <w:p w14:paraId="74D0A39D">
                  <w:pPr>
                    <w:jc w:val="center"/>
                    <w:rPr>
                      <w:color w:val="auto"/>
                      <w:szCs w:val="21"/>
                    </w:rPr>
                  </w:pPr>
                  <w:r>
                    <w:rPr>
                      <w:color w:val="auto"/>
                      <w:szCs w:val="21"/>
                    </w:rPr>
                    <w:t>产生量t/a</w:t>
                  </w:r>
                </w:p>
              </w:tc>
              <w:tc>
                <w:tcPr>
                  <w:tcW w:w="1065" w:type="dxa"/>
                  <w:vAlign w:val="center"/>
                </w:tcPr>
                <w:p w14:paraId="0321AE48">
                  <w:pPr>
                    <w:jc w:val="center"/>
                    <w:rPr>
                      <w:color w:val="auto"/>
                      <w:szCs w:val="21"/>
                    </w:rPr>
                  </w:pPr>
                  <w:r>
                    <w:rPr>
                      <w:color w:val="auto"/>
                      <w:szCs w:val="21"/>
                    </w:rPr>
                    <w:t>—</w:t>
                  </w:r>
                </w:p>
              </w:tc>
              <w:tc>
                <w:tcPr>
                  <w:tcW w:w="689" w:type="dxa"/>
                  <w:vAlign w:val="center"/>
                </w:tcPr>
                <w:p w14:paraId="3E27C2EB">
                  <w:pPr>
                    <w:jc w:val="center"/>
                    <w:rPr>
                      <w:color w:val="auto"/>
                      <w:szCs w:val="21"/>
                    </w:rPr>
                  </w:pPr>
                  <w:r>
                    <w:rPr>
                      <w:rFonts w:hint="eastAsia"/>
                      <w:color w:val="auto"/>
                      <w:szCs w:val="21"/>
                    </w:rPr>
                    <w:t>1.607</w:t>
                  </w:r>
                </w:p>
              </w:tc>
              <w:tc>
                <w:tcPr>
                  <w:tcW w:w="740" w:type="dxa"/>
                  <w:vAlign w:val="center"/>
                </w:tcPr>
                <w:p w14:paraId="166D8525">
                  <w:pPr>
                    <w:jc w:val="center"/>
                    <w:rPr>
                      <w:color w:val="auto"/>
                      <w:szCs w:val="21"/>
                    </w:rPr>
                  </w:pPr>
                  <w:r>
                    <w:rPr>
                      <w:rFonts w:hint="eastAsia"/>
                      <w:color w:val="auto"/>
                      <w:szCs w:val="21"/>
                    </w:rPr>
                    <w:t>0.803</w:t>
                  </w:r>
                </w:p>
              </w:tc>
              <w:tc>
                <w:tcPr>
                  <w:tcW w:w="689" w:type="dxa"/>
                  <w:vAlign w:val="center"/>
                </w:tcPr>
                <w:p w14:paraId="0299A9C5">
                  <w:pPr>
                    <w:jc w:val="center"/>
                    <w:rPr>
                      <w:color w:val="auto"/>
                      <w:szCs w:val="21"/>
                    </w:rPr>
                  </w:pPr>
                  <w:r>
                    <w:rPr>
                      <w:rFonts w:hint="eastAsia"/>
                      <w:color w:val="auto"/>
                      <w:szCs w:val="21"/>
                    </w:rPr>
                    <w:t>0.643</w:t>
                  </w:r>
                </w:p>
              </w:tc>
              <w:tc>
                <w:tcPr>
                  <w:tcW w:w="821" w:type="dxa"/>
                  <w:vAlign w:val="center"/>
                </w:tcPr>
                <w:p w14:paraId="5C12AF6D">
                  <w:pPr>
                    <w:jc w:val="center"/>
                    <w:rPr>
                      <w:color w:val="auto"/>
                      <w:szCs w:val="21"/>
                    </w:rPr>
                  </w:pPr>
                  <w:r>
                    <w:rPr>
                      <w:rFonts w:hint="eastAsia"/>
                      <w:color w:val="auto"/>
                      <w:szCs w:val="21"/>
                    </w:rPr>
                    <w:t>0.214</w:t>
                  </w:r>
                </w:p>
              </w:tc>
              <w:tc>
                <w:tcPr>
                  <w:tcW w:w="1167" w:type="dxa"/>
                  <w:vAlign w:val="center"/>
                </w:tcPr>
                <w:p w14:paraId="53E0BFAA">
                  <w:pPr>
                    <w:jc w:val="center"/>
                    <w:rPr>
                      <w:color w:val="auto"/>
                      <w:szCs w:val="21"/>
                    </w:rPr>
                  </w:pPr>
                  <w:r>
                    <w:rPr>
                      <w:color w:val="auto"/>
                      <w:szCs w:val="21"/>
                    </w:rPr>
                    <w:t>—</w:t>
                  </w:r>
                </w:p>
              </w:tc>
              <w:tc>
                <w:tcPr>
                  <w:tcW w:w="915" w:type="dxa"/>
                  <w:vAlign w:val="center"/>
                </w:tcPr>
                <w:p w14:paraId="7025D025">
                  <w:pPr>
                    <w:jc w:val="center"/>
                    <w:rPr>
                      <w:color w:val="auto"/>
                      <w:szCs w:val="21"/>
                    </w:rPr>
                  </w:pPr>
                  <w:r>
                    <w:rPr>
                      <w:color w:val="auto"/>
                      <w:szCs w:val="21"/>
                    </w:rPr>
                    <w:t>—</w:t>
                  </w:r>
                </w:p>
              </w:tc>
              <w:tc>
                <w:tcPr>
                  <w:tcW w:w="905" w:type="dxa"/>
                  <w:vAlign w:val="center"/>
                </w:tcPr>
                <w:p w14:paraId="75AF1127">
                  <w:pPr>
                    <w:jc w:val="center"/>
                    <w:rPr>
                      <w:color w:val="auto"/>
                      <w:szCs w:val="21"/>
                    </w:rPr>
                  </w:pPr>
                  <w:r>
                    <w:rPr>
                      <w:rFonts w:hint="eastAsia"/>
                      <w:color w:val="auto"/>
                      <w:szCs w:val="21"/>
                    </w:rPr>
                    <w:t>0.068</w:t>
                  </w:r>
                </w:p>
              </w:tc>
            </w:tr>
            <w:tr w14:paraId="7E3A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0E5609AE">
                  <w:pPr>
                    <w:jc w:val="center"/>
                    <w:rPr>
                      <w:color w:val="auto"/>
                      <w:szCs w:val="21"/>
                    </w:rPr>
                  </w:pPr>
                  <w:r>
                    <w:rPr>
                      <w:color w:val="auto"/>
                      <w:szCs w:val="21"/>
                    </w:rPr>
                    <w:t>污水处理站出水</w:t>
                  </w:r>
                  <w:r>
                    <w:rPr>
                      <w:rFonts w:hint="eastAsia"/>
                      <w:color w:val="auto"/>
                      <w:szCs w:val="21"/>
                    </w:rPr>
                    <w:t>（现有+本项目）4918.375</w:t>
                  </w:r>
                  <w:r>
                    <w:rPr>
                      <w:color w:val="auto"/>
                      <w:szCs w:val="21"/>
                    </w:rPr>
                    <w:t>t/a</w:t>
                  </w:r>
                </w:p>
              </w:tc>
              <w:tc>
                <w:tcPr>
                  <w:tcW w:w="671" w:type="dxa"/>
                  <w:vAlign w:val="center"/>
                </w:tcPr>
                <w:p w14:paraId="15BE1B33">
                  <w:pPr>
                    <w:jc w:val="center"/>
                    <w:rPr>
                      <w:color w:val="auto"/>
                      <w:szCs w:val="21"/>
                    </w:rPr>
                  </w:pPr>
                  <w:r>
                    <w:rPr>
                      <w:color w:val="auto"/>
                      <w:szCs w:val="21"/>
                    </w:rPr>
                    <w:t>排放浓度mg/L</w:t>
                  </w:r>
                </w:p>
              </w:tc>
              <w:tc>
                <w:tcPr>
                  <w:tcW w:w="1065" w:type="dxa"/>
                  <w:vAlign w:val="center"/>
                </w:tcPr>
                <w:p w14:paraId="392635D7">
                  <w:pPr>
                    <w:jc w:val="center"/>
                    <w:rPr>
                      <w:color w:val="auto"/>
                      <w:szCs w:val="21"/>
                    </w:rPr>
                  </w:pPr>
                  <w:r>
                    <w:rPr>
                      <w:rFonts w:hint="eastAsia"/>
                      <w:color w:val="auto"/>
                      <w:szCs w:val="21"/>
                    </w:rPr>
                    <w:t>7.85~7.87</w:t>
                  </w:r>
                </w:p>
              </w:tc>
              <w:tc>
                <w:tcPr>
                  <w:tcW w:w="689" w:type="dxa"/>
                  <w:vAlign w:val="center"/>
                </w:tcPr>
                <w:p w14:paraId="09EC496F">
                  <w:pPr>
                    <w:jc w:val="center"/>
                    <w:rPr>
                      <w:color w:val="auto"/>
                      <w:szCs w:val="21"/>
                    </w:rPr>
                  </w:pPr>
                  <w:r>
                    <w:rPr>
                      <w:rFonts w:hint="eastAsia"/>
                      <w:color w:val="auto"/>
                      <w:szCs w:val="21"/>
                    </w:rPr>
                    <w:t>44</w:t>
                  </w:r>
                </w:p>
              </w:tc>
              <w:tc>
                <w:tcPr>
                  <w:tcW w:w="740" w:type="dxa"/>
                  <w:vAlign w:val="center"/>
                </w:tcPr>
                <w:p w14:paraId="48C9D003">
                  <w:pPr>
                    <w:jc w:val="center"/>
                    <w:rPr>
                      <w:color w:val="auto"/>
                      <w:szCs w:val="21"/>
                    </w:rPr>
                  </w:pPr>
                  <w:r>
                    <w:rPr>
                      <w:rFonts w:hint="eastAsia"/>
                      <w:color w:val="auto"/>
                      <w:szCs w:val="21"/>
                    </w:rPr>
                    <w:t>7.2</w:t>
                  </w:r>
                </w:p>
              </w:tc>
              <w:tc>
                <w:tcPr>
                  <w:tcW w:w="689" w:type="dxa"/>
                  <w:vAlign w:val="center"/>
                </w:tcPr>
                <w:p w14:paraId="013DCEC6">
                  <w:pPr>
                    <w:jc w:val="center"/>
                    <w:rPr>
                      <w:color w:val="auto"/>
                      <w:szCs w:val="21"/>
                    </w:rPr>
                  </w:pPr>
                  <w:r>
                    <w:rPr>
                      <w:rFonts w:hint="eastAsia"/>
                      <w:color w:val="auto"/>
                      <w:szCs w:val="21"/>
                    </w:rPr>
                    <w:t>17</w:t>
                  </w:r>
                </w:p>
              </w:tc>
              <w:tc>
                <w:tcPr>
                  <w:tcW w:w="821" w:type="dxa"/>
                  <w:vAlign w:val="center"/>
                </w:tcPr>
                <w:p w14:paraId="3B322093">
                  <w:pPr>
                    <w:jc w:val="center"/>
                    <w:rPr>
                      <w:color w:val="auto"/>
                      <w:szCs w:val="21"/>
                    </w:rPr>
                  </w:pPr>
                  <w:r>
                    <w:rPr>
                      <w:rFonts w:hint="eastAsia"/>
                      <w:color w:val="auto"/>
                      <w:szCs w:val="21"/>
                    </w:rPr>
                    <w:t>13.4</w:t>
                  </w:r>
                </w:p>
              </w:tc>
              <w:tc>
                <w:tcPr>
                  <w:tcW w:w="1167" w:type="dxa"/>
                  <w:vAlign w:val="center"/>
                </w:tcPr>
                <w:p w14:paraId="0D188C69">
                  <w:pPr>
                    <w:jc w:val="center"/>
                    <w:rPr>
                      <w:color w:val="auto"/>
                      <w:szCs w:val="21"/>
                    </w:rPr>
                  </w:pPr>
                  <w:r>
                    <w:rPr>
                      <w:rFonts w:hint="eastAsia"/>
                      <w:color w:val="auto"/>
                      <w:szCs w:val="21"/>
                    </w:rPr>
                    <w:t>70</w:t>
                  </w:r>
                </w:p>
              </w:tc>
              <w:tc>
                <w:tcPr>
                  <w:tcW w:w="915" w:type="dxa"/>
                  <w:vAlign w:val="center"/>
                </w:tcPr>
                <w:p w14:paraId="01CF5165">
                  <w:pPr>
                    <w:jc w:val="center"/>
                    <w:rPr>
                      <w:color w:val="auto"/>
                      <w:szCs w:val="21"/>
                    </w:rPr>
                  </w:pPr>
                  <w:r>
                    <w:rPr>
                      <w:rFonts w:hint="eastAsia"/>
                      <w:color w:val="auto"/>
                      <w:szCs w:val="21"/>
                    </w:rPr>
                    <w:t>0.4</w:t>
                  </w:r>
                </w:p>
              </w:tc>
              <w:tc>
                <w:tcPr>
                  <w:tcW w:w="905" w:type="dxa"/>
                  <w:vAlign w:val="center"/>
                </w:tcPr>
                <w:p w14:paraId="09723A7B">
                  <w:pPr>
                    <w:jc w:val="center"/>
                    <w:rPr>
                      <w:color w:val="auto"/>
                      <w:szCs w:val="21"/>
                    </w:rPr>
                  </w:pPr>
                  <w:r>
                    <w:rPr>
                      <w:rFonts w:hint="eastAsia"/>
                      <w:color w:val="auto"/>
                      <w:szCs w:val="21"/>
                    </w:rPr>
                    <w:t>4.69</w:t>
                  </w:r>
                </w:p>
              </w:tc>
            </w:tr>
            <w:tr w14:paraId="0B64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184F2451">
                  <w:pPr>
                    <w:jc w:val="center"/>
                    <w:rPr>
                      <w:color w:val="auto"/>
                      <w:szCs w:val="21"/>
                    </w:rPr>
                  </w:pPr>
                </w:p>
              </w:tc>
              <w:tc>
                <w:tcPr>
                  <w:tcW w:w="671" w:type="dxa"/>
                  <w:vAlign w:val="center"/>
                </w:tcPr>
                <w:p w14:paraId="2F30E85B">
                  <w:pPr>
                    <w:jc w:val="center"/>
                    <w:rPr>
                      <w:color w:val="auto"/>
                      <w:szCs w:val="21"/>
                    </w:rPr>
                  </w:pPr>
                  <w:r>
                    <w:rPr>
                      <w:color w:val="auto"/>
                      <w:szCs w:val="21"/>
                    </w:rPr>
                    <w:t>排放量t/a</w:t>
                  </w:r>
                </w:p>
              </w:tc>
              <w:tc>
                <w:tcPr>
                  <w:tcW w:w="1065" w:type="dxa"/>
                  <w:vAlign w:val="center"/>
                </w:tcPr>
                <w:p w14:paraId="024EB5FE">
                  <w:pPr>
                    <w:jc w:val="center"/>
                    <w:rPr>
                      <w:color w:val="auto"/>
                      <w:szCs w:val="21"/>
                    </w:rPr>
                  </w:pPr>
                  <w:r>
                    <w:rPr>
                      <w:color w:val="auto"/>
                      <w:szCs w:val="21"/>
                    </w:rPr>
                    <w:t>—</w:t>
                  </w:r>
                </w:p>
              </w:tc>
              <w:tc>
                <w:tcPr>
                  <w:tcW w:w="689" w:type="dxa"/>
                  <w:vAlign w:val="center"/>
                </w:tcPr>
                <w:p w14:paraId="20A876F7">
                  <w:pPr>
                    <w:jc w:val="center"/>
                    <w:rPr>
                      <w:color w:val="auto"/>
                      <w:szCs w:val="21"/>
                    </w:rPr>
                  </w:pPr>
                  <w:r>
                    <w:rPr>
                      <w:rFonts w:hint="eastAsia"/>
                      <w:color w:val="auto"/>
                      <w:szCs w:val="21"/>
                    </w:rPr>
                    <w:t>0.216</w:t>
                  </w:r>
                </w:p>
              </w:tc>
              <w:tc>
                <w:tcPr>
                  <w:tcW w:w="740" w:type="dxa"/>
                  <w:vAlign w:val="center"/>
                </w:tcPr>
                <w:p w14:paraId="79E8A338">
                  <w:pPr>
                    <w:jc w:val="center"/>
                    <w:rPr>
                      <w:color w:val="auto"/>
                    </w:rPr>
                  </w:pPr>
                  <w:r>
                    <w:rPr>
                      <w:rFonts w:hint="eastAsia"/>
                      <w:color w:val="auto"/>
                    </w:rPr>
                    <w:t>0.035</w:t>
                  </w:r>
                </w:p>
              </w:tc>
              <w:tc>
                <w:tcPr>
                  <w:tcW w:w="689" w:type="dxa"/>
                  <w:vAlign w:val="center"/>
                </w:tcPr>
                <w:p w14:paraId="6CCA82BE">
                  <w:pPr>
                    <w:jc w:val="center"/>
                    <w:rPr>
                      <w:color w:val="auto"/>
                      <w:szCs w:val="21"/>
                    </w:rPr>
                  </w:pPr>
                  <w:r>
                    <w:rPr>
                      <w:rFonts w:hint="eastAsia"/>
                      <w:color w:val="auto"/>
                      <w:szCs w:val="21"/>
                    </w:rPr>
                    <w:t>0.084</w:t>
                  </w:r>
                </w:p>
              </w:tc>
              <w:tc>
                <w:tcPr>
                  <w:tcW w:w="821" w:type="dxa"/>
                  <w:vAlign w:val="center"/>
                </w:tcPr>
                <w:p w14:paraId="3006A657">
                  <w:pPr>
                    <w:jc w:val="center"/>
                    <w:rPr>
                      <w:color w:val="auto"/>
                      <w:szCs w:val="21"/>
                    </w:rPr>
                  </w:pPr>
                  <w:r>
                    <w:rPr>
                      <w:rFonts w:hint="eastAsia"/>
                      <w:color w:val="auto"/>
                      <w:szCs w:val="21"/>
                    </w:rPr>
                    <w:t>0.066</w:t>
                  </w:r>
                </w:p>
              </w:tc>
              <w:tc>
                <w:tcPr>
                  <w:tcW w:w="1167" w:type="dxa"/>
                  <w:vAlign w:val="center"/>
                </w:tcPr>
                <w:p w14:paraId="0A282011">
                  <w:pPr>
                    <w:jc w:val="center"/>
                    <w:rPr>
                      <w:color w:val="auto"/>
                      <w:szCs w:val="21"/>
                    </w:rPr>
                  </w:pPr>
                  <w:r>
                    <w:rPr>
                      <w:color w:val="auto"/>
                      <w:szCs w:val="21"/>
                    </w:rPr>
                    <w:t>—</w:t>
                  </w:r>
                </w:p>
              </w:tc>
              <w:tc>
                <w:tcPr>
                  <w:tcW w:w="915" w:type="dxa"/>
                  <w:vAlign w:val="center"/>
                </w:tcPr>
                <w:p w14:paraId="4062D217">
                  <w:pPr>
                    <w:jc w:val="center"/>
                    <w:rPr>
                      <w:color w:val="auto"/>
                      <w:szCs w:val="21"/>
                    </w:rPr>
                  </w:pPr>
                  <w:r>
                    <w:rPr>
                      <w:color w:val="auto"/>
                      <w:szCs w:val="21"/>
                    </w:rPr>
                    <w:t>—</w:t>
                  </w:r>
                </w:p>
              </w:tc>
              <w:tc>
                <w:tcPr>
                  <w:tcW w:w="905" w:type="dxa"/>
                  <w:vAlign w:val="center"/>
                </w:tcPr>
                <w:p w14:paraId="2A2292C0">
                  <w:pPr>
                    <w:jc w:val="center"/>
                    <w:rPr>
                      <w:color w:val="auto"/>
                      <w:szCs w:val="21"/>
                    </w:rPr>
                  </w:pPr>
                  <w:r>
                    <w:rPr>
                      <w:rFonts w:hint="eastAsia"/>
                      <w:color w:val="auto"/>
                      <w:szCs w:val="21"/>
                    </w:rPr>
                    <w:t>0.023</w:t>
                  </w:r>
                </w:p>
              </w:tc>
            </w:tr>
            <w:tr w14:paraId="59DF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2C865D2A">
                  <w:pPr>
                    <w:jc w:val="center"/>
                    <w:rPr>
                      <w:color w:val="auto"/>
                      <w:szCs w:val="21"/>
                    </w:rPr>
                  </w:pPr>
                  <w:r>
                    <w:rPr>
                      <w:rFonts w:hint="eastAsia"/>
                      <w:color w:val="auto"/>
                      <w:szCs w:val="21"/>
                    </w:rPr>
                    <w:t>本项目污水处理站出水2591.5</w:t>
                  </w:r>
                  <w:r>
                    <w:rPr>
                      <w:color w:val="auto"/>
                      <w:szCs w:val="21"/>
                    </w:rPr>
                    <w:t>t/a</w:t>
                  </w:r>
                </w:p>
              </w:tc>
              <w:tc>
                <w:tcPr>
                  <w:tcW w:w="671" w:type="dxa"/>
                  <w:vAlign w:val="center"/>
                </w:tcPr>
                <w:p w14:paraId="39B0D140">
                  <w:pPr>
                    <w:jc w:val="center"/>
                    <w:rPr>
                      <w:color w:val="auto"/>
                      <w:szCs w:val="21"/>
                    </w:rPr>
                  </w:pPr>
                  <w:r>
                    <w:rPr>
                      <w:color w:val="auto"/>
                      <w:szCs w:val="21"/>
                    </w:rPr>
                    <w:t>排放浓度mg/L</w:t>
                  </w:r>
                </w:p>
              </w:tc>
              <w:tc>
                <w:tcPr>
                  <w:tcW w:w="1065" w:type="dxa"/>
                  <w:vAlign w:val="center"/>
                </w:tcPr>
                <w:p w14:paraId="4F58588B">
                  <w:pPr>
                    <w:jc w:val="center"/>
                    <w:rPr>
                      <w:color w:val="auto"/>
                      <w:szCs w:val="21"/>
                    </w:rPr>
                  </w:pPr>
                  <w:r>
                    <w:rPr>
                      <w:rFonts w:hint="eastAsia"/>
                      <w:color w:val="auto"/>
                      <w:szCs w:val="21"/>
                    </w:rPr>
                    <w:t>7.85~7.87</w:t>
                  </w:r>
                </w:p>
              </w:tc>
              <w:tc>
                <w:tcPr>
                  <w:tcW w:w="689" w:type="dxa"/>
                  <w:vAlign w:val="center"/>
                </w:tcPr>
                <w:p w14:paraId="0B49B39A">
                  <w:pPr>
                    <w:jc w:val="center"/>
                    <w:rPr>
                      <w:color w:val="auto"/>
                      <w:szCs w:val="21"/>
                    </w:rPr>
                  </w:pPr>
                  <w:r>
                    <w:rPr>
                      <w:rFonts w:hint="eastAsia"/>
                      <w:color w:val="auto"/>
                      <w:szCs w:val="21"/>
                    </w:rPr>
                    <w:t>44</w:t>
                  </w:r>
                </w:p>
              </w:tc>
              <w:tc>
                <w:tcPr>
                  <w:tcW w:w="740" w:type="dxa"/>
                  <w:vAlign w:val="center"/>
                </w:tcPr>
                <w:p w14:paraId="257BCC06">
                  <w:pPr>
                    <w:jc w:val="center"/>
                    <w:rPr>
                      <w:color w:val="auto"/>
                    </w:rPr>
                  </w:pPr>
                  <w:r>
                    <w:rPr>
                      <w:rFonts w:hint="eastAsia"/>
                      <w:color w:val="auto"/>
                      <w:szCs w:val="21"/>
                    </w:rPr>
                    <w:t>7.2</w:t>
                  </w:r>
                </w:p>
              </w:tc>
              <w:tc>
                <w:tcPr>
                  <w:tcW w:w="689" w:type="dxa"/>
                  <w:vAlign w:val="center"/>
                </w:tcPr>
                <w:p w14:paraId="194EDB0C">
                  <w:pPr>
                    <w:jc w:val="center"/>
                    <w:rPr>
                      <w:color w:val="auto"/>
                      <w:szCs w:val="21"/>
                    </w:rPr>
                  </w:pPr>
                  <w:r>
                    <w:rPr>
                      <w:rFonts w:hint="eastAsia"/>
                      <w:color w:val="auto"/>
                      <w:szCs w:val="21"/>
                    </w:rPr>
                    <w:t>17</w:t>
                  </w:r>
                </w:p>
              </w:tc>
              <w:tc>
                <w:tcPr>
                  <w:tcW w:w="821" w:type="dxa"/>
                  <w:vAlign w:val="center"/>
                </w:tcPr>
                <w:p w14:paraId="01361F2C">
                  <w:pPr>
                    <w:jc w:val="center"/>
                    <w:rPr>
                      <w:color w:val="auto"/>
                      <w:szCs w:val="21"/>
                    </w:rPr>
                  </w:pPr>
                  <w:r>
                    <w:rPr>
                      <w:rFonts w:hint="eastAsia"/>
                      <w:color w:val="auto"/>
                      <w:szCs w:val="21"/>
                    </w:rPr>
                    <w:t>13.4</w:t>
                  </w:r>
                </w:p>
              </w:tc>
              <w:tc>
                <w:tcPr>
                  <w:tcW w:w="1167" w:type="dxa"/>
                  <w:vAlign w:val="center"/>
                </w:tcPr>
                <w:p w14:paraId="14569D39">
                  <w:pPr>
                    <w:jc w:val="center"/>
                    <w:rPr>
                      <w:color w:val="auto"/>
                      <w:szCs w:val="21"/>
                    </w:rPr>
                  </w:pPr>
                  <w:r>
                    <w:rPr>
                      <w:rFonts w:hint="eastAsia"/>
                      <w:color w:val="auto"/>
                      <w:szCs w:val="21"/>
                    </w:rPr>
                    <w:t>70</w:t>
                  </w:r>
                </w:p>
              </w:tc>
              <w:tc>
                <w:tcPr>
                  <w:tcW w:w="915" w:type="dxa"/>
                  <w:vAlign w:val="center"/>
                </w:tcPr>
                <w:p w14:paraId="59DA5D10">
                  <w:pPr>
                    <w:jc w:val="center"/>
                    <w:rPr>
                      <w:color w:val="auto"/>
                      <w:szCs w:val="21"/>
                    </w:rPr>
                  </w:pPr>
                  <w:r>
                    <w:rPr>
                      <w:rFonts w:hint="eastAsia"/>
                      <w:color w:val="auto"/>
                      <w:szCs w:val="21"/>
                    </w:rPr>
                    <w:t>0.4</w:t>
                  </w:r>
                </w:p>
              </w:tc>
              <w:tc>
                <w:tcPr>
                  <w:tcW w:w="905" w:type="dxa"/>
                  <w:vAlign w:val="center"/>
                </w:tcPr>
                <w:p w14:paraId="29310D7C">
                  <w:pPr>
                    <w:jc w:val="center"/>
                    <w:rPr>
                      <w:color w:val="auto"/>
                      <w:szCs w:val="21"/>
                    </w:rPr>
                  </w:pPr>
                  <w:r>
                    <w:rPr>
                      <w:rFonts w:hint="eastAsia"/>
                      <w:color w:val="auto"/>
                      <w:szCs w:val="21"/>
                    </w:rPr>
                    <w:t>4.69</w:t>
                  </w:r>
                </w:p>
              </w:tc>
            </w:tr>
            <w:tr w14:paraId="3228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610CE101">
                  <w:pPr>
                    <w:jc w:val="center"/>
                    <w:rPr>
                      <w:color w:val="auto"/>
                      <w:szCs w:val="21"/>
                    </w:rPr>
                  </w:pPr>
                </w:p>
              </w:tc>
              <w:tc>
                <w:tcPr>
                  <w:tcW w:w="671" w:type="dxa"/>
                  <w:vAlign w:val="center"/>
                </w:tcPr>
                <w:p w14:paraId="4620DEFF">
                  <w:pPr>
                    <w:jc w:val="center"/>
                    <w:rPr>
                      <w:color w:val="auto"/>
                      <w:szCs w:val="21"/>
                    </w:rPr>
                  </w:pPr>
                  <w:r>
                    <w:rPr>
                      <w:color w:val="auto"/>
                      <w:szCs w:val="21"/>
                    </w:rPr>
                    <w:t>排放量t/a</w:t>
                  </w:r>
                </w:p>
              </w:tc>
              <w:tc>
                <w:tcPr>
                  <w:tcW w:w="1065" w:type="dxa"/>
                  <w:vAlign w:val="center"/>
                </w:tcPr>
                <w:p w14:paraId="7617AB3C">
                  <w:pPr>
                    <w:jc w:val="center"/>
                    <w:rPr>
                      <w:color w:val="auto"/>
                      <w:szCs w:val="21"/>
                    </w:rPr>
                  </w:pPr>
                  <w:r>
                    <w:rPr>
                      <w:color w:val="auto"/>
                      <w:szCs w:val="21"/>
                    </w:rPr>
                    <w:t>—</w:t>
                  </w:r>
                </w:p>
              </w:tc>
              <w:tc>
                <w:tcPr>
                  <w:tcW w:w="689" w:type="dxa"/>
                  <w:vAlign w:val="center"/>
                </w:tcPr>
                <w:p w14:paraId="05110B65">
                  <w:pPr>
                    <w:jc w:val="center"/>
                    <w:rPr>
                      <w:color w:val="auto"/>
                      <w:szCs w:val="21"/>
                    </w:rPr>
                  </w:pPr>
                  <w:r>
                    <w:rPr>
                      <w:rFonts w:hint="eastAsia"/>
                      <w:color w:val="auto"/>
                      <w:szCs w:val="21"/>
                    </w:rPr>
                    <w:t>0.114</w:t>
                  </w:r>
                </w:p>
              </w:tc>
              <w:tc>
                <w:tcPr>
                  <w:tcW w:w="740" w:type="dxa"/>
                  <w:vAlign w:val="center"/>
                </w:tcPr>
                <w:p w14:paraId="79EED90F">
                  <w:pPr>
                    <w:jc w:val="center"/>
                    <w:rPr>
                      <w:color w:val="auto"/>
                    </w:rPr>
                  </w:pPr>
                  <w:r>
                    <w:rPr>
                      <w:rFonts w:hint="eastAsia"/>
                      <w:color w:val="auto"/>
                    </w:rPr>
                    <w:t>0.019</w:t>
                  </w:r>
                </w:p>
              </w:tc>
              <w:tc>
                <w:tcPr>
                  <w:tcW w:w="689" w:type="dxa"/>
                  <w:vAlign w:val="center"/>
                </w:tcPr>
                <w:p w14:paraId="5B0A1D91">
                  <w:pPr>
                    <w:jc w:val="center"/>
                    <w:rPr>
                      <w:color w:val="auto"/>
                      <w:szCs w:val="21"/>
                    </w:rPr>
                  </w:pPr>
                  <w:r>
                    <w:rPr>
                      <w:rFonts w:hint="eastAsia"/>
                      <w:color w:val="auto"/>
                      <w:szCs w:val="21"/>
                    </w:rPr>
                    <w:t>0.044</w:t>
                  </w:r>
                </w:p>
              </w:tc>
              <w:tc>
                <w:tcPr>
                  <w:tcW w:w="821" w:type="dxa"/>
                  <w:vAlign w:val="center"/>
                </w:tcPr>
                <w:p w14:paraId="2E1D2D1A">
                  <w:pPr>
                    <w:jc w:val="center"/>
                    <w:rPr>
                      <w:color w:val="auto"/>
                      <w:szCs w:val="21"/>
                    </w:rPr>
                  </w:pPr>
                  <w:r>
                    <w:rPr>
                      <w:rFonts w:hint="eastAsia"/>
                      <w:color w:val="auto"/>
                      <w:szCs w:val="21"/>
                    </w:rPr>
                    <w:t>0.035</w:t>
                  </w:r>
                </w:p>
              </w:tc>
              <w:tc>
                <w:tcPr>
                  <w:tcW w:w="1167" w:type="dxa"/>
                  <w:vAlign w:val="center"/>
                </w:tcPr>
                <w:p w14:paraId="305807BA">
                  <w:pPr>
                    <w:jc w:val="center"/>
                    <w:rPr>
                      <w:color w:val="auto"/>
                      <w:szCs w:val="21"/>
                    </w:rPr>
                  </w:pPr>
                  <w:r>
                    <w:rPr>
                      <w:color w:val="auto"/>
                      <w:szCs w:val="21"/>
                    </w:rPr>
                    <w:t>—</w:t>
                  </w:r>
                </w:p>
              </w:tc>
              <w:tc>
                <w:tcPr>
                  <w:tcW w:w="915" w:type="dxa"/>
                  <w:vAlign w:val="center"/>
                </w:tcPr>
                <w:p w14:paraId="3C2D36C6">
                  <w:pPr>
                    <w:jc w:val="center"/>
                    <w:rPr>
                      <w:color w:val="auto"/>
                      <w:szCs w:val="21"/>
                    </w:rPr>
                  </w:pPr>
                  <w:r>
                    <w:rPr>
                      <w:color w:val="auto"/>
                      <w:szCs w:val="21"/>
                    </w:rPr>
                    <w:t>—</w:t>
                  </w:r>
                </w:p>
              </w:tc>
              <w:tc>
                <w:tcPr>
                  <w:tcW w:w="905" w:type="dxa"/>
                  <w:vAlign w:val="center"/>
                </w:tcPr>
                <w:p w14:paraId="2D9B195B">
                  <w:pPr>
                    <w:jc w:val="center"/>
                    <w:rPr>
                      <w:color w:val="auto"/>
                      <w:szCs w:val="21"/>
                    </w:rPr>
                  </w:pPr>
                  <w:r>
                    <w:rPr>
                      <w:rFonts w:hint="eastAsia"/>
                      <w:color w:val="auto"/>
                      <w:szCs w:val="21"/>
                    </w:rPr>
                    <w:t>0.012</w:t>
                  </w:r>
                </w:p>
              </w:tc>
            </w:tr>
            <w:tr w14:paraId="1F5E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56CB94BF">
                  <w:pPr>
                    <w:jc w:val="center"/>
                    <w:rPr>
                      <w:color w:val="auto"/>
                      <w:szCs w:val="21"/>
                    </w:rPr>
                  </w:pPr>
                  <w:r>
                    <w:rPr>
                      <w:rFonts w:hint="eastAsia"/>
                      <w:color w:val="auto"/>
                      <w:szCs w:val="21"/>
                    </w:rPr>
                    <w:t>现有项目污水处理站出水2326.875</w:t>
                  </w:r>
                  <w:r>
                    <w:rPr>
                      <w:color w:val="auto"/>
                      <w:szCs w:val="21"/>
                    </w:rPr>
                    <w:t>t/a</w:t>
                  </w:r>
                </w:p>
              </w:tc>
              <w:tc>
                <w:tcPr>
                  <w:tcW w:w="671" w:type="dxa"/>
                  <w:vAlign w:val="center"/>
                </w:tcPr>
                <w:p w14:paraId="5B164A43">
                  <w:pPr>
                    <w:jc w:val="center"/>
                    <w:rPr>
                      <w:color w:val="auto"/>
                      <w:szCs w:val="21"/>
                    </w:rPr>
                  </w:pPr>
                  <w:r>
                    <w:rPr>
                      <w:color w:val="auto"/>
                      <w:szCs w:val="21"/>
                    </w:rPr>
                    <w:t>排放浓度mg/L</w:t>
                  </w:r>
                </w:p>
              </w:tc>
              <w:tc>
                <w:tcPr>
                  <w:tcW w:w="1065" w:type="dxa"/>
                  <w:vAlign w:val="center"/>
                </w:tcPr>
                <w:p w14:paraId="012BD53E">
                  <w:pPr>
                    <w:jc w:val="center"/>
                    <w:rPr>
                      <w:color w:val="auto"/>
                      <w:szCs w:val="21"/>
                    </w:rPr>
                  </w:pPr>
                  <w:r>
                    <w:rPr>
                      <w:rFonts w:hint="eastAsia"/>
                      <w:color w:val="auto"/>
                      <w:szCs w:val="21"/>
                    </w:rPr>
                    <w:t>7.85~7.87</w:t>
                  </w:r>
                </w:p>
              </w:tc>
              <w:tc>
                <w:tcPr>
                  <w:tcW w:w="689" w:type="dxa"/>
                  <w:vAlign w:val="center"/>
                </w:tcPr>
                <w:p w14:paraId="09A06A64">
                  <w:pPr>
                    <w:jc w:val="center"/>
                    <w:rPr>
                      <w:color w:val="auto"/>
                      <w:szCs w:val="21"/>
                    </w:rPr>
                  </w:pPr>
                  <w:r>
                    <w:rPr>
                      <w:rFonts w:hint="eastAsia"/>
                      <w:color w:val="auto"/>
                      <w:szCs w:val="21"/>
                    </w:rPr>
                    <w:t>44</w:t>
                  </w:r>
                </w:p>
              </w:tc>
              <w:tc>
                <w:tcPr>
                  <w:tcW w:w="740" w:type="dxa"/>
                  <w:vAlign w:val="center"/>
                </w:tcPr>
                <w:p w14:paraId="6A1E4103">
                  <w:pPr>
                    <w:jc w:val="center"/>
                    <w:rPr>
                      <w:color w:val="auto"/>
                    </w:rPr>
                  </w:pPr>
                  <w:r>
                    <w:rPr>
                      <w:rFonts w:hint="eastAsia"/>
                      <w:color w:val="auto"/>
                      <w:szCs w:val="21"/>
                    </w:rPr>
                    <w:t>7.2</w:t>
                  </w:r>
                </w:p>
              </w:tc>
              <w:tc>
                <w:tcPr>
                  <w:tcW w:w="689" w:type="dxa"/>
                  <w:vAlign w:val="center"/>
                </w:tcPr>
                <w:p w14:paraId="25B10EC2">
                  <w:pPr>
                    <w:jc w:val="center"/>
                    <w:rPr>
                      <w:color w:val="auto"/>
                      <w:szCs w:val="21"/>
                    </w:rPr>
                  </w:pPr>
                  <w:r>
                    <w:rPr>
                      <w:rFonts w:hint="eastAsia"/>
                      <w:color w:val="auto"/>
                      <w:szCs w:val="21"/>
                    </w:rPr>
                    <w:t>17</w:t>
                  </w:r>
                </w:p>
              </w:tc>
              <w:tc>
                <w:tcPr>
                  <w:tcW w:w="821" w:type="dxa"/>
                  <w:vAlign w:val="center"/>
                </w:tcPr>
                <w:p w14:paraId="148FF19C">
                  <w:pPr>
                    <w:jc w:val="center"/>
                    <w:rPr>
                      <w:color w:val="auto"/>
                      <w:szCs w:val="21"/>
                    </w:rPr>
                  </w:pPr>
                  <w:r>
                    <w:rPr>
                      <w:rFonts w:hint="eastAsia"/>
                      <w:color w:val="auto"/>
                      <w:szCs w:val="21"/>
                    </w:rPr>
                    <w:t>13.4</w:t>
                  </w:r>
                </w:p>
              </w:tc>
              <w:tc>
                <w:tcPr>
                  <w:tcW w:w="1167" w:type="dxa"/>
                  <w:vAlign w:val="center"/>
                </w:tcPr>
                <w:p w14:paraId="7134ABEF">
                  <w:pPr>
                    <w:jc w:val="center"/>
                    <w:rPr>
                      <w:color w:val="auto"/>
                      <w:szCs w:val="21"/>
                    </w:rPr>
                  </w:pPr>
                  <w:r>
                    <w:rPr>
                      <w:rFonts w:hint="eastAsia"/>
                      <w:color w:val="auto"/>
                      <w:szCs w:val="21"/>
                    </w:rPr>
                    <w:t>70</w:t>
                  </w:r>
                </w:p>
              </w:tc>
              <w:tc>
                <w:tcPr>
                  <w:tcW w:w="915" w:type="dxa"/>
                  <w:vAlign w:val="center"/>
                </w:tcPr>
                <w:p w14:paraId="0CB4EDDB">
                  <w:pPr>
                    <w:jc w:val="center"/>
                    <w:rPr>
                      <w:color w:val="auto"/>
                      <w:szCs w:val="21"/>
                    </w:rPr>
                  </w:pPr>
                  <w:r>
                    <w:rPr>
                      <w:rFonts w:hint="eastAsia"/>
                      <w:color w:val="auto"/>
                      <w:szCs w:val="21"/>
                    </w:rPr>
                    <w:t>0.4</w:t>
                  </w:r>
                </w:p>
              </w:tc>
              <w:tc>
                <w:tcPr>
                  <w:tcW w:w="905" w:type="dxa"/>
                  <w:vAlign w:val="center"/>
                </w:tcPr>
                <w:p w14:paraId="1415B21E">
                  <w:pPr>
                    <w:jc w:val="center"/>
                    <w:rPr>
                      <w:color w:val="auto"/>
                      <w:szCs w:val="21"/>
                    </w:rPr>
                  </w:pPr>
                  <w:r>
                    <w:rPr>
                      <w:rFonts w:hint="eastAsia"/>
                      <w:color w:val="auto"/>
                      <w:szCs w:val="21"/>
                    </w:rPr>
                    <w:t>4.69</w:t>
                  </w:r>
                </w:p>
              </w:tc>
            </w:tr>
            <w:tr w14:paraId="5260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17E821A4">
                  <w:pPr>
                    <w:jc w:val="center"/>
                    <w:rPr>
                      <w:color w:val="auto"/>
                      <w:szCs w:val="21"/>
                    </w:rPr>
                  </w:pPr>
                </w:p>
              </w:tc>
              <w:tc>
                <w:tcPr>
                  <w:tcW w:w="671" w:type="dxa"/>
                  <w:vAlign w:val="center"/>
                </w:tcPr>
                <w:p w14:paraId="3F5F501E">
                  <w:pPr>
                    <w:jc w:val="center"/>
                    <w:rPr>
                      <w:color w:val="auto"/>
                      <w:szCs w:val="21"/>
                    </w:rPr>
                  </w:pPr>
                  <w:r>
                    <w:rPr>
                      <w:color w:val="auto"/>
                      <w:szCs w:val="21"/>
                    </w:rPr>
                    <w:t>排放量t/a</w:t>
                  </w:r>
                </w:p>
              </w:tc>
              <w:tc>
                <w:tcPr>
                  <w:tcW w:w="1065" w:type="dxa"/>
                  <w:vAlign w:val="center"/>
                </w:tcPr>
                <w:p w14:paraId="469169F0">
                  <w:pPr>
                    <w:jc w:val="center"/>
                    <w:rPr>
                      <w:color w:val="auto"/>
                      <w:szCs w:val="21"/>
                    </w:rPr>
                  </w:pPr>
                  <w:r>
                    <w:rPr>
                      <w:color w:val="auto"/>
                      <w:szCs w:val="21"/>
                    </w:rPr>
                    <w:t>—</w:t>
                  </w:r>
                </w:p>
              </w:tc>
              <w:tc>
                <w:tcPr>
                  <w:tcW w:w="689" w:type="dxa"/>
                  <w:vAlign w:val="center"/>
                </w:tcPr>
                <w:p w14:paraId="5399EA43">
                  <w:pPr>
                    <w:jc w:val="center"/>
                    <w:rPr>
                      <w:color w:val="auto"/>
                      <w:szCs w:val="21"/>
                    </w:rPr>
                  </w:pPr>
                  <w:r>
                    <w:rPr>
                      <w:rFonts w:hint="eastAsia"/>
                      <w:color w:val="auto"/>
                      <w:szCs w:val="21"/>
                    </w:rPr>
                    <w:t>0.102</w:t>
                  </w:r>
                </w:p>
              </w:tc>
              <w:tc>
                <w:tcPr>
                  <w:tcW w:w="740" w:type="dxa"/>
                  <w:vAlign w:val="center"/>
                </w:tcPr>
                <w:p w14:paraId="52BCF085">
                  <w:pPr>
                    <w:jc w:val="center"/>
                    <w:rPr>
                      <w:color w:val="auto"/>
                    </w:rPr>
                  </w:pPr>
                  <w:r>
                    <w:rPr>
                      <w:rFonts w:hint="eastAsia"/>
                      <w:color w:val="auto"/>
                    </w:rPr>
                    <w:t>0.017</w:t>
                  </w:r>
                </w:p>
              </w:tc>
              <w:tc>
                <w:tcPr>
                  <w:tcW w:w="689" w:type="dxa"/>
                  <w:vAlign w:val="center"/>
                </w:tcPr>
                <w:p w14:paraId="3563F289">
                  <w:pPr>
                    <w:jc w:val="center"/>
                    <w:rPr>
                      <w:color w:val="auto"/>
                      <w:szCs w:val="21"/>
                    </w:rPr>
                  </w:pPr>
                  <w:r>
                    <w:rPr>
                      <w:rFonts w:hint="eastAsia"/>
                      <w:color w:val="auto"/>
                      <w:szCs w:val="21"/>
                    </w:rPr>
                    <w:t>0.040</w:t>
                  </w:r>
                </w:p>
              </w:tc>
              <w:tc>
                <w:tcPr>
                  <w:tcW w:w="821" w:type="dxa"/>
                  <w:vAlign w:val="center"/>
                </w:tcPr>
                <w:p w14:paraId="565C51E7">
                  <w:pPr>
                    <w:jc w:val="center"/>
                    <w:rPr>
                      <w:color w:val="auto"/>
                      <w:szCs w:val="21"/>
                    </w:rPr>
                  </w:pPr>
                  <w:r>
                    <w:rPr>
                      <w:rFonts w:hint="eastAsia"/>
                      <w:color w:val="auto"/>
                      <w:szCs w:val="21"/>
                    </w:rPr>
                    <w:t>0.031</w:t>
                  </w:r>
                </w:p>
              </w:tc>
              <w:tc>
                <w:tcPr>
                  <w:tcW w:w="1167" w:type="dxa"/>
                  <w:vAlign w:val="center"/>
                </w:tcPr>
                <w:p w14:paraId="2EBEE67B">
                  <w:pPr>
                    <w:jc w:val="center"/>
                    <w:rPr>
                      <w:color w:val="auto"/>
                      <w:szCs w:val="21"/>
                    </w:rPr>
                  </w:pPr>
                  <w:r>
                    <w:rPr>
                      <w:color w:val="auto"/>
                      <w:szCs w:val="21"/>
                    </w:rPr>
                    <w:t>—</w:t>
                  </w:r>
                </w:p>
              </w:tc>
              <w:tc>
                <w:tcPr>
                  <w:tcW w:w="915" w:type="dxa"/>
                  <w:vAlign w:val="center"/>
                </w:tcPr>
                <w:p w14:paraId="6C9CD52C">
                  <w:pPr>
                    <w:jc w:val="center"/>
                    <w:rPr>
                      <w:color w:val="auto"/>
                      <w:szCs w:val="21"/>
                    </w:rPr>
                  </w:pPr>
                  <w:r>
                    <w:rPr>
                      <w:color w:val="auto"/>
                      <w:szCs w:val="21"/>
                    </w:rPr>
                    <w:t>—</w:t>
                  </w:r>
                </w:p>
              </w:tc>
              <w:tc>
                <w:tcPr>
                  <w:tcW w:w="905" w:type="dxa"/>
                  <w:vAlign w:val="center"/>
                </w:tcPr>
                <w:p w14:paraId="57AAE6AE">
                  <w:pPr>
                    <w:jc w:val="center"/>
                    <w:rPr>
                      <w:color w:val="auto"/>
                      <w:szCs w:val="21"/>
                    </w:rPr>
                  </w:pPr>
                  <w:r>
                    <w:rPr>
                      <w:rFonts w:hint="eastAsia"/>
                      <w:color w:val="auto"/>
                      <w:szCs w:val="21"/>
                    </w:rPr>
                    <w:t>0.011</w:t>
                  </w:r>
                </w:p>
              </w:tc>
            </w:tr>
          </w:tbl>
          <w:p w14:paraId="59EA7891">
            <w:pPr>
              <w:pStyle w:val="131"/>
              <w:adjustRightInd w:val="0"/>
              <w:snapToGrid w:val="0"/>
              <w:ind w:firstLine="480"/>
              <w:rPr>
                <w:color w:val="auto"/>
              </w:rPr>
            </w:pPr>
            <w:r>
              <w:rPr>
                <w:rFonts w:hint="eastAsia"/>
                <w:bCs/>
                <w:color w:val="auto"/>
              </w:rPr>
              <w:t>九龙卫生院</w:t>
            </w:r>
            <w:r>
              <w:rPr>
                <w:rFonts w:hint="eastAsia"/>
                <w:color w:val="auto"/>
              </w:rPr>
              <w:t>现有项目食堂和住宿废水产生量2.601m³/d，医疗废水产生量为8.925</w:t>
            </w:r>
            <w:r>
              <w:rPr>
                <w:color w:val="auto"/>
              </w:rPr>
              <w:t>m³/d</w:t>
            </w:r>
            <w:r>
              <w:rPr>
                <w:rFonts w:hint="eastAsia"/>
                <w:color w:val="auto"/>
              </w:rPr>
              <w:t>，本项目新增医疗废水7.25</w:t>
            </w:r>
            <w:r>
              <w:rPr>
                <w:color w:val="auto"/>
              </w:rPr>
              <w:t>m³/d</w:t>
            </w:r>
            <w:r>
              <w:rPr>
                <w:rFonts w:hint="eastAsia"/>
                <w:color w:val="auto"/>
              </w:rPr>
              <w:t>，卫生院共计产生废水量为18.776m³/d，现有项目食堂和住宿废水经化粪池处理后排入市政污水管网进入通海县第二污水处理厂处理，不进入本项目自建的污水处理站处理。全院医疗废水的量为</w:t>
            </w:r>
            <w:r>
              <w:rPr>
                <w:rFonts w:hint="eastAsia"/>
                <w:color w:val="auto"/>
                <w:szCs w:val="24"/>
              </w:rPr>
              <w:t>16.175m</w:t>
            </w:r>
            <w:r>
              <w:rPr>
                <w:rFonts w:hint="eastAsia"/>
                <w:color w:val="auto"/>
                <w:vertAlign w:val="superscript"/>
              </w:rPr>
              <w:t>3</w:t>
            </w:r>
            <w:r>
              <w:rPr>
                <w:color w:val="auto"/>
              </w:rPr>
              <w:t>/d</w:t>
            </w:r>
            <w:r>
              <w:rPr>
                <w:rFonts w:hint="eastAsia"/>
                <w:color w:val="auto"/>
              </w:rPr>
              <w:t>，均进入本项目自建的污水处理站处理，按总医疗废水量1.2倍的安全系数考虑，项目新建污水处理站处理规模应大于19.41m</w:t>
            </w:r>
            <w:r>
              <w:rPr>
                <w:rFonts w:hint="eastAsia"/>
                <w:color w:val="auto"/>
                <w:vertAlign w:val="superscript"/>
              </w:rPr>
              <w:t>3</w:t>
            </w:r>
            <w:r>
              <w:rPr>
                <w:rFonts w:hint="eastAsia"/>
                <w:color w:val="auto"/>
              </w:rPr>
              <w:t>/d，环评要求本次九龙卫生院新建的污水处理站处理规模设计为20m</w:t>
            </w:r>
            <w:r>
              <w:rPr>
                <w:rFonts w:hint="eastAsia"/>
                <w:color w:val="auto"/>
                <w:vertAlign w:val="superscript"/>
              </w:rPr>
              <w:t>3</w:t>
            </w:r>
            <w:r>
              <w:rPr>
                <w:rFonts w:hint="eastAsia"/>
                <w:color w:val="auto"/>
              </w:rPr>
              <w:t>/d，设为地埋式。本项目建成后九龙卫生院污水产排源强见表4-12。</w:t>
            </w:r>
          </w:p>
          <w:p w14:paraId="13203775">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12</w:t>
            </w:r>
            <w:r>
              <w:rPr>
                <w:b/>
                <w:color w:val="auto"/>
                <w:sz w:val="24"/>
              </w:rPr>
              <w:t xml:space="preserve"> </w:t>
            </w:r>
            <w:r>
              <w:rPr>
                <w:rFonts w:hint="eastAsia"/>
                <w:b/>
                <w:color w:val="auto"/>
                <w:sz w:val="24"/>
              </w:rPr>
              <w:t>本项目建成后全院（九龙卫生院）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671"/>
              <w:gridCol w:w="1065"/>
              <w:gridCol w:w="689"/>
              <w:gridCol w:w="740"/>
              <w:gridCol w:w="689"/>
              <w:gridCol w:w="821"/>
              <w:gridCol w:w="1122"/>
              <w:gridCol w:w="795"/>
              <w:gridCol w:w="1070"/>
            </w:tblGrid>
            <w:tr w14:paraId="1AE6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885" w:type="dxa"/>
                  <w:gridSpan w:val="2"/>
                  <w:vMerge w:val="restart"/>
                  <w:vAlign w:val="center"/>
                </w:tcPr>
                <w:p w14:paraId="55FC42BE">
                  <w:pPr>
                    <w:jc w:val="center"/>
                    <w:rPr>
                      <w:b/>
                      <w:color w:val="auto"/>
                      <w:szCs w:val="21"/>
                    </w:rPr>
                  </w:pPr>
                  <w:r>
                    <w:rPr>
                      <w:b/>
                      <w:color w:val="auto"/>
                      <w:szCs w:val="21"/>
                    </w:rPr>
                    <w:t>指标</w:t>
                  </w:r>
                </w:p>
              </w:tc>
              <w:tc>
                <w:tcPr>
                  <w:tcW w:w="6991" w:type="dxa"/>
                  <w:gridSpan w:val="8"/>
                </w:tcPr>
                <w:p w14:paraId="4999588D">
                  <w:pPr>
                    <w:jc w:val="center"/>
                    <w:rPr>
                      <w:b/>
                      <w:color w:val="auto"/>
                      <w:szCs w:val="21"/>
                    </w:rPr>
                  </w:pPr>
                  <w:r>
                    <w:rPr>
                      <w:b/>
                      <w:color w:val="auto"/>
                      <w:szCs w:val="21"/>
                    </w:rPr>
                    <w:t>主要污染物名称</w:t>
                  </w:r>
                </w:p>
              </w:tc>
            </w:tr>
            <w:tr w14:paraId="0538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85" w:type="dxa"/>
                  <w:gridSpan w:val="2"/>
                  <w:vMerge w:val="continue"/>
                  <w:vAlign w:val="center"/>
                </w:tcPr>
                <w:p w14:paraId="29BC9657">
                  <w:pPr>
                    <w:jc w:val="center"/>
                    <w:rPr>
                      <w:color w:val="auto"/>
                      <w:szCs w:val="21"/>
                    </w:rPr>
                  </w:pPr>
                </w:p>
              </w:tc>
              <w:tc>
                <w:tcPr>
                  <w:tcW w:w="1065" w:type="dxa"/>
                  <w:vAlign w:val="center"/>
                </w:tcPr>
                <w:p w14:paraId="42E0438C">
                  <w:pPr>
                    <w:jc w:val="center"/>
                    <w:rPr>
                      <w:b/>
                      <w:color w:val="auto"/>
                      <w:szCs w:val="21"/>
                    </w:rPr>
                  </w:pPr>
                  <w:r>
                    <w:rPr>
                      <w:rFonts w:hint="eastAsia"/>
                      <w:b/>
                      <w:color w:val="auto"/>
                      <w:szCs w:val="21"/>
                    </w:rPr>
                    <w:t>PH</w:t>
                  </w:r>
                </w:p>
              </w:tc>
              <w:tc>
                <w:tcPr>
                  <w:tcW w:w="689" w:type="dxa"/>
                  <w:vAlign w:val="center"/>
                </w:tcPr>
                <w:p w14:paraId="308C37B0">
                  <w:pPr>
                    <w:jc w:val="center"/>
                    <w:rPr>
                      <w:b/>
                      <w:color w:val="auto"/>
                      <w:szCs w:val="21"/>
                    </w:rPr>
                  </w:pPr>
                  <w:r>
                    <w:rPr>
                      <w:b/>
                      <w:color w:val="auto"/>
                      <w:szCs w:val="21"/>
                    </w:rPr>
                    <w:t>COD</w:t>
                  </w:r>
                </w:p>
              </w:tc>
              <w:tc>
                <w:tcPr>
                  <w:tcW w:w="740" w:type="dxa"/>
                  <w:vAlign w:val="center"/>
                </w:tcPr>
                <w:p w14:paraId="0E412F03">
                  <w:pPr>
                    <w:jc w:val="center"/>
                    <w:rPr>
                      <w:b/>
                      <w:color w:val="auto"/>
                      <w:szCs w:val="21"/>
                    </w:rPr>
                  </w:pPr>
                  <w:r>
                    <w:rPr>
                      <w:b/>
                      <w:color w:val="auto"/>
                      <w:szCs w:val="21"/>
                    </w:rPr>
                    <w:t>BOD</w:t>
                  </w:r>
                  <w:r>
                    <w:rPr>
                      <w:b/>
                      <w:color w:val="auto"/>
                      <w:szCs w:val="21"/>
                      <w:vertAlign w:val="subscript"/>
                    </w:rPr>
                    <w:t>5</w:t>
                  </w:r>
                </w:p>
              </w:tc>
              <w:tc>
                <w:tcPr>
                  <w:tcW w:w="689" w:type="dxa"/>
                  <w:vAlign w:val="center"/>
                </w:tcPr>
                <w:p w14:paraId="75B531EC">
                  <w:pPr>
                    <w:jc w:val="center"/>
                    <w:rPr>
                      <w:b/>
                      <w:color w:val="auto"/>
                      <w:szCs w:val="21"/>
                    </w:rPr>
                  </w:pPr>
                  <w:r>
                    <w:rPr>
                      <w:b/>
                      <w:color w:val="auto"/>
                      <w:szCs w:val="21"/>
                    </w:rPr>
                    <w:t>SS</w:t>
                  </w:r>
                </w:p>
              </w:tc>
              <w:tc>
                <w:tcPr>
                  <w:tcW w:w="821" w:type="dxa"/>
                  <w:vAlign w:val="center"/>
                </w:tcPr>
                <w:p w14:paraId="43490E8A">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122" w:type="dxa"/>
                  <w:vAlign w:val="center"/>
                </w:tcPr>
                <w:p w14:paraId="64BF9BDF">
                  <w:pPr>
                    <w:jc w:val="center"/>
                    <w:rPr>
                      <w:b/>
                      <w:color w:val="auto"/>
                    </w:rPr>
                  </w:pPr>
                  <w:r>
                    <w:rPr>
                      <w:b/>
                      <w:color w:val="auto"/>
                    </w:rPr>
                    <w:t>粪大肠菌群数</w:t>
                  </w:r>
                  <w:r>
                    <w:rPr>
                      <w:rFonts w:hint="eastAsia"/>
                      <w:b/>
                      <w:color w:val="auto"/>
                    </w:rPr>
                    <w:t>（</w:t>
                  </w:r>
                  <w:r>
                    <w:rPr>
                      <w:b/>
                      <w:color w:val="auto"/>
                    </w:rPr>
                    <w:t>个/L)</w:t>
                  </w:r>
                </w:p>
              </w:tc>
              <w:tc>
                <w:tcPr>
                  <w:tcW w:w="795" w:type="dxa"/>
                  <w:vAlign w:val="center"/>
                </w:tcPr>
                <w:p w14:paraId="25CBAEC0">
                  <w:pPr>
                    <w:jc w:val="center"/>
                    <w:rPr>
                      <w:b/>
                      <w:color w:val="auto"/>
                    </w:rPr>
                  </w:pPr>
                  <w:r>
                    <w:rPr>
                      <w:b/>
                      <w:color w:val="auto"/>
                    </w:rPr>
                    <w:t>总余氯</w:t>
                  </w:r>
                </w:p>
              </w:tc>
              <w:tc>
                <w:tcPr>
                  <w:tcW w:w="1070" w:type="dxa"/>
                  <w:vAlign w:val="center"/>
                </w:tcPr>
                <w:p w14:paraId="11FBD571">
                  <w:pPr>
                    <w:jc w:val="center"/>
                    <w:rPr>
                      <w:b/>
                      <w:color w:val="auto"/>
                    </w:rPr>
                  </w:pPr>
                  <w:r>
                    <w:rPr>
                      <w:b/>
                      <w:bCs/>
                      <w:color w:val="auto"/>
                      <w:szCs w:val="21"/>
                    </w:rPr>
                    <w:t>总磷</w:t>
                  </w:r>
                </w:p>
              </w:tc>
            </w:tr>
            <w:tr w14:paraId="2EFD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14" w:type="dxa"/>
                  <w:vMerge w:val="restart"/>
                  <w:vAlign w:val="center"/>
                </w:tcPr>
                <w:p w14:paraId="535BE7A6">
                  <w:pPr>
                    <w:jc w:val="center"/>
                    <w:rPr>
                      <w:color w:val="auto"/>
                      <w:szCs w:val="21"/>
                    </w:rPr>
                  </w:pPr>
                  <w:r>
                    <w:rPr>
                      <w:rFonts w:hint="eastAsia"/>
                      <w:color w:val="auto"/>
                      <w:szCs w:val="21"/>
                    </w:rPr>
                    <w:t>全院废水</w:t>
                  </w:r>
                  <w:r>
                    <w:rPr>
                      <w:color w:val="auto"/>
                      <w:szCs w:val="21"/>
                    </w:rPr>
                    <w:t>产生量</w:t>
                  </w:r>
                </w:p>
                <w:p w14:paraId="07D2BF26">
                  <w:pPr>
                    <w:jc w:val="center"/>
                    <w:rPr>
                      <w:color w:val="auto"/>
                      <w:szCs w:val="21"/>
                    </w:rPr>
                  </w:pPr>
                  <w:r>
                    <w:rPr>
                      <w:rFonts w:hint="eastAsia"/>
                      <w:color w:val="auto"/>
                      <w:szCs w:val="21"/>
                    </w:rPr>
                    <w:t>6853.24</w:t>
                  </w:r>
                  <w:r>
                    <w:rPr>
                      <w:color w:val="auto"/>
                      <w:szCs w:val="21"/>
                    </w:rPr>
                    <w:t>t/a</w:t>
                  </w:r>
                </w:p>
              </w:tc>
              <w:tc>
                <w:tcPr>
                  <w:tcW w:w="671" w:type="dxa"/>
                  <w:vAlign w:val="center"/>
                </w:tcPr>
                <w:p w14:paraId="3AFBC13D">
                  <w:pPr>
                    <w:jc w:val="center"/>
                    <w:rPr>
                      <w:color w:val="auto"/>
                      <w:szCs w:val="21"/>
                    </w:rPr>
                  </w:pPr>
                  <w:r>
                    <w:rPr>
                      <w:color w:val="auto"/>
                      <w:szCs w:val="21"/>
                    </w:rPr>
                    <w:t>产生浓度mg/L</w:t>
                  </w:r>
                </w:p>
              </w:tc>
              <w:tc>
                <w:tcPr>
                  <w:tcW w:w="1065" w:type="dxa"/>
                  <w:vAlign w:val="center"/>
                </w:tcPr>
                <w:p w14:paraId="67310FFC">
                  <w:pPr>
                    <w:jc w:val="center"/>
                    <w:rPr>
                      <w:color w:val="auto"/>
                      <w:szCs w:val="21"/>
                    </w:rPr>
                  </w:pPr>
                  <w:r>
                    <w:rPr>
                      <w:color w:val="auto"/>
                      <w:szCs w:val="21"/>
                    </w:rPr>
                    <w:t>7~8</w:t>
                  </w:r>
                </w:p>
              </w:tc>
              <w:tc>
                <w:tcPr>
                  <w:tcW w:w="689" w:type="dxa"/>
                  <w:vAlign w:val="center"/>
                </w:tcPr>
                <w:p w14:paraId="603F13AE">
                  <w:pPr>
                    <w:jc w:val="center"/>
                    <w:rPr>
                      <w:color w:val="auto"/>
                      <w:szCs w:val="21"/>
                    </w:rPr>
                  </w:pPr>
                  <w:r>
                    <w:rPr>
                      <w:color w:val="auto"/>
                      <w:szCs w:val="21"/>
                    </w:rPr>
                    <w:t>300</w:t>
                  </w:r>
                </w:p>
              </w:tc>
              <w:tc>
                <w:tcPr>
                  <w:tcW w:w="740" w:type="dxa"/>
                  <w:vAlign w:val="center"/>
                </w:tcPr>
                <w:p w14:paraId="6EE2F1F2">
                  <w:pPr>
                    <w:jc w:val="center"/>
                    <w:rPr>
                      <w:color w:val="auto"/>
                      <w:szCs w:val="21"/>
                    </w:rPr>
                  </w:pPr>
                  <w:r>
                    <w:rPr>
                      <w:color w:val="auto"/>
                      <w:szCs w:val="21"/>
                    </w:rPr>
                    <w:t>150</w:t>
                  </w:r>
                </w:p>
              </w:tc>
              <w:tc>
                <w:tcPr>
                  <w:tcW w:w="689" w:type="dxa"/>
                  <w:vAlign w:val="center"/>
                </w:tcPr>
                <w:p w14:paraId="1368B4CC">
                  <w:pPr>
                    <w:jc w:val="center"/>
                    <w:rPr>
                      <w:color w:val="auto"/>
                      <w:szCs w:val="21"/>
                    </w:rPr>
                  </w:pPr>
                  <w:r>
                    <w:rPr>
                      <w:color w:val="auto"/>
                      <w:szCs w:val="21"/>
                    </w:rPr>
                    <w:t>120</w:t>
                  </w:r>
                </w:p>
              </w:tc>
              <w:tc>
                <w:tcPr>
                  <w:tcW w:w="821" w:type="dxa"/>
                  <w:vAlign w:val="center"/>
                </w:tcPr>
                <w:p w14:paraId="32ECAE88">
                  <w:pPr>
                    <w:jc w:val="center"/>
                    <w:rPr>
                      <w:color w:val="auto"/>
                      <w:szCs w:val="21"/>
                    </w:rPr>
                  </w:pPr>
                  <w:r>
                    <w:rPr>
                      <w:color w:val="auto"/>
                      <w:szCs w:val="21"/>
                    </w:rPr>
                    <w:t>40</w:t>
                  </w:r>
                </w:p>
              </w:tc>
              <w:tc>
                <w:tcPr>
                  <w:tcW w:w="1122" w:type="dxa"/>
                  <w:vAlign w:val="center"/>
                </w:tcPr>
                <w:p w14:paraId="3CF068A1">
                  <w:pPr>
                    <w:jc w:val="center"/>
                    <w:rPr>
                      <w:color w:val="auto"/>
                      <w:szCs w:val="21"/>
                    </w:rPr>
                  </w:pPr>
                  <w:r>
                    <w:rPr>
                      <w:color w:val="auto"/>
                      <w:szCs w:val="21"/>
                    </w:rPr>
                    <w:t>3.0×10</w:t>
                  </w:r>
                  <w:r>
                    <w:rPr>
                      <w:color w:val="auto"/>
                      <w:szCs w:val="21"/>
                      <w:vertAlign w:val="superscript"/>
                    </w:rPr>
                    <w:t>8</w:t>
                  </w:r>
                </w:p>
              </w:tc>
              <w:tc>
                <w:tcPr>
                  <w:tcW w:w="795" w:type="dxa"/>
                  <w:vAlign w:val="center"/>
                </w:tcPr>
                <w:p w14:paraId="6DEABE6E">
                  <w:pPr>
                    <w:jc w:val="center"/>
                    <w:rPr>
                      <w:color w:val="auto"/>
                      <w:szCs w:val="21"/>
                    </w:rPr>
                  </w:pPr>
                  <w:r>
                    <w:rPr>
                      <w:color w:val="auto"/>
                      <w:szCs w:val="21"/>
                    </w:rPr>
                    <w:t>—</w:t>
                  </w:r>
                </w:p>
              </w:tc>
              <w:tc>
                <w:tcPr>
                  <w:tcW w:w="1070" w:type="dxa"/>
                  <w:vAlign w:val="center"/>
                </w:tcPr>
                <w:p w14:paraId="619868E9">
                  <w:pPr>
                    <w:jc w:val="center"/>
                    <w:rPr>
                      <w:color w:val="auto"/>
                      <w:szCs w:val="21"/>
                    </w:rPr>
                  </w:pPr>
                  <w:r>
                    <w:rPr>
                      <w:rFonts w:hint="eastAsia"/>
                      <w:color w:val="auto"/>
                      <w:szCs w:val="21"/>
                    </w:rPr>
                    <w:t>12.8</w:t>
                  </w:r>
                </w:p>
              </w:tc>
            </w:tr>
            <w:tr w14:paraId="3933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53561C70">
                  <w:pPr>
                    <w:jc w:val="center"/>
                    <w:rPr>
                      <w:color w:val="auto"/>
                      <w:szCs w:val="21"/>
                    </w:rPr>
                  </w:pPr>
                </w:p>
              </w:tc>
              <w:tc>
                <w:tcPr>
                  <w:tcW w:w="671" w:type="dxa"/>
                  <w:vAlign w:val="center"/>
                </w:tcPr>
                <w:p w14:paraId="298DD5DF">
                  <w:pPr>
                    <w:jc w:val="center"/>
                    <w:rPr>
                      <w:color w:val="auto"/>
                      <w:szCs w:val="21"/>
                    </w:rPr>
                  </w:pPr>
                  <w:r>
                    <w:rPr>
                      <w:color w:val="auto"/>
                      <w:szCs w:val="21"/>
                    </w:rPr>
                    <w:t>产生量t/a</w:t>
                  </w:r>
                </w:p>
              </w:tc>
              <w:tc>
                <w:tcPr>
                  <w:tcW w:w="1065" w:type="dxa"/>
                  <w:vAlign w:val="center"/>
                </w:tcPr>
                <w:p w14:paraId="4152960B">
                  <w:pPr>
                    <w:jc w:val="center"/>
                    <w:rPr>
                      <w:color w:val="auto"/>
                      <w:szCs w:val="21"/>
                    </w:rPr>
                  </w:pPr>
                  <w:r>
                    <w:rPr>
                      <w:color w:val="auto"/>
                      <w:szCs w:val="21"/>
                    </w:rPr>
                    <w:t>—</w:t>
                  </w:r>
                </w:p>
              </w:tc>
              <w:tc>
                <w:tcPr>
                  <w:tcW w:w="689" w:type="dxa"/>
                  <w:vAlign w:val="center"/>
                </w:tcPr>
                <w:p w14:paraId="1852E928">
                  <w:pPr>
                    <w:jc w:val="center"/>
                    <w:rPr>
                      <w:color w:val="auto"/>
                      <w:szCs w:val="21"/>
                    </w:rPr>
                  </w:pPr>
                  <w:r>
                    <w:rPr>
                      <w:rFonts w:hint="eastAsia"/>
                      <w:color w:val="auto"/>
                      <w:szCs w:val="21"/>
                    </w:rPr>
                    <w:t>2.074</w:t>
                  </w:r>
                </w:p>
              </w:tc>
              <w:tc>
                <w:tcPr>
                  <w:tcW w:w="740" w:type="dxa"/>
                  <w:vAlign w:val="center"/>
                </w:tcPr>
                <w:p w14:paraId="3FC7701C">
                  <w:pPr>
                    <w:jc w:val="center"/>
                    <w:rPr>
                      <w:color w:val="auto"/>
                      <w:szCs w:val="21"/>
                    </w:rPr>
                  </w:pPr>
                  <w:r>
                    <w:rPr>
                      <w:rFonts w:hint="eastAsia"/>
                      <w:color w:val="auto"/>
                      <w:szCs w:val="21"/>
                    </w:rPr>
                    <w:t>1.037</w:t>
                  </w:r>
                </w:p>
              </w:tc>
              <w:tc>
                <w:tcPr>
                  <w:tcW w:w="689" w:type="dxa"/>
                  <w:vAlign w:val="center"/>
                </w:tcPr>
                <w:p w14:paraId="6124AE13">
                  <w:pPr>
                    <w:jc w:val="center"/>
                    <w:rPr>
                      <w:color w:val="auto"/>
                      <w:szCs w:val="21"/>
                    </w:rPr>
                  </w:pPr>
                  <w:r>
                    <w:rPr>
                      <w:rFonts w:hint="eastAsia"/>
                      <w:color w:val="auto"/>
                      <w:szCs w:val="21"/>
                    </w:rPr>
                    <w:t>0.829</w:t>
                  </w:r>
                </w:p>
              </w:tc>
              <w:tc>
                <w:tcPr>
                  <w:tcW w:w="821" w:type="dxa"/>
                  <w:vAlign w:val="center"/>
                </w:tcPr>
                <w:p w14:paraId="5736E8D1">
                  <w:pPr>
                    <w:jc w:val="center"/>
                    <w:rPr>
                      <w:color w:val="auto"/>
                      <w:szCs w:val="21"/>
                    </w:rPr>
                  </w:pPr>
                  <w:r>
                    <w:rPr>
                      <w:rFonts w:hint="eastAsia"/>
                      <w:color w:val="auto"/>
                      <w:szCs w:val="21"/>
                    </w:rPr>
                    <w:t>0.276</w:t>
                  </w:r>
                </w:p>
              </w:tc>
              <w:tc>
                <w:tcPr>
                  <w:tcW w:w="1122" w:type="dxa"/>
                  <w:vAlign w:val="center"/>
                </w:tcPr>
                <w:p w14:paraId="708E7290">
                  <w:pPr>
                    <w:jc w:val="center"/>
                    <w:rPr>
                      <w:color w:val="auto"/>
                      <w:szCs w:val="21"/>
                    </w:rPr>
                  </w:pPr>
                  <w:r>
                    <w:rPr>
                      <w:color w:val="auto"/>
                      <w:szCs w:val="21"/>
                    </w:rPr>
                    <w:t>—</w:t>
                  </w:r>
                </w:p>
              </w:tc>
              <w:tc>
                <w:tcPr>
                  <w:tcW w:w="795" w:type="dxa"/>
                  <w:vAlign w:val="center"/>
                </w:tcPr>
                <w:p w14:paraId="23CDF9F2">
                  <w:pPr>
                    <w:jc w:val="center"/>
                    <w:rPr>
                      <w:color w:val="auto"/>
                      <w:szCs w:val="21"/>
                    </w:rPr>
                  </w:pPr>
                  <w:r>
                    <w:rPr>
                      <w:color w:val="auto"/>
                      <w:szCs w:val="21"/>
                    </w:rPr>
                    <w:t>—</w:t>
                  </w:r>
                </w:p>
              </w:tc>
              <w:tc>
                <w:tcPr>
                  <w:tcW w:w="1070" w:type="dxa"/>
                  <w:vAlign w:val="center"/>
                </w:tcPr>
                <w:p w14:paraId="2FFA87AA">
                  <w:pPr>
                    <w:jc w:val="center"/>
                    <w:rPr>
                      <w:color w:val="auto"/>
                      <w:szCs w:val="21"/>
                    </w:rPr>
                  </w:pPr>
                  <w:r>
                    <w:rPr>
                      <w:rFonts w:hint="eastAsia"/>
                      <w:color w:val="auto"/>
                      <w:szCs w:val="21"/>
                    </w:rPr>
                    <w:t>0.088</w:t>
                  </w:r>
                </w:p>
              </w:tc>
            </w:tr>
            <w:tr w14:paraId="57C8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02340B98">
                  <w:pPr>
                    <w:jc w:val="center"/>
                    <w:rPr>
                      <w:color w:val="auto"/>
                      <w:szCs w:val="21"/>
                    </w:rPr>
                  </w:pPr>
                  <w:r>
                    <w:rPr>
                      <w:color w:val="auto"/>
                      <w:szCs w:val="21"/>
                    </w:rPr>
                    <w:t>污水处理站出水</w:t>
                  </w:r>
                  <w:r>
                    <w:rPr>
                      <w:rFonts w:hint="eastAsia"/>
                      <w:color w:val="auto"/>
                      <w:szCs w:val="21"/>
                    </w:rPr>
                    <w:t>（现有+本项目）5903.875</w:t>
                  </w:r>
                  <w:r>
                    <w:rPr>
                      <w:color w:val="auto"/>
                      <w:szCs w:val="21"/>
                    </w:rPr>
                    <w:t>t/a</w:t>
                  </w:r>
                </w:p>
              </w:tc>
              <w:tc>
                <w:tcPr>
                  <w:tcW w:w="671" w:type="dxa"/>
                  <w:vAlign w:val="center"/>
                </w:tcPr>
                <w:p w14:paraId="21AD835D">
                  <w:pPr>
                    <w:jc w:val="center"/>
                    <w:rPr>
                      <w:color w:val="auto"/>
                      <w:szCs w:val="21"/>
                    </w:rPr>
                  </w:pPr>
                  <w:r>
                    <w:rPr>
                      <w:color w:val="auto"/>
                      <w:szCs w:val="21"/>
                    </w:rPr>
                    <w:t>排放浓度mg/L</w:t>
                  </w:r>
                </w:p>
              </w:tc>
              <w:tc>
                <w:tcPr>
                  <w:tcW w:w="1065" w:type="dxa"/>
                  <w:vAlign w:val="center"/>
                </w:tcPr>
                <w:p w14:paraId="189542A8">
                  <w:pPr>
                    <w:jc w:val="center"/>
                    <w:rPr>
                      <w:color w:val="auto"/>
                      <w:szCs w:val="21"/>
                    </w:rPr>
                  </w:pPr>
                  <w:r>
                    <w:rPr>
                      <w:rFonts w:hint="eastAsia"/>
                      <w:color w:val="auto"/>
                      <w:szCs w:val="21"/>
                    </w:rPr>
                    <w:t>7.85~7.87</w:t>
                  </w:r>
                </w:p>
              </w:tc>
              <w:tc>
                <w:tcPr>
                  <w:tcW w:w="689" w:type="dxa"/>
                  <w:vAlign w:val="center"/>
                </w:tcPr>
                <w:p w14:paraId="312AF688">
                  <w:pPr>
                    <w:jc w:val="center"/>
                    <w:rPr>
                      <w:color w:val="auto"/>
                      <w:szCs w:val="21"/>
                    </w:rPr>
                  </w:pPr>
                  <w:r>
                    <w:rPr>
                      <w:rFonts w:hint="eastAsia"/>
                      <w:color w:val="auto"/>
                      <w:szCs w:val="21"/>
                    </w:rPr>
                    <w:t>44</w:t>
                  </w:r>
                </w:p>
              </w:tc>
              <w:tc>
                <w:tcPr>
                  <w:tcW w:w="740" w:type="dxa"/>
                  <w:vAlign w:val="center"/>
                </w:tcPr>
                <w:p w14:paraId="58408E88">
                  <w:pPr>
                    <w:jc w:val="center"/>
                    <w:rPr>
                      <w:color w:val="auto"/>
                      <w:szCs w:val="21"/>
                    </w:rPr>
                  </w:pPr>
                  <w:r>
                    <w:rPr>
                      <w:rFonts w:hint="eastAsia"/>
                      <w:color w:val="auto"/>
                      <w:szCs w:val="21"/>
                    </w:rPr>
                    <w:t>7.2</w:t>
                  </w:r>
                </w:p>
              </w:tc>
              <w:tc>
                <w:tcPr>
                  <w:tcW w:w="689" w:type="dxa"/>
                  <w:vAlign w:val="center"/>
                </w:tcPr>
                <w:p w14:paraId="3FA8CA0D">
                  <w:pPr>
                    <w:jc w:val="center"/>
                    <w:rPr>
                      <w:color w:val="auto"/>
                      <w:szCs w:val="21"/>
                    </w:rPr>
                  </w:pPr>
                  <w:r>
                    <w:rPr>
                      <w:rFonts w:hint="eastAsia"/>
                      <w:color w:val="auto"/>
                      <w:szCs w:val="21"/>
                    </w:rPr>
                    <w:t>17</w:t>
                  </w:r>
                </w:p>
              </w:tc>
              <w:tc>
                <w:tcPr>
                  <w:tcW w:w="821" w:type="dxa"/>
                  <w:vAlign w:val="center"/>
                </w:tcPr>
                <w:p w14:paraId="495C3BF9">
                  <w:pPr>
                    <w:jc w:val="center"/>
                    <w:rPr>
                      <w:color w:val="auto"/>
                      <w:szCs w:val="21"/>
                    </w:rPr>
                  </w:pPr>
                  <w:r>
                    <w:rPr>
                      <w:rFonts w:hint="eastAsia"/>
                      <w:color w:val="auto"/>
                      <w:szCs w:val="21"/>
                    </w:rPr>
                    <w:t>13.4</w:t>
                  </w:r>
                </w:p>
              </w:tc>
              <w:tc>
                <w:tcPr>
                  <w:tcW w:w="1122" w:type="dxa"/>
                  <w:vAlign w:val="center"/>
                </w:tcPr>
                <w:p w14:paraId="7275A4D5">
                  <w:pPr>
                    <w:jc w:val="center"/>
                    <w:rPr>
                      <w:color w:val="auto"/>
                      <w:szCs w:val="21"/>
                    </w:rPr>
                  </w:pPr>
                  <w:r>
                    <w:rPr>
                      <w:rFonts w:hint="eastAsia"/>
                      <w:color w:val="auto"/>
                      <w:szCs w:val="21"/>
                    </w:rPr>
                    <w:t>70</w:t>
                  </w:r>
                </w:p>
              </w:tc>
              <w:tc>
                <w:tcPr>
                  <w:tcW w:w="795" w:type="dxa"/>
                  <w:vAlign w:val="center"/>
                </w:tcPr>
                <w:p w14:paraId="2641765E">
                  <w:pPr>
                    <w:jc w:val="center"/>
                    <w:rPr>
                      <w:color w:val="auto"/>
                      <w:szCs w:val="21"/>
                    </w:rPr>
                  </w:pPr>
                  <w:r>
                    <w:rPr>
                      <w:rFonts w:hint="eastAsia"/>
                      <w:color w:val="auto"/>
                      <w:szCs w:val="21"/>
                    </w:rPr>
                    <w:t>0.4</w:t>
                  </w:r>
                </w:p>
              </w:tc>
              <w:tc>
                <w:tcPr>
                  <w:tcW w:w="1070" w:type="dxa"/>
                  <w:vAlign w:val="center"/>
                </w:tcPr>
                <w:p w14:paraId="3866B8B5">
                  <w:pPr>
                    <w:jc w:val="center"/>
                    <w:rPr>
                      <w:color w:val="auto"/>
                      <w:szCs w:val="21"/>
                    </w:rPr>
                  </w:pPr>
                  <w:r>
                    <w:rPr>
                      <w:rFonts w:hint="eastAsia"/>
                      <w:color w:val="auto"/>
                      <w:szCs w:val="21"/>
                    </w:rPr>
                    <w:t>4.69</w:t>
                  </w:r>
                </w:p>
              </w:tc>
            </w:tr>
            <w:tr w14:paraId="28EC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4F459892">
                  <w:pPr>
                    <w:jc w:val="center"/>
                    <w:rPr>
                      <w:color w:val="auto"/>
                      <w:szCs w:val="21"/>
                    </w:rPr>
                  </w:pPr>
                </w:p>
              </w:tc>
              <w:tc>
                <w:tcPr>
                  <w:tcW w:w="671" w:type="dxa"/>
                  <w:vAlign w:val="center"/>
                </w:tcPr>
                <w:p w14:paraId="3BFAEFF5">
                  <w:pPr>
                    <w:jc w:val="center"/>
                    <w:rPr>
                      <w:color w:val="auto"/>
                      <w:szCs w:val="21"/>
                    </w:rPr>
                  </w:pPr>
                  <w:r>
                    <w:rPr>
                      <w:color w:val="auto"/>
                      <w:szCs w:val="21"/>
                    </w:rPr>
                    <w:t>排放量t/a</w:t>
                  </w:r>
                </w:p>
              </w:tc>
              <w:tc>
                <w:tcPr>
                  <w:tcW w:w="1065" w:type="dxa"/>
                  <w:vAlign w:val="center"/>
                </w:tcPr>
                <w:p w14:paraId="24D45875">
                  <w:pPr>
                    <w:jc w:val="center"/>
                    <w:rPr>
                      <w:color w:val="auto"/>
                      <w:szCs w:val="21"/>
                    </w:rPr>
                  </w:pPr>
                  <w:r>
                    <w:rPr>
                      <w:color w:val="auto"/>
                      <w:szCs w:val="21"/>
                    </w:rPr>
                    <w:t>—</w:t>
                  </w:r>
                </w:p>
              </w:tc>
              <w:tc>
                <w:tcPr>
                  <w:tcW w:w="689" w:type="dxa"/>
                  <w:vAlign w:val="center"/>
                </w:tcPr>
                <w:p w14:paraId="01523ACD">
                  <w:pPr>
                    <w:jc w:val="center"/>
                    <w:rPr>
                      <w:color w:val="auto"/>
                      <w:szCs w:val="21"/>
                    </w:rPr>
                  </w:pPr>
                  <w:r>
                    <w:rPr>
                      <w:rFonts w:hint="eastAsia"/>
                      <w:color w:val="auto"/>
                      <w:szCs w:val="21"/>
                    </w:rPr>
                    <w:t>0.263</w:t>
                  </w:r>
                </w:p>
              </w:tc>
              <w:tc>
                <w:tcPr>
                  <w:tcW w:w="740" w:type="dxa"/>
                  <w:vAlign w:val="center"/>
                </w:tcPr>
                <w:p w14:paraId="4AA68A16">
                  <w:pPr>
                    <w:jc w:val="center"/>
                    <w:rPr>
                      <w:color w:val="auto"/>
                    </w:rPr>
                  </w:pPr>
                  <w:r>
                    <w:rPr>
                      <w:rFonts w:hint="eastAsia"/>
                      <w:color w:val="auto"/>
                    </w:rPr>
                    <w:t>0.043</w:t>
                  </w:r>
                </w:p>
              </w:tc>
              <w:tc>
                <w:tcPr>
                  <w:tcW w:w="689" w:type="dxa"/>
                  <w:vAlign w:val="center"/>
                </w:tcPr>
                <w:p w14:paraId="720C4FFF">
                  <w:pPr>
                    <w:jc w:val="center"/>
                    <w:rPr>
                      <w:color w:val="auto"/>
                      <w:szCs w:val="21"/>
                    </w:rPr>
                  </w:pPr>
                  <w:r>
                    <w:rPr>
                      <w:rFonts w:hint="eastAsia"/>
                      <w:color w:val="auto"/>
                      <w:szCs w:val="21"/>
                    </w:rPr>
                    <w:t>0.101</w:t>
                  </w:r>
                </w:p>
              </w:tc>
              <w:tc>
                <w:tcPr>
                  <w:tcW w:w="821" w:type="dxa"/>
                  <w:vAlign w:val="center"/>
                </w:tcPr>
                <w:p w14:paraId="5D65E56B">
                  <w:pPr>
                    <w:jc w:val="center"/>
                    <w:rPr>
                      <w:color w:val="auto"/>
                      <w:szCs w:val="21"/>
                    </w:rPr>
                  </w:pPr>
                  <w:r>
                    <w:rPr>
                      <w:rFonts w:hint="eastAsia"/>
                      <w:color w:val="auto"/>
                      <w:szCs w:val="21"/>
                    </w:rPr>
                    <w:t>0.080</w:t>
                  </w:r>
                </w:p>
              </w:tc>
              <w:tc>
                <w:tcPr>
                  <w:tcW w:w="1122" w:type="dxa"/>
                  <w:vAlign w:val="center"/>
                </w:tcPr>
                <w:p w14:paraId="291F1669">
                  <w:pPr>
                    <w:jc w:val="center"/>
                    <w:rPr>
                      <w:color w:val="auto"/>
                      <w:szCs w:val="21"/>
                    </w:rPr>
                  </w:pPr>
                  <w:r>
                    <w:rPr>
                      <w:color w:val="auto"/>
                      <w:szCs w:val="21"/>
                    </w:rPr>
                    <w:t>—</w:t>
                  </w:r>
                </w:p>
              </w:tc>
              <w:tc>
                <w:tcPr>
                  <w:tcW w:w="795" w:type="dxa"/>
                  <w:vAlign w:val="center"/>
                </w:tcPr>
                <w:p w14:paraId="28AB7A23">
                  <w:pPr>
                    <w:jc w:val="center"/>
                    <w:rPr>
                      <w:color w:val="auto"/>
                      <w:szCs w:val="21"/>
                    </w:rPr>
                  </w:pPr>
                  <w:r>
                    <w:rPr>
                      <w:color w:val="auto"/>
                      <w:szCs w:val="21"/>
                    </w:rPr>
                    <w:t>—</w:t>
                  </w:r>
                </w:p>
              </w:tc>
              <w:tc>
                <w:tcPr>
                  <w:tcW w:w="1070" w:type="dxa"/>
                  <w:vAlign w:val="center"/>
                </w:tcPr>
                <w:p w14:paraId="557948D6">
                  <w:pPr>
                    <w:jc w:val="center"/>
                    <w:rPr>
                      <w:color w:val="auto"/>
                      <w:szCs w:val="21"/>
                    </w:rPr>
                  </w:pPr>
                  <w:r>
                    <w:rPr>
                      <w:rFonts w:hint="eastAsia"/>
                      <w:color w:val="auto"/>
                      <w:szCs w:val="21"/>
                    </w:rPr>
                    <w:t>0.028</w:t>
                  </w:r>
                </w:p>
              </w:tc>
            </w:tr>
            <w:tr w14:paraId="3B11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03FFE992">
                  <w:pPr>
                    <w:jc w:val="center"/>
                    <w:rPr>
                      <w:color w:val="auto"/>
                      <w:szCs w:val="21"/>
                    </w:rPr>
                  </w:pPr>
                  <w:r>
                    <w:rPr>
                      <w:rFonts w:hint="eastAsia"/>
                      <w:color w:val="auto"/>
                      <w:szCs w:val="21"/>
                    </w:rPr>
                    <w:t>本项目污水处理站出水2646.25</w:t>
                  </w:r>
                  <w:r>
                    <w:rPr>
                      <w:color w:val="auto"/>
                      <w:szCs w:val="21"/>
                    </w:rPr>
                    <w:t>t/a</w:t>
                  </w:r>
                </w:p>
              </w:tc>
              <w:tc>
                <w:tcPr>
                  <w:tcW w:w="671" w:type="dxa"/>
                  <w:vAlign w:val="center"/>
                </w:tcPr>
                <w:p w14:paraId="0BB04522">
                  <w:pPr>
                    <w:jc w:val="center"/>
                    <w:rPr>
                      <w:color w:val="auto"/>
                      <w:szCs w:val="21"/>
                    </w:rPr>
                  </w:pPr>
                  <w:r>
                    <w:rPr>
                      <w:color w:val="auto"/>
                      <w:szCs w:val="21"/>
                    </w:rPr>
                    <w:t>排放浓度mg/L</w:t>
                  </w:r>
                </w:p>
              </w:tc>
              <w:tc>
                <w:tcPr>
                  <w:tcW w:w="1065" w:type="dxa"/>
                  <w:vAlign w:val="center"/>
                </w:tcPr>
                <w:p w14:paraId="0458DA95">
                  <w:pPr>
                    <w:jc w:val="center"/>
                    <w:rPr>
                      <w:color w:val="auto"/>
                      <w:szCs w:val="21"/>
                    </w:rPr>
                  </w:pPr>
                  <w:r>
                    <w:rPr>
                      <w:rFonts w:hint="eastAsia"/>
                      <w:color w:val="auto"/>
                      <w:szCs w:val="21"/>
                    </w:rPr>
                    <w:t>7.85~7.87</w:t>
                  </w:r>
                </w:p>
              </w:tc>
              <w:tc>
                <w:tcPr>
                  <w:tcW w:w="689" w:type="dxa"/>
                  <w:vAlign w:val="center"/>
                </w:tcPr>
                <w:p w14:paraId="5FC64691">
                  <w:pPr>
                    <w:jc w:val="center"/>
                    <w:rPr>
                      <w:color w:val="auto"/>
                      <w:szCs w:val="21"/>
                    </w:rPr>
                  </w:pPr>
                  <w:r>
                    <w:rPr>
                      <w:rFonts w:hint="eastAsia"/>
                      <w:color w:val="auto"/>
                      <w:szCs w:val="21"/>
                    </w:rPr>
                    <w:t>44</w:t>
                  </w:r>
                </w:p>
              </w:tc>
              <w:tc>
                <w:tcPr>
                  <w:tcW w:w="740" w:type="dxa"/>
                  <w:vAlign w:val="center"/>
                </w:tcPr>
                <w:p w14:paraId="548E0A9B">
                  <w:pPr>
                    <w:jc w:val="center"/>
                    <w:rPr>
                      <w:color w:val="auto"/>
                    </w:rPr>
                  </w:pPr>
                  <w:r>
                    <w:rPr>
                      <w:rFonts w:hint="eastAsia"/>
                      <w:color w:val="auto"/>
                      <w:szCs w:val="21"/>
                    </w:rPr>
                    <w:t>7.2</w:t>
                  </w:r>
                </w:p>
              </w:tc>
              <w:tc>
                <w:tcPr>
                  <w:tcW w:w="689" w:type="dxa"/>
                  <w:vAlign w:val="center"/>
                </w:tcPr>
                <w:p w14:paraId="6839C5A8">
                  <w:pPr>
                    <w:jc w:val="center"/>
                    <w:rPr>
                      <w:color w:val="auto"/>
                      <w:szCs w:val="21"/>
                    </w:rPr>
                  </w:pPr>
                  <w:r>
                    <w:rPr>
                      <w:rFonts w:hint="eastAsia"/>
                      <w:color w:val="auto"/>
                      <w:szCs w:val="21"/>
                    </w:rPr>
                    <w:t>17</w:t>
                  </w:r>
                </w:p>
              </w:tc>
              <w:tc>
                <w:tcPr>
                  <w:tcW w:w="821" w:type="dxa"/>
                  <w:vAlign w:val="center"/>
                </w:tcPr>
                <w:p w14:paraId="0B60A6B6">
                  <w:pPr>
                    <w:jc w:val="center"/>
                    <w:rPr>
                      <w:color w:val="auto"/>
                      <w:szCs w:val="21"/>
                    </w:rPr>
                  </w:pPr>
                  <w:r>
                    <w:rPr>
                      <w:rFonts w:hint="eastAsia"/>
                      <w:color w:val="auto"/>
                      <w:szCs w:val="21"/>
                    </w:rPr>
                    <w:t>13.4</w:t>
                  </w:r>
                </w:p>
              </w:tc>
              <w:tc>
                <w:tcPr>
                  <w:tcW w:w="1122" w:type="dxa"/>
                  <w:vAlign w:val="center"/>
                </w:tcPr>
                <w:p w14:paraId="15E83E14">
                  <w:pPr>
                    <w:jc w:val="center"/>
                    <w:rPr>
                      <w:color w:val="auto"/>
                      <w:szCs w:val="21"/>
                    </w:rPr>
                  </w:pPr>
                  <w:r>
                    <w:rPr>
                      <w:rFonts w:hint="eastAsia"/>
                      <w:color w:val="auto"/>
                      <w:szCs w:val="21"/>
                    </w:rPr>
                    <w:t>70</w:t>
                  </w:r>
                </w:p>
              </w:tc>
              <w:tc>
                <w:tcPr>
                  <w:tcW w:w="795" w:type="dxa"/>
                  <w:vAlign w:val="center"/>
                </w:tcPr>
                <w:p w14:paraId="09A25452">
                  <w:pPr>
                    <w:jc w:val="center"/>
                    <w:rPr>
                      <w:color w:val="auto"/>
                      <w:szCs w:val="21"/>
                    </w:rPr>
                  </w:pPr>
                  <w:r>
                    <w:rPr>
                      <w:rFonts w:hint="eastAsia"/>
                      <w:color w:val="auto"/>
                      <w:szCs w:val="21"/>
                    </w:rPr>
                    <w:t>0.4</w:t>
                  </w:r>
                </w:p>
              </w:tc>
              <w:tc>
                <w:tcPr>
                  <w:tcW w:w="1070" w:type="dxa"/>
                  <w:vAlign w:val="center"/>
                </w:tcPr>
                <w:p w14:paraId="3389731B">
                  <w:pPr>
                    <w:jc w:val="center"/>
                    <w:rPr>
                      <w:color w:val="auto"/>
                      <w:szCs w:val="21"/>
                    </w:rPr>
                  </w:pPr>
                  <w:r>
                    <w:rPr>
                      <w:rFonts w:hint="eastAsia"/>
                      <w:color w:val="auto"/>
                      <w:szCs w:val="21"/>
                    </w:rPr>
                    <w:t>4.69</w:t>
                  </w:r>
                </w:p>
              </w:tc>
            </w:tr>
            <w:tr w14:paraId="14DE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2CFA11EE">
                  <w:pPr>
                    <w:jc w:val="center"/>
                    <w:rPr>
                      <w:color w:val="auto"/>
                      <w:szCs w:val="21"/>
                    </w:rPr>
                  </w:pPr>
                </w:p>
              </w:tc>
              <w:tc>
                <w:tcPr>
                  <w:tcW w:w="671" w:type="dxa"/>
                  <w:vAlign w:val="center"/>
                </w:tcPr>
                <w:p w14:paraId="108EAB9C">
                  <w:pPr>
                    <w:jc w:val="center"/>
                    <w:rPr>
                      <w:color w:val="auto"/>
                      <w:szCs w:val="21"/>
                    </w:rPr>
                  </w:pPr>
                  <w:r>
                    <w:rPr>
                      <w:color w:val="auto"/>
                      <w:szCs w:val="21"/>
                    </w:rPr>
                    <w:t>排放量t/a</w:t>
                  </w:r>
                </w:p>
              </w:tc>
              <w:tc>
                <w:tcPr>
                  <w:tcW w:w="1065" w:type="dxa"/>
                  <w:vAlign w:val="center"/>
                </w:tcPr>
                <w:p w14:paraId="4C5A3279">
                  <w:pPr>
                    <w:jc w:val="center"/>
                    <w:rPr>
                      <w:color w:val="auto"/>
                      <w:szCs w:val="21"/>
                    </w:rPr>
                  </w:pPr>
                  <w:r>
                    <w:rPr>
                      <w:color w:val="auto"/>
                      <w:szCs w:val="21"/>
                    </w:rPr>
                    <w:t>—</w:t>
                  </w:r>
                </w:p>
              </w:tc>
              <w:tc>
                <w:tcPr>
                  <w:tcW w:w="689" w:type="dxa"/>
                  <w:vAlign w:val="center"/>
                </w:tcPr>
                <w:p w14:paraId="3B4F2BA4">
                  <w:pPr>
                    <w:jc w:val="center"/>
                    <w:rPr>
                      <w:color w:val="auto"/>
                      <w:szCs w:val="21"/>
                    </w:rPr>
                  </w:pPr>
                  <w:r>
                    <w:rPr>
                      <w:rFonts w:hint="eastAsia"/>
                      <w:color w:val="auto"/>
                      <w:szCs w:val="21"/>
                    </w:rPr>
                    <w:t>0.119</w:t>
                  </w:r>
                </w:p>
              </w:tc>
              <w:tc>
                <w:tcPr>
                  <w:tcW w:w="740" w:type="dxa"/>
                  <w:vAlign w:val="center"/>
                </w:tcPr>
                <w:p w14:paraId="674A0AB1">
                  <w:pPr>
                    <w:jc w:val="center"/>
                    <w:rPr>
                      <w:color w:val="auto"/>
                    </w:rPr>
                  </w:pPr>
                  <w:r>
                    <w:rPr>
                      <w:rFonts w:hint="eastAsia"/>
                      <w:color w:val="auto"/>
                    </w:rPr>
                    <w:t>0.019</w:t>
                  </w:r>
                </w:p>
              </w:tc>
              <w:tc>
                <w:tcPr>
                  <w:tcW w:w="689" w:type="dxa"/>
                  <w:vAlign w:val="center"/>
                </w:tcPr>
                <w:p w14:paraId="1E891985">
                  <w:pPr>
                    <w:jc w:val="center"/>
                    <w:rPr>
                      <w:color w:val="auto"/>
                      <w:szCs w:val="21"/>
                    </w:rPr>
                  </w:pPr>
                  <w:r>
                    <w:rPr>
                      <w:rFonts w:hint="eastAsia"/>
                      <w:color w:val="auto"/>
                      <w:szCs w:val="21"/>
                    </w:rPr>
                    <w:t>0.046</w:t>
                  </w:r>
                </w:p>
              </w:tc>
              <w:tc>
                <w:tcPr>
                  <w:tcW w:w="821" w:type="dxa"/>
                  <w:vAlign w:val="center"/>
                </w:tcPr>
                <w:p w14:paraId="0CA4C867">
                  <w:pPr>
                    <w:jc w:val="center"/>
                    <w:rPr>
                      <w:color w:val="auto"/>
                      <w:szCs w:val="21"/>
                    </w:rPr>
                  </w:pPr>
                  <w:r>
                    <w:rPr>
                      <w:rFonts w:hint="eastAsia"/>
                      <w:color w:val="auto"/>
                      <w:szCs w:val="21"/>
                    </w:rPr>
                    <w:t>0.036</w:t>
                  </w:r>
                </w:p>
              </w:tc>
              <w:tc>
                <w:tcPr>
                  <w:tcW w:w="1122" w:type="dxa"/>
                  <w:vAlign w:val="center"/>
                </w:tcPr>
                <w:p w14:paraId="28A8DD07">
                  <w:pPr>
                    <w:jc w:val="center"/>
                    <w:rPr>
                      <w:color w:val="auto"/>
                      <w:szCs w:val="21"/>
                    </w:rPr>
                  </w:pPr>
                  <w:r>
                    <w:rPr>
                      <w:color w:val="auto"/>
                      <w:szCs w:val="21"/>
                    </w:rPr>
                    <w:t>—</w:t>
                  </w:r>
                </w:p>
              </w:tc>
              <w:tc>
                <w:tcPr>
                  <w:tcW w:w="795" w:type="dxa"/>
                  <w:vAlign w:val="center"/>
                </w:tcPr>
                <w:p w14:paraId="71342590">
                  <w:pPr>
                    <w:jc w:val="center"/>
                    <w:rPr>
                      <w:color w:val="auto"/>
                      <w:szCs w:val="21"/>
                    </w:rPr>
                  </w:pPr>
                  <w:r>
                    <w:rPr>
                      <w:color w:val="auto"/>
                      <w:szCs w:val="21"/>
                    </w:rPr>
                    <w:t>—</w:t>
                  </w:r>
                </w:p>
              </w:tc>
              <w:tc>
                <w:tcPr>
                  <w:tcW w:w="1070" w:type="dxa"/>
                  <w:vAlign w:val="center"/>
                </w:tcPr>
                <w:p w14:paraId="78920536">
                  <w:pPr>
                    <w:jc w:val="center"/>
                    <w:rPr>
                      <w:color w:val="auto"/>
                      <w:szCs w:val="21"/>
                    </w:rPr>
                  </w:pPr>
                  <w:r>
                    <w:rPr>
                      <w:rFonts w:hint="eastAsia"/>
                      <w:color w:val="auto"/>
                      <w:szCs w:val="21"/>
                    </w:rPr>
                    <w:t>0.012</w:t>
                  </w:r>
                </w:p>
              </w:tc>
            </w:tr>
            <w:tr w14:paraId="7156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46F28DE6">
                  <w:pPr>
                    <w:jc w:val="center"/>
                    <w:rPr>
                      <w:color w:val="auto"/>
                      <w:szCs w:val="21"/>
                    </w:rPr>
                  </w:pPr>
                  <w:r>
                    <w:rPr>
                      <w:rFonts w:hint="eastAsia"/>
                      <w:color w:val="auto"/>
                      <w:szCs w:val="21"/>
                    </w:rPr>
                    <w:t>现有项目污水处理站出水3257.625</w:t>
                  </w:r>
                  <w:r>
                    <w:rPr>
                      <w:color w:val="auto"/>
                      <w:szCs w:val="21"/>
                    </w:rPr>
                    <w:t>t/a</w:t>
                  </w:r>
                </w:p>
              </w:tc>
              <w:tc>
                <w:tcPr>
                  <w:tcW w:w="671" w:type="dxa"/>
                  <w:vAlign w:val="center"/>
                </w:tcPr>
                <w:p w14:paraId="623A8020">
                  <w:pPr>
                    <w:jc w:val="center"/>
                    <w:rPr>
                      <w:color w:val="auto"/>
                      <w:szCs w:val="21"/>
                    </w:rPr>
                  </w:pPr>
                  <w:r>
                    <w:rPr>
                      <w:color w:val="auto"/>
                      <w:szCs w:val="21"/>
                    </w:rPr>
                    <w:t>排放浓度mg/L</w:t>
                  </w:r>
                </w:p>
              </w:tc>
              <w:tc>
                <w:tcPr>
                  <w:tcW w:w="1065" w:type="dxa"/>
                  <w:vAlign w:val="center"/>
                </w:tcPr>
                <w:p w14:paraId="79524814">
                  <w:pPr>
                    <w:jc w:val="center"/>
                    <w:rPr>
                      <w:color w:val="auto"/>
                      <w:szCs w:val="21"/>
                    </w:rPr>
                  </w:pPr>
                  <w:r>
                    <w:rPr>
                      <w:rFonts w:hint="eastAsia"/>
                      <w:color w:val="auto"/>
                      <w:szCs w:val="21"/>
                    </w:rPr>
                    <w:t>7.85~7.87</w:t>
                  </w:r>
                </w:p>
              </w:tc>
              <w:tc>
                <w:tcPr>
                  <w:tcW w:w="689" w:type="dxa"/>
                  <w:vAlign w:val="center"/>
                </w:tcPr>
                <w:p w14:paraId="64A41C27">
                  <w:pPr>
                    <w:jc w:val="center"/>
                    <w:rPr>
                      <w:color w:val="auto"/>
                      <w:szCs w:val="21"/>
                    </w:rPr>
                  </w:pPr>
                  <w:r>
                    <w:rPr>
                      <w:rFonts w:hint="eastAsia"/>
                      <w:color w:val="auto"/>
                      <w:szCs w:val="21"/>
                    </w:rPr>
                    <w:t>44</w:t>
                  </w:r>
                </w:p>
              </w:tc>
              <w:tc>
                <w:tcPr>
                  <w:tcW w:w="740" w:type="dxa"/>
                  <w:vAlign w:val="center"/>
                </w:tcPr>
                <w:p w14:paraId="06D8EBCC">
                  <w:pPr>
                    <w:jc w:val="center"/>
                    <w:rPr>
                      <w:color w:val="auto"/>
                    </w:rPr>
                  </w:pPr>
                  <w:r>
                    <w:rPr>
                      <w:rFonts w:hint="eastAsia"/>
                      <w:color w:val="auto"/>
                      <w:szCs w:val="21"/>
                    </w:rPr>
                    <w:t>7.2</w:t>
                  </w:r>
                </w:p>
              </w:tc>
              <w:tc>
                <w:tcPr>
                  <w:tcW w:w="689" w:type="dxa"/>
                  <w:vAlign w:val="center"/>
                </w:tcPr>
                <w:p w14:paraId="4ADAAC9A">
                  <w:pPr>
                    <w:jc w:val="center"/>
                    <w:rPr>
                      <w:color w:val="auto"/>
                      <w:szCs w:val="21"/>
                    </w:rPr>
                  </w:pPr>
                  <w:r>
                    <w:rPr>
                      <w:rFonts w:hint="eastAsia"/>
                      <w:color w:val="auto"/>
                      <w:szCs w:val="21"/>
                    </w:rPr>
                    <w:t>17</w:t>
                  </w:r>
                </w:p>
              </w:tc>
              <w:tc>
                <w:tcPr>
                  <w:tcW w:w="821" w:type="dxa"/>
                  <w:vAlign w:val="center"/>
                </w:tcPr>
                <w:p w14:paraId="421C7254">
                  <w:pPr>
                    <w:jc w:val="center"/>
                    <w:rPr>
                      <w:color w:val="auto"/>
                      <w:szCs w:val="21"/>
                    </w:rPr>
                  </w:pPr>
                  <w:r>
                    <w:rPr>
                      <w:rFonts w:hint="eastAsia"/>
                      <w:color w:val="auto"/>
                      <w:szCs w:val="21"/>
                    </w:rPr>
                    <w:t>13.4</w:t>
                  </w:r>
                </w:p>
              </w:tc>
              <w:tc>
                <w:tcPr>
                  <w:tcW w:w="1122" w:type="dxa"/>
                  <w:vAlign w:val="center"/>
                </w:tcPr>
                <w:p w14:paraId="585AC6F2">
                  <w:pPr>
                    <w:jc w:val="center"/>
                    <w:rPr>
                      <w:color w:val="auto"/>
                      <w:szCs w:val="21"/>
                    </w:rPr>
                  </w:pPr>
                  <w:r>
                    <w:rPr>
                      <w:rFonts w:hint="eastAsia"/>
                      <w:color w:val="auto"/>
                      <w:szCs w:val="21"/>
                    </w:rPr>
                    <w:t>70</w:t>
                  </w:r>
                </w:p>
              </w:tc>
              <w:tc>
                <w:tcPr>
                  <w:tcW w:w="795" w:type="dxa"/>
                  <w:vAlign w:val="center"/>
                </w:tcPr>
                <w:p w14:paraId="2D8F283A">
                  <w:pPr>
                    <w:jc w:val="center"/>
                    <w:rPr>
                      <w:color w:val="auto"/>
                      <w:szCs w:val="21"/>
                    </w:rPr>
                  </w:pPr>
                  <w:r>
                    <w:rPr>
                      <w:rFonts w:hint="eastAsia"/>
                      <w:color w:val="auto"/>
                      <w:szCs w:val="21"/>
                    </w:rPr>
                    <w:t>0.4</w:t>
                  </w:r>
                </w:p>
              </w:tc>
              <w:tc>
                <w:tcPr>
                  <w:tcW w:w="1070" w:type="dxa"/>
                  <w:vAlign w:val="center"/>
                </w:tcPr>
                <w:p w14:paraId="68070BA4">
                  <w:pPr>
                    <w:jc w:val="center"/>
                    <w:rPr>
                      <w:color w:val="auto"/>
                      <w:szCs w:val="21"/>
                    </w:rPr>
                  </w:pPr>
                  <w:r>
                    <w:rPr>
                      <w:rFonts w:hint="eastAsia"/>
                      <w:color w:val="auto"/>
                      <w:szCs w:val="21"/>
                    </w:rPr>
                    <w:t>4.69</w:t>
                  </w:r>
                </w:p>
              </w:tc>
            </w:tr>
            <w:tr w14:paraId="21B6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1C814B6C">
                  <w:pPr>
                    <w:jc w:val="center"/>
                    <w:rPr>
                      <w:color w:val="auto"/>
                      <w:szCs w:val="21"/>
                    </w:rPr>
                  </w:pPr>
                </w:p>
              </w:tc>
              <w:tc>
                <w:tcPr>
                  <w:tcW w:w="671" w:type="dxa"/>
                  <w:vAlign w:val="center"/>
                </w:tcPr>
                <w:p w14:paraId="27373E7C">
                  <w:pPr>
                    <w:jc w:val="center"/>
                    <w:rPr>
                      <w:color w:val="auto"/>
                      <w:szCs w:val="21"/>
                    </w:rPr>
                  </w:pPr>
                  <w:r>
                    <w:rPr>
                      <w:color w:val="auto"/>
                      <w:szCs w:val="21"/>
                    </w:rPr>
                    <w:t>排放量t/a</w:t>
                  </w:r>
                </w:p>
              </w:tc>
              <w:tc>
                <w:tcPr>
                  <w:tcW w:w="1065" w:type="dxa"/>
                  <w:vAlign w:val="center"/>
                </w:tcPr>
                <w:p w14:paraId="0D64E322">
                  <w:pPr>
                    <w:jc w:val="center"/>
                    <w:rPr>
                      <w:color w:val="auto"/>
                      <w:szCs w:val="21"/>
                    </w:rPr>
                  </w:pPr>
                  <w:r>
                    <w:rPr>
                      <w:color w:val="auto"/>
                      <w:szCs w:val="21"/>
                    </w:rPr>
                    <w:t>—</w:t>
                  </w:r>
                </w:p>
              </w:tc>
              <w:tc>
                <w:tcPr>
                  <w:tcW w:w="689" w:type="dxa"/>
                  <w:vAlign w:val="center"/>
                </w:tcPr>
                <w:p w14:paraId="726A38C9">
                  <w:pPr>
                    <w:jc w:val="center"/>
                    <w:rPr>
                      <w:color w:val="auto"/>
                      <w:szCs w:val="21"/>
                    </w:rPr>
                  </w:pPr>
                  <w:r>
                    <w:rPr>
                      <w:rFonts w:hint="eastAsia"/>
                      <w:color w:val="auto"/>
                      <w:szCs w:val="21"/>
                    </w:rPr>
                    <w:t>0.143</w:t>
                  </w:r>
                </w:p>
              </w:tc>
              <w:tc>
                <w:tcPr>
                  <w:tcW w:w="740" w:type="dxa"/>
                  <w:vAlign w:val="center"/>
                </w:tcPr>
                <w:p w14:paraId="70116204">
                  <w:pPr>
                    <w:jc w:val="center"/>
                    <w:rPr>
                      <w:color w:val="auto"/>
                    </w:rPr>
                  </w:pPr>
                  <w:r>
                    <w:rPr>
                      <w:rFonts w:hint="eastAsia"/>
                      <w:color w:val="auto"/>
                    </w:rPr>
                    <w:t>0.023</w:t>
                  </w:r>
                </w:p>
              </w:tc>
              <w:tc>
                <w:tcPr>
                  <w:tcW w:w="689" w:type="dxa"/>
                  <w:vAlign w:val="center"/>
                </w:tcPr>
                <w:p w14:paraId="65EA1BFA">
                  <w:pPr>
                    <w:jc w:val="center"/>
                    <w:rPr>
                      <w:color w:val="auto"/>
                      <w:szCs w:val="21"/>
                    </w:rPr>
                  </w:pPr>
                  <w:r>
                    <w:rPr>
                      <w:rFonts w:hint="eastAsia"/>
                      <w:color w:val="auto"/>
                      <w:szCs w:val="21"/>
                    </w:rPr>
                    <w:t>0.055</w:t>
                  </w:r>
                </w:p>
              </w:tc>
              <w:tc>
                <w:tcPr>
                  <w:tcW w:w="821" w:type="dxa"/>
                  <w:vAlign w:val="center"/>
                </w:tcPr>
                <w:p w14:paraId="61402EA5">
                  <w:pPr>
                    <w:jc w:val="center"/>
                    <w:rPr>
                      <w:color w:val="auto"/>
                      <w:szCs w:val="21"/>
                    </w:rPr>
                  </w:pPr>
                  <w:r>
                    <w:rPr>
                      <w:rFonts w:hint="eastAsia"/>
                      <w:color w:val="auto"/>
                      <w:szCs w:val="21"/>
                    </w:rPr>
                    <w:t>0.044</w:t>
                  </w:r>
                </w:p>
              </w:tc>
              <w:tc>
                <w:tcPr>
                  <w:tcW w:w="1122" w:type="dxa"/>
                  <w:vAlign w:val="center"/>
                </w:tcPr>
                <w:p w14:paraId="764A4E33">
                  <w:pPr>
                    <w:jc w:val="center"/>
                    <w:rPr>
                      <w:color w:val="auto"/>
                      <w:szCs w:val="21"/>
                    </w:rPr>
                  </w:pPr>
                  <w:r>
                    <w:rPr>
                      <w:color w:val="auto"/>
                      <w:szCs w:val="21"/>
                    </w:rPr>
                    <w:t>—</w:t>
                  </w:r>
                </w:p>
              </w:tc>
              <w:tc>
                <w:tcPr>
                  <w:tcW w:w="795" w:type="dxa"/>
                  <w:vAlign w:val="center"/>
                </w:tcPr>
                <w:p w14:paraId="1BA6E7B3">
                  <w:pPr>
                    <w:jc w:val="center"/>
                    <w:rPr>
                      <w:color w:val="auto"/>
                      <w:szCs w:val="21"/>
                    </w:rPr>
                  </w:pPr>
                  <w:r>
                    <w:rPr>
                      <w:color w:val="auto"/>
                      <w:szCs w:val="21"/>
                    </w:rPr>
                    <w:t>—</w:t>
                  </w:r>
                </w:p>
              </w:tc>
              <w:tc>
                <w:tcPr>
                  <w:tcW w:w="1070" w:type="dxa"/>
                  <w:vAlign w:val="center"/>
                </w:tcPr>
                <w:p w14:paraId="6D138A87">
                  <w:pPr>
                    <w:jc w:val="center"/>
                    <w:rPr>
                      <w:color w:val="auto"/>
                      <w:szCs w:val="21"/>
                    </w:rPr>
                  </w:pPr>
                  <w:r>
                    <w:rPr>
                      <w:rFonts w:hint="eastAsia"/>
                      <w:color w:val="auto"/>
                      <w:szCs w:val="21"/>
                    </w:rPr>
                    <w:t>0.015</w:t>
                  </w:r>
                </w:p>
              </w:tc>
            </w:tr>
          </w:tbl>
          <w:p w14:paraId="69020FA3">
            <w:pPr>
              <w:pStyle w:val="131"/>
              <w:adjustRightInd w:val="0"/>
              <w:snapToGrid w:val="0"/>
              <w:ind w:firstLine="480"/>
              <w:rPr>
                <w:bCs/>
                <w:color w:val="auto"/>
              </w:rPr>
            </w:pPr>
            <w:r>
              <w:rPr>
                <w:rFonts w:hint="eastAsia"/>
                <w:bCs/>
                <w:color w:val="auto"/>
              </w:rPr>
              <w:t>杨广卫生院</w:t>
            </w:r>
            <w:r>
              <w:rPr>
                <w:rFonts w:hint="eastAsia"/>
                <w:color w:val="auto"/>
              </w:rPr>
              <w:t>现有项目食堂和住宿废水产生量2.882m³/d，医疗废水产生量为6.8</w:t>
            </w:r>
            <w:r>
              <w:rPr>
                <w:color w:val="auto"/>
              </w:rPr>
              <w:t>m³/d</w:t>
            </w:r>
            <w:r>
              <w:rPr>
                <w:rFonts w:hint="eastAsia"/>
                <w:color w:val="auto"/>
              </w:rPr>
              <w:t>，本项目新增医疗废水6.805</w:t>
            </w:r>
            <w:r>
              <w:rPr>
                <w:color w:val="auto"/>
              </w:rPr>
              <w:t>m³/d</w:t>
            </w:r>
            <w:r>
              <w:rPr>
                <w:rFonts w:hint="eastAsia"/>
                <w:color w:val="auto"/>
              </w:rPr>
              <w:t>，卫生院共计产生废水量为16.487m³/d，现有项目食堂和住宿废水经化粪池处理后排入市政污水管网进入通海县第一污水处理厂处理，不进入卫生院已建的污水处理站处理。现有项目医疗废水产生量为6.8m³/d，经化粪池处理后进入本项目已建污水处理站处理。本项目建成后，全院医疗废水的量为</w:t>
            </w:r>
            <w:r>
              <w:rPr>
                <w:rFonts w:hint="eastAsia"/>
                <w:color w:val="auto"/>
                <w:szCs w:val="24"/>
              </w:rPr>
              <w:t>13.605m</w:t>
            </w:r>
            <w:r>
              <w:rPr>
                <w:rFonts w:hint="eastAsia"/>
                <w:color w:val="auto"/>
                <w:vertAlign w:val="superscript"/>
              </w:rPr>
              <w:t>3</w:t>
            </w:r>
            <w:r>
              <w:rPr>
                <w:color w:val="auto"/>
              </w:rPr>
              <w:t>/d</w:t>
            </w:r>
            <w:r>
              <w:rPr>
                <w:rFonts w:hint="eastAsia"/>
                <w:color w:val="auto"/>
              </w:rPr>
              <w:t>。根据现场踏勘，杨广卫生院已建设了一座处理规模为10m³/d的污水处理站，现有的污水处理站处理规模不能满足全院医疗废水的处理能力，因此本环评要求，另行建设一座污水处理站处理本次改扩建项目产生的医疗废水。本次新增医疗废水量为6.805m³/d，按新增医疗废水量1.2倍的安全系数考虑，项目新建污水处理站处理规模应大于8.166m</w:t>
            </w:r>
            <w:r>
              <w:rPr>
                <w:rFonts w:hint="eastAsia"/>
                <w:color w:val="auto"/>
                <w:vertAlign w:val="superscript"/>
              </w:rPr>
              <w:t>3</w:t>
            </w:r>
            <w:r>
              <w:rPr>
                <w:rFonts w:hint="eastAsia"/>
                <w:color w:val="auto"/>
              </w:rPr>
              <w:t>/d，环评要求本次杨广卫生院新建的污水处理站处理规模设计为10m</w:t>
            </w:r>
            <w:r>
              <w:rPr>
                <w:rFonts w:hint="eastAsia"/>
                <w:color w:val="auto"/>
                <w:vertAlign w:val="superscript"/>
              </w:rPr>
              <w:t>3</w:t>
            </w:r>
            <w:r>
              <w:rPr>
                <w:rFonts w:hint="eastAsia"/>
                <w:color w:val="auto"/>
              </w:rPr>
              <w:t>/d，设为地埋式。本项目建成后杨广卫生院污水产排源强见表4-13。</w:t>
            </w:r>
          </w:p>
          <w:p w14:paraId="0F1EDED9">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13</w:t>
            </w:r>
            <w:r>
              <w:rPr>
                <w:b/>
                <w:color w:val="auto"/>
                <w:sz w:val="24"/>
              </w:rPr>
              <w:t xml:space="preserve"> </w:t>
            </w:r>
            <w:r>
              <w:rPr>
                <w:rFonts w:hint="eastAsia"/>
                <w:b/>
                <w:color w:val="auto"/>
                <w:sz w:val="24"/>
              </w:rPr>
              <w:t>本项目建成后全院（杨广卫生院）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671"/>
              <w:gridCol w:w="1065"/>
              <w:gridCol w:w="689"/>
              <w:gridCol w:w="740"/>
              <w:gridCol w:w="689"/>
              <w:gridCol w:w="821"/>
              <w:gridCol w:w="1032"/>
              <w:gridCol w:w="945"/>
              <w:gridCol w:w="1010"/>
            </w:tblGrid>
            <w:tr w14:paraId="7809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885" w:type="dxa"/>
                  <w:gridSpan w:val="2"/>
                  <w:vMerge w:val="restart"/>
                  <w:vAlign w:val="center"/>
                </w:tcPr>
                <w:p w14:paraId="2E57DD43">
                  <w:pPr>
                    <w:jc w:val="center"/>
                    <w:rPr>
                      <w:b/>
                      <w:color w:val="auto"/>
                      <w:szCs w:val="21"/>
                    </w:rPr>
                  </w:pPr>
                  <w:r>
                    <w:rPr>
                      <w:b/>
                      <w:color w:val="auto"/>
                      <w:szCs w:val="21"/>
                    </w:rPr>
                    <w:t>指标</w:t>
                  </w:r>
                </w:p>
              </w:tc>
              <w:tc>
                <w:tcPr>
                  <w:tcW w:w="6991" w:type="dxa"/>
                  <w:gridSpan w:val="8"/>
                </w:tcPr>
                <w:p w14:paraId="7BD0102E">
                  <w:pPr>
                    <w:jc w:val="center"/>
                    <w:rPr>
                      <w:b/>
                      <w:color w:val="auto"/>
                      <w:szCs w:val="21"/>
                    </w:rPr>
                  </w:pPr>
                  <w:r>
                    <w:rPr>
                      <w:b/>
                      <w:color w:val="auto"/>
                      <w:szCs w:val="21"/>
                    </w:rPr>
                    <w:t>主要污染物名称</w:t>
                  </w:r>
                </w:p>
              </w:tc>
            </w:tr>
            <w:tr w14:paraId="6569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85" w:type="dxa"/>
                  <w:gridSpan w:val="2"/>
                  <w:vMerge w:val="continue"/>
                  <w:vAlign w:val="center"/>
                </w:tcPr>
                <w:p w14:paraId="2482E862">
                  <w:pPr>
                    <w:jc w:val="center"/>
                    <w:rPr>
                      <w:color w:val="auto"/>
                      <w:szCs w:val="21"/>
                    </w:rPr>
                  </w:pPr>
                </w:p>
              </w:tc>
              <w:tc>
                <w:tcPr>
                  <w:tcW w:w="1065" w:type="dxa"/>
                  <w:vAlign w:val="center"/>
                </w:tcPr>
                <w:p w14:paraId="4D19AEF9">
                  <w:pPr>
                    <w:jc w:val="center"/>
                    <w:rPr>
                      <w:b/>
                      <w:color w:val="auto"/>
                      <w:szCs w:val="21"/>
                    </w:rPr>
                  </w:pPr>
                  <w:r>
                    <w:rPr>
                      <w:rFonts w:hint="eastAsia"/>
                      <w:b/>
                      <w:color w:val="auto"/>
                      <w:szCs w:val="21"/>
                    </w:rPr>
                    <w:t>PH</w:t>
                  </w:r>
                </w:p>
              </w:tc>
              <w:tc>
                <w:tcPr>
                  <w:tcW w:w="689" w:type="dxa"/>
                  <w:vAlign w:val="center"/>
                </w:tcPr>
                <w:p w14:paraId="6D5A6936">
                  <w:pPr>
                    <w:jc w:val="center"/>
                    <w:rPr>
                      <w:b/>
                      <w:color w:val="auto"/>
                      <w:szCs w:val="21"/>
                    </w:rPr>
                  </w:pPr>
                  <w:r>
                    <w:rPr>
                      <w:b/>
                      <w:color w:val="auto"/>
                      <w:szCs w:val="21"/>
                    </w:rPr>
                    <w:t>COD</w:t>
                  </w:r>
                </w:p>
              </w:tc>
              <w:tc>
                <w:tcPr>
                  <w:tcW w:w="740" w:type="dxa"/>
                  <w:vAlign w:val="center"/>
                </w:tcPr>
                <w:p w14:paraId="408325E4">
                  <w:pPr>
                    <w:jc w:val="center"/>
                    <w:rPr>
                      <w:b/>
                      <w:color w:val="auto"/>
                      <w:szCs w:val="21"/>
                    </w:rPr>
                  </w:pPr>
                  <w:r>
                    <w:rPr>
                      <w:b/>
                      <w:color w:val="auto"/>
                      <w:szCs w:val="21"/>
                    </w:rPr>
                    <w:t>BOD</w:t>
                  </w:r>
                  <w:r>
                    <w:rPr>
                      <w:b/>
                      <w:color w:val="auto"/>
                      <w:szCs w:val="21"/>
                      <w:vertAlign w:val="subscript"/>
                    </w:rPr>
                    <w:t>5</w:t>
                  </w:r>
                </w:p>
              </w:tc>
              <w:tc>
                <w:tcPr>
                  <w:tcW w:w="689" w:type="dxa"/>
                  <w:vAlign w:val="center"/>
                </w:tcPr>
                <w:p w14:paraId="02517D9D">
                  <w:pPr>
                    <w:jc w:val="center"/>
                    <w:rPr>
                      <w:b/>
                      <w:color w:val="auto"/>
                      <w:szCs w:val="21"/>
                    </w:rPr>
                  </w:pPr>
                  <w:r>
                    <w:rPr>
                      <w:b/>
                      <w:color w:val="auto"/>
                      <w:szCs w:val="21"/>
                    </w:rPr>
                    <w:t>SS</w:t>
                  </w:r>
                </w:p>
              </w:tc>
              <w:tc>
                <w:tcPr>
                  <w:tcW w:w="821" w:type="dxa"/>
                  <w:vAlign w:val="center"/>
                </w:tcPr>
                <w:p w14:paraId="0B4CA517">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032" w:type="dxa"/>
                  <w:vAlign w:val="center"/>
                </w:tcPr>
                <w:p w14:paraId="1666078D">
                  <w:pPr>
                    <w:jc w:val="center"/>
                    <w:rPr>
                      <w:b/>
                      <w:color w:val="auto"/>
                    </w:rPr>
                  </w:pPr>
                  <w:r>
                    <w:rPr>
                      <w:b/>
                      <w:color w:val="auto"/>
                    </w:rPr>
                    <w:t>粪大肠菌群数</w:t>
                  </w:r>
                  <w:r>
                    <w:rPr>
                      <w:rFonts w:hint="eastAsia"/>
                      <w:b/>
                      <w:color w:val="auto"/>
                    </w:rPr>
                    <w:t>（</w:t>
                  </w:r>
                  <w:r>
                    <w:rPr>
                      <w:b/>
                      <w:color w:val="auto"/>
                    </w:rPr>
                    <w:t>个/L)</w:t>
                  </w:r>
                </w:p>
              </w:tc>
              <w:tc>
                <w:tcPr>
                  <w:tcW w:w="945" w:type="dxa"/>
                  <w:vAlign w:val="center"/>
                </w:tcPr>
                <w:p w14:paraId="633C6C6D">
                  <w:pPr>
                    <w:jc w:val="center"/>
                    <w:rPr>
                      <w:b/>
                      <w:color w:val="auto"/>
                    </w:rPr>
                  </w:pPr>
                  <w:r>
                    <w:rPr>
                      <w:b/>
                      <w:color w:val="auto"/>
                    </w:rPr>
                    <w:t>总余氯</w:t>
                  </w:r>
                </w:p>
              </w:tc>
              <w:tc>
                <w:tcPr>
                  <w:tcW w:w="1010" w:type="dxa"/>
                  <w:vAlign w:val="center"/>
                </w:tcPr>
                <w:p w14:paraId="201875BE">
                  <w:pPr>
                    <w:jc w:val="center"/>
                    <w:rPr>
                      <w:b/>
                      <w:color w:val="auto"/>
                    </w:rPr>
                  </w:pPr>
                  <w:r>
                    <w:rPr>
                      <w:b/>
                      <w:bCs/>
                      <w:color w:val="auto"/>
                      <w:szCs w:val="21"/>
                    </w:rPr>
                    <w:t>总磷</w:t>
                  </w:r>
                </w:p>
              </w:tc>
            </w:tr>
            <w:tr w14:paraId="437A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14" w:type="dxa"/>
                  <w:vMerge w:val="restart"/>
                  <w:vAlign w:val="center"/>
                </w:tcPr>
                <w:p w14:paraId="23B5E7B7">
                  <w:pPr>
                    <w:jc w:val="center"/>
                    <w:rPr>
                      <w:color w:val="auto"/>
                      <w:szCs w:val="21"/>
                    </w:rPr>
                  </w:pPr>
                  <w:r>
                    <w:rPr>
                      <w:rFonts w:hint="eastAsia"/>
                      <w:color w:val="auto"/>
                      <w:szCs w:val="21"/>
                    </w:rPr>
                    <w:t>全院废水</w:t>
                  </w:r>
                  <w:r>
                    <w:rPr>
                      <w:color w:val="auto"/>
                      <w:szCs w:val="21"/>
                    </w:rPr>
                    <w:t>产生量</w:t>
                  </w:r>
                </w:p>
                <w:p w14:paraId="14871D9E">
                  <w:pPr>
                    <w:jc w:val="center"/>
                    <w:rPr>
                      <w:color w:val="auto"/>
                      <w:szCs w:val="21"/>
                    </w:rPr>
                  </w:pPr>
                  <w:r>
                    <w:rPr>
                      <w:rFonts w:hint="eastAsia"/>
                      <w:color w:val="auto"/>
                      <w:szCs w:val="21"/>
                    </w:rPr>
                    <w:t>6017.755</w:t>
                  </w:r>
                  <w:r>
                    <w:rPr>
                      <w:color w:val="auto"/>
                      <w:szCs w:val="21"/>
                    </w:rPr>
                    <w:t>t/a</w:t>
                  </w:r>
                </w:p>
              </w:tc>
              <w:tc>
                <w:tcPr>
                  <w:tcW w:w="671" w:type="dxa"/>
                  <w:vAlign w:val="center"/>
                </w:tcPr>
                <w:p w14:paraId="1E87EA7A">
                  <w:pPr>
                    <w:jc w:val="center"/>
                    <w:rPr>
                      <w:color w:val="auto"/>
                      <w:szCs w:val="21"/>
                    </w:rPr>
                  </w:pPr>
                  <w:r>
                    <w:rPr>
                      <w:color w:val="auto"/>
                      <w:szCs w:val="21"/>
                    </w:rPr>
                    <w:t>产生浓度mg/L</w:t>
                  </w:r>
                </w:p>
              </w:tc>
              <w:tc>
                <w:tcPr>
                  <w:tcW w:w="1065" w:type="dxa"/>
                  <w:vAlign w:val="center"/>
                </w:tcPr>
                <w:p w14:paraId="5F3B0703">
                  <w:pPr>
                    <w:jc w:val="center"/>
                    <w:rPr>
                      <w:color w:val="auto"/>
                      <w:szCs w:val="21"/>
                    </w:rPr>
                  </w:pPr>
                  <w:r>
                    <w:rPr>
                      <w:color w:val="auto"/>
                      <w:szCs w:val="21"/>
                    </w:rPr>
                    <w:t>7~8</w:t>
                  </w:r>
                </w:p>
              </w:tc>
              <w:tc>
                <w:tcPr>
                  <w:tcW w:w="689" w:type="dxa"/>
                  <w:vAlign w:val="center"/>
                </w:tcPr>
                <w:p w14:paraId="7688DCDF">
                  <w:pPr>
                    <w:jc w:val="center"/>
                    <w:rPr>
                      <w:color w:val="auto"/>
                      <w:szCs w:val="21"/>
                    </w:rPr>
                  </w:pPr>
                  <w:r>
                    <w:rPr>
                      <w:color w:val="auto"/>
                      <w:szCs w:val="21"/>
                    </w:rPr>
                    <w:t>300</w:t>
                  </w:r>
                </w:p>
              </w:tc>
              <w:tc>
                <w:tcPr>
                  <w:tcW w:w="740" w:type="dxa"/>
                  <w:vAlign w:val="center"/>
                </w:tcPr>
                <w:p w14:paraId="7B8E4E98">
                  <w:pPr>
                    <w:jc w:val="center"/>
                    <w:rPr>
                      <w:color w:val="auto"/>
                      <w:szCs w:val="21"/>
                    </w:rPr>
                  </w:pPr>
                  <w:r>
                    <w:rPr>
                      <w:color w:val="auto"/>
                      <w:szCs w:val="21"/>
                    </w:rPr>
                    <w:t>150</w:t>
                  </w:r>
                </w:p>
              </w:tc>
              <w:tc>
                <w:tcPr>
                  <w:tcW w:w="689" w:type="dxa"/>
                  <w:vAlign w:val="center"/>
                </w:tcPr>
                <w:p w14:paraId="1D6A1987">
                  <w:pPr>
                    <w:jc w:val="center"/>
                    <w:rPr>
                      <w:color w:val="auto"/>
                      <w:szCs w:val="21"/>
                    </w:rPr>
                  </w:pPr>
                  <w:r>
                    <w:rPr>
                      <w:color w:val="auto"/>
                      <w:szCs w:val="21"/>
                    </w:rPr>
                    <w:t>120</w:t>
                  </w:r>
                </w:p>
              </w:tc>
              <w:tc>
                <w:tcPr>
                  <w:tcW w:w="821" w:type="dxa"/>
                  <w:vAlign w:val="center"/>
                </w:tcPr>
                <w:p w14:paraId="0A6210B6">
                  <w:pPr>
                    <w:jc w:val="center"/>
                    <w:rPr>
                      <w:color w:val="auto"/>
                      <w:szCs w:val="21"/>
                    </w:rPr>
                  </w:pPr>
                  <w:r>
                    <w:rPr>
                      <w:color w:val="auto"/>
                      <w:szCs w:val="21"/>
                    </w:rPr>
                    <w:t>40</w:t>
                  </w:r>
                </w:p>
              </w:tc>
              <w:tc>
                <w:tcPr>
                  <w:tcW w:w="1032" w:type="dxa"/>
                  <w:vAlign w:val="center"/>
                </w:tcPr>
                <w:p w14:paraId="6F27C039">
                  <w:pPr>
                    <w:jc w:val="center"/>
                    <w:rPr>
                      <w:color w:val="auto"/>
                      <w:szCs w:val="21"/>
                    </w:rPr>
                  </w:pPr>
                  <w:r>
                    <w:rPr>
                      <w:color w:val="auto"/>
                      <w:szCs w:val="21"/>
                    </w:rPr>
                    <w:t>3.0×10</w:t>
                  </w:r>
                  <w:r>
                    <w:rPr>
                      <w:color w:val="auto"/>
                      <w:szCs w:val="21"/>
                      <w:vertAlign w:val="superscript"/>
                    </w:rPr>
                    <w:t>8</w:t>
                  </w:r>
                </w:p>
              </w:tc>
              <w:tc>
                <w:tcPr>
                  <w:tcW w:w="945" w:type="dxa"/>
                  <w:vAlign w:val="center"/>
                </w:tcPr>
                <w:p w14:paraId="63064E0E">
                  <w:pPr>
                    <w:jc w:val="center"/>
                    <w:rPr>
                      <w:color w:val="auto"/>
                      <w:szCs w:val="21"/>
                    </w:rPr>
                  </w:pPr>
                  <w:r>
                    <w:rPr>
                      <w:color w:val="auto"/>
                      <w:szCs w:val="21"/>
                    </w:rPr>
                    <w:t>—</w:t>
                  </w:r>
                </w:p>
              </w:tc>
              <w:tc>
                <w:tcPr>
                  <w:tcW w:w="1010" w:type="dxa"/>
                  <w:vAlign w:val="center"/>
                </w:tcPr>
                <w:p w14:paraId="03ED58F7">
                  <w:pPr>
                    <w:jc w:val="center"/>
                    <w:rPr>
                      <w:color w:val="auto"/>
                      <w:szCs w:val="21"/>
                    </w:rPr>
                  </w:pPr>
                  <w:r>
                    <w:rPr>
                      <w:rFonts w:hint="eastAsia"/>
                      <w:color w:val="auto"/>
                      <w:szCs w:val="21"/>
                    </w:rPr>
                    <w:t>12.8</w:t>
                  </w:r>
                </w:p>
              </w:tc>
            </w:tr>
            <w:tr w14:paraId="32E9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52A94C8F">
                  <w:pPr>
                    <w:jc w:val="center"/>
                    <w:rPr>
                      <w:color w:val="auto"/>
                      <w:szCs w:val="21"/>
                    </w:rPr>
                  </w:pPr>
                </w:p>
              </w:tc>
              <w:tc>
                <w:tcPr>
                  <w:tcW w:w="671" w:type="dxa"/>
                  <w:vAlign w:val="center"/>
                </w:tcPr>
                <w:p w14:paraId="43EADB9F">
                  <w:pPr>
                    <w:jc w:val="center"/>
                    <w:rPr>
                      <w:color w:val="auto"/>
                      <w:szCs w:val="21"/>
                    </w:rPr>
                  </w:pPr>
                  <w:r>
                    <w:rPr>
                      <w:color w:val="auto"/>
                      <w:szCs w:val="21"/>
                    </w:rPr>
                    <w:t>产生量t/a</w:t>
                  </w:r>
                </w:p>
              </w:tc>
              <w:tc>
                <w:tcPr>
                  <w:tcW w:w="1065" w:type="dxa"/>
                  <w:vAlign w:val="center"/>
                </w:tcPr>
                <w:p w14:paraId="23F83C27">
                  <w:pPr>
                    <w:jc w:val="center"/>
                    <w:rPr>
                      <w:color w:val="auto"/>
                      <w:szCs w:val="21"/>
                    </w:rPr>
                  </w:pPr>
                  <w:r>
                    <w:rPr>
                      <w:color w:val="auto"/>
                      <w:szCs w:val="21"/>
                    </w:rPr>
                    <w:t>—</w:t>
                  </w:r>
                </w:p>
              </w:tc>
              <w:tc>
                <w:tcPr>
                  <w:tcW w:w="689" w:type="dxa"/>
                  <w:vAlign w:val="center"/>
                </w:tcPr>
                <w:p w14:paraId="05287266">
                  <w:pPr>
                    <w:jc w:val="center"/>
                    <w:rPr>
                      <w:color w:val="auto"/>
                      <w:szCs w:val="21"/>
                    </w:rPr>
                  </w:pPr>
                  <w:r>
                    <w:rPr>
                      <w:rFonts w:hint="eastAsia"/>
                      <w:color w:val="auto"/>
                      <w:szCs w:val="21"/>
                    </w:rPr>
                    <w:t>1.805</w:t>
                  </w:r>
                </w:p>
              </w:tc>
              <w:tc>
                <w:tcPr>
                  <w:tcW w:w="740" w:type="dxa"/>
                  <w:vAlign w:val="center"/>
                </w:tcPr>
                <w:p w14:paraId="7BB95871">
                  <w:pPr>
                    <w:jc w:val="center"/>
                    <w:rPr>
                      <w:color w:val="auto"/>
                      <w:szCs w:val="21"/>
                    </w:rPr>
                  </w:pPr>
                  <w:r>
                    <w:rPr>
                      <w:rFonts w:hint="eastAsia"/>
                      <w:color w:val="auto"/>
                      <w:szCs w:val="21"/>
                    </w:rPr>
                    <w:t>0.903</w:t>
                  </w:r>
                </w:p>
              </w:tc>
              <w:tc>
                <w:tcPr>
                  <w:tcW w:w="689" w:type="dxa"/>
                  <w:vAlign w:val="center"/>
                </w:tcPr>
                <w:p w14:paraId="1082D965">
                  <w:pPr>
                    <w:jc w:val="center"/>
                    <w:rPr>
                      <w:color w:val="auto"/>
                      <w:szCs w:val="21"/>
                    </w:rPr>
                  </w:pPr>
                  <w:r>
                    <w:rPr>
                      <w:rFonts w:hint="eastAsia"/>
                      <w:color w:val="auto"/>
                      <w:szCs w:val="21"/>
                    </w:rPr>
                    <w:t>0.722</w:t>
                  </w:r>
                </w:p>
              </w:tc>
              <w:tc>
                <w:tcPr>
                  <w:tcW w:w="821" w:type="dxa"/>
                  <w:vAlign w:val="center"/>
                </w:tcPr>
                <w:p w14:paraId="06DAB25D">
                  <w:pPr>
                    <w:jc w:val="center"/>
                    <w:rPr>
                      <w:color w:val="auto"/>
                      <w:szCs w:val="21"/>
                    </w:rPr>
                  </w:pPr>
                  <w:r>
                    <w:rPr>
                      <w:rFonts w:hint="eastAsia"/>
                      <w:color w:val="auto"/>
                      <w:szCs w:val="21"/>
                    </w:rPr>
                    <w:t>0.241</w:t>
                  </w:r>
                </w:p>
              </w:tc>
              <w:tc>
                <w:tcPr>
                  <w:tcW w:w="1032" w:type="dxa"/>
                  <w:vAlign w:val="center"/>
                </w:tcPr>
                <w:p w14:paraId="0EF955E2">
                  <w:pPr>
                    <w:jc w:val="center"/>
                    <w:rPr>
                      <w:color w:val="auto"/>
                      <w:szCs w:val="21"/>
                    </w:rPr>
                  </w:pPr>
                  <w:r>
                    <w:rPr>
                      <w:color w:val="auto"/>
                      <w:szCs w:val="21"/>
                    </w:rPr>
                    <w:t>—</w:t>
                  </w:r>
                </w:p>
              </w:tc>
              <w:tc>
                <w:tcPr>
                  <w:tcW w:w="945" w:type="dxa"/>
                  <w:vAlign w:val="center"/>
                </w:tcPr>
                <w:p w14:paraId="0E606624">
                  <w:pPr>
                    <w:jc w:val="center"/>
                    <w:rPr>
                      <w:color w:val="auto"/>
                      <w:szCs w:val="21"/>
                    </w:rPr>
                  </w:pPr>
                  <w:r>
                    <w:rPr>
                      <w:color w:val="auto"/>
                      <w:szCs w:val="21"/>
                    </w:rPr>
                    <w:t>—</w:t>
                  </w:r>
                </w:p>
              </w:tc>
              <w:tc>
                <w:tcPr>
                  <w:tcW w:w="1010" w:type="dxa"/>
                  <w:vAlign w:val="center"/>
                </w:tcPr>
                <w:p w14:paraId="233B3EE8">
                  <w:pPr>
                    <w:jc w:val="center"/>
                    <w:rPr>
                      <w:color w:val="auto"/>
                      <w:szCs w:val="21"/>
                    </w:rPr>
                  </w:pPr>
                  <w:r>
                    <w:rPr>
                      <w:rFonts w:hint="eastAsia"/>
                      <w:color w:val="auto"/>
                      <w:szCs w:val="21"/>
                    </w:rPr>
                    <w:t>0.077</w:t>
                  </w:r>
                </w:p>
              </w:tc>
            </w:tr>
            <w:tr w14:paraId="012C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341316D5">
                  <w:pPr>
                    <w:jc w:val="center"/>
                    <w:rPr>
                      <w:color w:val="auto"/>
                      <w:szCs w:val="21"/>
                    </w:rPr>
                  </w:pPr>
                  <w:r>
                    <w:rPr>
                      <w:color w:val="auto"/>
                      <w:szCs w:val="21"/>
                    </w:rPr>
                    <w:t>污水处理站出水</w:t>
                  </w:r>
                  <w:r>
                    <w:rPr>
                      <w:rFonts w:hint="eastAsia"/>
                      <w:color w:val="auto"/>
                      <w:szCs w:val="21"/>
                    </w:rPr>
                    <w:t>（现有+本项目）4965.825</w:t>
                  </w:r>
                  <w:r>
                    <w:rPr>
                      <w:color w:val="auto"/>
                      <w:szCs w:val="21"/>
                    </w:rPr>
                    <w:t>t/a</w:t>
                  </w:r>
                </w:p>
              </w:tc>
              <w:tc>
                <w:tcPr>
                  <w:tcW w:w="671" w:type="dxa"/>
                  <w:vAlign w:val="center"/>
                </w:tcPr>
                <w:p w14:paraId="5B5FBE45">
                  <w:pPr>
                    <w:jc w:val="center"/>
                    <w:rPr>
                      <w:color w:val="auto"/>
                      <w:szCs w:val="21"/>
                    </w:rPr>
                  </w:pPr>
                  <w:r>
                    <w:rPr>
                      <w:color w:val="auto"/>
                      <w:szCs w:val="21"/>
                    </w:rPr>
                    <w:t>排放浓度mg/L</w:t>
                  </w:r>
                </w:p>
              </w:tc>
              <w:tc>
                <w:tcPr>
                  <w:tcW w:w="1065" w:type="dxa"/>
                  <w:vAlign w:val="center"/>
                </w:tcPr>
                <w:p w14:paraId="0313558E">
                  <w:pPr>
                    <w:jc w:val="center"/>
                    <w:rPr>
                      <w:color w:val="auto"/>
                      <w:szCs w:val="21"/>
                    </w:rPr>
                  </w:pPr>
                  <w:r>
                    <w:rPr>
                      <w:rFonts w:hint="eastAsia"/>
                      <w:color w:val="auto"/>
                      <w:szCs w:val="21"/>
                    </w:rPr>
                    <w:t>7.85~7.87</w:t>
                  </w:r>
                </w:p>
              </w:tc>
              <w:tc>
                <w:tcPr>
                  <w:tcW w:w="689" w:type="dxa"/>
                  <w:vAlign w:val="center"/>
                </w:tcPr>
                <w:p w14:paraId="17C5DF10">
                  <w:pPr>
                    <w:jc w:val="center"/>
                    <w:rPr>
                      <w:color w:val="auto"/>
                      <w:szCs w:val="21"/>
                    </w:rPr>
                  </w:pPr>
                  <w:r>
                    <w:rPr>
                      <w:rFonts w:hint="eastAsia"/>
                      <w:color w:val="auto"/>
                      <w:szCs w:val="21"/>
                    </w:rPr>
                    <w:t>44</w:t>
                  </w:r>
                </w:p>
              </w:tc>
              <w:tc>
                <w:tcPr>
                  <w:tcW w:w="740" w:type="dxa"/>
                  <w:vAlign w:val="center"/>
                </w:tcPr>
                <w:p w14:paraId="1D0B1E51">
                  <w:pPr>
                    <w:jc w:val="center"/>
                    <w:rPr>
                      <w:color w:val="auto"/>
                      <w:szCs w:val="21"/>
                    </w:rPr>
                  </w:pPr>
                  <w:r>
                    <w:rPr>
                      <w:rFonts w:hint="eastAsia"/>
                      <w:color w:val="auto"/>
                      <w:szCs w:val="21"/>
                    </w:rPr>
                    <w:t>7.2</w:t>
                  </w:r>
                </w:p>
              </w:tc>
              <w:tc>
                <w:tcPr>
                  <w:tcW w:w="689" w:type="dxa"/>
                  <w:vAlign w:val="center"/>
                </w:tcPr>
                <w:p w14:paraId="4E96C811">
                  <w:pPr>
                    <w:jc w:val="center"/>
                    <w:rPr>
                      <w:color w:val="auto"/>
                      <w:szCs w:val="21"/>
                    </w:rPr>
                  </w:pPr>
                  <w:r>
                    <w:rPr>
                      <w:rFonts w:hint="eastAsia"/>
                      <w:color w:val="auto"/>
                      <w:szCs w:val="21"/>
                    </w:rPr>
                    <w:t>17</w:t>
                  </w:r>
                </w:p>
              </w:tc>
              <w:tc>
                <w:tcPr>
                  <w:tcW w:w="821" w:type="dxa"/>
                  <w:vAlign w:val="center"/>
                </w:tcPr>
                <w:p w14:paraId="09860853">
                  <w:pPr>
                    <w:jc w:val="center"/>
                    <w:rPr>
                      <w:color w:val="auto"/>
                      <w:szCs w:val="21"/>
                    </w:rPr>
                  </w:pPr>
                  <w:r>
                    <w:rPr>
                      <w:rFonts w:hint="eastAsia"/>
                      <w:color w:val="auto"/>
                      <w:szCs w:val="21"/>
                    </w:rPr>
                    <w:t>13.4</w:t>
                  </w:r>
                </w:p>
              </w:tc>
              <w:tc>
                <w:tcPr>
                  <w:tcW w:w="1032" w:type="dxa"/>
                  <w:vAlign w:val="center"/>
                </w:tcPr>
                <w:p w14:paraId="75FA0AF3">
                  <w:pPr>
                    <w:jc w:val="center"/>
                    <w:rPr>
                      <w:color w:val="auto"/>
                      <w:szCs w:val="21"/>
                    </w:rPr>
                  </w:pPr>
                  <w:r>
                    <w:rPr>
                      <w:rFonts w:hint="eastAsia"/>
                      <w:color w:val="auto"/>
                      <w:szCs w:val="21"/>
                    </w:rPr>
                    <w:t>70</w:t>
                  </w:r>
                </w:p>
              </w:tc>
              <w:tc>
                <w:tcPr>
                  <w:tcW w:w="945" w:type="dxa"/>
                  <w:vAlign w:val="center"/>
                </w:tcPr>
                <w:p w14:paraId="14831254">
                  <w:pPr>
                    <w:jc w:val="center"/>
                    <w:rPr>
                      <w:color w:val="auto"/>
                      <w:szCs w:val="21"/>
                    </w:rPr>
                  </w:pPr>
                  <w:r>
                    <w:rPr>
                      <w:rFonts w:hint="eastAsia"/>
                      <w:color w:val="auto"/>
                      <w:szCs w:val="21"/>
                    </w:rPr>
                    <w:t>0.4</w:t>
                  </w:r>
                </w:p>
              </w:tc>
              <w:tc>
                <w:tcPr>
                  <w:tcW w:w="1010" w:type="dxa"/>
                  <w:vAlign w:val="center"/>
                </w:tcPr>
                <w:p w14:paraId="0362D259">
                  <w:pPr>
                    <w:jc w:val="center"/>
                    <w:rPr>
                      <w:color w:val="auto"/>
                      <w:szCs w:val="21"/>
                    </w:rPr>
                  </w:pPr>
                  <w:r>
                    <w:rPr>
                      <w:rFonts w:hint="eastAsia"/>
                      <w:color w:val="auto"/>
                      <w:szCs w:val="21"/>
                    </w:rPr>
                    <w:t>4.69</w:t>
                  </w:r>
                </w:p>
              </w:tc>
            </w:tr>
            <w:tr w14:paraId="6B7B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1B646BB6">
                  <w:pPr>
                    <w:jc w:val="center"/>
                    <w:rPr>
                      <w:color w:val="auto"/>
                      <w:szCs w:val="21"/>
                    </w:rPr>
                  </w:pPr>
                </w:p>
              </w:tc>
              <w:tc>
                <w:tcPr>
                  <w:tcW w:w="671" w:type="dxa"/>
                  <w:vAlign w:val="center"/>
                </w:tcPr>
                <w:p w14:paraId="7684EB19">
                  <w:pPr>
                    <w:jc w:val="center"/>
                    <w:rPr>
                      <w:color w:val="auto"/>
                      <w:szCs w:val="21"/>
                    </w:rPr>
                  </w:pPr>
                  <w:r>
                    <w:rPr>
                      <w:color w:val="auto"/>
                      <w:szCs w:val="21"/>
                    </w:rPr>
                    <w:t>排放量t/a</w:t>
                  </w:r>
                </w:p>
              </w:tc>
              <w:tc>
                <w:tcPr>
                  <w:tcW w:w="1065" w:type="dxa"/>
                  <w:vAlign w:val="center"/>
                </w:tcPr>
                <w:p w14:paraId="643C1C72">
                  <w:pPr>
                    <w:jc w:val="center"/>
                    <w:rPr>
                      <w:color w:val="auto"/>
                      <w:szCs w:val="21"/>
                    </w:rPr>
                  </w:pPr>
                  <w:r>
                    <w:rPr>
                      <w:color w:val="auto"/>
                      <w:szCs w:val="21"/>
                    </w:rPr>
                    <w:t>—</w:t>
                  </w:r>
                </w:p>
              </w:tc>
              <w:tc>
                <w:tcPr>
                  <w:tcW w:w="689" w:type="dxa"/>
                  <w:vAlign w:val="center"/>
                </w:tcPr>
                <w:p w14:paraId="711C3B78">
                  <w:pPr>
                    <w:jc w:val="center"/>
                    <w:rPr>
                      <w:color w:val="auto"/>
                      <w:szCs w:val="21"/>
                    </w:rPr>
                  </w:pPr>
                  <w:r>
                    <w:rPr>
                      <w:rFonts w:hint="eastAsia"/>
                      <w:color w:val="auto"/>
                      <w:szCs w:val="21"/>
                    </w:rPr>
                    <w:t>0.218</w:t>
                  </w:r>
                </w:p>
              </w:tc>
              <w:tc>
                <w:tcPr>
                  <w:tcW w:w="740" w:type="dxa"/>
                  <w:vAlign w:val="center"/>
                </w:tcPr>
                <w:p w14:paraId="632266AC">
                  <w:pPr>
                    <w:jc w:val="center"/>
                    <w:rPr>
                      <w:color w:val="auto"/>
                    </w:rPr>
                  </w:pPr>
                  <w:r>
                    <w:rPr>
                      <w:rFonts w:hint="eastAsia"/>
                      <w:color w:val="auto"/>
                    </w:rPr>
                    <w:t>0.036</w:t>
                  </w:r>
                </w:p>
              </w:tc>
              <w:tc>
                <w:tcPr>
                  <w:tcW w:w="689" w:type="dxa"/>
                  <w:vAlign w:val="center"/>
                </w:tcPr>
                <w:p w14:paraId="39C9CCE5">
                  <w:pPr>
                    <w:jc w:val="center"/>
                    <w:rPr>
                      <w:color w:val="auto"/>
                      <w:szCs w:val="21"/>
                    </w:rPr>
                  </w:pPr>
                  <w:r>
                    <w:rPr>
                      <w:rFonts w:hint="eastAsia"/>
                      <w:color w:val="auto"/>
                      <w:szCs w:val="21"/>
                    </w:rPr>
                    <w:t>0.084</w:t>
                  </w:r>
                </w:p>
              </w:tc>
              <w:tc>
                <w:tcPr>
                  <w:tcW w:w="821" w:type="dxa"/>
                  <w:vAlign w:val="center"/>
                </w:tcPr>
                <w:p w14:paraId="0DC64310">
                  <w:pPr>
                    <w:jc w:val="center"/>
                    <w:rPr>
                      <w:color w:val="auto"/>
                      <w:szCs w:val="21"/>
                    </w:rPr>
                  </w:pPr>
                  <w:r>
                    <w:rPr>
                      <w:rFonts w:hint="eastAsia"/>
                      <w:color w:val="auto"/>
                      <w:szCs w:val="21"/>
                    </w:rPr>
                    <w:t>0.067</w:t>
                  </w:r>
                </w:p>
              </w:tc>
              <w:tc>
                <w:tcPr>
                  <w:tcW w:w="1032" w:type="dxa"/>
                  <w:vAlign w:val="center"/>
                </w:tcPr>
                <w:p w14:paraId="0A077670">
                  <w:pPr>
                    <w:jc w:val="center"/>
                    <w:rPr>
                      <w:color w:val="auto"/>
                      <w:szCs w:val="21"/>
                    </w:rPr>
                  </w:pPr>
                  <w:r>
                    <w:rPr>
                      <w:color w:val="auto"/>
                      <w:szCs w:val="21"/>
                    </w:rPr>
                    <w:t>—</w:t>
                  </w:r>
                </w:p>
              </w:tc>
              <w:tc>
                <w:tcPr>
                  <w:tcW w:w="945" w:type="dxa"/>
                  <w:vAlign w:val="center"/>
                </w:tcPr>
                <w:p w14:paraId="5B574DF3">
                  <w:pPr>
                    <w:jc w:val="center"/>
                    <w:rPr>
                      <w:color w:val="auto"/>
                      <w:szCs w:val="21"/>
                    </w:rPr>
                  </w:pPr>
                  <w:r>
                    <w:rPr>
                      <w:color w:val="auto"/>
                      <w:szCs w:val="21"/>
                    </w:rPr>
                    <w:t>—</w:t>
                  </w:r>
                </w:p>
              </w:tc>
              <w:tc>
                <w:tcPr>
                  <w:tcW w:w="1010" w:type="dxa"/>
                  <w:vAlign w:val="center"/>
                </w:tcPr>
                <w:p w14:paraId="3F564403">
                  <w:pPr>
                    <w:jc w:val="center"/>
                    <w:rPr>
                      <w:color w:val="auto"/>
                      <w:szCs w:val="21"/>
                    </w:rPr>
                  </w:pPr>
                  <w:r>
                    <w:rPr>
                      <w:rFonts w:hint="eastAsia"/>
                      <w:color w:val="auto"/>
                      <w:szCs w:val="21"/>
                    </w:rPr>
                    <w:t>0.023</w:t>
                  </w:r>
                </w:p>
              </w:tc>
            </w:tr>
            <w:tr w14:paraId="22CD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0C59BD5F">
                  <w:pPr>
                    <w:jc w:val="center"/>
                    <w:rPr>
                      <w:color w:val="auto"/>
                      <w:szCs w:val="21"/>
                    </w:rPr>
                  </w:pPr>
                  <w:r>
                    <w:rPr>
                      <w:rFonts w:hint="eastAsia"/>
                      <w:color w:val="auto"/>
                      <w:szCs w:val="21"/>
                    </w:rPr>
                    <w:t>本项目污水处理站出水2483.825</w:t>
                  </w:r>
                  <w:r>
                    <w:rPr>
                      <w:color w:val="auto"/>
                      <w:szCs w:val="21"/>
                    </w:rPr>
                    <w:t>t/a</w:t>
                  </w:r>
                </w:p>
              </w:tc>
              <w:tc>
                <w:tcPr>
                  <w:tcW w:w="671" w:type="dxa"/>
                  <w:vAlign w:val="center"/>
                </w:tcPr>
                <w:p w14:paraId="69C2AFEA">
                  <w:pPr>
                    <w:jc w:val="center"/>
                    <w:rPr>
                      <w:color w:val="auto"/>
                      <w:szCs w:val="21"/>
                    </w:rPr>
                  </w:pPr>
                  <w:r>
                    <w:rPr>
                      <w:color w:val="auto"/>
                      <w:szCs w:val="21"/>
                    </w:rPr>
                    <w:t>排放浓度mg/L</w:t>
                  </w:r>
                </w:p>
              </w:tc>
              <w:tc>
                <w:tcPr>
                  <w:tcW w:w="1065" w:type="dxa"/>
                  <w:vAlign w:val="center"/>
                </w:tcPr>
                <w:p w14:paraId="6CE38C02">
                  <w:pPr>
                    <w:jc w:val="center"/>
                    <w:rPr>
                      <w:color w:val="auto"/>
                      <w:szCs w:val="21"/>
                    </w:rPr>
                  </w:pPr>
                  <w:r>
                    <w:rPr>
                      <w:rFonts w:hint="eastAsia"/>
                      <w:color w:val="auto"/>
                      <w:szCs w:val="21"/>
                    </w:rPr>
                    <w:t>7.85~7.87</w:t>
                  </w:r>
                </w:p>
              </w:tc>
              <w:tc>
                <w:tcPr>
                  <w:tcW w:w="689" w:type="dxa"/>
                  <w:vAlign w:val="center"/>
                </w:tcPr>
                <w:p w14:paraId="707F070F">
                  <w:pPr>
                    <w:jc w:val="center"/>
                    <w:rPr>
                      <w:color w:val="auto"/>
                      <w:szCs w:val="21"/>
                    </w:rPr>
                  </w:pPr>
                  <w:r>
                    <w:rPr>
                      <w:rFonts w:hint="eastAsia"/>
                      <w:color w:val="auto"/>
                      <w:szCs w:val="21"/>
                    </w:rPr>
                    <w:t>44</w:t>
                  </w:r>
                </w:p>
              </w:tc>
              <w:tc>
                <w:tcPr>
                  <w:tcW w:w="740" w:type="dxa"/>
                  <w:vAlign w:val="center"/>
                </w:tcPr>
                <w:p w14:paraId="543EBEA9">
                  <w:pPr>
                    <w:jc w:val="center"/>
                    <w:rPr>
                      <w:color w:val="auto"/>
                    </w:rPr>
                  </w:pPr>
                  <w:r>
                    <w:rPr>
                      <w:rFonts w:hint="eastAsia"/>
                      <w:color w:val="auto"/>
                      <w:szCs w:val="21"/>
                    </w:rPr>
                    <w:t>7.2</w:t>
                  </w:r>
                </w:p>
              </w:tc>
              <w:tc>
                <w:tcPr>
                  <w:tcW w:w="689" w:type="dxa"/>
                  <w:vAlign w:val="center"/>
                </w:tcPr>
                <w:p w14:paraId="06254F1C">
                  <w:pPr>
                    <w:jc w:val="center"/>
                    <w:rPr>
                      <w:color w:val="auto"/>
                      <w:szCs w:val="21"/>
                    </w:rPr>
                  </w:pPr>
                  <w:r>
                    <w:rPr>
                      <w:rFonts w:hint="eastAsia"/>
                      <w:color w:val="auto"/>
                      <w:szCs w:val="21"/>
                    </w:rPr>
                    <w:t>17</w:t>
                  </w:r>
                </w:p>
              </w:tc>
              <w:tc>
                <w:tcPr>
                  <w:tcW w:w="821" w:type="dxa"/>
                  <w:vAlign w:val="center"/>
                </w:tcPr>
                <w:p w14:paraId="6058A65C">
                  <w:pPr>
                    <w:jc w:val="center"/>
                    <w:rPr>
                      <w:color w:val="auto"/>
                      <w:szCs w:val="21"/>
                    </w:rPr>
                  </w:pPr>
                  <w:r>
                    <w:rPr>
                      <w:rFonts w:hint="eastAsia"/>
                      <w:color w:val="auto"/>
                      <w:szCs w:val="21"/>
                    </w:rPr>
                    <w:t>13.4</w:t>
                  </w:r>
                </w:p>
              </w:tc>
              <w:tc>
                <w:tcPr>
                  <w:tcW w:w="1032" w:type="dxa"/>
                  <w:vAlign w:val="center"/>
                </w:tcPr>
                <w:p w14:paraId="43F2F24F">
                  <w:pPr>
                    <w:jc w:val="center"/>
                    <w:rPr>
                      <w:color w:val="auto"/>
                      <w:szCs w:val="21"/>
                    </w:rPr>
                  </w:pPr>
                  <w:r>
                    <w:rPr>
                      <w:rFonts w:hint="eastAsia"/>
                      <w:color w:val="auto"/>
                      <w:szCs w:val="21"/>
                    </w:rPr>
                    <w:t>70</w:t>
                  </w:r>
                </w:p>
              </w:tc>
              <w:tc>
                <w:tcPr>
                  <w:tcW w:w="945" w:type="dxa"/>
                  <w:vAlign w:val="center"/>
                </w:tcPr>
                <w:p w14:paraId="5A46A733">
                  <w:pPr>
                    <w:jc w:val="center"/>
                    <w:rPr>
                      <w:color w:val="auto"/>
                      <w:szCs w:val="21"/>
                    </w:rPr>
                  </w:pPr>
                  <w:r>
                    <w:rPr>
                      <w:rFonts w:hint="eastAsia"/>
                      <w:color w:val="auto"/>
                      <w:szCs w:val="21"/>
                    </w:rPr>
                    <w:t>0.4</w:t>
                  </w:r>
                </w:p>
              </w:tc>
              <w:tc>
                <w:tcPr>
                  <w:tcW w:w="1010" w:type="dxa"/>
                  <w:vAlign w:val="center"/>
                </w:tcPr>
                <w:p w14:paraId="63893BF2">
                  <w:pPr>
                    <w:jc w:val="center"/>
                    <w:rPr>
                      <w:color w:val="auto"/>
                      <w:szCs w:val="21"/>
                    </w:rPr>
                  </w:pPr>
                  <w:r>
                    <w:rPr>
                      <w:rFonts w:hint="eastAsia"/>
                      <w:color w:val="auto"/>
                      <w:szCs w:val="21"/>
                    </w:rPr>
                    <w:t>4.69</w:t>
                  </w:r>
                </w:p>
              </w:tc>
            </w:tr>
            <w:tr w14:paraId="1999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47690290">
                  <w:pPr>
                    <w:jc w:val="center"/>
                    <w:rPr>
                      <w:color w:val="auto"/>
                      <w:szCs w:val="21"/>
                    </w:rPr>
                  </w:pPr>
                </w:p>
              </w:tc>
              <w:tc>
                <w:tcPr>
                  <w:tcW w:w="671" w:type="dxa"/>
                  <w:vAlign w:val="center"/>
                </w:tcPr>
                <w:p w14:paraId="22942CB9">
                  <w:pPr>
                    <w:jc w:val="center"/>
                    <w:rPr>
                      <w:color w:val="auto"/>
                      <w:szCs w:val="21"/>
                    </w:rPr>
                  </w:pPr>
                  <w:r>
                    <w:rPr>
                      <w:color w:val="auto"/>
                      <w:szCs w:val="21"/>
                    </w:rPr>
                    <w:t>排放量t/a</w:t>
                  </w:r>
                </w:p>
              </w:tc>
              <w:tc>
                <w:tcPr>
                  <w:tcW w:w="1065" w:type="dxa"/>
                  <w:vAlign w:val="center"/>
                </w:tcPr>
                <w:p w14:paraId="298489F4">
                  <w:pPr>
                    <w:jc w:val="center"/>
                    <w:rPr>
                      <w:color w:val="auto"/>
                      <w:szCs w:val="21"/>
                    </w:rPr>
                  </w:pPr>
                  <w:r>
                    <w:rPr>
                      <w:color w:val="auto"/>
                      <w:szCs w:val="21"/>
                    </w:rPr>
                    <w:t>—</w:t>
                  </w:r>
                </w:p>
              </w:tc>
              <w:tc>
                <w:tcPr>
                  <w:tcW w:w="689" w:type="dxa"/>
                  <w:vAlign w:val="center"/>
                </w:tcPr>
                <w:p w14:paraId="5CAD19D3">
                  <w:pPr>
                    <w:jc w:val="center"/>
                    <w:rPr>
                      <w:color w:val="auto"/>
                      <w:szCs w:val="21"/>
                    </w:rPr>
                  </w:pPr>
                  <w:r>
                    <w:rPr>
                      <w:rFonts w:hint="eastAsia"/>
                      <w:color w:val="auto"/>
                      <w:szCs w:val="21"/>
                    </w:rPr>
                    <w:t>0.109</w:t>
                  </w:r>
                </w:p>
              </w:tc>
              <w:tc>
                <w:tcPr>
                  <w:tcW w:w="740" w:type="dxa"/>
                  <w:vAlign w:val="center"/>
                </w:tcPr>
                <w:p w14:paraId="77C498BA">
                  <w:pPr>
                    <w:jc w:val="center"/>
                    <w:rPr>
                      <w:color w:val="auto"/>
                    </w:rPr>
                  </w:pPr>
                  <w:r>
                    <w:rPr>
                      <w:rFonts w:hint="eastAsia"/>
                      <w:color w:val="auto"/>
                    </w:rPr>
                    <w:t>0.018</w:t>
                  </w:r>
                </w:p>
              </w:tc>
              <w:tc>
                <w:tcPr>
                  <w:tcW w:w="689" w:type="dxa"/>
                  <w:vAlign w:val="center"/>
                </w:tcPr>
                <w:p w14:paraId="4C24190C">
                  <w:pPr>
                    <w:jc w:val="center"/>
                    <w:rPr>
                      <w:color w:val="auto"/>
                      <w:szCs w:val="21"/>
                    </w:rPr>
                  </w:pPr>
                  <w:r>
                    <w:rPr>
                      <w:rFonts w:hint="eastAsia"/>
                      <w:color w:val="auto"/>
                      <w:szCs w:val="21"/>
                    </w:rPr>
                    <w:t>0.042</w:t>
                  </w:r>
                </w:p>
              </w:tc>
              <w:tc>
                <w:tcPr>
                  <w:tcW w:w="821" w:type="dxa"/>
                  <w:vAlign w:val="center"/>
                </w:tcPr>
                <w:p w14:paraId="1FE1B668">
                  <w:pPr>
                    <w:jc w:val="center"/>
                    <w:rPr>
                      <w:color w:val="auto"/>
                      <w:szCs w:val="21"/>
                    </w:rPr>
                  </w:pPr>
                  <w:r>
                    <w:rPr>
                      <w:rFonts w:hint="eastAsia"/>
                      <w:color w:val="auto"/>
                      <w:szCs w:val="21"/>
                    </w:rPr>
                    <w:t>0.033</w:t>
                  </w:r>
                </w:p>
              </w:tc>
              <w:tc>
                <w:tcPr>
                  <w:tcW w:w="1032" w:type="dxa"/>
                  <w:vAlign w:val="center"/>
                </w:tcPr>
                <w:p w14:paraId="311F6D7A">
                  <w:pPr>
                    <w:jc w:val="center"/>
                    <w:rPr>
                      <w:color w:val="auto"/>
                      <w:szCs w:val="21"/>
                    </w:rPr>
                  </w:pPr>
                  <w:r>
                    <w:rPr>
                      <w:color w:val="auto"/>
                      <w:szCs w:val="21"/>
                    </w:rPr>
                    <w:t>—</w:t>
                  </w:r>
                </w:p>
              </w:tc>
              <w:tc>
                <w:tcPr>
                  <w:tcW w:w="945" w:type="dxa"/>
                  <w:vAlign w:val="center"/>
                </w:tcPr>
                <w:p w14:paraId="1DB7B5EB">
                  <w:pPr>
                    <w:jc w:val="center"/>
                    <w:rPr>
                      <w:color w:val="auto"/>
                      <w:szCs w:val="21"/>
                    </w:rPr>
                  </w:pPr>
                  <w:r>
                    <w:rPr>
                      <w:color w:val="auto"/>
                      <w:szCs w:val="21"/>
                    </w:rPr>
                    <w:t>—</w:t>
                  </w:r>
                </w:p>
              </w:tc>
              <w:tc>
                <w:tcPr>
                  <w:tcW w:w="1010" w:type="dxa"/>
                  <w:vAlign w:val="center"/>
                </w:tcPr>
                <w:p w14:paraId="2BCAAE9F">
                  <w:pPr>
                    <w:jc w:val="center"/>
                    <w:rPr>
                      <w:color w:val="auto"/>
                      <w:szCs w:val="21"/>
                    </w:rPr>
                  </w:pPr>
                  <w:r>
                    <w:rPr>
                      <w:rFonts w:hint="eastAsia"/>
                      <w:color w:val="auto"/>
                      <w:szCs w:val="21"/>
                    </w:rPr>
                    <w:t>0.012</w:t>
                  </w:r>
                </w:p>
              </w:tc>
            </w:tr>
            <w:tr w14:paraId="335C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3CE8FD35">
                  <w:pPr>
                    <w:jc w:val="center"/>
                    <w:rPr>
                      <w:color w:val="auto"/>
                      <w:szCs w:val="21"/>
                    </w:rPr>
                  </w:pPr>
                  <w:r>
                    <w:rPr>
                      <w:rFonts w:hint="eastAsia"/>
                      <w:color w:val="auto"/>
                      <w:szCs w:val="21"/>
                    </w:rPr>
                    <w:t>现有项目污水处理站出水2482</w:t>
                  </w:r>
                  <w:r>
                    <w:rPr>
                      <w:color w:val="auto"/>
                      <w:szCs w:val="21"/>
                    </w:rPr>
                    <w:t>t/a</w:t>
                  </w:r>
                </w:p>
              </w:tc>
              <w:tc>
                <w:tcPr>
                  <w:tcW w:w="671" w:type="dxa"/>
                  <w:vAlign w:val="center"/>
                </w:tcPr>
                <w:p w14:paraId="5146B657">
                  <w:pPr>
                    <w:jc w:val="center"/>
                    <w:rPr>
                      <w:color w:val="auto"/>
                      <w:szCs w:val="21"/>
                    </w:rPr>
                  </w:pPr>
                  <w:r>
                    <w:rPr>
                      <w:color w:val="auto"/>
                      <w:szCs w:val="21"/>
                    </w:rPr>
                    <w:t>排放浓度mg/L</w:t>
                  </w:r>
                </w:p>
              </w:tc>
              <w:tc>
                <w:tcPr>
                  <w:tcW w:w="1065" w:type="dxa"/>
                  <w:vAlign w:val="center"/>
                </w:tcPr>
                <w:p w14:paraId="20CE0A83">
                  <w:pPr>
                    <w:jc w:val="center"/>
                    <w:rPr>
                      <w:color w:val="auto"/>
                      <w:szCs w:val="21"/>
                    </w:rPr>
                  </w:pPr>
                  <w:r>
                    <w:rPr>
                      <w:rFonts w:hint="eastAsia"/>
                      <w:color w:val="auto"/>
                      <w:szCs w:val="21"/>
                    </w:rPr>
                    <w:t>7.85~7.87</w:t>
                  </w:r>
                </w:p>
              </w:tc>
              <w:tc>
                <w:tcPr>
                  <w:tcW w:w="689" w:type="dxa"/>
                  <w:vAlign w:val="center"/>
                </w:tcPr>
                <w:p w14:paraId="1B761471">
                  <w:pPr>
                    <w:jc w:val="center"/>
                    <w:rPr>
                      <w:color w:val="auto"/>
                      <w:szCs w:val="21"/>
                    </w:rPr>
                  </w:pPr>
                  <w:r>
                    <w:rPr>
                      <w:rFonts w:hint="eastAsia"/>
                      <w:color w:val="auto"/>
                      <w:szCs w:val="21"/>
                    </w:rPr>
                    <w:t>44</w:t>
                  </w:r>
                </w:p>
              </w:tc>
              <w:tc>
                <w:tcPr>
                  <w:tcW w:w="740" w:type="dxa"/>
                  <w:vAlign w:val="center"/>
                </w:tcPr>
                <w:p w14:paraId="1BFAE628">
                  <w:pPr>
                    <w:jc w:val="center"/>
                    <w:rPr>
                      <w:color w:val="auto"/>
                    </w:rPr>
                  </w:pPr>
                  <w:r>
                    <w:rPr>
                      <w:rFonts w:hint="eastAsia"/>
                      <w:color w:val="auto"/>
                      <w:szCs w:val="21"/>
                    </w:rPr>
                    <w:t>7.2</w:t>
                  </w:r>
                </w:p>
              </w:tc>
              <w:tc>
                <w:tcPr>
                  <w:tcW w:w="689" w:type="dxa"/>
                  <w:vAlign w:val="center"/>
                </w:tcPr>
                <w:p w14:paraId="035C3B5E">
                  <w:pPr>
                    <w:jc w:val="center"/>
                    <w:rPr>
                      <w:color w:val="auto"/>
                      <w:szCs w:val="21"/>
                    </w:rPr>
                  </w:pPr>
                  <w:r>
                    <w:rPr>
                      <w:rFonts w:hint="eastAsia"/>
                      <w:color w:val="auto"/>
                      <w:szCs w:val="21"/>
                    </w:rPr>
                    <w:t>17</w:t>
                  </w:r>
                </w:p>
              </w:tc>
              <w:tc>
                <w:tcPr>
                  <w:tcW w:w="821" w:type="dxa"/>
                  <w:vAlign w:val="center"/>
                </w:tcPr>
                <w:p w14:paraId="045E266C">
                  <w:pPr>
                    <w:jc w:val="center"/>
                    <w:rPr>
                      <w:color w:val="auto"/>
                      <w:szCs w:val="21"/>
                    </w:rPr>
                  </w:pPr>
                  <w:r>
                    <w:rPr>
                      <w:rFonts w:hint="eastAsia"/>
                      <w:color w:val="auto"/>
                      <w:szCs w:val="21"/>
                    </w:rPr>
                    <w:t>13.4</w:t>
                  </w:r>
                </w:p>
              </w:tc>
              <w:tc>
                <w:tcPr>
                  <w:tcW w:w="1032" w:type="dxa"/>
                  <w:vAlign w:val="center"/>
                </w:tcPr>
                <w:p w14:paraId="2AF4A33A">
                  <w:pPr>
                    <w:jc w:val="center"/>
                    <w:rPr>
                      <w:color w:val="auto"/>
                      <w:szCs w:val="21"/>
                    </w:rPr>
                  </w:pPr>
                  <w:r>
                    <w:rPr>
                      <w:rFonts w:hint="eastAsia"/>
                      <w:color w:val="auto"/>
                      <w:szCs w:val="21"/>
                    </w:rPr>
                    <w:t>70</w:t>
                  </w:r>
                </w:p>
              </w:tc>
              <w:tc>
                <w:tcPr>
                  <w:tcW w:w="945" w:type="dxa"/>
                  <w:vAlign w:val="center"/>
                </w:tcPr>
                <w:p w14:paraId="06269F12">
                  <w:pPr>
                    <w:jc w:val="center"/>
                    <w:rPr>
                      <w:color w:val="auto"/>
                      <w:szCs w:val="21"/>
                    </w:rPr>
                  </w:pPr>
                  <w:r>
                    <w:rPr>
                      <w:rFonts w:hint="eastAsia"/>
                      <w:color w:val="auto"/>
                      <w:szCs w:val="21"/>
                    </w:rPr>
                    <w:t>0.4</w:t>
                  </w:r>
                </w:p>
              </w:tc>
              <w:tc>
                <w:tcPr>
                  <w:tcW w:w="1010" w:type="dxa"/>
                  <w:vAlign w:val="center"/>
                </w:tcPr>
                <w:p w14:paraId="12B13575">
                  <w:pPr>
                    <w:jc w:val="center"/>
                    <w:rPr>
                      <w:color w:val="auto"/>
                      <w:szCs w:val="21"/>
                    </w:rPr>
                  </w:pPr>
                  <w:r>
                    <w:rPr>
                      <w:rFonts w:hint="eastAsia"/>
                      <w:color w:val="auto"/>
                      <w:szCs w:val="21"/>
                    </w:rPr>
                    <w:t>4.69</w:t>
                  </w:r>
                </w:p>
              </w:tc>
            </w:tr>
            <w:tr w14:paraId="51E4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7DDA5EDC">
                  <w:pPr>
                    <w:jc w:val="center"/>
                    <w:rPr>
                      <w:color w:val="auto"/>
                      <w:szCs w:val="21"/>
                    </w:rPr>
                  </w:pPr>
                </w:p>
              </w:tc>
              <w:tc>
                <w:tcPr>
                  <w:tcW w:w="671" w:type="dxa"/>
                  <w:vAlign w:val="center"/>
                </w:tcPr>
                <w:p w14:paraId="3D762A57">
                  <w:pPr>
                    <w:jc w:val="center"/>
                    <w:rPr>
                      <w:color w:val="auto"/>
                      <w:szCs w:val="21"/>
                    </w:rPr>
                  </w:pPr>
                  <w:r>
                    <w:rPr>
                      <w:color w:val="auto"/>
                      <w:szCs w:val="21"/>
                    </w:rPr>
                    <w:t>排放量t/a</w:t>
                  </w:r>
                </w:p>
              </w:tc>
              <w:tc>
                <w:tcPr>
                  <w:tcW w:w="1065" w:type="dxa"/>
                  <w:vAlign w:val="center"/>
                </w:tcPr>
                <w:p w14:paraId="79430E5D">
                  <w:pPr>
                    <w:jc w:val="center"/>
                    <w:rPr>
                      <w:color w:val="auto"/>
                      <w:szCs w:val="21"/>
                    </w:rPr>
                  </w:pPr>
                  <w:r>
                    <w:rPr>
                      <w:color w:val="auto"/>
                      <w:szCs w:val="21"/>
                    </w:rPr>
                    <w:t>—</w:t>
                  </w:r>
                </w:p>
              </w:tc>
              <w:tc>
                <w:tcPr>
                  <w:tcW w:w="689" w:type="dxa"/>
                  <w:vAlign w:val="center"/>
                </w:tcPr>
                <w:p w14:paraId="1C8AFFEC">
                  <w:pPr>
                    <w:jc w:val="center"/>
                    <w:rPr>
                      <w:color w:val="auto"/>
                      <w:szCs w:val="21"/>
                    </w:rPr>
                  </w:pPr>
                  <w:r>
                    <w:rPr>
                      <w:rFonts w:hint="eastAsia"/>
                      <w:color w:val="auto"/>
                      <w:szCs w:val="21"/>
                    </w:rPr>
                    <w:t>0.109</w:t>
                  </w:r>
                </w:p>
              </w:tc>
              <w:tc>
                <w:tcPr>
                  <w:tcW w:w="740" w:type="dxa"/>
                  <w:vAlign w:val="center"/>
                </w:tcPr>
                <w:p w14:paraId="1B88B736">
                  <w:pPr>
                    <w:jc w:val="center"/>
                    <w:rPr>
                      <w:color w:val="auto"/>
                    </w:rPr>
                  </w:pPr>
                  <w:r>
                    <w:rPr>
                      <w:rFonts w:hint="eastAsia"/>
                      <w:color w:val="auto"/>
                    </w:rPr>
                    <w:t>0.018</w:t>
                  </w:r>
                </w:p>
              </w:tc>
              <w:tc>
                <w:tcPr>
                  <w:tcW w:w="689" w:type="dxa"/>
                  <w:vAlign w:val="center"/>
                </w:tcPr>
                <w:p w14:paraId="66E9481D">
                  <w:pPr>
                    <w:jc w:val="center"/>
                    <w:rPr>
                      <w:color w:val="auto"/>
                      <w:szCs w:val="21"/>
                    </w:rPr>
                  </w:pPr>
                  <w:r>
                    <w:rPr>
                      <w:rFonts w:hint="eastAsia"/>
                      <w:color w:val="auto"/>
                      <w:szCs w:val="21"/>
                    </w:rPr>
                    <w:t>0.042</w:t>
                  </w:r>
                </w:p>
              </w:tc>
              <w:tc>
                <w:tcPr>
                  <w:tcW w:w="821" w:type="dxa"/>
                  <w:vAlign w:val="center"/>
                </w:tcPr>
                <w:p w14:paraId="1E8074E7">
                  <w:pPr>
                    <w:jc w:val="center"/>
                    <w:rPr>
                      <w:color w:val="auto"/>
                      <w:szCs w:val="21"/>
                    </w:rPr>
                  </w:pPr>
                  <w:r>
                    <w:rPr>
                      <w:rFonts w:hint="eastAsia"/>
                      <w:color w:val="auto"/>
                      <w:szCs w:val="21"/>
                    </w:rPr>
                    <w:t>0.033</w:t>
                  </w:r>
                </w:p>
              </w:tc>
              <w:tc>
                <w:tcPr>
                  <w:tcW w:w="1032" w:type="dxa"/>
                  <w:vAlign w:val="center"/>
                </w:tcPr>
                <w:p w14:paraId="411178C4">
                  <w:pPr>
                    <w:jc w:val="center"/>
                    <w:rPr>
                      <w:color w:val="auto"/>
                      <w:szCs w:val="21"/>
                    </w:rPr>
                  </w:pPr>
                  <w:r>
                    <w:rPr>
                      <w:color w:val="auto"/>
                      <w:szCs w:val="21"/>
                    </w:rPr>
                    <w:t>—</w:t>
                  </w:r>
                </w:p>
              </w:tc>
              <w:tc>
                <w:tcPr>
                  <w:tcW w:w="945" w:type="dxa"/>
                  <w:vAlign w:val="center"/>
                </w:tcPr>
                <w:p w14:paraId="5652CF8B">
                  <w:pPr>
                    <w:jc w:val="center"/>
                    <w:rPr>
                      <w:color w:val="auto"/>
                      <w:szCs w:val="21"/>
                    </w:rPr>
                  </w:pPr>
                  <w:r>
                    <w:rPr>
                      <w:color w:val="auto"/>
                      <w:szCs w:val="21"/>
                    </w:rPr>
                    <w:t>—</w:t>
                  </w:r>
                </w:p>
              </w:tc>
              <w:tc>
                <w:tcPr>
                  <w:tcW w:w="1010" w:type="dxa"/>
                  <w:vAlign w:val="center"/>
                </w:tcPr>
                <w:p w14:paraId="41F0E741">
                  <w:pPr>
                    <w:jc w:val="center"/>
                    <w:rPr>
                      <w:color w:val="auto"/>
                      <w:szCs w:val="21"/>
                    </w:rPr>
                  </w:pPr>
                  <w:r>
                    <w:rPr>
                      <w:rFonts w:hint="eastAsia"/>
                      <w:color w:val="auto"/>
                      <w:szCs w:val="21"/>
                    </w:rPr>
                    <w:t>0.013</w:t>
                  </w:r>
                </w:p>
              </w:tc>
            </w:tr>
          </w:tbl>
          <w:p w14:paraId="4736A4C2">
            <w:pPr>
              <w:adjustRightInd w:val="0"/>
              <w:snapToGrid w:val="0"/>
              <w:spacing w:line="360" w:lineRule="auto"/>
              <w:ind w:firstLine="482"/>
              <w:rPr>
                <w:b/>
                <w:color w:val="auto"/>
                <w:kern w:val="0"/>
                <w:sz w:val="24"/>
              </w:rPr>
            </w:pPr>
            <w:r>
              <w:rPr>
                <w:rFonts w:hint="eastAsia"/>
                <w:b/>
                <w:color w:val="auto"/>
                <w:kern w:val="0"/>
                <w:sz w:val="24"/>
              </w:rPr>
              <w:t>②</w:t>
            </w:r>
            <w:r>
              <w:rPr>
                <w:b/>
                <w:color w:val="auto"/>
                <w:kern w:val="0"/>
                <w:sz w:val="24"/>
              </w:rPr>
              <w:t>处理工艺</w:t>
            </w:r>
          </w:p>
          <w:p w14:paraId="165B924D">
            <w:pPr>
              <w:spacing w:line="360" w:lineRule="auto"/>
              <w:ind w:firstLine="480"/>
              <w:rPr>
                <w:color w:val="auto"/>
              </w:rPr>
            </w:pPr>
            <w:r>
              <w:rPr>
                <w:rFonts w:hint="eastAsia"/>
                <w:color w:val="auto"/>
                <w:sz w:val="24"/>
              </w:rPr>
              <w:t>根据《卫生院污水处理工程技术规范》（HJ2029-2013）中的</w:t>
            </w:r>
            <w:r>
              <w:rPr>
                <w:color w:val="auto"/>
                <w:sz w:val="24"/>
              </w:rPr>
              <w:t>要求“非传染病</w:t>
            </w:r>
            <w:r>
              <w:rPr>
                <w:rFonts w:hint="eastAsia"/>
                <w:color w:val="auto"/>
                <w:sz w:val="24"/>
              </w:rPr>
              <w:t>卫生院</w:t>
            </w:r>
            <w:r>
              <w:rPr>
                <w:color w:val="auto"/>
                <w:sz w:val="24"/>
              </w:rPr>
              <w:t>污水，若处理出水排</w:t>
            </w:r>
            <w:r>
              <w:rPr>
                <w:rFonts w:hint="eastAsia"/>
                <w:color w:val="auto"/>
                <w:sz w:val="24"/>
              </w:rPr>
              <w:t>口终端已建有正常运行的二级污水处理厂的城市污水管网时</w:t>
            </w:r>
            <w:r>
              <w:rPr>
                <w:color w:val="auto"/>
                <w:sz w:val="24"/>
              </w:rPr>
              <w:t>，</w:t>
            </w:r>
            <w:r>
              <w:rPr>
                <w:rFonts w:hint="eastAsia"/>
                <w:color w:val="auto"/>
                <w:sz w:val="24"/>
              </w:rPr>
              <w:t>可</w:t>
            </w:r>
            <w:r>
              <w:rPr>
                <w:color w:val="auto"/>
                <w:sz w:val="24"/>
              </w:rPr>
              <w:t>采用</w:t>
            </w:r>
            <w:r>
              <w:rPr>
                <w:rFonts w:hint="eastAsia"/>
                <w:color w:val="auto"/>
                <w:sz w:val="24"/>
              </w:rPr>
              <w:t>“生化</w:t>
            </w:r>
            <w:r>
              <w:rPr>
                <w:color w:val="auto"/>
                <w:sz w:val="24"/>
              </w:rPr>
              <w:t>处理+消毒工艺</w:t>
            </w:r>
            <w:r>
              <w:rPr>
                <w:rFonts w:hint="eastAsia"/>
                <w:color w:val="auto"/>
                <w:sz w:val="24"/>
              </w:rPr>
              <w:t>”，本项目四个污水处理站拟</w:t>
            </w:r>
            <w:r>
              <w:rPr>
                <w:color w:val="auto"/>
                <w:sz w:val="24"/>
              </w:rPr>
              <w:t>采用</w:t>
            </w:r>
            <w:r>
              <w:rPr>
                <w:rFonts w:hint="eastAsia"/>
                <w:color w:val="auto"/>
                <w:sz w:val="24"/>
              </w:rPr>
              <w:t>“水解酸化+生物接触氧化</w:t>
            </w:r>
            <w:r>
              <w:rPr>
                <w:color w:val="auto"/>
                <w:sz w:val="24"/>
              </w:rPr>
              <w:t>+消毒</w:t>
            </w:r>
            <w:r>
              <w:rPr>
                <w:rFonts w:hint="eastAsia"/>
                <w:color w:val="auto"/>
                <w:sz w:val="24"/>
              </w:rPr>
              <w:t>”</w:t>
            </w:r>
            <w:r>
              <w:rPr>
                <w:color w:val="auto"/>
                <w:sz w:val="24"/>
              </w:rPr>
              <w:t>工艺，</w:t>
            </w:r>
            <w:r>
              <w:rPr>
                <w:rFonts w:hint="eastAsia"/>
                <w:color w:val="auto"/>
                <w:sz w:val="24"/>
              </w:rPr>
              <w:t>具体处理设施工艺</w:t>
            </w:r>
            <w:r>
              <w:rPr>
                <w:color w:val="auto"/>
                <w:sz w:val="24"/>
              </w:rPr>
              <w:t>详见</w:t>
            </w:r>
            <w:r>
              <w:rPr>
                <w:rFonts w:hint="eastAsia"/>
                <w:color w:val="auto"/>
                <w:sz w:val="24"/>
              </w:rPr>
              <w:t>下</w:t>
            </w:r>
            <w:r>
              <w:rPr>
                <w:color w:val="auto"/>
                <w:sz w:val="24"/>
              </w:rPr>
              <w:t>图。</w:t>
            </w:r>
          </w:p>
          <w:p w14:paraId="5208560F">
            <w:pPr>
              <w:spacing w:line="360" w:lineRule="auto"/>
              <w:jc w:val="center"/>
              <w:rPr>
                <w:color w:val="auto"/>
              </w:rPr>
            </w:pPr>
            <w:r>
              <w:rPr>
                <w:color w:val="auto"/>
              </w:rPr>
              <w:drawing>
                <wp:inline distT="0" distB="0" distL="0" distR="0">
                  <wp:extent cx="5486400" cy="5581650"/>
                  <wp:effectExtent l="0" t="0" r="0" b="0"/>
                  <wp:docPr id="13" name="图片 101" descr="微信图片_2024100911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1" descr="微信图片_202410091149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86400" cy="5581650"/>
                          </a:xfrm>
                          <a:prstGeom prst="rect">
                            <a:avLst/>
                          </a:prstGeom>
                          <a:noFill/>
                          <a:ln>
                            <a:noFill/>
                          </a:ln>
                        </pic:spPr>
                      </pic:pic>
                    </a:graphicData>
                  </a:graphic>
                </wp:inline>
              </w:drawing>
            </w:r>
            <w:r>
              <w:rPr>
                <w:color w:val="auto"/>
              </w:rPr>
              <mc:AlternateContent>
                <mc:Choice Requires="wps">
                  <w:drawing>
                    <wp:anchor distT="0" distB="0" distL="114300" distR="114300" simplePos="0" relativeHeight="251659264" behindDoc="0" locked="0" layoutInCell="1" allowOverlap="1">
                      <wp:simplePos x="0" y="0"/>
                      <wp:positionH relativeFrom="column">
                        <wp:posOffset>648335</wp:posOffset>
                      </wp:positionH>
                      <wp:positionV relativeFrom="paragraph">
                        <wp:posOffset>1587500</wp:posOffset>
                      </wp:positionV>
                      <wp:extent cx="1733550" cy="635"/>
                      <wp:effectExtent l="0" t="3175" r="635" b="0"/>
                      <wp:wrapNone/>
                      <wp:docPr id="1685985308" name="直线 9"/>
                      <wp:cNvGraphicFramePr/>
                      <a:graphic xmlns:a="http://schemas.openxmlformats.org/drawingml/2006/main">
                        <a:graphicData uri="http://schemas.microsoft.com/office/word/2010/wordprocessingShape">
                          <wps:wsp>
                            <wps:cNvCnPr>
                              <a:cxnSpLocks noChangeShapeType="1"/>
                            </wps:cNvCnPr>
                            <wps:spPr bwMode="auto">
                              <a:xfrm flipH="1">
                                <a:off x="0" y="0"/>
                                <a:ext cx="1733550" cy="635"/>
                              </a:xfrm>
                              <a:prstGeom prst="line">
                                <a:avLst/>
                              </a:prstGeom>
                              <a:noFill/>
                              <a:ln>
                                <a:noFill/>
                              </a:ln>
                            </wps:spPr>
                            <wps:bodyPr/>
                          </wps:wsp>
                        </a:graphicData>
                      </a:graphic>
                    </wp:anchor>
                  </w:drawing>
                </mc:Choice>
                <mc:Fallback>
                  <w:pict>
                    <v:line id="直线 9" o:spid="_x0000_s1026" o:spt="20" style="position:absolute;left:0pt;flip:x;margin-left:51.05pt;margin-top:125pt;height:0.05pt;width:136.5pt;z-index:251659264;mso-width-relative:page;mso-height-relative:page;" filled="f" stroked="f" coordsize="21600,21600" o:gfxdata="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6Lsai1wAAAAsBAAAPAAAAAAAAAAEAIAAAACIAAABkcnMvZG93&#10;bnJldi54bWxQSwECFAAUAAAACACHTuJAr3KEgsgBAAB6AwAADgAAAAAAAAABACAAAAAmAQAAZHJz&#10;L2Uyb0RvYy54bWxQSwUGAAAAAAYABgBZAQAAYAUAAAAA&#10;">
                      <v:fill on="f" focussize="0,0"/>
                      <v:stroke on="f"/>
                      <v:imagedata o:title=""/>
                      <o:lock v:ext="edit" aspectratio="f"/>
                    </v:line>
                  </w:pict>
                </mc:Fallback>
              </mc:AlternateContent>
            </w:r>
          </w:p>
          <w:p w14:paraId="24DA5F3C">
            <w:pPr>
              <w:spacing w:line="360" w:lineRule="auto"/>
              <w:jc w:val="center"/>
              <w:rPr>
                <w:b/>
                <w:color w:val="auto"/>
                <w:sz w:val="24"/>
              </w:rPr>
            </w:pPr>
            <w:r>
              <w:rPr>
                <w:b/>
                <w:color w:val="auto"/>
                <w:sz w:val="24"/>
              </w:rPr>
              <w:t>图</w:t>
            </w:r>
            <w:r>
              <w:rPr>
                <w:rFonts w:hint="eastAsia"/>
                <w:b/>
                <w:color w:val="auto"/>
                <w:sz w:val="24"/>
              </w:rPr>
              <w:t>4</w:t>
            </w:r>
            <w:r>
              <w:rPr>
                <w:b/>
                <w:color w:val="auto"/>
                <w:sz w:val="24"/>
              </w:rPr>
              <w:t>-1 污水处理站工作原理示意图</w:t>
            </w:r>
          </w:p>
          <w:p w14:paraId="688435D8">
            <w:pPr>
              <w:spacing w:line="360" w:lineRule="auto"/>
              <w:rPr>
                <w:b/>
                <w:color w:val="auto"/>
                <w:sz w:val="24"/>
              </w:rPr>
            </w:pPr>
            <w:r>
              <w:rPr>
                <w:rFonts w:hint="eastAsia"/>
                <w:b/>
                <w:color w:val="auto"/>
                <w:sz w:val="24"/>
              </w:rPr>
              <w:t>A、工艺流程简述</w:t>
            </w:r>
          </w:p>
          <w:p w14:paraId="33129063">
            <w:pPr>
              <w:spacing w:line="360" w:lineRule="auto"/>
              <w:ind w:firstLine="480" w:firstLineChars="200"/>
              <w:rPr>
                <w:color w:val="auto"/>
                <w:sz w:val="24"/>
              </w:rPr>
            </w:pPr>
            <w:r>
              <w:rPr>
                <w:rFonts w:hint="eastAsia"/>
                <w:color w:val="auto"/>
                <w:sz w:val="24"/>
              </w:rPr>
              <w:t>项目污水处理站的出水按照《医疗机构水污染物排放标准》（</w:t>
            </w:r>
            <w:r>
              <w:rPr>
                <w:color w:val="auto"/>
                <w:sz w:val="24"/>
              </w:rPr>
              <w:t>GB18466</w:t>
            </w:r>
            <w:r>
              <w:rPr>
                <w:rFonts w:hint="eastAsia"/>
                <w:color w:val="auto"/>
                <w:sz w:val="24"/>
              </w:rPr>
              <w:t>－</w:t>
            </w:r>
            <w:r>
              <w:rPr>
                <w:color w:val="auto"/>
                <w:sz w:val="24"/>
              </w:rPr>
              <w:t>2005</w:t>
            </w:r>
            <w:r>
              <w:rPr>
                <w:rFonts w:hint="eastAsia"/>
                <w:color w:val="auto"/>
                <w:sz w:val="24"/>
              </w:rPr>
              <w:t>）表</w:t>
            </w:r>
            <w:r>
              <w:rPr>
                <w:color w:val="auto"/>
                <w:sz w:val="24"/>
              </w:rPr>
              <w:t>2</w:t>
            </w:r>
            <w:r>
              <w:rPr>
                <w:rFonts w:hint="eastAsia"/>
                <w:color w:val="auto"/>
                <w:sz w:val="24"/>
              </w:rPr>
              <w:t xml:space="preserve">的排放标准进行设计。 </w:t>
            </w:r>
          </w:p>
          <w:p w14:paraId="6A39F589">
            <w:pPr>
              <w:spacing w:line="360" w:lineRule="auto"/>
              <w:ind w:firstLine="480"/>
              <w:rPr>
                <w:color w:val="auto"/>
                <w:sz w:val="24"/>
              </w:rPr>
            </w:pPr>
            <w:r>
              <w:rPr>
                <w:rFonts w:hint="eastAsia"/>
                <w:color w:val="auto"/>
                <w:sz w:val="24"/>
              </w:rPr>
              <w:t>①水解酸化池</w:t>
            </w:r>
          </w:p>
          <w:p w14:paraId="4C8D853A">
            <w:pPr>
              <w:spacing w:line="360" w:lineRule="auto"/>
              <w:ind w:firstLine="480"/>
              <w:rPr>
                <w:color w:val="auto"/>
                <w:sz w:val="24"/>
              </w:rPr>
            </w:pPr>
            <w:r>
              <w:rPr>
                <w:rFonts w:hint="eastAsia"/>
                <w:color w:val="auto"/>
                <w:sz w:val="24"/>
              </w:rPr>
              <w:t>化粪池出水，经过综合池后进入格栅井对杂物的拦截后，进入污水处理站的水解酸化池，分解大分子有机物。</w:t>
            </w:r>
            <w:r>
              <w:rPr>
                <w:color w:val="auto"/>
                <w:sz w:val="24"/>
              </w:rPr>
              <w:t>水解是指有机物进入微生物细胞前、在胞外进行的生物化学反应。微生物通过释放胞外自由酶或连接在细胞外壁上的固定酶来完成</w:t>
            </w:r>
            <w:r>
              <w:rPr>
                <w:color w:val="auto"/>
              </w:rPr>
              <w:fldChar w:fldCharType="begin"/>
            </w:r>
            <w:r>
              <w:rPr>
                <w:color w:val="auto"/>
              </w:rPr>
              <w:instrText xml:space="preserve"> HYPERLINK "https://baike.baidu.com/item/%E7%94%9F%E7%89%A9%E5%82%AC%E5%8C%96/708320?fromModule=lemma_inlink" \t "https://baike.baidu.com/item/%E6%B0%B4%E8%A7%A3%E9%85%B8%E5%8C%96/_blank" </w:instrText>
            </w:r>
            <w:r>
              <w:rPr>
                <w:color w:val="auto"/>
              </w:rPr>
              <w:fldChar w:fldCharType="separate"/>
            </w:r>
            <w:r>
              <w:rPr>
                <w:color w:val="auto"/>
                <w:sz w:val="24"/>
              </w:rPr>
              <w:t>生物催化</w:t>
            </w:r>
            <w:r>
              <w:rPr>
                <w:color w:val="auto"/>
                <w:sz w:val="24"/>
              </w:rPr>
              <w:fldChar w:fldCharType="end"/>
            </w:r>
            <w:r>
              <w:rPr>
                <w:color w:val="auto"/>
                <w:sz w:val="24"/>
              </w:rPr>
              <w:t>反应。酸化是一类典型的发酵过程，微生物的代谢产物主要是各种有机酸。</w:t>
            </w:r>
          </w:p>
          <w:p w14:paraId="6C3CD098">
            <w:pPr>
              <w:spacing w:line="360" w:lineRule="auto"/>
              <w:ind w:firstLine="480"/>
              <w:rPr>
                <w:color w:val="auto"/>
                <w:sz w:val="24"/>
              </w:rPr>
            </w:pPr>
            <w:r>
              <w:rPr>
                <w:rFonts w:hint="eastAsia"/>
                <w:color w:val="auto"/>
                <w:sz w:val="24"/>
              </w:rPr>
              <w:t xml:space="preserve">②生物接触氧化池 </w:t>
            </w:r>
          </w:p>
          <w:p w14:paraId="741B3ED7">
            <w:pPr>
              <w:spacing w:line="360" w:lineRule="auto"/>
              <w:ind w:firstLine="480"/>
              <w:rPr>
                <w:color w:val="auto"/>
                <w:sz w:val="24"/>
              </w:rPr>
            </w:pPr>
            <w:r>
              <w:rPr>
                <w:rFonts w:hint="eastAsia"/>
                <w:color w:val="auto"/>
                <w:sz w:val="24"/>
              </w:rPr>
              <w:t>随后进入生物接触氧化池进行生物氧化反应。在生物反应池中，通过曝气机进行曝气充氧，在好氧、兼氧微生物的作用下水中的有机物质得到反应降解，形成二氧化碳和水等无害的无机物。</w:t>
            </w:r>
          </w:p>
          <w:p w14:paraId="5446C666">
            <w:pPr>
              <w:spacing w:line="360" w:lineRule="auto"/>
              <w:ind w:firstLine="480"/>
              <w:rPr>
                <w:color w:val="auto"/>
                <w:sz w:val="24"/>
              </w:rPr>
            </w:pPr>
            <w:r>
              <w:rPr>
                <w:rFonts w:hint="eastAsia"/>
                <w:color w:val="auto"/>
                <w:sz w:val="24"/>
              </w:rPr>
              <w:t xml:space="preserve">生物接触氧化法是以附着在载体（俗称填料）上的生物膜为主，净化有机废水的一种高效水处理工艺。是具有活性污泥法特点的生物膜法，兼有活性污泥法和生物膜法的优点。在可生化条件下，不论应用于工业废水还是养殖污水、生活污水的处理，都取得了良好的经济效益。该工艺因具有高效节能、占地面积小、耐冲击负荷、运行管理方便等特点而被广泛应用于各行各业的污水处理系统。生物处理是经过物化处理后的环节，也是整个污水处理循环流程中的重要环节，在这里氨氮、亚硝酸、硝酸盐、硫化氢等有害物质都将得到去除，对后序流程中水质的进一步处理将起到关键作用。 </w:t>
            </w:r>
          </w:p>
          <w:p w14:paraId="3A36207B">
            <w:pPr>
              <w:spacing w:line="360" w:lineRule="auto"/>
              <w:ind w:firstLine="480"/>
              <w:rPr>
                <w:color w:val="auto"/>
                <w:sz w:val="24"/>
              </w:rPr>
            </w:pPr>
            <w:r>
              <w:rPr>
                <w:rFonts w:hint="eastAsia"/>
                <w:color w:val="auto"/>
                <w:sz w:val="24"/>
              </w:rPr>
              <w:t xml:space="preserve">③消毒工艺及设备 </w:t>
            </w:r>
          </w:p>
          <w:p w14:paraId="4988D7F7">
            <w:pPr>
              <w:spacing w:line="360" w:lineRule="auto"/>
              <w:ind w:firstLine="480"/>
              <w:rPr>
                <w:color w:val="auto"/>
                <w:sz w:val="24"/>
              </w:rPr>
            </w:pPr>
            <w:r>
              <w:rPr>
                <w:rFonts w:hint="eastAsia"/>
                <w:color w:val="auto"/>
                <w:sz w:val="24"/>
              </w:rPr>
              <w:t>出水经沉淀池沉淀处理后，经二氧化氯消毒杀菌处理后排放。二氧化氯消毒是卫生院污水消毒常用的方法，其持续消毒能力强，具有广谱的杀菌能力，可以杀灭各种细菌、病毒等微生物及病原体，并可有效控制其再度繁殖，该消毒工艺成熟，已经得到广泛利用。配置余氯仪，控制加药量和消毒剂浓度，保证达到消毒效果，同时控制余氯量，防止排入污水处理厂的污水余氯量偏高，影响生化处理单元正常运行。保证废水能够达到《医疗机构水污染物排放标准》（</w:t>
            </w:r>
            <w:r>
              <w:rPr>
                <w:color w:val="auto"/>
                <w:sz w:val="24"/>
              </w:rPr>
              <w:t>GB18466</w:t>
            </w:r>
            <w:r>
              <w:rPr>
                <w:rFonts w:hint="eastAsia"/>
                <w:color w:val="auto"/>
                <w:sz w:val="24"/>
              </w:rPr>
              <w:t>－</w:t>
            </w:r>
            <w:r>
              <w:rPr>
                <w:color w:val="auto"/>
                <w:sz w:val="24"/>
              </w:rPr>
              <w:t>2005</w:t>
            </w:r>
            <w:r>
              <w:rPr>
                <w:rFonts w:hint="eastAsia"/>
                <w:color w:val="auto"/>
                <w:sz w:val="24"/>
              </w:rPr>
              <w:t>）预处理标准及使用含氯消毒剂消毒的工艺控制要求。</w:t>
            </w:r>
          </w:p>
          <w:p w14:paraId="21D1EAEF">
            <w:pPr>
              <w:spacing w:line="360" w:lineRule="auto"/>
              <w:ind w:firstLine="480"/>
              <w:rPr>
                <w:b/>
                <w:bCs/>
                <w:color w:val="auto"/>
                <w:sz w:val="24"/>
              </w:rPr>
            </w:pPr>
            <w:r>
              <w:rPr>
                <w:rFonts w:hint="eastAsia"/>
                <w:b/>
                <w:color w:val="auto"/>
                <w:sz w:val="24"/>
              </w:rPr>
              <w:t>B、</w:t>
            </w:r>
            <w:r>
              <w:rPr>
                <w:rFonts w:hint="eastAsia"/>
                <w:b/>
                <w:bCs/>
                <w:color w:val="auto"/>
                <w:sz w:val="24"/>
              </w:rPr>
              <w:t>可行技术对比分析</w:t>
            </w:r>
          </w:p>
          <w:p w14:paraId="0D2EA240">
            <w:pPr>
              <w:spacing w:line="360" w:lineRule="auto"/>
              <w:ind w:firstLine="480"/>
              <w:rPr>
                <w:rFonts w:hint="eastAsia" w:hAnsi="宋体"/>
                <w:color w:val="auto"/>
                <w:sz w:val="24"/>
              </w:rPr>
            </w:pPr>
            <w:r>
              <w:rPr>
                <w:rFonts w:hint="eastAsia" w:hAnsi="宋体"/>
                <w:color w:val="auto"/>
                <w:sz w:val="24"/>
              </w:rPr>
              <w:t>可行技术参考《排污许可证申请与核发技术规范 医疗机构》（HJ1105-2020）</w:t>
            </w:r>
            <w:r>
              <w:rPr>
                <w:rFonts w:hint="eastAsia"/>
                <w:color w:val="auto"/>
                <w:sz w:val="24"/>
                <w:lang w:bidi="ar"/>
              </w:rPr>
              <w:t>附录A中</w:t>
            </w:r>
            <w:r>
              <w:rPr>
                <w:rFonts w:hint="eastAsia" w:hAnsi="宋体"/>
                <w:color w:val="auto"/>
                <w:sz w:val="24"/>
              </w:rPr>
              <w:t>“表A.2”医疗机构排污单位污水治理可行技术参照表，具体见下表。</w:t>
            </w:r>
          </w:p>
          <w:p w14:paraId="071F340A">
            <w:pPr>
              <w:jc w:val="center"/>
              <w:rPr>
                <w:rFonts w:hAnsi="宋体"/>
                <w:b/>
                <w:color w:val="auto"/>
                <w:sz w:val="24"/>
              </w:rPr>
            </w:pPr>
          </w:p>
          <w:p w14:paraId="4B7DA301">
            <w:pPr>
              <w:jc w:val="center"/>
              <w:rPr>
                <w:rFonts w:hAnsi="宋体"/>
                <w:b/>
                <w:color w:val="auto"/>
                <w:sz w:val="24"/>
              </w:rPr>
            </w:pPr>
          </w:p>
          <w:p w14:paraId="3E490873">
            <w:pPr>
              <w:jc w:val="center"/>
              <w:rPr>
                <w:rFonts w:hAnsi="宋体"/>
                <w:b/>
                <w:color w:val="auto"/>
                <w:sz w:val="24"/>
              </w:rPr>
            </w:pPr>
          </w:p>
          <w:p w14:paraId="3F1076CD">
            <w:pPr>
              <w:jc w:val="center"/>
              <w:rPr>
                <w:rFonts w:hAnsi="宋体"/>
                <w:b/>
                <w:color w:val="auto"/>
                <w:sz w:val="24"/>
              </w:rPr>
            </w:pPr>
          </w:p>
          <w:p w14:paraId="675A7A74">
            <w:pPr>
              <w:jc w:val="center"/>
              <w:rPr>
                <w:rFonts w:hAnsi="宋体"/>
                <w:b/>
                <w:color w:val="auto"/>
                <w:sz w:val="24"/>
              </w:rPr>
            </w:pPr>
          </w:p>
          <w:p w14:paraId="5EA94D48">
            <w:pPr>
              <w:jc w:val="center"/>
              <w:rPr>
                <w:rFonts w:hAnsi="宋体"/>
                <w:b/>
                <w:color w:val="auto"/>
                <w:sz w:val="24"/>
              </w:rPr>
            </w:pPr>
          </w:p>
          <w:p w14:paraId="51133968">
            <w:pPr>
              <w:jc w:val="center"/>
              <w:rPr>
                <w:rFonts w:hint="eastAsia" w:hAnsi="宋体"/>
                <w:b/>
                <w:color w:val="auto"/>
                <w:sz w:val="24"/>
              </w:rPr>
            </w:pPr>
            <w:r>
              <w:rPr>
                <w:rFonts w:hAnsi="宋体"/>
                <w:b/>
                <w:color w:val="auto"/>
                <w:sz w:val="24"/>
              </w:rPr>
              <w:t>表</w:t>
            </w:r>
            <w:r>
              <w:rPr>
                <w:rFonts w:hint="eastAsia"/>
                <w:b/>
                <w:color w:val="auto"/>
                <w:sz w:val="24"/>
              </w:rPr>
              <w:t xml:space="preserve">4-14 </w:t>
            </w:r>
            <w:r>
              <w:rPr>
                <w:rFonts w:hint="eastAsia" w:hAnsi="宋体"/>
                <w:b/>
                <w:color w:val="auto"/>
                <w:sz w:val="24"/>
              </w:rPr>
              <w:t>医疗机构排污单位污水治理可行技术参照表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871"/>
              <w:gridCol w:w="1134"/>
              <w:gridCol w:w="3582"/>
            </w:tblGrid>
            <w:tr w14:paraId="39B9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698E218C">
                  <w:pPr>
                    <w:pStyle w:val="65"/>
                    <w:spacing w:beforeLines="0" w:afterLines="0" w:line="240" w:lineRule="auto"/>
                    <w:rPr>
                      <w:rFonts w:ascii="Times New Roman"/>
                      <w:b/>
                      <w:color w:val="auto"/>
                      <w:szCs w:val="21"/>
                    </w:rPr>
                  </w:pPr>
                  <w:r>
                    <w:rPr>
                      <w:rFonts w:hint="eastAsia" w:ascii="Times New Roman"/>
                      <w:b/>
                      <w:color w:val="auto"/>
                      <w:szCs w:val="21"/>
                    </w:rPr>
                    <w:t>污水类别</w:t>
                  </w:r>
                </w:p>
              </w:tc>
              <w:tc>
                <w:tcPr>
                  <w:tcW w:w="1871" w:type="dxa"/>
                </w:tcPr>
                <w:p w14:paraId="0CA9DEBD">
                  <w:pPr>
                    <w:pStyle w:val="65"/>
                    <w:spacing w:beforeLines="0" w:afterLines="0" w:line="240" w:lineRule="auto"/>
                    <w:rPr>
                      <w:rFonts w:ascii="Times New Roman"/>
                      <w:b/>
                      <w:color w:val="auto"/>
                      <w:szCs w:val="21"/>
                    </w:rPr>
                  </w:pPr>
                  <w:r>
                    <w:rPr>
                      <w:b/>
                      <w:color w:val="auto"/>
                    </w:rPr>
                    <w:t>污染物种类</w:t>
                  </w:r>
                </w:p>
              </w:tc>
              <w:tc>
                <w:tcPr>
                  <w:tcW w:w="1134" w:type="dxa"/>
                </w:tcPr>
                <w:p w14:paraId="6BD2BB32">
                  <w:pPr>
                    <w:pStyle w:val="65"/>
                    <w:spacing w:beforeLines="0" w:afterLines="0" w:line="240" w:lineRule="auto"/>
                    <w:rPr>
                      <w:rFonts w:ascii="Times New Roman"/>
                      <w:b/>
                      <w:color w:val="auto"/>
                      <w:szCs w:val="21"/>
                    </w:rPr>
                  </w:pPr>
                  <w:r>
                    <w:rPr>
                      <w:rFonts w:hint="eastAsia" w:ascii="Times New Roman"/>
                      <w:b/>
                      <w:color w:val="auto"/>
                      <w:szCs w:val="21"/>
                    </w:rPr>
                    <w:t>排放去向</w:t>
                  </w:r>
                </w:p>
              </w:tc>
              <w:tc>
                <w:tcPr>
                  <w:tcW w:w="3582" w:type="dxa"/>
                </w:tcPr>
                <w:p w14:paraId="0E645265">
                  <w:pPr>
                    <w:pStyle w:val="65"/>
                    <w:spacing w:beforeLines="0" w:afterLines="0" w:line="240" w:lineRule="auto"/>
                    <w:rPr>
                      <w:rFonts w:ascii="Times New Roman"/>
                      <w:b/>
                      <w:color w:val="auto"/>
                      <w:szCs w:val="21"/>
                    </w:rPr>
                  </w:pPr>
                  <w:r>
                    <w:rPr>
                      <w:rFonts w:ascii="Times New Roman" w:cs="宋体"/>
                      <w:b/>
                      <w:color w:val="auto"/>
                      <w:szCs w:val="21"/>
                      <w:lang w:bidi="ar"/>
                    </w:rPr>
                    <w:t>可行技术</w:t>
                  </w:r>
                </w:p>
              </w:tc>
            </w:tr>
            <w:tr w14:paraId="198C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7" w:type="dxa"/>
                </w:tcPr>
                <w:p w14:paraId="238CC8EA">
                  <w:pPr>
                    <w:pStyle w:val="65"/>
                    <w:spacing w:beforeLines="0" w:afterLines="0" w:line="240" w:lineRule="auto"/>
                    <w:rPr>
                      <w:rFonts w:ascii="Times New Roman"/>
                      <w:color w:val="auto"/>
                      <w:szCs w:val="21"/>
                    </w:rPr>
                  </w:pPr>
                  <w:r>
                    <w:rPr>
                      <w:rFonts w:hint="eastAsia" w:ascii="Times New Roman"/>
                      <w:color w:val="auto"/>
                      <w:szCs w:val="21"/>
                    </w:rPr>
                    <w:t>医疗污水</w:t>
                  </w:r>
                </w:p>
              </w:tc>
              <w:tc>
                <w:tcPr>
                  <w:tcW w:w="1871" w:type="dxa"/>
                </w:tcPr>
                <w:p w14:paraId="6B046F54">
                  <w:pPr>
                    <w:pStyle w:val="65"/>
                    <w:spacing w:beforeLines="0" w:afterLines="0" w:line="240" w:lineRule="auto"/>
                    <w:rPr>
                      <w:rFonts w:ascii="Times New Roman"/>
                      <w:color w:val="auto"/>
                      <w:szCs w:val="24"/>
                      <w:lang w:bidi="ar"/>
                    </w:rPr>
                  </w:pPr>
                  <w:r>
                    <w:rPr>
                      <w:rFonts w:ascii="Times New Roman"/>
                      <w:color w:val="auto"/>
                      <w:szCs w:val="24"/>
                      <w:lang w:bidi="ar"/>
                    </w:rPr>
                    <w:t>粪大肠菌群数、肠道致病菌、肠道病毒、</w:t>
                  </w:r>
                  <w:r>
                    <w:rPr>
                      <w:rFonts w:hint="eastAsia" w:ascii="Times New Roman"/>
                      <w:color w:val="auto"/>
                      <w:szCs w:val="24"/>
                      <w:lang w:bidi="ar"/>
                    </w:rPr>
                    <w:t>化学需氧量、氨氮、</w:t>
                  </w:r>
                  <w:r>
                    <w:rPr>
                      <w:rFonts w:ascii="Times New Roman"/>
                      <w:color w:val="auto"/>
                      <w:szCs w:val="24"/>
                      <w:lang w:bidi="ar"/>
                    </w:rPr>
                    <w:t>pH</w:t>
                  </w:r>
                  <w:r>
                    <w:rPr>
                      <w:rFonts w:hint="eastAsia" w:ascii="Times New Roman"/>
                      <w:color w:val="auto"/>
                      <w:szCs w:val="24"/>
                      <w:lang w:bidi="ar"/>
                    </w:rPr>
                    <w:t>值、悬浮物、五日生化需氧量、</w:t>
                  </w:r>
                  <w:r>
                    <w:rPr>
                      <w:rFonts w:ascii="Times New Roman"/>
                      <w:color w:val="auto"/>
                      <w:szCs w:val="24"/>
                      <w:lang w:bidi="ar"/>
                    </w:rPr>
                    <w:t>动植物油、石油类、阴离子表面活性剂、挥发酚、色度、总氰化物、总余氯</w:t>
                  </w:r>
                </w:p>
              </w:tc>
              <w:tc>
                <w:tcPr>
                  <w:tcW w:w="1134" w:type="dxa"/>
                </w:tcPr>
                <w:p w14:paraId="242FDDCE">
                  <w:pPr>
                    <w:pStyle w:val="65"/>
                    <w:spacing w:beforeLines="0" w:afterLines="0" w:line="240" w:lineRule="auto"/>
                    <w:rPr>
                      <w:rFonts w:ascii="Times New Roman"/>
                      <w:color w:val="auto"/>
                      <w:szCs w:val="21"/>
                    </w:rPr>
                  </w:pPr>
                  <w:r>
                    <w:rPr>
                      <w:rFonts w:hint="eastAsia" w:ascii="Times New Roman"/>
                      <w:color w:val="auto"/>
                      <w:szCs w:val="21"/>
                    </w:rPr>
                    <w:t>排入城镇污水处理厂</w:t>
                  </w:r>
                </w:p>
              </w:tc>
              <w:tc>
                <w:tcPr>
                  <w:tcW w:w="3582" w:type="dxa"/>
                </w:tcPr>
                <w:p w14:paraId="5B5CFE14">
                  <w:pPr>
                    <w:pStyle w:val="65"/>
                    <w:spacing w:beforeLines="0" w:afterLines="0" w:line="240" w:lineRule="auto"/>
                    <w:jc w:val="left"/>
                    <w:rPr>
                      <w:rFonts w:ascii="Times New Roman"/>
                      <w:color w:val="auto"/>
                      <w:szCs w:val="21"/>
                    </w:rPr>
                  </w:pPr>
                  <w:r>
                    <w:rPr>
                      <w:rFonts w:hint="eastAsia" w:ascii="Times New Roman"/>
                      <w:color w:val="auto"/>
                      <w:szCs w:val="21"/>
                    </w:rPr>
                    <w:t>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r>
          </w:tbl>
          <w:p w14:paraId="2FF6BBF5">
            <w:pPr>
              <w:spacing w:line="360" w:lineRule="auto"/>
              <w:ind w:firstLine="480"/>
              <w:rPr>
                <w:rFonts w:hint="eastAsia" w:hAnsi="宋体"/>
                <w:b/>
                <w:color w:val="auto"/>
                <w:szCs w:val="21"/>
              </w:rPr>
            </w:pPr>
            <w:r>
              <w:rPr>
                <w:rFonts w:hAnsi="宋体"/>
                <w:color w:val="auto"/>
                <w:sz w:val="24"/>
              </w:rPr>
              <w:t>本项目</w:t>
            </w:r>
            <w:r>
              <w:rPr>
                <w:rFonts w:hint="eastAsia" w:hAnsi="宋体"/>
                <w:color w:val="auto"/>
                <w:sz w:val="24"/>
              </w:rPr>
              <w:t>污水治理设施</w:t>
            </w:r>
            <w:r>
              <w:rPr>
                <w:rFonts w:hAnsi="宋体"/>
                <w:color w:val="auto"/>
                <w:sz w:val="24"/>
              </w:rPr>
              <w:t>与可行技术对比分析详见下表。</w:t>
            </w:r>
          </w:p>
          <w:p w14:paraId="27956240">
            <w:pPr>
              <w:jc w:val="center"/>
              <w:rPr>
                <w:rFonts w:hint="eastAsia" w:hAnsi="宋体"/>
                <w:b/>
                <w:color w:val="auto"/>
                <w:sz w:val="24"/>
              </w:rPr>
            </w:pPr>
            <w:r>
              <w:rPr>
                <w:rFonts w:hAnsi="宋体"/>
                <w:b/>
                <w:color w:val="auto"/>
                <w:sz w:val="24"/>
              </w:rPr>
              <w:t>表</w:t>
            </w:r>
            <w:r>
              <w:rPr>
                <w:rFonts w:hint="eastAsia" w:hAnsi="宋体"/>
                <w:b/>
                <w:color w:val="auto"/>
                <w:sz w:val="24"/>
              </w:rPr>
              <w:t>4-</w:t>
            </w:r>
            <w:r>
              <w:rPr>
                <w:rFonts w:hint="eastAsia"/>
                <w:b/>
                <w:color w:val="auto"/>
                <w:sz w:val="24"/>
              </w:rPr>
              <w:t>15</w:t>
            </w:r>
            <w:r>
              <w:rPr>
                <w:rFonts w:hAnsi="宋体"/>
                <w:b/>
                <w:color w:val="auto"/>
                <w:sz w:val="24"/>
              </w:rPr>
              <w:t xml:space="preserve"> 处理工艺对比分析表</w:t>
            </w:r>
          </w:p>
          <w:tbl>
            <w:tblPr>
              <w:tblStyle w:val="33"/>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924"/>
              <w:gridCol w:w="2957"/>
              <w:gridCol w:w="1681"/>
              <w:gridCol w:w="1998"/>
            </w:tblGrid>
            <w:tr w14:paraId="79AF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1143" w:type="dxa"/>
                  <w:vAlign w:val="center"/>
                </w:tcPr>
                <w:p w14:paraId="28E6E63A">
                  <w:pPr>
                    <w:jc w:val="center"/>
                    <w:rPr>
                      <w:b/>
                      <w:color w:val="auto"/>
                      <w:szCs w:val="21"/>
                    </w:rPr>
                  </w:pPr>
                  <w:r>
                    <w:rPr>
                      <w:rFonts w:hint="eastAsia"/>
                      <w:b/>
                      <w:color w:val="auto"/>
                      <w:szCs w:val="21"/>
                    </w:rPr>
                    <w:t>污水</w:t>
                  </w:r>
                  <w:r>
                    <w:rPr>
                      <w:rFonts w:hint="eastAsia"/>
                      <w:b/>
                      <w:color w:val="auto"/>
                    </w:rPr>
                    <w:t>类别</w:t>
                  </w:r>
                </w:p>
              </w:tc>
              <w:tc>
                <w:tcPr>
                  <w:tcW w:w="924" w:type="dxa"/>
                  <w:vAlign w:val="center"/>
                </w:tcPr>
                <w:p w14:paraId="3D1B02A8">
                  <w:pPr>
                    <w:jc w:val="center"/>
                    <w:rPr>
                      <w:b/>
                      <w:color w:val="auto"/>
                      <w:szCs w:val="21"/>
                    </w:rPr>
                  </w:pPr>
                  <w:r>
                    <w:rPr>
                      <w:rFonts w:hint="eastAsia"/>
                      <w:b/>
                      <w:color w:val="auto"/>
                      <w:szCs w:val="21"/>
                    </w:rPr>
                    <w:t>排放</w:t>
                  </w:r>
                </w:p>
                <w:p w14:paraId="5041BABA">
                  <w:pPr>
                    <w:jc w:val="center"/>
                    <w:rPr>
                      <w:b/>
                      <w:color w:val="auto"/>
                    </w:rPr>
                  </w:pPr>
                  <w:r>
                    <w:rPr>
                      <w:rFonts w:hint="eastAsia"/>
                      <w:b/>
                      <w:color w:val="auto"/>
                      <w:szCs w:val="21"/>
                    </w:rPr>
                    <w:t>去向</w:t>
                  </w:r>
                </w:p>
              </w:tc>
              <w:tc>
                <w:tcPr>
                  <w:tcW w:w="2957" w:type="dxa"/>
                  <w:vAlign w:val="center"/>
                </w:tcPr>
                <w:p w14:paraId="04A5474B">
                  <w:pPr>
                    <w:jc w:val="center"/>
                    <w:rPr>
                      <w:b/>
                      <w:color w:val="auto"/>
                    </w:rPr>
                  </w:pPr>
                  <w:r>
                    <w:rPr>
                      <w:b/>
                      <w:color w:val="auto"/>
                    </w:rPr>
                    <w:t>可行技术</w:t>
                  </w:r>
                </w:p>
              </w:tc>
              <w:tc>
                <w:tcPr>
                  <w:tcW w:w="1681" w:type="dxa"/>
                  <w:vAlign w:val="center"/>
                </w:tcPr>
                <w:p w14:paraId="53ACB3EE">
                  <w:pPr>
                    <w:jc w:val="center"/>
                    <w:rPr>
                      <w:b/>
                      <w:color w:val="auto"/>
                    </w:rPr>
                  </w:pPr>
                  <w:r>
                    <w:rPr>
                      <w:b/>
                      <w:color w:val="auto"/>
                    </w:rPr>
                    <w:t>本项目</w:t>
                  </w:r>
                  <w:r>
                    <w:rPr>
                      <w:rFonts w:hint="eastAsia"/>
                      <w:b/>
                      <w:color w:val="auto"/>
                    </w:rPr>
                    <w:t>处理</w:t>
                  </w:r>
                </w:p>
                <w:p w14:paraId="237F8755">
                  <w:pPr>
                    <w:jc w:val="center"/>
                    <w:rPr>
                      <w:b/>
                      <w:color w:val="auto"/>
                    </w:rPr>
                  </w:pPr>
                  <w:r>
                    <w:rPr>
                      <w:rFonts w:hint="eastAsia"/>
                      <w:b/>
                      <w:color w:val="auto"/>
                    </w:rPr>
                    <w:t>工艺</w:t>
                  </w:r>
                </w:p>
              </w:tc>
              <w:tc>
                <w:tcPr>
                  <w:tcW w:w="1998" w:type="dxa"/>
                  <w:vAlign w:val="center"/>
                </w:tcPr>
                <w:p w14:paraId="6E77817F">
                  <w:pPr>
                    <w:jc w:val="center"/>
                    <w:rPr>
                      <w:b/>
                      <w:color w:val="auto"/>
                    </w:rPr>
                  </w:pPr>
                  <w:r>
                    <w:rPr>
                      <w:b/>
                      <w:color w:val="auto"/>
                    </w:rPr>
                    <w:t>对比说明</w:t>
                  </w:r>
                </w:p>
              </w:tc>
            </w:tr>
            <w:tr w14:paraId="48DD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jc w:val="center"/>
              </w:trPr>
              <w:tc>
                <w:tcPr>
                  <w:tcW w:w="1143" w:type="dxa"/>
                  <w:vAlign w:val="center"/>
                </w:tcPr>
                <w:p w14:paraId="6A29815B">
                  <w:pPr>
                    <w:pStyle w:val="65"/>
                    <w:spacing w:beforeLines="0" w:afterLines="0" w:line="240" w:lineRule="auto"/>
                    <w:rPr>
                      <w:rFonts w:ascii="Times New Roman"/>
                      <w:color w:val="auto"/>
                      <w:szCs w:val="21"/>
                    </w:rPr>
                  </w:pPr>
                  <w:r>
                    <w:rPr>
                      <w:rFonts w:hint="eastAsia" w:ascii="Times New Roman"/>
                      <w:color w:val="auto"/>
                      <w:szCs w:val="21"/>
                    </w:rPr>
                    <w:t>医疗污水</w:t>
                  </w:r>
                </w:p>
              </w:tc>
              <w:tc>
                <w:tcPr>
                  <w:tcW w:w="924" w:type="dxa"/>
                  <w:vAlign w:val="center"/>
                </w:tcPr>
                <w:p w14:paraId="55546D14">
                  <w:pPr>
                    <w:pStyle w:val="65"/>
                    <w:spacing w:beforeLines="0" w:afterLines="0" w:line="240" w:lineRule="auto"/>
                    <w:rPr>
                      <w:rFonts w:ascii="Times New Roman"/>
                      <w:color w:val="auto"/>
                      <w:szCs w:val="21"/>
                    </w:rPr>
                  </w:pPr>
                  <w:r>
                    <w:rPr>
                      <w:rFonts w:hint="eastAsia" w:ascii="Times New Roman"/>
                      <w:color w:val="auto"/>
                      <w:szCs w:val="21"/>
                    </w:rPr>
                    <w:t>排入城镇污水处理厂</w:t>
                  </w:r>
                </w:p>
              </w:tc>
              <w:tc>
                <w:tcPr>
                  <w:tcW w:w="2957" w:type="dxa"/>
                  <w:vAlign w:val="center"/>
                </w:tcPr>
                <w:p w14:paraId="1AF49BF0">
                  <w:pPr>
                    <w:pStyle w:val="65"/>
                    <w:spacing w:beforeLines="0" w:afterLines="0" w:line="240" w:lineRule="auto"/>
                    <w:rPr>
                      <w:rFonts w:ascii="Times New Roman"/>
                      <w:color w:val="auto"/>
                      <w:szCs w:val="21"/>
                    </w:rPr>
                  </w:pPr>
                  <w:r>
                    <w:rPr>
                      <w:rFonts w:hint="eastAsia" w:ascii="Times New Roman"/>
                      <w:color w:val="auto"/>
                      <w:szCs w:val="21"/>
                    </w:rPr>
                    <w:t>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c>
                <w:tcPr>
                  <w:tcW w:w="1681" w:type="dxa"/>
                  <w:vAlign w:val="center"/>
                </w:tcPr>
                <w:p w14:paraId="3A467397">
                  <w:pPr>
                    <w:jc w:val="center"/>
                    <w:rPr>
                      <w:color w:val="auto"/>
                    </w:rPr>
                  </w:pPr>
                  <w:r>
                    <w:rPr>
                      <w:rFonts w:hint="eastAsia"/>
                      <w:color w:val="auto"/>
                      <w:szCs w:val="21"/>
                    </w:rPr>
                    <w:t>一</w:t>
                  </w:r>
                  <w:r>
                    <w:rPr>
                      <w:color w:val="auto"/>
                      <w:szCs w:val="21"/>
                    </w:rPr>
                    <w:t>级</w:t>
                  </w:r>
                  <w:r>
                    <w:rPr>
                      <w:rFonts w:hint="eastAsia"/>
                      <w:color w:val="auto"/>
                      <w:szCs w:val="21"/>
                    </w:rPr>
                    <w:t>强化</w:t>
                  </w:r>
                  <w:r>
                    <w:rPr>
                      <w:color w:val="auto"/>
                      <w:szCs w:val="21"/>
                    </w:rPr>
                    <w:t>处理+消毒工艺</w:t>
                  </w:r>
                  <w:r>
                    <w:rPr>
                      <w:rFonts w:hint="eastAsia"/>
                      <w:color w:val="auto"/>
                      <w:szCs w:val="21"/>
                    </w:rPr>
                    <w:t>一级强化处理包括：水解酸化+生物接触氧化；</w:t>
                  </w:r>
                  <w:r>
                    <w:rPr>
                      <w:color w:val="auto"/>
                      <w:szCs w:val="21"/>
                    </w:rPr>
                    <w:t>消毒工艺：二氧化氯法消毒</w:t>
                  </w:r>
                </w:p>
              </w:tc>
              <w:tc>
                <w:tcPr>
                  <w:tcW w:w="1998" w:type="dxa"/>
                  <w:vAlign w:val="center"/>
                </w:tcPr>
                <w:p w14:paraId="3BCD2A51">
                  <w:pPr>
                    <w:jc w:val="center"/>
                    <w:rPr>
                      <w:color w:val="auto"/>
                      <w:szCs w:val="21"/>
                    </w:rPr>
                  </w:pPr>
                  <w:r>
                    <w:rPr>
                      <w:color w:val="auto"/>
                      <w:szCs w:val="21"/>
                    </w:rPr>
                    <w:t>与推荐可行技术“</w:t>
                  </w:r>
                  <w:r>
                    <w:rPr>
                      <w:rFonts w:hint="eastAsia"/>
                      <w:color w:val="auto"/>
                      <w:szCs w:val="21"/>
                    </w:rPr>
                    <w:t>一</w:t>
                  </w:r>
                  <w:r>
                    <w:rPr>
                      <w:color w:val="auto"/>
                      <w:szCs w:val="21"/>
                    </w:rPr>
                    <w:t>级</w:t>
                  </w:r>
                  <w:r>
                    <w:rPr>
                      <w:rFonts w:hint="eastAsia"/>
                      <w:color w:val="auto"/>
                      <w:szCs w:val="21"/>
                    </w:rPr>
                    <w:t>强化</w:t>
                  </w:r>
                  <w:r>
                    <w:rPr>
                      <w:color w:val="auto"/>
                      <w:szCs w:val="21"/>
                    </w:rPr>
                    <w:t>处理</w:t>
                  </w:r>
                  <w:r>
                    <w:rPr>
                      <w:rFonts w:hint="eastAsia"/>
                      <w:color w:val="auto"/>
                      <w:szCs w:val="21"/>
                    </w:rPr>
                    <w:t>（生物处理）</w:t>
                  </w:r>
                  <w:r>
                    <w:rPr>
                      <w:color w:val="auto"/>
                      <w:szCs w:val="21"/>
                    </w:rPr>
                    <w:t>+消毒工艺</w:t>
                  </w:r>
                  <w:r>
                    <w:rPr>
                      <w:rFonts w:hint="eastAsia"/>
                      <w:color w:val="auto"/>
                      <w:szCs w:val="21"/>
                    </w:rPr>
                    <w:t>（二氧化氯法消毒）</w:t>
                  </w:r>
                  <w:r>
                    <w:rPr>
                      <w:color w:val="auto"/>
                      <w:szCs w:val="21"/>
                    </w:rPr>
                    <w:t>”一致</w:t>
                  </w:r>
                </w:p>
              </w:tc>
            </w:tr>
          </w:tbl>
          <w:p w14:paraId="6B7A7DBE">
            <w:pPr>
              <w:tabs>
                <w:tab w:val="left" w:pos="2978"/>
              </w:tabs>
              <w:spacing w:line="360" w:lineRule="auto"/>
              <w:ind w:firstLine="480"/>
              <w:rPr>
                <w:color w:val="auto"/>
                <w:sz w:val="24"/>
              </w:rPr>
            </w:pPr>
            <w:r>
              <w:rPr>
                <w:rFonts w:hAnsi="宋体"/>
                <w:color w:val="auto"/>
                <w:sz w:val="24"/>
              </w:rPr>
              <w:t>根据上表对比分析可知，本项目</w:t>
            </w:r>
            <w:r>
              <w:rPr>
                <w:rFonts w:hint="eastAsia" w:hAnsi="宋体"/>
                <w:color w:val="auto"/>
                <w:sz w:val="24"/>
              </w:rPr>
              <w:t>新建的污水处理站处理工艺采用《排污许可证申请与核发技术规范 医疗机构》（HJ1105-2020）</w:t>
            </w:r>
            <w:r>
              <w:rPr>
                <w:rFonts w:hint="eastAsia"/>
                <w:color w:val="auto"/>
                <w:spacing w:val="-10"/>
                <w:sz w:val="24"/>
              </w:rPr>
              <w:t>中推荐</w:t>
            </w:r>
            <w:r>
              <w:rPr>
                <w:rFonts w:hAnsi="宋体"/>
                <w:color w:val="auto"/>
                <w:sz w:val="24"/>
              </w:rPr>
              <w:t>的</w:t>
            </w:r>
            <w:r>
              <w:rPr>
                <w:color w:val="auto"/>
                <w:sz w:val="24"/>
              </w:rPr>
              <w:t>“</w:t>
            </w:r>
            <w:r>
              <w:rPr>
                <w:rFonts w:hAnsi="宋体"/>
                <w:color w:val="auto"/>
                <w:sz w:val="24"/>
              </w:rPr>
              <w:t>可行技术</w:t>
            </w:r>
            <w:r>
              <w:rPr>
                <w:color w:val="auto"/>
                <w:sz w:val="24"/>
              </w:rPr>
              <w:t>”</w:t>
            </w:r>
            <w:r>
              <w:rPr>
                <w:rFonts w:hint="eastAsia"/>
                <w:color w:val="auto"/>
                <w:sz w:val="24"/>
              </w:rPr>
              <w:t>。</w:t>
            </w:r>
          </w:p>
          <w:p w14:paraId="5536D4D0">
            <w:pPr>
              <w:spacing w:line="360" w:lineRule="auto"/>
              <w:ind w:firstLine="482"/>
              <w:rPr>
                <w:b/>
                <w:color w:val="auto"/>
                <w:kern w:val="0"/>
                <w:sz w:val="24"/>
              </w:rPr>
            </w:pPr>
            <w:r>
              <w:rPr>
                <w:rFonts w:hint="eastAsia"/>
                <w:b/>
                <w:color w:val="auto"/>
                <w:kern w:val="0"/>
                <w:sz w:val="24"/>
              </w:rPr>
              <w:t>③</w:t>
            </w:r>
            <w:r>
              <w:rPr>
                <w:b/>
                <w:color w:val="auto"/>
                <w:kern w:val="0"/>
                <w:sz w:val="24"/>
              </w:rPr>
              <w:t>出水水质要求</w:t>
            </w:r>
          </w:p>
          <w:p w14:paraId="338F13E4">
            <w:pPr>
              <w:spacing w:line="360" w:lineRule="auto"/>
              <w:ind w:firstLine="480" w:firstLineChars="200"/>
              <w:jc w:val="left"/>
              <w:rPr>
                <w:color w:val="auto"/>
                <w:sz w:val="24"/>
              </w:rPr>
            </w:pPr>
            <w:r>
              <w:rPr>
                <w:rFonts w:hint="eastAsia"/>
                <w:color w:val="auto"/>
                <w:sz w:val="24"/>
              </w:rPr>
              <w:t>根据2021年1月29日，云南清源环境科技有限公司对《通海县杨广卫生院污水处理站验收出水水质》监测数据，[其处理工艺为“水解酸化+生物接触氧化+消毒处理工艺”，与本项目处理工艺一致，具有可比性]</w:t>
            </w:r>
            <w:r>
              <w:rPr>
                <w:color w:val="auto"/>
                <w:sz w:val="24"/>
              </w:rPr>
              <w:t>，该处理工艺</w:t>
            </w:r>
            <w:r>
              <w:rPr>
                <w:rFonts w:hint="eastAsia"/>
                <w:color w:val="auto"/>
                <w:sz w:val="24"/>
              </w:rPr>
              <w:t>（化粪池+</w:t>
            </w:r>
            <w:r>
              <w:rPr>
                <w:color w:val="auto"/>
                <w:sz w:val="24"/>
              </w:rPr>
              <w:t>污水处理站</w:t>
            </w:r>
            <w:r>
              <w:rPr>
                <w:rFonts w:hint="eastAsia"/>
                <w:color w:val="auto"/>
                <w:sz w:val="24"/>
              </w:rPr>
              <w:t>）</w:t>
            </w:r>
            <w:r>
              <w:rPr>
                <w:color w:val="auto"/>
                <w:sz w:val="24"/>
              </w:rPr>
              <w:t>的COD去除率</w:t>
            </w:r>
            <w:r>
              <w:rPr>
                <w:rFonts w:hint="eastAsia"/>
                <w:color w:val="auto"/>
                <w:sz w:val="24"/>
              </w:rPr>
              <w:t>85.34</w:t>
            </w:r>
            <w:r>
              <w:rPr>
                <w:color w:val="auto"/>
                <w:sz w:val="24"/>
              </w:rPr>
              <w:t>%、BOD</w:t>
            </w:r>
            <w:r>
              <w:rPr>
                <w:color w:val="auto"/>
                <w:sz w:val="24"/>
                <w:vertAlign w:val="subscript"/>
              </w:rPr>
              <w:t>5</w:t>
            </w:r>
            <w:r>
              <w:rPr>
                <w:color w:val="auto"/>
                <w:sz w:val="24"/>
              </w:rPr>
              <w:t>去除率</w:t>
            </w:r>
            <w:r>
              <w:rPr>
                <w:rFonts w:hint="eastAsia"/>
                <w:color w:val="auto"/>
                <w:sz w:val="24"/>
              </w:rPr>
              <w:t>95.29</w:t>
            </w:r>
            <w:r>
              <w:rPr>
                <w:color w:val="auto"/>
                <w:sz w:val="24"/>
              </w:rPr>
              <w:t>%、SS去除率</w:t>
            </w:r>
            <w:r>
              <w:rPr>
                <w:rFonts w:hint="eastAsia"/>
                <w:color w:val="auto"/>
                <w:sz w:val="24"/>
              </w:rPr>
              <w:t>85.95</w:t>
            </w:r>
            <w:r>
              <w:rPr>
                <w:color w:val="auto"/>
                <w:sz w:val="24"/>
              </w:rPr>
              <w:t>%、NH</w:t>
            </w:r>
            <w:r>
              <w:rPr>
                <w:color w:val="auto"/>
                <w:sz w:val="24"/>
                <w:vertAlign w:val="subscript"/>
              </w:rPr>
              <w:t>3</w:t>
            </w:r>
            <w:r>
              <w:rPr>
                <w:color w:val="auto"/>
                <w:sz w:val="24"/>
              </w:rPr>
              <w:t>-N去除率</w:t>
            </w:r>
            <w:r>
              <w:rPr>
                <w:rFonts w:hint="eastAsia"/>
                <w:color w:val="auto"/>
                <w:sz w:val="24"/>
              </w:rPr>
              <w:t>66.67</w:t>
            </w:r>
            <w:r>
              <w:rPr>
                <w:color w:val="auto"/>
                <w:sz w:val="24"/>
              </w:rPr>
              <w:t>%</w:t>
            </w:r>
            <w:r>
              <w:rPr>
                <w:rFonts w:hint="eastAsia"/>
                <w:color w:val="auto"/>
                <w:sz w:val="24"/>
              </w:rPr>
              <w:t>/总磷去除率63.33%</w:t>
            </w:r>
            <w:r>
              <w:rPr>
                <w:color w:val="auto"/>
                <w:sz w:val="24"/>
              </w:rPr>
              <w:t>。项目污水产排源强如下表所示。</w:t>
            </w:r>
          </w:p>
          <w:p w14:paraId="001F0C6A">
            <w:pPr>
              <w:ind w:firstLine="2650" w:firstLineChars="1100"/>
              <w:rPr>
                <w:b/>
                <w:color w:val="auto"/>
                <w:sz w:val="24"/>
              </w:rPr>
            </w:pPr>
          </w:p>
          <w:p w14:paraId="0931C782">
            <w:pPr>
              <w:ind w:firstLine="2650" w:firstLineChars="1100"/>
              <w:rPr>
                <w:b/>
                <w:color w:val="auto"/>
                <w:sz w:val="24"/>
              </w:rPr>
            </w:pPr>
          </w:p>
          <w:p w14:paraId="12FAF3FD">
            <w:pPr>
              <w:ind w:firstLine="2650" w:firstLineChars="1100"/>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16</w:t>
            </w:r>
            <w:r>
              <w:rPr>
                <w:b/>
                <w:color w:val="auto"/>
                <w:sz w:val="24"/>
              </w:rPr>
              <w:t xml:space="preserve">  污水处理站进出水质对比</w:t>
            </w:r>
          </w:p>
          <w:tbl>
            <w:tblPr>
              <w:tblStyle w:val="33"/>
              <w:tblW w:w="81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9"/>
              <w:gridCol w:w="1151"/>
              <w:gridCol w:w="1645"/>
              <w:gridCol w:w="2055"/>
              <w:gridCol w:w="2070"/>
            </w:tblGrid>
            <w:tr w14:paraId="52590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406EE270">
                  <w:pPr>
                    <w:jc w:val="center"/>
                    <w:rPr>
                      <w:b/>
                      <w:color w:val="auto"/>
                      <w:szCs w:val="21"/>
                    </w:rPr>
                  </w:pPr>
                  <w:r>
                    <w:rPr>
                      <w:b/>
                      <w:color w:val="auto"/>
                      <w:szCs w:val="21"/>
                    </w:rPr>
                    <w:t>项目</w:t>
                  </w:r>
                </w:p>
              </w:tc>
              <w:tc>
                <w:tcPr>
                  <w:tcW w:w="1151" w:type="dxa"/>
                  <w:vAlign w:val="center"/>
                </w:tcPr>
                <w:p w14:paraId="78F1BEFF">
                  <w:pPr>
                    <w:jc w:val="center"/>
                    <w:rPr>
                      <w:b/>
                      <w:color w:val="auto"/>
                      <w:szCs w:val="21"/>
                    </w:rPr>
                  </w:pPr>
                  <w:r>
                    <w:rPr>
                      <w:rFonts w:hint="eastAsia"/>
                      <w:b/>
                      <w:color w:val="auto"/>
                      <w:szCs w:val="21"/>
                    </w:rPr>
                    <w:t>产生浓度</w:t>
                  </w:r>
                </w:p>
              </w:tc>
              <w:tc>
                <w:tcPr>
                  <w:tcW w:w="1645" w:type="dxa"/>
                  <w:vAlign w:val="center"/>
                </w:tcPr>
                <w:p w14:paraId="6D393472">
                  <w:pPr>
                    <w:jc w:val="center"/>
                    <w:rPr>
                      <w:b/>
                      <w:color w:val="auto"/>
                      <w:szCs w:val="21"/>
                    </w:rPr>
                  </w:pPr>
                  <w:r>
                    <w:rPr>
                      <w:rFonts w:hint="eastAsia"/>
                      <w:b/>
                      <w:color w:val="auto"/>
                      <w:szCs w:val="21"/>
                    </w:rPr>
                    <w:t>化粪池出水</w:t>
                  </w:r>
                </w:p>
                <w:p w14:paraId="469DE456">
                  <w:pPr>
                    <w:jc w:val="center"/>
                    <w:rPr>
                      <w:b/>
                      <w:color w:val="auto"/>
                      <w:szCs w:val="21"/>
                    </w:rPr>
                  </w:pPr>
                  <w:r>
                    <w:rPr>
                      <w:rFonts w:hint="eastAsia"/>
                      <w:b/>
                      <w:color w:val="auto"/>
                      <w:szCs w:val="21"/>
                    </w:rPr>
                    <w:t>浓度</w:t>
                  </w:r>
                </w:p>
              </w:tc>
              <w:tc>
                <w:tcPr>
                  <w:tcW w:w="2055" w:type="dxa"/>
                  <w:vAlign w:val="center"/>
                </w:tcPr>
                <w:p w14:paraId="324D98E0">
                  <w:pPr>
                    <w:jc w:val="center"/>
                    <w:rPr>
                      <w:b/>
                      <w:color w:val="auto"/>
                      <w:szCs w:val="21"/>
                    </w:rPr>
                  </w:pPr>
                  <w:r>
                    <w:rPr>
                      <w:rFonts w:hint="eastAsia"/>
                      <w:b/>
                      <w:color w:val="auto"/>
                      <w:szCs w:val="21"/>
                    </w:rPr>
                    <w:t>污水处理站</w:t>
                  </w:r>
                  <w:r>
                    <w:rPr>
                      <w:b/>
                      <w:color w:val="auto"/>
                      <w:szCs w:val="21"/>
                    </w:rPr>
                    <w:t>出水</w:t>
                  </w:r>
                </w:p>
                <w:p w14:paraId="65EE96D9">
                  <w:pPr>
                    <w:jc w:val="center"/>
                    <w:rPr>
                      <w:b/>
                      <w:color w:val="auto"/>
                      <w:szCs w:val="21"/>
                    </w:rPr>
                  </w:pPr>
                  <w:r>
                    <w:rPr>
                      <w:rFonts w:hint="eastAsia"/>
                      <w:b/>
                      <w:color w:val="auto"/>
                      <w:szCs w:val="21"/>
                    </w:rPr>
                    <w:t>浓度</w:t>
                  </w:r>
                </w:p>
              </w:tc>
              <w:tc>
                <w:tcPr>
                  <w:tcW w:w="2070" w:type="dxa"/>
                  <w:vAlign w:val="center"/>
                </w:tcPr>
                <w:p w14:paraId="0D1DFBFF">
                  <w:pPr>
                    <w:jc w:val="center"/>
                    <w:rPr>
                      <w:b/>
                      <w:color w:val="auto"/>
                      <w:szCs w:val="21"/>
                    </w:rPr>
                  </w:pPr>
                  <w:r>
                    <w:rPr>
                      <w:b/>
                      <w:color w:val="auto"/>
                      <w:szCs w:val="21"/>
                    </w:rPr>
                    <w:t>医疗废水</w:t>
                  </w:r>
                  <w:r>
                    <w:rPr>
                      <w:rFonts w:hint="eastAsia"/>
                      <w:b/>
                      <w:color w:val="auto"/>
                      <w:szCs w:val="21"/>
                    </w:rPr>
                    <w:t>预处理</w:t>
                  </w:r>
                  <w:r>
                    <w:rPr>
                      <w:b/>
                      <w:color w:val="auto"/>
                      <w:szCs w:val="21"/>
                    </w:rPr>
                    <w:t>标准</w:t>
                  </w:r>
                </w:p>
              </w:tc>
            </w:tr>
            <w:tr w14:paraId="1614B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1239" w:type="dxa"/>
                  <w:vAlign w:val="center"/>
                </w:tcPr>
                <w:p w14:paraId="3D7EB238">
                  <w:pPr>
                    <w:jc w:val="center"/>
                    <w:rPr>
                      <w:color w:val="auto"/>
                      <w:szCs w:val="21"/>
                    </w:rPr>
                  </w:pPr>
                  <w:r>
                    <w:rPr>
                      <w:color w:val="auto"/>
                      <w:szCs w:val="21"/>
                    </w:rPr>
                    <w:t>COD</w:t>
                  </w:r>
                </w:p>
              </w:tc>
              <w:tc>
                <w:tcPr>
                  <w:tcW w:w="1151" w:type="dxa"/>
                  <w:vAlign w:val="center"/>
                </w:tcPr>
                <w:p w14:paraId="4087DFB7">
                  <w:pPr>
                    <w:widowControl/>
                    <w:jc w:val="center"/>
                    <w:rPr>
                      <w:color w:val="auto"/>
                      <w:szCs w:val="21"/>
                    </w:rPr>
                  </w:pPr>
                  <w:r>
                    <w:rPr>
                      <w:rFonts w:hint="eastAsia"/>
                      <w:color w:val="auto"/>
                      <w:szCs w:val="21"/>
                    </w:rPr>
                    <w:t>300</w:t>
                  </w:r>
                </w:p>
              </w:tc>
              <w:tc>
                <w:tcPr>
                  <w:tcW w:w="1645" w:type="dxa"/>
                  <w:vAlign w:val="center"/>
                </w:tcPr>
                <w:p w14:paraId="379E535C">
                  <w:pPr>
                    <w:widowControl/>
                    <w:jc w:val="center"/>
                    <w:rPr>
                      <w:color w:val="auto"/>
                      <w:szCs w:val="21"/>
                    </w:rPr>
                  </w:pPr>
                  <w:r>
                    <w:rPr>
                      <w:rFonts w:hint="eastAsia"/>
                      <w:color w:val="auto"/>
                      <w:szCs w:val="21"/>
                    </w:rPr>
                    <w:t>240</w:t>
                  </w:r>
                </w:p>
              </w:tc>
              <w:tc>
                <w:tcPr>
                  <w:tcW w:w="2055" w:type="dxa"/>
                  <w:vAlign w:val="center"/>
                </w:tcPr>
                <w:p w14:paraId="4FF0CF21">
                  <w:pPr>
                    <w:widowControl/>
                    <w:jc w:val="center"/>
                    <w:rPr>
                      <w:color w:val="auto"/>
                      <w:szCs w:val="21"/>
                    </w:rPr>
                  </w:pPr>
                  <w:r>
                    <w:rPr>
                      <w:rFonts w:hint="eastAsia"/>
                      <w:color w:val="auto"/>
                      <w:szCs w:val="21"/>
                    </w:rPr>
                    <w:t>44</w:t>
                  </w:r>
                </w:p>
              </w:tc>
              <w:tc>
                <w:tcPr>
                  <w:tcW w:w="2070" w:type="dxa"/>
                  <w:vAlign w:val="center"/>
                </w:tcPr>
                <w:p w14:paraId="6447159B">
                  <w:pPr>
                    <w:jc w:val="center"/>
                    <w:rPr>
                      <w:color w:val="auto"/>
                      <w:szCs w:val="21"/>
                    </w:rPr>
                  </w:pPr>
                  <w:r>
                    <w:rPr>
                      <w:color w:val="auto"/>
                      <w:szCs w:val="21"/>
                    </w:rPr>
                    <w:t>≤250</w:t>
                  </w:r>
                </w:p>
              </w:tc>
            </w:tr>
            <w:tr w14:paraId="7D03D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337EE417">
                  <w:pPr>
                    <w:jc w:val="center"/>
                    <w:rPr>
                      <w:color w:val="auto"/>
                      <w:szCs w:val="21"/>
                    </w:rPr>
                  </w:pPr>
                  <w:r>
                    <w:rPr>
                      <w:color w:val="auto"/>
                      <w:szCs w:val="21"/>
                    </w:rPr>
                    <w:t>BOD</w:t>
                  </w:r>
                  <w:r>
                    <w:rPr>
                      <w:color w:val="auto"/>
                      <w:szCs w:val="21"/>
                      <w:vertAlign w:val="subscript"/>
                    </w:rPr>
                    <w:t>5</w:t>
                  </w:r>
                </w:p>
              </w:tc>
              <w:tc>
                <w:tcPr>
                  <w:tcW w:w="1151" w:type="dxa"/>
                  <w:vAlign w:val="center"/>
                </w:tcPr>
                <w:p w14:paraId="26011362">
                  <w:pPr>
                    <w:widowControl/>
                    <w:jc w:val="center"/>
                    <w:rPr>
                      <w:color w:val="auto"/>
                      <w:szCs w:val="21"/>
                    </w:rPr>
                  </w:pPr>
                  <w:r>
                    <w:rPr>
                      <w:rFonts w:hint="eastAsia"/>
                      <w:color w:val="auto"/>
                      <w:szCs w:val="21"/>
                    </w:rPr>
                    <w:t>150</w:t>
                  </w:r>
                </w:p>
              </w:tc>
              <w:tc>
                <w:tcPr>
                  <w:tcW w:w="1645" w:type="dxa"/>
                  <w:vAlign w:val="center"/>
                </w:tcPr>
                <w:p w14:paraId="125165F4">
                  <w:pPr>
                    <w:widowControl/>
                    <w:jc w:val="center"/>
                    <w:rPr>
                      <w:color w:val="auto"/>
                      <w:szCs w:val="21"/>
                    </w:rPr>
                  </w:pPr>
                  <w:r>
                    <w:rPr>
                      <w:rFonts w:hint="eastAsia"/>
                      <w:color w:val="auto"/>
                      <w:szCs w:val="21"/>
                    </w:rPr>
                    <w:t>120</w:t>
                  </w:r>
                </w:p>
              </w:tc>
              <w:tc>
                <w:tcPr>
                  <w:tcW w:w="2055" w:type="dxa"/>
                  <w:vAlign w:val="center"/>
                </w:tcPr>
                <w:p w14:paraId="57C102D4">
                  <w:pPr>
                    <w:widowControl/>
                    <w:jc w:val="center"/>
                    <w:rPr>
                      <w:color w:val="auto"/>
                      <w:szCs w:val="21"/>
                    </w:rPr>
                  </w:pPr>
                  <w:r>
                    <w:rPr>
                      <w:rFonts w:hint="eastAsia"/>
                      <w:color w:val="auto"/>
                      <w:szCs w:val="21"/>
                    </w:rPr>
                    <w:t>7.2</w:t>
                  </w:r>
                </w:p>
              </w:tc>
              <w:tc>
                <w:tcPr>
                  <w:tcW w:w="2070" w:type="dxa"/>
                  <w:vAlign w:val="center"/>
                </w:tcPr>
                <w:p w14:paraId="229659E8">
                  <w:pPr>
                    <w:jc w:val="center"/>
                    <w:rPr>
                      <w:color w:val="auto"/>
                      <w:szCs w:val="21"/>
                    </w:rPr>
                  </w:pPr>
                  <w:r>
                    <w:rPr>
                      <w:color w:val="auto"/>
                      <w:szCs w:val="21"/>
                    </w:rPr>
                    <w:t>≤100</w:t>
                  </w:r>
                </w:p>
              </w:tc>
            </w:tr>
            <w:tr w14:paraId="37AD5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17B8CA4C">
                  <w:pPr>
                    <w:jc w:val="center"/>
                    <w:rPr>
                      <w:color w:val="auto"/>
                      <w:szCs w:val="21"/>
                    </w:rPr>
                  </w:pPr>
                  <w:r>
                    <w:rPr>
                      <w:color w:val="auto"/>
                      <w:szCs w:val="21"/>
                    </w:rPr>
                    <w:t>SS</w:t>
                  </w:r>
                </w:p>
              </w:tc>
              <w:tc>
                <w:tcPr>
                  <w:tcW w:w="1151" w:type="dxa"/>
                  <w:vAlign w:val="center"/>
                </w:tcPr>
                <w:p w14:paraId="273572CB">
                  <w:pPr>
                    <w:widowControl/>
                    <w:jc w:val="center"/>
                    <w:rPr>
                      <w:color w:val="auto"/>
                      <w:szCs w:val="21"/>
                    </w:rPr>
                  </w:pPr>
                  <w:r>
                    <w:rPr>
                      <w:rFonts w:hint="eastAsia"/>
                      <w:color w:val="auto"/>
                      <w:szCs w:val="21"/>
                    </w:rPr>
                    <w:t>120</w:t>
                  </w:r>
                </w:p>
              </w:tc>
              <w:tc>
                <w:tcPr>
                  <w:tcW w:w="1645" w:type="dxa"/>
                  <w:vAlign w:val="center"/>
                </w:tcPr>
                <w:p w14:paraId="48819D87">
                  <w:pPr>
                    <w:widowControl/>
                    <w:jc w:val="center"/>
                    <w:rPr>
                      <w:color w:val="auto"/>
                      <w:szCs w:val="21"/>
                    </w:rPr>
                  </w:pPr>
                  <w:r>
                    <w:rPr>
                      <w:rFonts w:hint="eastAsia"/>
                      <w:color w:val="auto"/>
                      <w:szCs w:val="21"/>
                    </w:rPr>
                    <w:t>80</w:t>
                  </w:r>
                </w:p>
              </w:tc>
              <w:tc>
                <w:tcPr>
                  <w:tcW w:w="2055" w:type="dxa"/>
                  <w:vAlign w:val="center"/>
                </w:tcPr>
                <w:p w14:paraId="2F851E55">
                  <w:pPr>
                    <w:widowControl/>
                    <w:jc w:val="center"/>
                    <w:rPr>
                      <w:color w:val="auto"/>
                      <w:szCs w:val="21"/>
                    </w:rPr>
                  </w:pPr>
                  <w:r>
                    <w:rPr>
                      <w:rFonts w:hint="eastAsia"/>
                      <w:color w:val="auto"/>
                      <w:szCs w:val="21"/>
                    </w:rPr>
                    <w:t>17</w:t>
                  </w:r>
                </w:p>
              </w:tc>
              <w:tc>
                <w:tcPr>
                  <w:tcW w:w="2070" w:type="dxa"/>
                  <w:vAlign w:val="center"/>
                </w:tcPr>
                <w:p w14:paraId="20E97800">
                  <w:pPr>
                    <w:jc w:val="center"/>
                    <w:rPr>
                      <w:color w:val="auto"/>
                      <w:szCs w:val="21"/>
                    </w:rPr>
                  </w:pPr>
                  <w:r>
                    <w:rPr>
                      <w:color w:val="auto"/>
                      <w:szCs w:val="21"/>
                    </w:rPr>
                    <w:t>≤60</w:t>
                  </w:r>
                </w:p>
              </w:tc>
            </w:tr>
            <w:tr w14:paraId="77C47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102F423C">
                  <w:pPr>
                    <w:jc w:val="center"/>
                    <w:rPr>
                      <w:color w:val="auto"/>
                      <w:szCs w:val="21"/>
                    </w:rPr>
                  </w:pPr>
                  <w:r>
                    <w:rPr>
                      <w:color w:val="auto"/>
                      <w:szCs w:val="21"/>
                    </w:rPr>
                    <w:t>氨氮</w:t>
                  </w:r>
                </w:p>
              </w:tc>
              <w:tc>
                <w:tcPr>
                  <w:tcW w:w="1151" w:type="dxa"/>
                  <w:vAlign w:val="center"/>
                </w:tcPr>
                <w:p w14:paraId="000CAE6D">
                  <w:pPr>
                    <w:widowControl/>
                    <w:jc w:val="center"/>
                    <w:rPr>
                      <w:color w:val="auto"/>
                      <w:szCs w:val="21"/>
                    </w:rPr>
                  </w:pPr>
                  <w:r>
                    <w:rPr>
                      <w:rFonts w:hint="eastAsia"/>
                      <w:color w:val="auto"/>
                      <w:szCs w:val="21"/>
                    </w:rPr>
                    <w:t>40</w:t>
                  </w:r>
                </w:p>
              </w:tc>
              <w:tc>
                <w:tcPr>
                  <w:tcW w:w="1645" w:type="dxa"/>
                  <w:vAlign w:val="center"/>
                </w:tcPr>
                <w:p w14:paraId="018C28AD">
                  <w:pPr>
                    <w:widowControl/>
                    <w:jc w:val="center"/>
                    <w:rPr>
                      <w:color w:val="auto"/>
                      <w:szCs w:val="21"/>
                    </w:rPr>
                  </w:pPr>
                  <w:r>
                    <w:rPr>
                      <w:rFonts w:hint="eastAsia"/>
                      <w:color w:val="auto"/>
                      <w:szCs w:val="21"/>
                    </w:rPr>
                    <w:t>32</w:t>
                  </w:r>
                </w:p>
              </w:tc>
              <w:tc>
                <w:tcPr>
                  <w:tcW w:w="2055" w:type="dxa"/>
                  <w:vAlign w:val="center"/>
                </w:tcPr>
                <w:p w14:paraId="7901143E">
                  <w:pPr>
                    <w:widowControl/>
                    <w:jc w:val="center"/>
                    <w:rPr>
                      <w:color w:val="auto"/>
                      <w:szCs w:val="21"/>
                    </w:rPr>
                  </w:pPr>
                  <w:r>
                    <w:rPr>
                      <w:rFonts w:hint="eastAsia"/>
                      <w:color w:val="auto"/>
                      <w:szCs w:val="21"/>
                    </w:rPr>
                    <w:t>13.4</w:t>
                  </w:r>
                </w:p>
              </w:tc>
              <w:tc>
                <w:tcPr>
                  <w:tcW w:w="2070" w:type="dxa"/>
                  <w:vAlign w:val="center"/>
                </w:tcPr>
                <w:p w14:paraId="39727A24">
                  <w:pPr>
                    <w:jc w:val="center"/>
                    <w:rPr>
                      <w:color w:val="auto"/>
                      <w:szCs w:val="21"/>
                    </w:rPr>
                  </w:pPr>
                  <w:r>
                    <w:rPr>
                      <w:rFonts w:hint="eastAsia"/>
                      <w:color w:val="auto"/>
                      <w:szCs w:val="21"/>
                    </w:rPr>
                    <w:t>—</w:t>
                  </w:r>
                </w:p>
              </w:tc>
            </w:tr>
            <w:tr w14:paraId="65883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47214546">
                  <w:pPr>
                    <w:jc w:val="center"/>
                    <w:rPr>
                      <w:color w:val="auto"/>
                      <w:szCs w:val="21"/>
                    </w:rPr>
                  </w:pPr>
                  <w:r>
                    <w:rPr>
                      <w:rFonts w:hint="eastAsia"/>
                      <w:color w:val="auto"/>
                      <w:szCs w:val="21"/>
                    </w:rPr>
                    <w:t>粪大肠菌群数</w:t>
                  </w:r>
                  <w:r>
                    <w:rPr>
                      <w:color w:val="auto"/>
                      <w:szCs w:val="21"/>
                    </w:rPr>
                    <w:t>（MPN/L）</w:t>
                  </w:r>
                </w:p>
              </w:tc>
              <w:tc>
                <w:tcPr>
                  <w:tcW w:w="1151" w:type="dxa"/>
                  <w:vAlign w:val="center"/>
                </w:tcPr>
                <w:p w14:paraId="626B5DC7">
                  <w:pPr>
                    <w:widowControl/>
                    <w:jc w:val="center"/>
                    <w:rPr>
                      <w:color w:val="auto"/>
                      <w:szCs w:val="21"/>
                      <w:vertAlign w:val="superscript"/>
                    </w:rPr>
                  </w:pPr>
                  <w:r>
                    <w:rPr>
                      <w:rFonts w:hint="eastAsia"/>
                      <w:color w:val="auto"/>
                      <w:szCs w:val="21"/>
                    </w:rPr>
                    <w:t>3.0×10</w:t>
                  </w:r>
                  <w:r>
                    <w:rPr>
                      <w:rFonts w:hint="eastAsia"/>
                      <w:color w:val="auto"/>
                      <w:szCs w:val="21"/>
                      <w:vertAlign w:val="superscript"/>
                    </w:rPr>
                    <w:t>8</w:t>
                  </w:r>
                </w:p>
                <w:p w14:paraId="4BF982D8">
                  <w:pPr>
                    <w:widowControl/>
                    <w:jc w:val="center"/>
                    <w:rPr>
                      <w:color w:val="auto"/>
                      <w:szCs w:val="21"/>
                    </w:rPr>
                  </w:pPr>
                  <w:r>
                    <w:rPr>
                      <w:rFonts w:hint="eastAsia"/>
                      <w:color w:val="auto"/>
                      <w:szCs w:val="21"/>
                    </w:rPr>
                    <w:t>（个/L）</w:t>
                  </w:r>
                </w:p>
              </w:tc>
              <w:tc>
                <w:tcPr>
                  <w:tcW w:w="1645" w:type="dxa"/>
                  <w:vAlign w:val="center"/>
                </w:tcPr>
                <w:p w14:paraId="3E1D735B">
                  <w:pPr>
                    <w:widowControl/>
                    <w:jc w:val="center"/>
                    <w:rPr>
                      <w:color w:val="auto"/>
                      <w:szCs w:val="21"/>
                      <w:vertAlign w:val="superscript"/>
                    </w:rPr>
                  </w:pPr>
                  <w:r>
                    <w:rPr>
                      <w:rFonts w:hint="eastAsia"/>
                      <w:color w:val="auto"/>
                      <w:szCs w:val="21"/>
                    </w:rPr>
                    <w:t>3.0×10</w:t>
                  </w:r>
                  <w:r>
                    <w:rPr>
                      <w:rFonts w:hint="eastAsia"/>
                      <w:color w:val="auto"/>
                      <w:szCs w:val="21"/>
                      <w:vertAlign w:val="superscript"/>
                    </w:rPr>
                    <w:t>8</w:t>
                  </w:r>
                </w:p>
                <w:p w14:paraId="0ADF5090">
                  <w:pPr>
                    <w:widowControl/>
                    <w:jc w:val="center"/>
                    <w:rPr>
                      <w:color w:val="auto"/>
                      <w:szCs w:val="21"/>
                    </w:rPr>
                  </w:pPr>
                  <w:r>
                    <w:rPr>
                      <w:rFonts w:hint="eastAsia"/>
                      <w:color w:val="auto"/>
                      <w:szCs w:val="21"/>
                    </w:rPr>
                    <w:t>（个/L）</w:t>
                  </w:r>
                </w:p>
              </w:tc>
              <w:tc>
                <w:tcPr>
                  <w:tcW w:w="2055" w:type="dxa"/>
                  <w:vAlign w:val="center"/>
                </w:tcPr>
                <w:p w14:paraId="34226A5F">
                  <w:pPr>
                    <w:widowControl/>
                    <w:jc w:val="center"/>
                    <w:rPr>
                      <w:color w:val="auto"/>
                      <w:szCs w:val="21"/>
                    </w:rPr>
                  </w:pPr>
                  <w:r>
                    <w:rPr>
                      <w:rFonts w:hint="eastAsia"/>
                      <w:color w:val="auto"/>
                      <w:szCs w:val="21"/>
                    </w:rPr>
                    <w:t>70</w:t>
                  </w:r>
                </w:p>
              </w:tc>
              <w:tc>
                <w:tcPr>
                  <w:tcW w:w="2070" w:type="dxa"/>
                  <w:vAlign w:val="center"/>
                </w:tcPr>
                <w:p w14:paraId="275791FC">
                  <w:pPr>
                    <w:jc w:val="center"/>
                    <w:rPr>
                      <w:color w:val="auto"/>
                      <w:szCs w:val="21"/>
                    </w:rPr>
                  </w:pPr>
                  <w:r>
                    <w:rPr>
                      <w:color w:val="auto"/>
                      <w:szCs w:val="21"/>
                    </w:rPr>
                    <w:t>≤</w:t>
                  </w:r>
                  <w:r>
                    <w:rPr>
                      <w:rFonts w:hint="eastAsia"/>
                      <w:color w:val="auto"/>
                      <w:szCs w:val="21"/>
                    </w:rPr>
                    <w:t>5000</w:t>
                  </w:r>
                </w:p>
              </w:tc>
            </w:tr>
            <w:tr w14:paraId="46F1E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34DA74D5">
                  <w:pPr>
                    <w:jc w:val="center"/>
                    <w:rPr>
                      <w:color w:val="auto"/>
                      <w:szCs w:val="21"/>
                    </w:rPr>
                  </w:pPr>
                  <w:r>
                    <w:rPr>
                      <w:rFonts w:hint="eastAsia"/>
                      <w:color w:val="auto"/>
                      <w:szCs w:val="21"/>
                    </w:rPr>
                    <w:t>总余氯</w:t>
                  </w:r>
                </w:p>
              </w:tc>
              <w:tc>
                <w:tcPr>
                  <w:tcW w:w="1151" w:type="dxa"/>
                  <w:vAlign w:val="center"/>
                </w:tcPr>
                <w:p w14:paraId="3BC0E420">
                  <w:pPr>
                    <w:widowControl/>
                    <w:jc w:val="center"/>
                    <w:rPr>
                      <w:color w:val="auto"/>
                      <w:szCs w:val="21"/>
                    </w:rPr>
                  </w:pPr>
                  <w:r>
                    <w:rPr>
                      <w:rFonts w:hint="eastAsia"/>
                      <w:color w:val="auto"/>
                      <w:szCs w:val="21"/>
                    </w:rPr>
                    <w:t>—</w:t>
                  </w:r>
                </w:p>
              </w:tc>
              <w:tc>
                <w:tcPr>
                  <w:tcW w:w="1645" w:type="dxa"/>
                  <w:vAlign w:val="center"/>
                </w:tcPr>
                <w:p w14:paraId="71FC63CF">
                  <w:pPr>
                    <w:widowControl/>
                    <w:jc w:val="center"/>
                    <w:rPr>
                      <w:color w:val="auto"/>
                      <w:szCs w:val="21"/>
                    </w:rPr>
                  </w:pPr>
                  <w:r>
                    <w:rPr>
                      <w:rFonts w:hint="eastAsia"/>
                      <w:color w:val="auto"/>
                      <w:szCs w:val="21"/>
                    </w:rPr>
                    <w:t>—</w:t>
                  </w:r>
                </w:p>
              </w:tc>
              <w:tc>
                <w:tcPr>
                  <w:tcW w:w="2055" w:type="dxa"/>
                  <w:vAlign w:val="center"/>
                </w:tcPr>
                <w:p w14:paraId="7A8DE146">
                  <w:pPr>
                    <w:widowControl/>
                    <w:jc w:val="center"/>
                    <w:rPr>
                      <w:color w:val="auto"/>
                      <w:szCs w:val="21"/>
                    </w:rPr>
                  </w:pPr>
                  <w:r>
                    <w:rPr>
                      <w:rFonts w:hint="eastAsia"/>
                      <w:color w:val="auto"/>
                      <w:szCs w:val="21"/>
                    </w:rPr>
                    <w:t>0.4</w:t>
                  </w:r>
                </w:p>
              </w:tc>
              <w:tc>
                <w:tcPr>
                  <w:tcW w:w="2070" w:type="dxa"/>
                  <w:vAlign w:val="center"/>
                </w:tcPr>
                <w:p w14:paraId="30083BFB">
                  <w:pPr>
                    <w:jc w:val="center"/>
                    <w:rPr>
                      <w:color w:val="auto"/>
                      <w:szCs w:val="21"/>
                    </w:rPr>
                  </w:pPr>
                  <w:r>
                    <w:rPr>
                      <w:color w:val="auto"/>
                      <w:szCs w:val="21"/>
                    </w:rPr>
                    <w:t>2~8</w:t>
                  </w:r>
                </w:p>
              </w:tc>
            </w:tr>
            <w:tr w14:paraId="59E6C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1239" w:type="dxa"/>
                  <w:vAlign w:val="center"/>
                </w:tcPr>
                <w:p w14:paraId="496881F9">
                  <w:pPr>
                    <w:jc w:val="center"/>
                    <w:rPr>
                      <w:color w:val="auto"/>
                      <w:szCs w:val="21"/>
                    </w:rPr>
                  </w:pPr>
                  <w:r>
                    <w:rPr>
                      <w:rFonts w:hint="eastAsia"/>
                      <w:color w:val="auto"/>
                      <w:szCs w:val="21"/>
                    </w:rPr>
                    <w:t>总磷</w:t>
                  </w:r>
                </w:p>
              </w:tc>
              <w:tc>
                <w:tcPr>
                  <w:tcW w:w="1151" w:type="dxa"/>
                  <w:vAlign w:val="center"/>
                </w:tcPr>
                <w:p w14:paraId="494EFE4E">
                  <w:pPr>
                    <w:widowControl/>
                    <w:jc w:val="center"/>
                    <w:rPr>
                      <w:color w:val="auto"/>
                      <w:szCs w:val="21"/>
                    </w:rPr>
                  </w:pPr>
                  <w:r>
                    <w:rPr>
                      <w:rFonts w:hint="eastAsia"/>
                      <w:color w:val="auto"/>
                      <w:szCs w:val="21"/>
                    </w:rPr>
                    <w:t>12.8</w:t>
                  </w:r>
                </w:p>
              </w:tc>
              <w:tc>
                <w:tcPr>
                  <w:tcW w:w="1645" w:type="dxa"/>
                  <w:vAlign w:val="center"/>
                </w:tcPr>
                <w:p w14:paraId="767ECFCC">
                  <w:pPr>
                    <w:widowControl/>
                    <w:jc w:val="center"/>
                    <w:rPr>
                      <w:color w:val="auto"/>
                      <w:szCs w:val="21"/>
                    </w:rPr>
                  </w:pPr>
                  <w:r>
                    <w:rPr>
                      <w:rFonts w:hint="eastAsia"/>
                      <w:color w:val="auto"/>
                      <w:szCs w:val="21"/>
                    </w:rPr>
                    <w:t>10.4</w:t>
                  </w:r>
                </w:p>
              </w:tc>
              <w:tc>
                <w:tcPr>
                  <w:tcW w:w="2055" w:type="dxa"/>
                  <w:vAlign w:val="center"/>
                </w:tcPr>
                <w:p w14:paraId="79F6C0AA">
                  <w:pPr>
                    <w:widowControl/>
                    <w:jc w:val="center"/>
                    <w:rPr>
                      <w:color w:val="auto"/>
                      <w:szCs w:val="21"/>
                    </w:rPr>
                  </w:pPr>
                  <w:r>
                    <w:rPr>
                      <w:rFonts w:hint="eastAsia"/>
                      <w:color w:val="auto"/>
                      <w:szCs w:val="21"/>
                    </w:rPr>
                    <w:t>4.69</w:t>
                  </w:r>
                </w:p>
              </w:tc>
              <w:tc>
                <w:tcPr>
                  <w:tcW w:w="2070" w:type="dxa"/>
                  <w:vAlign w:val="center"/>
                </w:tcPr>
                <w:p w14:paraId="0A4A27D5">
                  <w:pPr>
                    <w:jc w:val="center"/>
                    <w:rPr>
                      <w:color w:val="auto"/>
                      <w:szCs w:val="21"/>
                    </w:rPr>
                  </w:pPr>
                  <w:r>
                    <w:rPr>
                      <w:rFonts w:hint="eastAsia"/>
                      <w:color w:val="auto"/>
                      <w:szCs w:val="21"/>
                    </w:rPr>
                    <w:t>—</w:t>
                  </w:r>
                </w:p>
              </w:tc>
            </w:tr>
          </w:tbl>
          <w:p w14:paraId="04E3735B">
            <w:pPr>
              <w:spacing w:line="360" w:lineRule="auto"/>
              <w:ind w:firstLine="480" w:firstLineChars="200"/>
              <w:jc w:val="left"/>
              <w:rPr>
                <w:color w:val="auto"/>
                <w:sz w:val="24"/>
              </w:rPr>
            </w:pPr>
            <w:r>
              <w:rPr>
                <w:color w:val="auto"/>
                <w:sz w:val="24"/>
              </w:rPr>
              <w:t>综上所述，项目</w:t>
            </w:r>
            <w:r>
              <w:rPr>
                <w:rFonts w:hint="eastAsia"/>
                <w:color w:val="auto"/>
                <w:sz w:val="24"/>
              </w:rPr>
              <w:t>纳古卫生院、四街卫生院、九龙卫生院、杨广卫生院</w:t>
            </w:r>
            <w:r>
              <w:rPr>
                <w:color w:val="auto"/>
                <w:sz w:val="24"/>
              </w:rPr>
              <w:t>产生</w:t>
            </w:r>
            <w:r>
              <w:rPr>
                <w:rFonts w:hint="eastAsia"/>
                <w:color w:val="auto"/>
                <w:sz w:val="24"/>
              </w:rPr>
              <w:t>的污（</w:t>
            </w:r>
            <w:r>
              <w:rPr>
                <w:color w:val="auto"/>
                <w:sz w:val="24"/>
              </w:rPr>
              <w:t>废</w:t>
            </w:r>
            <w:r>
              <w:rPr>
                <w:rFonts w:hint="eastAsia"/>
                <w:color w:val="auto"/>
                <w:sz w:val="24"/>
              </w:rPr>
              <w:t>）</w:t>
            </w:r>
            <w:r>
              <w:rPr>
                <w:color w:val="auto"/>
                <w:sz w:val="24"/>
              </w:rPr>
              <w:t>水通过</w:t>
            </w:r>
            <w:r>
              <w:rPr>
                <w:rFonts w:hint="eastAsia"/>
                <w:color w:val="auto"/>
                <w:sz w:val="24"/>
              </w:rPr>
              <w:t>采用“水解酸化+生物接触氧化</w:t>
            </w:r>
            <w:r>
              <w:rPr>
                <w:color w:val="auto"/>
                <w:sz w:val="24"/>
              </w:rPr>
              <w:t>+消毒工艺</w:t>
            </w:r>
            <w:r>
              <w:rPr>
                <w:rFonts w:hint="eastAsia"/>
                <w:color w:val="auto"/>
                <w:sz w:val="24"/>
              </w:rPr>
              <w:t>”</w:t>
            </w:r>
            <w:r>
              <w:rPr>
                <w:color w:val="auto"/>
                <w:sz w:val="24"/>
              </w:rPr>
              <w:t>处理后，可保证出水水质达到《医疗机构水污染物排放标准》（GB18466-2005）</w:t>
            </w:r>
            <w:r>
              <w:rPr>
                <w:rFonts w:hint="eastAsia"/>
                <w:color w:val="auto"/>
                <w:sz w:val="24"/>
              </w:rPr>
              <w:t>表2</w:t>
            </w:r>
            <w:r>
              <w:rPr>
                <w:color w:val="auto"/>
                <w:sz w:val="24"/>
              </w:rPr>
              <w:t>预处理标准要求。</w:t>
            </w:r>
            <w:r>
              <w:rPr>
                <w:rFonts w:hint="eastAsia"/>
                <w:color w:val="auto"/>
                <w:sz w:val="24"/>
              </w:rPr>
              <w:t>卫生院</w:t>
            </w:r>
            <w:r>
              <w:rPr>
                <w:color w:val="auto"/>
                <w:sz w:val="24"/>
              </w:rPr>
              <w:t>应当委托具有污水处理设计、施工资质的单位，根据</w:t>
            </w:r>
            <w:r>
              <w:rPr>
                <w:rFonts w:hint="eastAsia"/>
                <w:color w:val="auto"/>
                <w:sz w:val="24"/>
              </w:rPr>
              <w:t>项目</w:t>
            </w:r>
            <w:r>
              <w:rPr>
                <w:color w:val="auto"/>
                <w:sz w:val="24"/>
              </w:rPr>
              <w:t>建设完成后的污水产排规模、水质及排放要求、</w:t>
            </w:r>
            <w:r>
              <w:rPr>
                <w:rFonts w:hint="eastAsia"/>
                <w:color w:val="auto"/>
                <w:sz w:val="24"/>
              </w:rPr>
              <w:t>卫生院</w:t>
            </w:r>
            <w:r>
              <w:rPr>
                <w:color w:val="auto"/>
                <w:sz w:val="24"/>
              </w:rPr>
              <w:t>所处的环境等选取适合的工艺参数，确保水质</w:t>
            </w:r>
            <w:r>
              <w:rPr>
                <w:rFonts w:hint="eastAsia"/>
                <w:color w:val="auto"/>
                <w:sz w:val="24"/>
              </w:rPr>
              <w:t>稳定</w:t>
            </w:r>
            <w:r>
              <w:rPr>
                <w:color w:val="auto"/>
                <w:sz w:val="24"/>
              </w:rPr>
              <w:t>达标排放。</w:t>
            </w:r>
          </w:p>
          <w:p w14:paraId="24CD263A">
            <w:pPr>
              <w:adjustRightInd w:val="0"/>
              <w:snapToGrid w:val="0"/>
              <w:spacing w:line="360" w:lineRule="auto"/>
              <w:ind w:firstLine="482" w:firstLineChars="200"/>
              <w:outlineLvl w:val="0"/>
              <w:rPr>
                <w:b/>
                <w:color w:val="auto"/>
                <w:sz w:val="24"/>
              </w:rPr>
            </w:pPr>
            <w:r>
              <w:rPr>
                <w:rFonts w:hint="eastAsia"/>
                <w:b/>
                <w:color w:val="auto"/>
                <w:sz w:val="24"/>
              </w:rPr>
              <w:t>④</w:t>
            </w:r>
            <w:r>
              <w:rPr>
                <w:rFonts w:hAnsi="宋体"/>
                <w:b/>
                <w:color w:val="auto"/>
                <w:sz w:val="24"/>
              </w:rPr>
              <w:t>污水处理厂的可行性</w:t>
            </w:r>
            <w:r>
              <w:rPr>
                <w:rFonts w:hint="eastAsia" w:hAnsi="宋体"/>
                <w:b/>
                <w:color w:val="auto"/>
                <w:sz w:val="24"/>
              </w:rPr>
              <w:t>分析</w:t>
            </w:r>
          </w:p>
          <w:p w14:paraId="6D405370">
            <w:pPr>
              <w:adjustRightInd w:val="0"/>
              <w:snapToGrid w:val="0"/>
              <w:spacing w:line="360" w:lineRule="auto"/>
              <w:ind w:firstLine="482" w:firstLineChars="200"/>
              <w:outlineLvl w:val="0"/>
              <w:rPr>
                <w:b/>
                <w:color w:val="auto"/>
                <w:sz w:val="24"/>
              </w:rPr>
            </w:pPr>
            <w:r>
              <w:rPr>
                <w:rFonts w:hint="eastAsia" w:hAnsi="宋体"/>
                <w:b/>
                <w:color w:val="auto"/>
                <w:sz w:val="24"/>
              </w:rPr>
              <w:t>a、</w:t>
            </w:r>
            <w:r>
              <w:rPr>
                <w:rFonts w:hAnsi="宋体"/>
                <w:b/>
                <w:color w:val="auto"/>
                <w:sz w:val="24"/>
              </w:rPr>
              <w:t>进入</w:t>
            </w:r>
            <w:r>
              <w:rPr>
                <w:rFonts w:hint="eastAsia"/>
                <w:b/>
                <w:color w:val="auto"/>
                <w:sz w:val="24"/>
              </w:rPr>
              <w:t>通海县第一</w:t>
            </w:r>
            <w:r>
              <w:rPr>
                <w:rFonts w:hAnsi="宋体"/>
                <w:b/>
                <w:color w:val="auto"/>
                <w:sz w:val="24"/>
              </w:rPr>
              <w:t>污水处理厂的可行性</w:t>
            </w:r>
            <w:r>
              <w:rPr>
                <w:rFonts w:hint="eastAsia" w:hAnsi="宋体"/>
                <w:b/>
                <w:color w:val="auto"/>
                <w:sz w:val="24"/>
              </w:rPr>
              <w:t>分析</w:t>
            </w:r>
          </w:p>
          <w:p w14:paraId="57CDDDC2">
            <w:pPr>
              <w:pStyle w:val="58"/>
              <w:spacing w:line="360" w:lineRule="auto"/>
              <w:ind w:firstLine="480" w:firstLineChars="200"/>
              <w:rPr>
                <w:rFonts w:ascii="Times New Roman" w:eastAsia="宋体" w:cs="Times New Roman"/>
                <w:color w:val="auto"/>
              </w:rPr>
            </w:pPr>
            <w:r>
              <w:rPr>
                <w:rFonts w:hint="eastAsia" w:ascii="Times New Roman" w:eastAsia="宋体" w:cs="Times New Roman"/>
                <w:color w:val="auto"/>
              </w:rPr>
              <w:t>通海县第一污水处理厂，坐落于云南通海县秀山镇黄龙小漫坡，设计处理能力为日处理污水1.0万立方米。污水处理厂自1999年12月正式投入运行以来，污水处理设备运转良好，采用先进的污水处理设备，厂区主体工艺采用活性污泥法处理工艺，出水水质到GB 18918-2002 《城镇污水处理厂污染物排放标准》一级A标。根据2024年7月17日由杨广镇人民政府出具的《关于通海县杨广卫生院生活污水能进入通海县第一污水处理厂处理的证明》（详见附件），杨广镇卫生院属于通海县第一污水处理厂截污范围内，项目污水经预处理达标后的废水纳入集镇管网收集。本项目杨广卫生院新增污水排放量6.805m</w:t>
            </w:r>
            <w:r>
              <w:rPr>
                <w:rFonts w:hint="eastAsia" w:ascii="Times New Roman" w:eastAsia="宋体" w:cs="Times New Roman"/>
                <w:color w:val="auto"/>
                <w:vertAlign w:val="superscript"/>
              </w:rPr>
              <w:t>3</w:t>
            </w:r>
            <w:r>
              <w:rPr>
                <w:rFonts w:hint="eastAsia" w:ascii="Times New Roman" w:eastAsia="宋体" w:cs="Times New Roman"/>
                <w:color w:val="auto"/>
              </w:rPr>
              <w:t>/d，排放量很小，通海县第一污水处理厂有足够的余量来处理本项目产生的废水，本项目对通海县第一污水处理厂冲击不大，因此，本项目杨广卫生院新增废水依托通海县第一污水处理厂处理污水具有可行性。</w:t>
            </w:r>
          </w:p>
          <w:p w14:paraId="0FC12EE0">
            <w:pPr>
              <w:adjustRightInd w:val="0"/>
              <w:snapToGrid w:val="0"/>
              <w:spacing w:line="360" w:lineRule="auto"/>
              <w:ind w:firstLine="482" w:firstLineChars="200"/>
              <w:outlineLvl w:val="0"/>
              <w:rPr>
                <w:b/>
                <w:color w:val="auto"/>
                <w:sz w:val="24"/>
              </w:rPr>
            </w:pPr>
            <w:r>
              <w:rPr>
                <w:rFonts w:hint="eastAsia" w:hAnsi="宋体"/>
                <w:b/>
                <w:color w:val="auto"/>
                <w:sz w:val="24"/>
              </w:rPr>
              <w:t>b、</w:t>
            </w:r>
            <w:r>
              <w:rPr>
                <w:rFonts w:hAnsi="宋体"/>
                <w:b/>
                <w:color w:val="auto"/>
                <w:sz w:val="24"/>
              </w:rPr>
              <w:t>进入</w:t>
            </w:r>
            <w:r>
              <w:rPr>
                <w:rFonts w:hint="eastAsia"/>
                <w:b/>
                <w:color w:val="auto"/>
                <w:sz w:val="24"/>
              </w:rPr>
              <w:t>通海县第二</w:t>
            </w:r>
            <w:r>
              <w:rPr>
                <w:rFonts w:hAnsi="宋体"/>
                <w:b/>
                <w:color w:val="auto"/>
                <w:sz w:val="24"/>
              </w:rPr>
              <w:t>污水处理厂的可行性</w:t>
            </w:r>
            <w:r>
              <w:rPr>
                <w:rFonts w:hint="eastAsia" w:hAnsi="宋体"/>
                <w:b/>
                <w:color w:val="auto"/>
                <w:sz w:val="24"/>
              </w:rPr>
              <w:t>分析</w:t>
            </w:r>
          </w:p>
          <w:p w14:paraId="01300139">
            <w:pPr>
              <w:adjustRightInd w:val="0"/>
              <w:snapToGrid w:val="0"/>
              <w:spacing w:line="360" w:lineRule="auto"/>
              <w:ind w:firstLine="480" w:firstLineChars="200"/>
              <w:outlineLvl w:val="0"/>
              <w:rPr>
                <w:color w:val="auto"/>
                <w:sz w:val="24"/>
              </w:rPr>
            </w:pPr>
            <w:r>
              <w:rPr>
                <w:rFonts w:hint="eastAsia"/>
                <w:color w:val="auto"/>
                <w:sz w:val="24"/>
              </w:rPr>
              <w:t>通海县第二污水处理厂设计处理能力2万m</w:t>
            </w:r>
            <w:r>
              <w:rPr>
                <w:rFonts w:hint="eastAsia"/>
                <w:color w:val="auto"/>
                <w:sz w:val="24"/>
                <w:vertAlign w:val="superscript"/>
              </w:rPr>
              <w:t>3</w:t>
            </w:r>
            <w:r>
              <w:rPr>
                <w:rFonts w:hint="eastAsia"/>
                <w:color w:val="auto"/>
                <w:sz w:val="24"/>
              </w:rPr>
              <w:t>/d，近期为</w:t>
            </w:r>
            <w:r>
              <w:rPr>
                <w:color w:val="auto"/>
                <w:sz w:val="24"/>
              </w:rPr>
              <w:t>1</w:t>
            </w:r>
            <w:r>
              <w:rPr>
                <w:rFonts w:hint="eastAsia"/>
                <w:color w:val="auto"/>
                <w:sz w:val="24"/>
              </w:rPr>
              <w:t>万</w:t>
            </w:r>
            <w:r>
              <w:rPr>
                <w:color w:val="auto"/>
                <w:sz w:val="24"/>
              </w:rPr>
              <w:t>m</w:t>
            </w:r>
            <w:r>
              <w:rPr>
                <w:color w:val="auto"/>
                <w:sz w:val="24"/>
                <w:vertAlign w:val="superscript"/>
              </w:rPr>
              <w:t>3</w:t>
            </w:r>
            <w:r>
              <w:rPr>
                <w:color w:val="auto"/>
                <w:sz w:val="24"/>
              </w:rPr>
              <w:t>/d</w:t>
            </w:r>
            <w:r>
              <w:rPr>
                <w:rFonts w:hint="eastAsia"/>
                <w:color w:val="auto"/>
                <w:sz w:val="24"/>
              </w:rPr>
              <w:t>，采用</w:t>
            </w:r>
            <w:r>
              <w:rPr>
                <w:color w:val="auto"/>
                <w:sz w:val="24"/>
              </w:rPr>
              <w:t>ICEAS</w:t>
            </w:r>
            <w:r>
              <w:rPr>
                <w:rFonts w:hint="eastAsia"/>
                <w:color w:val="auto"/>
                <w:sz w:val="24"/>
              </w:rPr>
              <w:t>工艺，处理水质可达《城镇污水处理厂排放标准》（</w:t>
            </w:r>
            <w:r>
              <w:rPr>
                <w:color w:val="auto"/>
                <w:sz w:val="24"/>
              </w:rPr>
              <w:t>GB18918-2002</w:t>
            </w:r>
            <w:r>
              <w:rPr>
                <w:rFonts w:hint="eastAsia"/>
                <w:color w:val="auto"/>
                <w:sz w:val="24"/>
              </w:rPr>
              <w:t>）一级</w:t>
            </w:r>
            <w:r>
              <w:rPr>
                <w:color w:val="auto"/>
                <w:sz w:val="24"/>
              </w:rPr>
              <w:t>A</w:t>
            </w:r>
            <w:r>
              <w:rPr>
                <w:rFonts w:hint="eastAsia"/>
                <w:color w:val="auto"/>
                <w:sz w:val="24"/>
              </w:rPr>
              <w:t>标准，配套污水管网</w:t>
            </w:r>
            <w:r>
              <w:rPr>
                <w:color w:val="auto"/>
                <w:sz w:val="24"/>
              </w:rPr>
              <w:t>29.27km</w:t>
            </w:r>
            <w:r>
              <w:rPr>
                <w:rFonts w:hint="eastAsia"/>
                <w:color w:val="auto"/>
                <w:sz w:val="24"/>
              </w:rPr>
              <w:t>及污水提升泵站（井）</w:t>
            </w:r>
            <w:r>
              <w:rPr>
                <w:color w:val="auto"/>
                <w:sz w:val="24"/>
              </w:rPr>
              <w:t>5</w:t>
            </w:r>
            <w:r>
              <w:rPr>
                <w:rFonts w:hint="eastAsia"/>
                <w:color w:val="auto"/>
                <w:sz w:val="24"/>
              </w:rPr>
              <w:t>座，截污主管服务范围包括杞麓湖南岸和北岸的秀山街道办事处及九龙街道办事处、四街镇等乡镇，近期工程已于2018年12月20日投入运行。</w:t>
            </w:r>
            <w:r>
              <w:rPr>
                <w:rFonts w:hint="eastAsia"/>
                <w:bCs/>
                <w:color w:val="auto"/>
                <w:sz w:val="24"/>
              </w:rPr>
              <w:t>根据2024年7月9日由通海县人民政府九龙街道办事处出具的《关于通海县九龙卫生院生活污水能够进入通海县第二污水处理厂的证明》（详见附件）和2024年7月9日由通海县人民政府出具的《关于通海县四街卫生院生活污水能够进入通海县第二污水处理厂的证明》（详见附件），九龙卫生院和四街卫生院属于通海县第二污水处理厂截污范围内，项目经预处理达标后的废水纳入集镇管网收集</w:t>
            </w:r>
            <w:r>
              <w:rPr>
                <w:color w:val="auto"/>
                <w:sz w:val="24"/>
              </w:rPr>
              <w:t>。</w:t>
            </w:r>
            <w:r>
              <w:rPr>
                <w:rFonts w:hint="eastAsia"/>
                <w:color w:val="auto"/>
                <w:sz w:val="24"/>
              </w:rPr>
              <w:t>本项目四街卫生院新增污水排放量7.1m</w:t>
            </w:r>
            <w:r>
              <w:rPr>
                <w:rFonts w:hint="eastAsia"/>
                <w:color w:val="auto"/>
                <w:sz w:val="24"/>
                <w:vertAlign w:val="superscript"/>
              </w:rPr>
              <w:t>3</w:t>
            </w:r>
            <w:r>
              <w:rPr>
                <w:rFonts w:hint="eastAsia"/>
                <w:color w:val="auto"/>
                <w:sz w:val="24"/>
              </w:rPr>
              <w:t>/d；本项目九龙卫生院新增污水排放量7.25m</w:t>
            </w:r>
            <w:r>
              <w:rPr>
                <w:rFonts w:hint="eastAsia"/>
                <w:color w:val="auto"/>
                <w:sz w:val="24"/>
                <w:vertAlign w:val="superscript"/>
              </w:rPr>
              <w:t>3</w:t>
            </w:r>
            <w:r>
              <w:rPr>
                <w:rFonts w:hint="eastAsia"/>
                <w:color w:val="auto"/>
                <w:sz w:val="24"/>
              </w:rPr>
              <w:t>/d，排放量很小，通海县第二污水处理厂有足够的余量来处理本项目产生的废水，本项目对通海县第二污水处理厂冲击不大，因此，本项目九龙卫生院和四街卫生院新增废水依托通海县第二污水处理厂处理污水具有可行性。</w:t>
            </w:r>
          </w:p>
          <w:p w14:paraId="29ABA3E0">
            <w:pPr>
              <w:adjustRightInd w:val="0"/>
              <w:snapToGrid w:val="0"/>
              <w:spacing w:line="360" w:lineRule="auto"/>
              <w:ind w:firstLine="482" w:firstLineChars="200"/>
              <w:outlineLvl w:val="0"/>
              <w:rPr>
                <w:b/>
                <w:color w:val="auto"/>
                <w:sz w:val="24"/>
              </w:rPr>
            </w:pPr>
            <w:r>
              <w:rPr>
                <w:rFonts w:hint="eastAsia" w:hAnsi="宋体"/>
                <w:b/>
                <w:color w:val="auto"/>
                <w:sz w:val="24"/>
              </w:rPr>
              <w:t>c、污水</w:t>
            </w:r>
            <w:r>
              <w:rPr>
                <w:rFonts w:hAnsi="宋体"/>
                <w:b/>
                <w:color w:val="auto"/>
                <w:sz w:val="24"/>
              </w:rPr>
              <w:t>进入</w:t>
            </w:r>
            <w:r>
              <w:rPr>
                <w:rFonts w:hint="eastAsia" w:hAnsi="宋体"/>
                <w:b/>
                <w:color w:val="auto"/>
                <w:sz w:val="24"/>
              </w:rPr>
              <w:t>纳古镇污水</w:t>
            </w:r>
            <w:r>
              <w:rPr>
                <w:rFonts w:hAnsi="宋体"/>
                <w:b/>
                <w:color w:val="auto"/>
                <w:sz w:val="24"/>
              </w:rPr>
              <w:t>处理厂的可行性</w:t>
            </w:r>
            <w:r>
              <w:rPr>
                <w:rFonts w:hint="eastAsia" w:hAnsi="宋体"/>
                <w:b/>
                <w:color w:val="auto"/>
                <w:sz w:val="24"/>
              </w:rPr>
              <w:t>分析</w:t>
            </w:r>
          </w:p>
          <w:p w14:paraId="38BA9CBF">
            <w:pPr>
              <w:pStyle w:val="58"/>
              <w:spacing w:line="360" w:lineRule="auto"/>
              <w:ind w:firstLine="480" w:firstLineChars="200"/>
              <w:rPr>
                <w:rFonts w:ascii="Times New Roman" w:eastAsia="宋体" w:cs="Times New Roman"/>
                <w:color w:val="auto"/>
              </w:rPr>
            </w:pPr>
            <w:r>
              <w:rPr>
                <w:rFonts w:hint="eastAsia" w:ascii="Times New Roman" w:eastAsia="宋体" w:cs="Times New Roman"/>
                <w:color w:val="auto"/>
              </w:rPr>
              <w:t>根据《杞麓湖临湖村落污水治理工程环境影响报告表》纳古镇污水处理厂位于纳古防洪大沟纳家营小海段，占地面积1807m</w:t>
            </w:r>
            <w:r>
              <w:rPr>
                <w:rFonts w:hint="eastAsia" w:ascii="Times New Roman" w:eastAsia="宋体" w:cs="Times New Roman"/>
                <w:color w:val="auto"/>
                <w:vertAlign w:val="superscript"/>
              </w:rPr>
              <w:t>2</w:t>
            </w:r>
            <w:r>
              <w:rPr>
                <w:rFonts w:hint="eastAsia" w:ascii="Times New Roman" w:eastAsia="宋体" w:cs="Times New Roman"/>
                <w:color w:val="auto"/>
              </w:rPr>
              <w:t>。纳古镇污水处理厂处理规模为2000m³/d，采用“一体化生物处理+砂涟罐+紫外线消毒”工艺，设计出水水质《城镇污水处理厂排放标准》(GB 18918-2002）一级A标准。根据2024年7月9日由通海县纳古镇人民政府出具的《关于通海县纳古镇卫生院生活污水能够进入纳古纳古污水处理厂的证明》（详见附件），纳古镇卫生院属于纳古镇污水本项目纳古卫生院新增污水排放量7.1m</w:t>
            </w:r>
            <w:r>
              <w:rPr>
                <w:rFonts w:hint="eastAsia" w:ascii="Times New Roman" w:eastAsia="宋体" w:cs="Times New Roman"/>
                <w:color w:val="auto"/>
                <w:vertAlign w:val="superscript"/>
              </w:rPr>
              <w:t>3</w:t>
            </w:r>
            <w:r>
              <w:rPr>
                <w:rFonts w:hint="eastAsia" w:ascii="Times New Roman" w:eastAsia="宋体" w:cs="Times New Roman"/>
                <w:color w:val="auto"/>
              </w:rPr>
              <w:t>/d，处理厂截污范围内，项目污水经预处理达标后的废水纳入集镇管网收集。排放量很小，纳古镇污水处理厂有足够的余量来处理本项目产生的废水，本项目对纳古镇污水处理厂冲击不大，因此，本项目纳古卫生院新增废水依托纳古镇污水处理厂处理污水具有可行性。</w:t>
            </w:r>
          </w:p>
          <w:p w14:paraId="6A1C1E98">
            <w:pPr>
              <w:numPr>
                <w:ilvl w:val="0"/>
                <w:numId w:val="12"/>
              </w:numPr>
              <w:spacing w:line="360" w:lineRule="auto"/>
              <w:ind w:firstLine="482"/>
              <w:rPr>
                <w:rFonts w:cs="宋体"/>
                <w:b/>
                <w:bCs/>
                <w:color w:val="auto"/>
                <w:sz w:val="24"/>
              </w:rPr>
            </w:pPr>
            <w:r>
              <w:rPr>
                <w:rFonts w:hint="eastAsia" w:cs="宋体"/>
                <w:b/>
                <w:bCs/>
                <w:color w:val="auto"/>
                <w:sz w:val="24"/>
              </w:rPr>
              <w:t>项目废水类别、治理设施及排放口信息汇总</w:t>
            </w:r>
          </w:p>
          <w:p w14:paraId="3E4B748E">
            <w:pPr>
              <w:jc w:val="center"/>
              <w:rPr>
                <w:b/>
                <w:color w:val="auto"/>
                <w:sz w:val="24"/>
              </w:rPr>
            </w:pPr>
          </w:p>
          <w:p w14:paraId="59E13476">
            <w:pPr>
              <w:jc w:val="center"/>
              <w:rPr>
                <w:b/>
                <w:color w:val="auto"/>
                <w:sz w:val="24"/>
              </w:rPr>
            </w:pPr>
          </w:p>
          <w:p w14:paraId="59DCC021">
            <w:pPr>
              <w:jc w:val="center"/>
              <w:rPr>
                <w:b/>
                <w:color w:val="auto"/>
                <w:sz w:val="24"/>
              </w:rPr>
            </w:pPr>
          </w:p>
          <w:p w14:paraId="4946EFDA">
            <w:pPr>
              <w:jc w:val="center"/>
              <w:rPr>
                <w:b/>
                <w:color w:val="auto"/>
                <w:sz w:val="24"/>
              </w:rPr>
            </w:pPr>
          </w:p>
          <w:p w14:paraId="1EEC4B36">
            <w:pPr>
              <w:jc w:val="center"/>
              <w:rPr>
                <w:b/>
                <w:color w:val="auto"/>
                <w:sz w:val="24"/>
              </w:rPr>
            </w:pPr>
          </w:p>
          <w:p w14:paraId="6CCD861E">
            <w:pPr>
              <w:jc w:val="center"/>
              <w:rPr>
                <w:b/>
                <w:color w:val="auto"/>
                <w:sz w:val="24"/>
              </w:rPr>
            </w:pPr>
          </w:p>
          <w:p w14:paraId="53CE8F39">
            <w:pPr>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17</w:t>
            </w:r>
            <w:r>
              <w:rPr>
                <w:b/>
                <w:color w:val="auto"/>
                <w:sz w:val="24"/>
              </w:rPr>
              <w:t xml:space="preserve"> </w:t>
            </w:r>
            <w:r>
              <w:rPr>
                <w:rFonts w:hint="eastAsia"/>
                <w:b/>
                <w:color w:val="auto"/>
                <w:sz w:val="24"/>
              </w:rPr>
              <w:t>项目纳古卫生院废水类别、污染物及污染治理设施信息表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2325"/>
              <w:gridCol w:w="720"/>
              <w:gridCol w:w="855"/>
              <w:gridCol w:w="855"/>
              <w:gridCol w:w="1395"/>
              <w:gridCol w:w="750"/>
              <w:gridCol w:w="690"/>
              <w:gridCol w:w="724"/>
            </w:tblGrid>
            <w:tr w14:paraId="09A7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Merge w:val="restart"/>
                  <w:vAlign w:val="center"/>
                </w:tcPr>
                <w:p w14:paraId="36596E07">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废水类别</w:t>
                  </w:r>
                </w:p>
              </w:tc>
              <w:tc>
                <w:tcPr>
                  <w:tcW w:w="2325" w:type="dxa"/>
                  <w:vMerge w:val="restart"/>
                  <w:vAlign w:val="center"/>
                </w:tcPr>
                <w:p w14:paraId="1FDEC0BC">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污染物种类</w:t>
                  </w:r>
                </w:p>
              </w:tc>
              <w:tc>
                <w:tcPr>
                  <w:tcW w:w="720" w:type="dxa"/>
                  <w:vMerge w:val="restart"/>
                  <w:vAlign w:val="center"/>
                </w:tcPr>
                <w:p w14:paraId="3F94BCFF">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排放规律</w:t>
                  </w:r>
                </w:p>
              </w:tc>
              <w:tc>
                <w:tcPr>
                  <w:tcW w:w="3105" w:type="dxa"/>
                  <w:gridSpan w:val="3"/>
                  <w:vAlign w:val="center"/>
                </w:tcPr>
                <w:p w14:paraId="48234E2A">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污染治理设施</w:t>
                  </w:r>
                </w:p>
              </w:tc>
              <w:tc>
                <w:tcPr>
                  <w:tcW w:w="750" w:type="dxa"/>
                  <w:vMerge w:val="restart"/>
                  <w:vAlign w:val="center"/>
                </w:tcPr>
                <w:p w14:paraId="0D7A7EB2">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排放口编号</w:t>
                  </w:r>
                </w:p>
              </w:tc>
              <w:tc>
                <w:tcPr>
                  <w:tcW w:w="690" w:type="dxa"/>
                  <w:vMerge w:val="restart"/>
                  <w:vAlign w:val="center"/>
                </w:tcPr>
                <w:p w14:paraId="2F5B398C">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排放口类型</w:t>
                  </w:r>
                </w:p>
              </w:tc>
              <w:tc>
                <w:tcPr>
                  <w:tcW w:w="724" w:type="dxa"/>
                  <w:vMerge w:val="restart"/>
                  <w:vAlign w:val="center"/>
                </w:tcPr>
                <w:p w14:paraId="59BB8341">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排放去向</w:t>
                  </w:r>
                </w:p>
              </w:tc>
            </w:tr>
            <w:tr w14:paraId="173B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14:paraId="6EA23ED1">
                  <w:pPr>
                    <w:pStyle w:val="31"/>
                    <w:adjustRightInd w:val="0"/>
                    <w:spacing w:before="0" w:after="0" w:line="240" w:lineRule="auto"/>
                    <w:ind w:right="0" w:firstLine="0" w:firstLineChars="0"/>
                    <w:jc w:val="center"/>
                    <w:rPr>
                      <w:rFonts w:hint="eastAsia" w:ascii="宋体" w:hAnsi="宋体" w:cs="宋体"/>
                      <w:color w:val="auto"/>
                      <w:szCs w:val="21"/>
                    </w:rPr>
                  </w:pPr>
                </w:p>
              </w:tc>
              <w:tc>
                <w:tcPr>
                  <w:tcW w:w="2325" w:type="dxa"/>
                  <w:vMerge w:val="continue"/>
                  <w:vAlign w:val="center"/>
                </w:tcPr>
                <w:p w14:paraId="6150D2A8">
                  <w:pPr>
                    <w:pStyle w:val="31"/>
                    <w:adjustRightInd w:val="0"/>
                    <w:spacing w:before="0" w:after="0" w:line="240" w:lineRule="auto"/>
                    <w:ind w:right="0" w:firstLine="0" w:firstLineChars="0"/>
                    <w:jc w:val="center"/>
                    <w:rPr>
                      <w:rFonts w:hint="eastAsia" w:ascii="宋体" w:hAnsi="宋体" w:cs="宋体"/>
                      <w:color w:val="auto"/>
                      <w:szCs w:val="21"/>
                    </w:rPr>
                  </w:pPr>
                </w:p>
              </w:tc>
              <w:tc>
                <w:tcPr>
                  <w:tcW w:w="720" w:type="dxa"/>
                  <w:vMerge w:val="continue"/>
                  <w:vAlign w:val="center"/>
                </w:tcPr>
                <w:p w14:paraId="74AE653F">
                  <w:pPr>
                    <w:pStyle w:val="31"/>
                    <w:adjustRightInd w:val="0"/>
                    <w:spacing w:before="0" w:after="0" w:line="240" w:lineRule="auto"/>
                    <w:ind w:right="0" w:firstLine="0" w:firstLineChars="0"/>
                    <w:jc w:val="center"/>
                    <w:rPr>
                      <w:rFonts w:hint="eastAsia" w:ascii="宋体" w:hAnsi="宋体" w:cs="宋体"/>
                      <w:color w:val="auto"/>
                      <w:szCs w:val="21"/>
                    </w:rPr>
                  </w:pPr>
                </w:p>
              </w:tc>
              <w:tc>
                <w:tcPr>
                  <w:tcW w:w="855" w:type="dxa"/>
                  <w:vAlign w:val="center"/>
                </w:tcPr>
                <w:p w14:paraId="616F2981">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污染治理设施编号</w:t>
                  </w:r>
                </w:p>
              </w:tc>
              <w:tc>
                <w:tcPr>
                  <w:tcW w:w="855" w:type="dxa"/>
                  <w:vAlign w:val="center"/>
                </w:tcPr>
                <w:p w14:paraId="00983161">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污染治理设施名称</w:t>
                  </w:r>
                </w:p>
              </w:tc>
              <w:tc>
                <w:tcPr>
                  <w:tcW w:w="1395" w:type="dxa"/>
                  <w:vAlign w:val="center"/>
                </w:tcPr>
                <w:p w14:paraId="69AAFED9">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污染治理设施工艺</w:t>
                  </w:r>
                </w:p>
              </w:tc>
              <w:tc>
                <w:tcPr>
                  <w:tcW w:w="750" w:type="dxa"/>
                  <w:vMerge w:val="continue"/>
                  <w:vAlign w:val="center"/>
                </w:tcPr>
                <w:p w14:paraId="5FFFB5E7">
                  <w:pPr>
                    <w:pStyle w:val="31"/>
                    <w:adjustRightInd w:val="0"/>
                    <w:spacing w:before="0" w:after="0" w:line="240" w:lineRule="auto"/>
                    <w:ind w:right="0" w:firstLine="0" w:firstLineChars="0"/>
                    <w:jc w:val="center"/>
                    <w:rPr>
                      <w:rFonts w:hint="eastAsia" w:ascii="宋体" w:hAnsi="宋体" w:cs="宋体"/>
                      <w:color w:val="auto"/>
                      <w:szCs w:val="21"/>
                    </w:rPr>
                  </w:pPr>
                </w:p>
              </w:tc>
              <w:tc>
                <w:tcPr>
                  <w:tcW w:w="690" w:type="dxa"/>
                  <w:vMerge w:val="continue"/>
                  <w:vAlign w:val="center"/>
                </w:tcPr>
                <w:p w14:paraId="6FF259DF">
                  <w:pPr>
                    <w:pStyle w:val="31"/>
                    <w:adjustRightInd w:val="0"/>
                    <w:spacing w:before="0" w:after="0" w:line="240" w:lineRule="auto"/>
                    <w:ind w:right="0" w:firstLine="0" w:firstLineChars="0"/>
                    <w:jc w:val="center"/>
                    <w:rPr>
                      <w:rFonts w:hint="eastAsia" w:ascii="宋体" w:hAnsi="宋体" w:cs="宋体"/>
                      <w:color w:val="auto"/>
                      <w:szCs w:val="21"/>
                    </w:rPr>
                  </w:pPr>
                </w:p>
              </w:tc>
              <w:tc>
                <w:tcPr>
                  <w:tcW w:w="724" w:type="dxa"/>
                  <w:vMerge w:val="continue"/>
                  <w:vAlign w:val="center"/>
                </w:tcPr>
                <w:p w14:paraId="3F6EC2FD">
                  <w:pPr>
                    <w:pStyle w:val="31"/>
                    <w:adjustRightInd w:val="0"/>
                    <w:spacing w:before="0" w:after="0" w:line="240" w:lineRule="auto"/>
                    <w:ind w:right="0" w:firstLine="0" w:firstLineChars="0"/>
                    <w:jc w:val="center"/>
                    <w:rPr>
                      <w:rFonts w:hint="eastAsia" w:ascii="宋体" w:hAnsi="宋体" w:cs="宋体"/>
                      <w:color w:val="auto"/>
                      <w:szCs w:val="21"/>
                    </w:rPr>
                  </w:pPr>
                </w:p>
              </w:tc>
            </w:tr>
            <w:tr w14:paraId="298E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3" w:type="dxa"/>
                  <w:vAlign w:val="center"/>
                </w:tcPr>
                <w:p w14:paraId="53E86103">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一般医疗废水</w:t>
                  </w:r>
                </w:p>
              </w:tc>
              <w:tc>
                <w:tcPr>
                  <w:tcW w:w="2325" w:type="dxa"/>
                  <w:vAlign w:val="center"/>
                </w:tcPr>
                <w:p w14:paraId="14DE8C2E">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 xml:space="preserve">粪大肠菌群数、肠道致病菌肠道病毒、化学需氧量、氨氮、pH 值、悬浮物、五日生化需氧量、动植物油、石油类、阴 </w:t>
                  </w:r>
                </w:p>
                <w:p w14:paraId="38B47D41">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离子表面活性剂、挥发酚、色度、总氰化物、总余氯</w:t>
                  </w:r>
                </w:p>
              </w:tc>
              <w:tc>
                <w:tcPr>
                  <w:tcW w:w="720" w:type="dxa"/>
                  <w:vAlign w:val="center"/>
                </w:tcPr>
                <w:p w14:paraId="7F35F775">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连续排放</w:t>
                  </w:r>
                </w:p>
              </w:tc>
              <w:tc>
                <w:tcPr>
                  <w:tcW w:w="855" w:type="dxa"/>
                  <w:vAlign w:val="center"/>
                </w:tcPr>
                <w:p w14:paraId="54634355">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TW001</w:t>
                  </w:r>
                </w:p>
              </w:tc>
              <w:tc>
                <w:tcPr>
                  <w:tcW w:w="855" w:type="dxa"/>
                  <w:vAlign w:val="center"/>
                </w:tcPr>
                <w:p w14:paraId="7F1AE938">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综合废水化粪池+污水处理站</w:t>
                  </w:r>
                </w:p>
              </w:tc>
              <w:tc>
                <w:tcPr>
                  <w:tcW w:w="1395" w:type="dxa"/>
                  <w:vAlign w:val="center"/>
                </w:tcPr>
                <w:p w14:paraId="46720546">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化粪池+“水解酸化+生物接触氧化+消毒工艺”</w:t>
                  </w:r>
                </w:p>
              </w:tc>
              <w:tc>
                <w:tcPr>
                  <w:tcW w:w="750" w:type="dxa"/>
                  <w:vMerge w:val="restart"/>
                  <w:vAlign w:val="center"/>
                </w:tcPr>
                <w:p w14:paraId="1F41390E">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DW001</w:t>
                  </w:r>
                </w:p>
              </w:tc>
              <w:tc>
                <w:tcPr>
                  <w:tcW w:w="690" w:type="dxa"/>
                  <w:vMerge w:val="restart"/>
                  <w:vAlign w:val="center"/>
                </w:tcPr>
                <w:p w14:paraId="243693C5">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一般排放口</w:t>
                  </w:r>
                </w:p>
              </w:tc>
              <w:tc>
                <w:tcPr>
                  <w:tcW w:w="724" w:type="dxa"/>
                  <w:vMerge w:val="restart"/>
                  <w:vAlign w:val="center"/>
                </w:tcPr>
                <w:p w14:paraId="5CCFC38F">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纳古镇污水处理厂</w:t>
                  </w:r>
                </w:p>
              </w:tc>
            </w:tr>
            <w:tr w14:paraId="28C5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63" w:type="dxa"/>
                  <w:vAlign w:val="center"/>
                </w:tcPr>
                <w:p w14:paraId="4B9664AF">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检验废水</w:t>
                  </w:r>
                </w:p>
              </w:tc>
              <w:tc>
                <w:tcPr>
                  <w:tcW w:w="2325" w:type="dxa"/>
                  <w:vAlign w:val="center"/>
                </w:tcPr>
                <w:p w14:paraId="63A173ED">
                  <w:pPr>
                    <w:pStyle w:val="11"/>
                    <w:adjustRightInd w:val="0"/>
                    <w:snapToGrid w:val="0"/>
                    <w:jc w:val="center"/>
                    <w:rPr>
                      <w:rFonts w:hint="eastAsia" w:ascii="宋体" w:hAnsi="宋体" w:cs="宋体"/>
                      <w:color w:val="auto"/>
                      <w:sz w:val="21"/>
                      <w:szCs w:val="21"/>
                    </w:rPr>
                  </w:pPr>
                  <w:r>
                    <w:rPr>
                      <w:rFonts w:hint="eastAsia" w:ascii="宋体" w:hAnsi="宋体" w:cs="宋体"/>
                      <w:color w:val="auto"/>
                      <w:sz w:val="21"/>
                      <w:szCs w:val="21"/>
                    </w:rPr>
                    <w:t>pH</w:t>
                  </w:r>
                </w:p>
                <w:p w14:paraId="43E92995">
                  <w:pPr>
                    <w:pStyle w:val="31"/>
                    <w:adjustRightInd w:val="0"/>
                    <w:spacing w:before="0" w:after="0" w:line="240" w:lineRule="auto"/>
                    <w:ind w:right="0" w:firstLine="0" w:firstLineChars="0"/>
                    <w:jc w:val="center"/>
                    <w:rPr>
                      <w:rFonts w:hint="eastAsia" w:ascii="宋体" w:hAnsi="宋体" w:cs="宋体"/>
                      <w:color w:val="auto"/>
                      <w:szCs w:val="21"/>
                    </w:rPr>
                  </w:pPr>
                </w:p>
              </w:tc>
              <w:tc>
                <w:tcPr>
                  <w:tcW w:w="720" w:type="dxa"/>
                  <w:vAlign w:val="center"/>
                </w:tcPr>
                <w:p w14:paraId="62ED14D7">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间断排放</w:t>
                  </w:r>
                </w:p>
              </w:tc>
              <w:tc>
                <w:tcPr>
                  <w:tcW w:w="855" w:type="dxa"/>
                  <w:vAlign w:val="center"/>
                </w:tcPr>
                <w:p w14:paraId="3C456288">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TW002</w:t>
                  </w:r>
                </w:p>
              </w:tc>
              <w:tc>
                <w:tcPr>
                  <w:tcW w:w="855" w:type="dxa"/>
                  <w:vAlign w:val="center"/>
                </w:tcPr>
                <w:p w14:paraId="4CE1E0DC">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预处理+综合废水化粪池+污水处理站</w:t>
                  </w:r>
                </w:p>
              </w:tc>
              <w:tc>
                <w:tcPr>
                  <w:tcW w:w="1395" w:type="dxa"/>
                  <w:vAlign w:val="center"/>
                </w:tcPr>
                <w:p w14:paraId="107C2F84">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中和法+化粪池+“水解酸化+生物接触氧化+消毒工艺”</w:t>
                  </w:r>
                </w:p>
              </w:tc>
              <w:tc>
                <w:tcPr>
                  <w:tcW w:w="750" w:type="dxa"/>
                  <w:vMerge w:val="continue"/>
                  <w:vAlign w:val="center"/>
                </w:tcPr>
                <w:p w14:paraId="07379B65">
                  <w:pPr>
                    <w:pStyle w:val="31"/>
                    <w:adjustRightInd w:val="0"/>
                    <w:spacing w:before="0" w:after="0" w:line="240" w:lineRule="auto"/>
                    <w:ind w:right="0" w:firstLine="0" w:firstLineChars="0"/>
                    <w:jc w:val="center"/>
                    <w:rPr>
                      <w:rFonts w:hint="eastAsia" w:ascii="宋体" w:hAnsi="宋体" w:cs="宋体"/>
                      <w:color w:val="auto"/>
                      <w:szCs w:val="21"/>
                    </w:rPr>
                  </w:pPr>
                </w:p>
              </w:tc>
              <w:tc>
                <w:tcPr>
                  <w:tcW w:w="690" w:type="dxa"/>
                  <w:vMerge w:val="continue"/>
                  <w:vAlign w:val="center"/>
                </w:tcPr>
                <w:p w14:paraId="7B512D42">
                  <w:pPr>
                    <w:pStyle w:val="31"/>
                    <w:adjustRightInd w:val="0"/>
                    <w:spacing w:before="0" w:after="0" w:line="240" w:lineRule="auto"/>
                    <w:ind w:right="0" w:firstLine="0" w:firstLineChars="0"/>
                    <w:jc w:val="center"/>
                    <w:rPr>
                      <w:rFonts w:hint="eastAsia" w:ascii="宋体" w:hAnsi="宋体" w:cs="宋体"/>
                      <w:color w:val="auto"/>
                      <w:szCs w:val="21"/>
                    </w:rPr>
                  </w:pPr>
                </w:p>
              </w:tc>
              <w:tc>
                <w:tcPr>
                  <w:tcW w:w="724" w:type="dxa"/>
                  <w:vMerge w:val="continue"/>
                  <w:vAlign w:val="center"/>
                </w:tcPr>
                <w:p w14:paraId="74422653">
                  <w:pPr>
                    <w:pStyle w:val="31"/>
                    <w:adjustRightInd w:val="0"/>
                    <w:spacing w:before="0" w:after="0" w:line="240" w:lineRule="auto"/>
                    <w:ind w:right="0" w:firstLine="0" w:firstLineChars="0"/>
                    <w:jc w:val="center"/>
                    <w:rPr>
                      <w:rFonts w:hint="eastAsia" w:ascii="宋体" w:hAnsi="宋体" w:cs="宋体"/>
                      <w:color w:val="auto"/>
                      <w:szCs w:val="21"/>
                    </w:rPr>
                  </w:pPr>
                </w:p>
              </w:tc>
            </w:tr>
          </w:tbl>
          <w:p w14:paraId="2E752328">
            <w:pPr>
              <w:jc w:val="center"/>
              <w:rPr>
                <w:b/>
                <w:color w:val="auto"/>
                <w:sz w:val="24"/>
              </w:rPr>
            </w:pPr>
          </w:p>
          <w:p w14:paraId="5ED2834E">
            <w:pPr>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18</w:t>
            </w:r>
            <w:r>
              <w:rPr>
                <w:b/>
                <w:color w:val="auto"/>
                <w:sz w:val="24"/>
              </w:rPr>
              <w:t xml:space="preserve"> </w:t>
            </w:r>
            <w:r>
              <w:rPr>
                <w:rFonts w:hint="eastAsia"/>
                <w:b/>
                <w:color w:val="auto"/>
                <w:sz w:val="24"/>
              </w:rPr>
              <w:t>项目四街卫生院废水类别、污染物及污染治理设施信息表</w:t>
            </w:r>
          </w:p>
          <w:tbl>
            <w:tblPr>
              <w:tblStyle w:val="33"/>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239"/>
              <w:gridCol w:w="734"/>
              <w:gridCol w:w="839"/>
              <w:gridCol w:w="855"/>
              <w:gridCol w:w="1381"/>
              <w:gridCol w:w="764"/>
              <w:gridCol w:w="674"/>
              <w:gridCol w:w="720"/>
            </w:tblGrid>
            <w:tr w14:paraId="4009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restart"/>
                  <w:vAlign w:val="center"/>
                </w:tcPr>
                <w:p w14:paraId="4D043601">
                  <w:pPr>
                    <w:pStyle w:val="31"/>
                    <w:adjustRightInd w:val="0"/>
                    <w:spacing w:before="0" w:after="0" w:line="240" w:lineRule="auto"/>
                    <w:ind w:firstLine="0" w:firstLineChars="0"/>
                    <w:jc w:val="center"/>
                    <w:rPr>
                      <w:b/>
                      <w:bCs/>
                      <w:color w:val="auto"/>
                      <w:szCs w:val="21"/>
                    </w:rPr>
                  </w:pPr>
                  <w:r>
                    <w:rPr>
                      <w:rFonts w:hint="eastAsia"/>
                      <w:b/>
                      <w:bCs/>
                      <w:color w:val="auto"/>
                      <w:szCs w:val="21"/>
                    </w:rPr>
                    <w:t>废水类别</w:t>
                  </w:r>
                </w:p>
              </w:tc>
              <w:tc>
                <w:tcPr>
                  <w:tcW w:w="1261" w:type="pct"/>
                  <w:vMerge w:val="restart"/>
                  <w:vAlign w:val="center"/>
                </w:tcPr>
                <w:p w14:paraId="3598A911">
                  <w:pPr>
                    <w:pStyle w:val="31"/>
                    <w:adjustRightInd w:val="0"/>
                    <w:spacing w:before="0" w:after="0" w:line="240" w:lineRule="auto"/>
                    <w:ind w:firstLine="0" w:firstLineChars="0"/>
                    <w:jc w:val="center"/>
                    <w:rPr>
                      <w:b/>
                      <w:bCs/>
                      <w:color w:val="auto"/>
                      <w:szCs w:val="21"/>
                    </w:rPr>
                  </w:pPr>
                  <w:r>
                    <w:rPr>
                      <w:rFonts w:hint="eastAsia"/>
                      <w:b/>
                      <w:bCs/>
                      <w:color w:val="auto"/>
                      <w:szCs w:val="21"/>
                    </w:rPr>
                    <w:t>污染物种类</w:t>
                  </w:r>
                </w:p>
              </w:tc>
              <w:tc>
                <w:tcPr>
                  <w:tcW w:w="414" w:type="pct"/>
                  <w:vMerge w:val="restart"/>
                  <w:vAlign w:val="center"/>
                </w:tcPr>
                <w:p w14:paraId="3C9ACFD0">
                  <w:pPr>
                    <w:pStyle w:val="31"/>
                    <w:adjustRightInd w:val="0"/>
                    <w:spacing w:before="0" w:after="0" w:line="240" w:lineRule="auto"/>
                    <w:ind w:firstLine="0" w:firstLineChars="0"/>
                    <w:jc w:val="center"/>
                    <w:rPr>
                      <w:b/>
                      <w:bCs/>
                      <w:color w:val="auto"/>
                      <w:szCs w:val="21"/>
                    </w:rPr>
                  </w:pPr>
                  <w:r>
                    <w:rPr>
                      <w:rFonts w:hint="eastAsia"/>
                      <w:b/>
                      <w:bCs/>
                      <w:color w:val="auto"/>
                      <w:szCs w:val="21"/>
                    </w:rPr>
                    <w:t>排放规律</w:t>
                  </w:r>
                </w:p>
              </w:tc>
              <w:tc>
                <w:tcPr>
                  <w:tcW w:w="1734" w:type="pct"/>
                  <w:gridSpan w:val="3"/>
                  <w:vAlign w:val="center"/>
                </w:tcPr>
                <w:p w14:paraId="1A2321DA">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w:t>
                  </w:r>
                </w:p>
              </w:tc>
              <w:tc>
                <w:tcPr>
                  <w:tcW w:w="431" w:type="pct"/>
                  <w:vMerge w:val="restart"/>
                  <w:vAlign w:val="center"/>
                </w:tcPr>
                <w:p w14:paraId="50D66004">
                  <w:pPr>
                    <w:pStyle w:val="31"/>
                    <w:adjustRightInd w:val="0"/>
                    <w:spacing w:before="0" w:after="0" w:line="240" w:lineRule="auto"/>
                    <w:ind w:firstLine="0" w:firstLineChars="0"/>
                    <w:jc w:val="center"/>
                    <w:rPr>
                      <w:b/>
                      <w:bCs/>
                      <w:color w:val="auto"/>
                      <w:szCs w:val="21"/>
                    </w:rPr>
                  </w:pPr>
                  <w:r>
                    <w:rPr>
                      <w:rFonts w:hint="eastAsia"/>
                      <w:b/>
                      <w:bCs/>
                      <w:color w:val="auto"/>
                      <w:szCs w:val="21"/>
                    </w:rPr>
                    <w:t>排放口编号</w:t>
                  </w:r>
                </w:p>
              </w:tc>
              <w:tc>
                <w:tcPr>
                  <w:tcW w:w="380" w:type="pct"/>
                  <w:vMerge w:val="restart"/>
                  <w:vAlign w:val="center"/>
                </w:tcPr>
                <w:p w14:paraId="4B2E5FA8">
                  <w:pPr>
                    <w:pStyle w:val="31"/>
                    <w:adjustRightInd w:val="0"/>
                    <w:spacing w:before="0" w:after="0" w:line="240" w:lineRule="auto"/>
                    <w:ind w:firstLine="0" w:firstLineChars="0"/>
                    <w:jc w:val="center"/>
                    <w:rPr>
                      <w:b/>
                      <w:bCs/>
                      <w:color w:val="auto"/>
                      <w:szCs w:val="21"/>
                    </w:rPr>
                  </w:pPr>
                  <w:r>
                    <w:rPr>
                      <w:rFonts w:hint="eastAsia"/>
                      <w:b/>
                      <w:bCs/>
                      <w:color w:val="auto"/>
                      <w:szCs w:val="21"/>
                    </w:rPr>
                    <w:t>排放口类型</w:t>
                  </w:r>
                </w:p>
              </w:tc>
              <w:tc>
                <w:tcPr>
                  <w:tcW w:w="406" w:type="pct"/>
                  <w:vMerge w:val="restart"/>
                  <w:vAlign w:val="center"/>
                </w:tcPr>
                <w:p w14:paraId="4D188094">
                  <w:pPr>
                    <w:pStyle w:val="31"/>
                    <w:adjustRightInd w:val="0"/>
                    <w:spacing w:before="0" w:after="0" w:line="240" w:lineRule="auto"/>
                    <w:ind w:firstLine="0" w:firstLineChars="0"/>
                    <w:jc w:val="center"/>
                    <w:rPr>
                      <w:b/>
                      <w:bCs/>
                      <w:color w:val="auto"/>
                      <w:szCs w:val="21"/>
                    </w:rPr>
                  </w:pPr>
                  <w:r>
                    <w:rPr>
                      <w:rFonts w:hint="eastAsia"/>
                      <w:b/>
                      <w:bCs/>
                      <w:color w:val="auto"/>
                      <w:szCs w:val="21"/>
                    </w:rPr>
                    <w:t>排放去向</w:t>
                  </w:r>
                </w:p>
              </w:tc>
            </w:tr>
            <w:tr w14:paraId="6E7D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4A282585">
                  <w:pPr>
                    <w:pStyle w:val="31"/>
                    <w:adjustRightInd w:val="0"/>
                    <w:spacing w:before="0" w:after="0" w:line="240" w:lineRule="auto"/>
                    <w:ind w:firstLine="0" w:firstLineChars="0"/>
                    <w:jc w:val="center"/>
                    <w:rPr>
                      <w:color w:val="auto"/>
                      <w:szCs w:val="21"/>
                    </w:rPr>
                  </w:pPr>
                </w:p>
              </w:tc>
              <w:tc>
                <w:tcPr>
                  <w:tcW w:w="1261" w:type="pct"/>
                  <w:vMerge w:val="continue"/>
                  <w:vAlign w:val="center"/>
                </w:tcPr>
                <w:p w14:paraId="01344BD1">
                  <w:pPr>
                    <w:pStyle w:val="31"/>
                    <w:adjustRightInd w:val="0"/>
                    <w:spacing w:before="0" w:after="0" w:line="240" w:lineRule="auto"/>
                    <w:ind w:firstLine="0" w:firstLineChars="0"/>
                    <w:jc w:val="center"/>
                    <w:rPr>
                      <w:color w:val="auto"/>
                      <w:szCs w:val="21"/>
                    </w:rPr>
                  </w:pPr>
                </w:p>
              </w:tc>
              <w:tc>
                <w:tcPr>
                  <w:tcW w:w="414" w:type="pct"/>
                  <w:vMerge w:val="continue"/>
                  <w:vAlign w:val="center"/>
                </w:tcPr>
                <w:p w14:paraId="4E4D4500">
                  <w:pPr>
                    <w:pStyle w:val="31"/>
                    <w:adjustRightInd w:val="0"/>
                    <w:spacing w:before="0" w:after="0" w:line="240" w:lineRule="auto"/>
                    <w:ind w:firstLine="0" w:firstLineChars="0"/>
                    <w:jc w:val="center"/>
                    <w:rPr>
                      <w:color w:val="auto"/>
                      <w:szCs w:val="21"/>
                    </w:rPr>
                  </w:pPr>
                </w:p>
              </w:tc>
              <w:tc>
                <w:tcPr>
                  <w:tcW w:w="473" w:type="pct"/>
                  <w:vAlign w:val="center"/>
                </w:tcPr>
                <w:p w14:paraId="055CF40F">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污染治理设施编号</w:t>
                  </w:r>
                </w:p>
              </w:tc>
              <w:tc>
                <w:tcPr>
                  <w:tcW w:w="482" w:type="pct"/>
                  <w:vAlign w:val="center"/>
                </w:tcPr>
                <w:p w14:paraId="5A0BA755">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污染治理设施名称</w:t>
                  </w:r>
                </w:p>
              </w:tc>
              <w:tc>
                <w:tcPr>
                  <w:tcW w:w="778" w:type="pct"/>
                  <w:vAlign w:val="center"/>
                </w:tcPr>
                <w:p w14:paraId="0C1F5773">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污染治理设施工艺</w:t>
                  </w:r>
                </w:p>
              </w:tc>
              <w:tc>
                <w:tcPr>
                  <w:tcW w:w="431" w:type="pct"/>
                  <w:vMerge w:val="continue"/>
                  <w:vAlign w:val="center"/>
                </w:tcPr>
                <w:p w14:paraId="296A9C03">
                  <w:pPr>
                    <w:pStyle w:val="31"/>
                    <w:adjustRightInd w:val="0"/>
                    <w:spacing w:before="0" w:after="0" w:line="240" w:lineRule="auto"/>
                    <w:ind w:firstLine="0" w:firstLineChars="0"/>
                    <w:jc w:val="center"/>
                    <w:rPr>
                      <w:color w:val="auto"/>
                      <w:szCs w:val="21"/>
                    </w:rPr>
                  </w:pPr>
                </w:p>
              </w:tc>
              <w:tc>
                <w:tcPr>
                  <w:tcW w:w="380" w:type="pct"/>
                  <w:vMerge w:val="continue"/>
                  <w:vAlign w:val="center"/>
                </w:tcPr>
                <w:p w14:paraId="79EFF2A2">
                  <w:pPr>
                    <w:pStyle w:val="31"/>
                    <w:adjustRightInd w:val="0"/>
                    <w:spacing w:before="0" w:after="0" w:line="240" w:lineRule="auto"/>
                    <w:ind w:firstLine="0" w:firstLineChars="0"/>
                    <w:jc w:val="center"/>
                    <w:rPr>
                      <w:color w:val="auto"/>
                      <w:szCs w:val="21"/>
                    </w:rPr>
                  </w:pPr>
                </w:p>
              </w:tc>
              <w:tc>
                <w:tcPr>
                  <w:tcW w:w="406" w:type="pct"/>
                  <w:vMerge w:val="continue"/>
                  <w:vAlign w:val="center"/>
                </w:tcPr>
                <w:p w14:paraId="053C1F00">
                  <w:pPr>
                    <w:pStyle w:val="31"/>
                    <w:adjustRightInd w:val="0"/>
                    <w:spacing w:before="0" w:after="0" w:line="240" w:lineRule="auto"/>
                    <w:ind w:firstLine="0" w:firstLineChars="0"/>
                    <w:jc w:val="center"/>
                    <w:rPr>
                      <w:color w:val="auto"/>
                      <w:szCs w:val="21"/>
                    </w:rPr>
                  </w:pPr>
                </w:p>
              </w:tc>
            </w:tr>
            <w:tr w14:paraId="3ADC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14:paraId="717C76F4">
                  <w:pPr>
                    <w:pStyle w:val="31"/>
                    <w:adjustRightInd w:val="0"/>
                    <w:spacing w:before="0" w:after="0" w:line="240" w:lineRule="auto"/>
                    <w:ind w:firstLine="0" w:firstLineChars="0"/>
                    <w:jc w:val="center"/>
                    <w:rPr>
                      <w:color w:val="auto"/>
                      <w:szCs w:val="21"/>
                    </w:rPr>
                  </w:pPr>
                  <w:r>
                    <w:rPr>
                      <w:rFonts w:hint="eastAsia"/>
                      <w:color w:val="auto"/>
                      <w:szCs w:val="21"/>
                    </w:rPr>
                    <w:t>一般医疗废水</w:t>
                  </w:r>
                </w:p>
              </w:tc>
              <w:tc>
                <w:tcPr>
                  <w:tcW w:w="1261" w:type="pct"/>
                  <w:vAlign w:val="center"/>
                </w:tcPr>
                <w:p w14:paraId="4EEC73F0">
                  <w:pPr>
                    <w:pStyle w:val="31"/>
                    <w:adjustRightInd w:val="0"/>
                    <w:spacing w:before="0" w:after="0" w:line="240" w:lineRule="auto"/>
                    <w:ind w:firstLine="0" w:firstLineChars="0"/>
                    <w:jc w:val="center"/>
                    <w:rPr>
                      <w:color w:val="auto"/>
                      <w:szCs w:val="21"/>
                    </w:rPr>
                  </w:pPr>
                  <w:r>
                    <w:rPr>
                      <w:color w:val="auto"/>
                      <w:szCs w:val="21"/>
                    </w:rPr>
                    <w:t xml:space="preserve">粪大肠菌群数、肠道致病菌肠道病毒、化学需氧量、氨氮、pH 值、悬浮物、五日生化需氧量、动植物油、石油类、阴离子表面活性剂、挥发酚、色 </w:t>
                  </w:r>
                </w:p>
                <w:p w14:paraId="60289D6B">
                  <w:pPr>
                    <w:pStyle w:val="31"/>
                    <w:adjustRightInd w:val="0"/>
                    <w:spacing w:before="0" w:after="0" w:line="240" w:lineRule="auto"/>
                    <w:ind w:firstLine="0" w:firstLineChars="0"/>
                    <w:jc w:val="center"/>
                    <w:rPr>
                      <w:color w:val="auto"/>
                      <w:szCs w:val="21"/>
                    </w:rPr>
                  </w:pPr>
                  <w:r>
                    <w:rPr>
                      <w:color w:val="auto"/>
                      <w:szCs w:val="21"/>
                    </w:rPr>
                    <w:t xml:space="preserve">度、总氰化物、总余氯 </w:t>
                  </w:r>
                </w:p>
              </w:tc>
              <w:tc>
                <w:tcPr>
                  <w:tcW w:w="414" w:type="pct"/>
                  <w:vAlign w:val="center"/>
                </w:tcPr>
                <w:p w14:paraId="112C0CE8">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473" w:type="pct"/>
                  <w:vAlign w:val="center"/>
                </w:tcPr>
                <w:p w14:paraId="61F7DD7F">
                  <w:pPr>
                    <w:pStyle w:val="31"/>
                    <w:adjustRightInd w:val="0"/>
                    <w:spacing w:before="0" w:after="0" w:line="240" w:lineRule="auto"/>
                    <w:ind w:firstLine="0" w:firstLineChars="0"/>
                    <w:jc w:val="center"/>
                    <w:rPr>
                      <w:color w:val="auto"/>
                      <w:szCs w:val="21"/>
                    </w:rPr>
                  </w:pPr>
                  <w:r>
                    <w:rPr>
                      <w:rFonts w:hint="eastAsia"/>
                      <w:color w:val="auto"/>
                      <w:szCs w:val="21"/>
                    </w:rPr>
                    <w:t>TW001</w:t>
                  </w:r>
                </w:p>
              </w:tc>
              <w:tc>
                <w:tcPr>
                  <w:tcW w:w="482" w:type="pct"/>
                  <w:vAlign w:val="center"/>
                </w:tcPr>
                <w:p w14:paraId="7CF93A55">
                  <w:pPr>
                    <w:pStyle w:val="31"/>
                    <w:adjustRightInd w:val="0"/>
                    <w:spacing w:before="0" w:after="0" w:line="240" w:lineRule="auto"/>
                    <w:ind w:firstLine="0" w:firstLineChars="0"/>
                    <w:jc w:val="center"/>
                    <w:rPr>
                      <w:color w:val="auto"/>
                      <w:szCs w:val="21"/>
                    </w:rPr>
                  </w:pPr>
                  <w:r>
                    <w:rPr>
                      <w:rFonts w:hint="eastAsia"/>
                      <w:color w:val="auto"/>
                      <w:szCs w:val="21"/>
                    </w:rPr>
                    <w:t>综合废水化粪池+污水处理站</w:t>
                  </w:r>
                </w:p>
              </w:tc>
              <w:tc>
                <w:tcPr>
                  <w:tcW w:w="778" w:type="pct"/>
                  <w:vAlign w:val="center"/>
                </w:tcPr>
                <w:p w14:paraId="003FCFFC">
                  <w:pPr>
                    <w:pStyle w:val="31"/>
                    <w:adjustRightInd w:val="0"/>
                    <w:spacing w:before="0" w:after="0" w:line="240" w:lineRule="auto"/>
                    <w:ind w:firstLine="0" w:firstLineChars="0"/>
                    <w:jc w:val="center"/>
                    <w:rPr>
                      <w:color w:val="auto"/>
                      <w:szCs w:val="21"/>
                    </w:rPr>
                  </w:pPr>
                  <w:r>
                    <w:rPr>
                      <w:color w:val="auto"/>
                      <w:szCs w:val="21"/>
                    </w:rPr>
                    <w:t>化粪池+“水解酸化+生物接触氧化+消毒工艺”</w:t>
                  </w:r>
                </w:p>
              </w:tc>
              <w:tc>
                <w:tcPr>
                  <w:tcW w:w="431" w:type="pct"/>
                  <w:vMerge w:val="restart"/>
                  <w:vAlign w:val="center"/>
                </w:tcPr>
                <w:p w14:paraId="2B1AA8D3">
                  <w:pPr>
                    <w:pStyle w:val="31"/>
                    <w:adjustRightInd w:val="0"/>
                    <w:spacing w:before="0" w:after="0" w:line="240" w:lineRule="auto"/>
                    <w:ind w:firstLine="0" w:firstLineChars="0"/>
                    <w:jc w:val="center"/>
                    <w:rPr>
                      <w:color w:val="auto"/>
                      <w:szCs w:val="21"/>
                    </w:rPr>
                  </w:pPr>
                  <w:r>
                    <w:rPr>
                      <w:rFonts w:hint="eastAsia"/>
                      <w:color w:val="auto"/>
                      <w:szCs w:val="21"/>
                    </w:rPr>
                    <w:t>DW001</w:t>
                  </w:r>
                </w:p>
              </w:tc>
              <w:tc>
                <w:tcPr>
                  <w:tcW w:w="380" w:type="pct"/>
                  <w:vMerge w:val="restart"/>
                  <w:vAlign w:val="center"/>
                </w:tcPr>
                <w:p w14:paraId="38CB7BEC">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406" w:type="pct"/>
                  <w:vMerge w:val="restart"/>
                  <w:vAlign w:val="center"/>
                </w:tcPr>
                <w:p w14:paraId="715DE9B8">
                  <w:pPr>
                    <w:pStyle w:val="31"/>
                    <w:adjustRightInd w:val="0"/>
                    <w:spacing w:before="0" w:after="0" w:line="240" w:lineRule="auto"/>
                    <w:ind w:firstLine="0" w:firstLineChars="0"/>
                    <w:jc w:val="center"/>
                    <w:rPr>
                      <w:color w:val="auto"/>
                      <w:szCs w:val="21"/>
                    </w:rPr>
                  </w:pPr>
                  <w:r>
                    <w:rPr>
                      <w:rFonts w:hint="eastAsia"/>
                      <w:color w:val="auto"/>
                      <w:szCs w:val="21"/>
                    </w:rPr>
                    <w:t>通海县第二污水处理厂</w:t>
                  </w:r>
                </w:p>
              </w:tc>
            </w:tr>
            <w:tr w14:paraId="5F86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14:paraId="2A037CB4">
                  <w:pPr>
                    <w:pStyle w:val="31"/>
                    <w:adjustRightInd w:val="0"/>
                    <w:spacing w:before="0" w:after="0" w:line="240" w:lineRule="auto"/>
                    <w:ind w:firstLine="0" w:firstLineChars="0"/>
                    <w:jc w:val="center"/>
                    <w:rPr>
                      <w:color w:val="auto"/>
                      <w:szCs w:val="21"/>
                    </w:rPr>
                  </w:pPr>
                  <w:r>
                    <w:rPr>
                      <w:rFonts w:hint="eastAsia"/>
                      <w:color w:val="auto"/>
                      <w:szCs w:val="21"/>
                    </w:rPr>
                    <w:t>检验废水</w:t>
                  </w:r>
                </w:p>
              </w:tc>
              <w:tc>
                <w:tcPr>
                  <w:tcW w:w="1261" w:type="pct"/>
                  <w:vAlign w:val="center"/>
                </w:tcPr>
                <w:p w14:paraId="62D3BCFC">
                  <w:pPr>
                    <w:pStyle w:val="11"/>
                    <w:jc w:val="center"/>
                    <w:rPr>
                      <w:color w:val="auto"/>
                    </w:rPr>
                  </w:pPr>
                  <w:r>
                    <w:rPr>
                      <w:rFonts w:hint="eastAsia"/>
                      <w:color w:val="auto"/>
                    </w:rPr>
                    <w:t>pH</w:t>
                  </w:r>
                </w:p>
                <w:p w14:paraId="70060734">
                  <w:pPr>
                    <w:pStyle w:val="31"/>
                    <w:adjustRightInd w:val="0"/>
                    <w:spacing w:before="0" w:after="0" w:line="240" w:lineRule="auto"/>
                    <w:ind w:firstLine="0" w:firstLineChars="0"/>
                    <w:jc w:val="center"/>
                    <w:rPr>
                      <w:color w:val="auto"/>
                      <w:szCs w:val="21"/>
                    </w:rPr>
                  </w:pPr>
                </w:p>
              </w:tc>
              <w:tc>
                <w:tcPr>
                  <w:tcW w:w="414" w:type="pct"/>
                  <w:vAlign w:val="center"/>
                </w:tcPr>
                <w:p w14:paraId="324F592B">
                  <w:pPr>
                    <w:pStyle w:val="31"/>
                    <w:adjustRightInd w:val="0"/>
                    <w:spacing w:before="0" w:after="0" w:line="240" w:lineRule="auto"/>
                    <w:ind w:firstLine="0" w:firstLineChars="0"/>
                    <w:jc w:val="center"/>
                    <w:rPr>
                      <w:color w:val="auto"/>
                      <w:szCs w:val="21"/>
                    </w:rPr>
                  </w:pPr>
                  <w:r>
                    <w:rPr>
                      <w:rFonts w:hint="eastAsia"/>
                      <w:color w:val="auto"/>
                      <w:szCs w:val="21"/>
                    </w:rPr>
                    <w:t>间断排放</w:t>
                  </w:r>
                </w:p>
              </w:tc>
              <w:tc>
                <w:tcPr>
                  <w:tcW w:w="473" w:type="pct"/>
                  <w:vAlign w:val="center"/>
                </w:tcPr>
                <w:p w14:paraId="291C8317">
                  <w:pPr>
                    <w:pStyle w:val="31"/>
                    <w:adjustRightInd w:val="0"/>
                    <w:spacing w:before="0" w:after="0" w:line="240" w:lineRule="auto"/>
                    <w:ind w:firstLine="0" w:firstLineChars="0"/>
                    <w:jc w:val="center"/>
                    <w:rPr>
                      <w:color w:val="auto"/>
                      <w:szCs w:val="21"/>
                    </w:rPr>
                  </w:pPr>
                  <w:r>
                    <w:rPr>
                      <w:rFonts w:hint="eastAsia"/>
                      <w:color w:val="auto"/>
                      <w:szCs w:val="21"/>
                    </w:rPr>
                    <w:t>TW002</w:t>
                  </w:r>
                </w:p>
              </w:tc>
              <w:tc>
                <w:tcPr>
                  <w:tcW w:w="482" w:type="pct"/>
                  <w:vAlign w:val="center"/>
                </w:tcPr>
                <w:p w14:paraId="45DDD33C">
                  <w:pPr>
                    <w:pStyle w:val="31"/>
                    <w:adjustRightInd w:val="0"/>
                    <w:spacing w:before="0" w:after="0" w:line="240" w:lineRule="auto"/>
                    <w:ind w:firstLine="0" w:firstLineChars="0"/>
                    <w:jc w:val="center"/>
                    <w:rPr>
                      <w:color w:val="auto"/>
                      <w:szCs w:val="21"/>
                    </w:rPr>
                  </w:pPr>
                  <w:r>
                    <w:rPr>
                      <w:rFonts w:hint="eastAsia"/>
                      <w:color w:val="auto"/>
                      <w:szCs w:val="21"/>
                    </w:rPr>
                    <w:t>预处理</w:t>
                  </w:r>
                  <w:r>
                    <w:rPr>
                      <w:rFonts w:hint="eastAsia" w:ascii="宋体" w:hAnsi="宋体" w:cs="宋体"/>
                      <w:color w:val="auto"/>
                      <w:szCs w:val="21"/>
                    </w:rPr>
                    <w:t>+综合废水化粪池+污水处理站</w:t>
                  </w:r>
                </w:p>
              </w:tc>
              <w:tc>
                <w:tcPr>
                  <w:tcW w:w="778" w:type="pct"/>
                  <w:vAlign w:val="center"/>
                </w:tcPr>
                <w:p w14:paraId="69FD8261">
                  <w:pPr>
                    <w:pStyle w:val="31"/>
                    <w:adjustRightInd w:val="0"/>
                    <w:spacing w:before="0" w:after="0" w:line="240" w:lineRule="auto"/>
                    <w:ind w:firstLine="0" w:firstLineChars="0"/>
                    <w:jc w:val="center"/>
                    <w:rPr>
                      <w:color w:val="auto"/>
                      <w:szCs w:val="21"/>
                    </w:rPr>
                  </w:pPr>
                  <w:r>
                    <w:rPr>
                      <w:rFonts w:hint="eastAsia"/>
                      <w:color w:val="auto"/>
                      <w:szCs w:val="21"/>
                    </w:rPr>
                    <w:t>中和法+</w:t>
                  </w:r>
                  <w:r>
                    <w:rPr>
                      <w:color w:val="auto"/>
                      <w:szCs w:val="21"/>
                    </w:rPr>
                    <w:t>化粪池+“水解酸化+生物接触氧化+消毒工艺”</w:t>
                  </w:r>
                </w:p>
              </w:tc>
              <w:tc>
                <w:tcPr>
                  <w:tcW w:w="431" w:type="pct"/>
                  <w:vMerge w:val="continue"/>
                  <w:vAlign w:val="center"/>
                </w:tcPr>
                <w:p w14:paraId="3D7FBE6C">
                  <w:pPr>
                    <w:pStyle w:val="31"/>
                    <w:adjustRightInd w:val="0"/>
                    <w:spacing w:before="0" w:after="0" w:line="240" w:lineRule="auto"/>
                    <w:ind w:firstLine="0" w:firstLineChars="0"/>
                    <w:jc w:val="center"/>
                    <w:rPr>
                      <w:color w:val="auto"/>
                      <w:szCs w:val="21"/>
                    </w:rPr>
                  </w:pPr>
                </w:p>
              </w:tc>
              <w:tc>
                <w:tcPr>
                  <w:tcW w:w="380" w:type="pct"/>
                  <w:vMerge w:val="continue"/>
                  <w:vAlign w:val="center"/>
                </w:tcPr>
                <w:p w14:paraId="68B90063">
                  <w:pPr>
                    <w:pStyle w:val="31"/>
                    <w:adjustRightInd w:val="0"/>
                    <w:spacing w:before="0" w:after="0" w:line="240" w:lineRule="auto"/>
                    <w:ind w:firstLine="0" w:firstLineChars="0"/>
                    <w:jc w:val="center"/>
                    <w:rPr>
                      <w:color w:val="auto"/>
                      <w:szCs w:val="21"/>
                    </w:rPr>
                  </w:pPr>
                </w:p>
              </w:tc>
              <w:tc>
                <w:tcPr>
                  <w:tcW w:w="406" w:type="pct"/>
                  <w:vMerge w:val="continue"/>
                  <w:vAlign w:val="center"/>
                </w:tcPr>
                <w:p w14:paraId="1C50B6ED">
                  <w:pPr>
                    <w:pStyle w:val="31"/>
                    <w:adjustRightInd w:val="0"/>
                    <w:spacing w:before="0" w:after="0" w:line="240" w:lineRule="auto"/>
                    <w:ind w:firstLine="0" w:firstLineChars="0"/>
                    <w:jc w:val="center"/>
                    <w:rPr>
                      <w:color w:val="auto"/>
                      <w:szCs w:val="21"/>
                    </w:rPr>
                  </w:pPr>
                </w:p>
              </w:tc>
            </w:tr>
            <w:tr w14:paraId="50AB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14:paraId="3FCCF73B">
                  <w:pPr>
                    <w:pStyle w:val="31"/>
                    <w:adjustRightInd w:val="0"/>
                    <w:spacing w:before="0" w:after="0" w:line="240" w:lineRule="auto"/>
                    <w:ind w:firstLine="0" w:firstLineChars="0"/>
                    <w:jc w:val="center"/>
                    <w:rPr>
                      <w:color w:val="auto"/>
                      <w:szCs w:val="21"/>
                    </w:rPr>
                  </w:pPr>
                  <w:r>
                    <w:rPr>
                      <w:rFonts w:hint="eastAsia"/>
                      <w:color w:val="auto"/>
                      <w:szCs w:val="21"/>
                    </w:rPr>
                    <w:t>职工生活污水</w:t>
                  </w:r>
                </w:p>
              </w:tc>
              <w:tc>
                <w:tcPr>
                  <w:tcW w:w="1261" w:type="pct"/>
                  <w:vAlign w:val="center"/>
                </w:tcPr>
                <w:p w14:paraId="35355DE3">
                  <w:pPr>
                    <w:widowControl/>
                    <w:jc w:val="left"/>
                    <w:rPr>
                      <w:color w:val="auto"/>
                      <w:szCs w:val="21"/>
                    </w:rPr>
                  </w:pPr>
                  <w:r>
                    <w:rPr>
                      <w:color w:val="auto"/>
                      <w:kern w:val="0"/>
                      <w:szCs w:val="21"/>
                    </w:rPr>
                    <w:t xml:space="preserve">pH </w:t>
                  </w:r>
                  <w:r>
                    <w:rPr>
                      <w:rFonts w:hint="eastAsia"/>
                      <w:color w:val="auto"/>
                      <w:kern w:val="0"/>
                      <w:szCs w:val="21"/>
                    </w:rPr>
                    <w:t>值、化学需氧量、五日生化需氧量、悬浮物、 氨氮、动植物油、</w:t>
                  </w:r>
                  <w:r>
                    <w:rPr>
                      <w:color w:val="auto"/>
                      <w:kern w:val="0"/>
                      <w:szCs w:val="21"/>
                    </w:rPr>
                    <w:t>pH 、化学需氧、五日生化需氧量、悬浮物、 氨氮、动植物油</w:t>
                  </w:r>
                </w:p>
              </w:tc>
              <w:tc>
                <w:tcPr>
                  <w:tcW w:w="414" w:type="pct"/>
                  <w:vAlign w:val="center"/>
                </w:tcPr>
                <w:p w14:paraId="5B5FA3EE">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473" w:type="pct"/>
                  <w:vAlign w:val="center"/>
                </w:tcPr>
                <w:p w14:paraId="7F20D2D3">
                  <w:pPr>
                    <w:pStyle w:val="31"/>
                    <w:adjustRightInd w:val="0"/>
                    <w:spacing w:before="0" w:after="0" w:line="240" w:lineRule="auto"/>
                    <w:ind w:firstLine="0" w:firstLineChars="0"/>
                    <w:jc w:val="center"/>
                    <w:rPr>
                      <w:color w:val="auto"/>
                      <w:szCs w:val="21"/>
                    </w:rPr>
                  </w:pPr>
                  <w:r>
                    <w:rPr>
                      <w:rFonts w:hint="eastAsia"/>
                      <w:color w:val="auto"/>
                      <w:szCs w:val="21"/>
                    </w:rPr>
                    <w:t>TW003</w:t>
                  </w:r>
                </w:p>
              </w:tc>
              <w:tc>
                <w:tcPr>
                  <w:tcW w:w="482" w:type="pct"/>
                  <w:vAlign w:val="center"/>
                </w:tcPr>
                <w:p w14:paraId="2944E20A">
                  <w:pPr>
                    <w:pStyle w:val="31"/>
                    <w:adjustRightInd w:val="0"/>
                    <w:spacing w:before="0" w:after="0" w:line="240" w:lineRule="auto"/>
                    <w:ind w:firstLine="0" w:firstLineChars="0"/>
                    <w:jc w:val="center"/>
                    <w:rPr>
                      <w:color w:val="auto"/>
                      <w:szCs w:val="21"/>
                    </w:rPr>
                  </w:pPr>
                  <w:r>
                    <w:rPr>
                      <w:rFonts w:hint="eastAsia"/>
                      <w:color w:val="auto"/>
                      <w:szCs w:val="21"/>
                    </w:rPr>
                    <w:t>生活污水化粪池</w:t>
                  </w:r>
                </w:p>
              </w:tc>
              <w:tc>
                <w:tcPr>
                  <w:tcW w:w="778" w:type="pct"/>
                  <w:vAlign w:val="center"/>
                </w:tcPr>
                <w:p w14:paraId="52A05700">
                  <w:pPr>
                    <w:pStyle w:val="31"/>
                    <w:adjustRightInd w:val="0"/>
                    <w:spacing w:before="0" w:after="0" w:line="240" w:lineRule="auto"/>
                    <w:ind w:firstLine="0" w:firstLineChars="0"/>
                    <w:jc w:val="center"/>
                    <w:rPr>
                      <w:color w:val="auto"/>
                      <w:szCs w:val="21"/>
                    </w:rPr>
                  </w:pPr>
                  <w:r>
                    <w:rPr>
                      <w:rFonts w:hint="eastAsia"/>
                      <w:color w:val="auto"/>
                      <w:szCs w:val="21"/>
                    </w:rPr>
                    <w:t>化粪池</w:t>
                  </w:r>
                </w:p>
              </w:tc>
              <w:tc>
                <w:tcPr>
                  <w:tcW w:w="431" w:type="pct"/>
                  <w:vAlign w:val="center"/>
                </w:tcPr>
                <w:p w14:paraId="6C366BC5">
                  <w:pPr>
                    <w:pStyle w:val="31"/>
                    <w:adjustRightInd w:val="0"/>
                    <w:spacing w:before="0" w:after="0" w:line="240" w:lineRule="auto"/>
                    <w:ind w:firstLine="0" w:firstLineChars="0"/>
                    <w:jc w:val="center"/>
                    <w:rPr>
                      <w:color w:val="auto"/>
                      <w:szCs w:val="21"/>
                    </w:rPr>
                  </w:pPr>
                  <w:r>
                    <w:rPr>
                      <w:rFonts w:hint="eastAsia"/>
                      <w:color w:val="auto"/>
                      <w:szCs w:val="21"/>
                    </w:rPr>
                    <w:t>DW002</w:t>
                  </w:r>
                </w:p>
              </w:tc>
              <w:tc>
                <w:tcPr>
                  <w:tcW w:w="380" w:type="pct"/>
                  <w:vAlign w:val="center"/>
                </w:tcPr>
                <w:p w14:paraId="7ED15D6C">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406" w:type="pct"/>
                  <w:vAlign w:val="center"/>
                </w:tcPr>
                <w:p w14:paraId="40F9F7FD">
                  <w:pPr>
                    <w:pStyle w:val="31"/>
                    <w:adjustRightInd w:val="0"/>
                    <w:spacing w:before="0" w:after="0" w:line="240" w:lineRule="auto"/>
                    <w:ind w:firstLine="0" w:firstLineChars="0"/>
                    <w:jc w:val="center"/>
                    <w:rPr>
                      <w:color w:val="auto"/>
                      <w:szCs w:val="21"/>
                    </w:rPr>
                  </w:pPr>
                  <w:r>
                    <w:rPr>
                      <w:rFonts w:hint="eastAsia"/>
                      <w:color w:val="auto"/>
                      <w:szCs w:val="21"/>
                    </w:rPr>
                    <w:t>通海县第二污水处理厂</w:t>
                  </w:r>
                </w:p>
              </w:tc>
            </w:tr>
          </w:tbl>
          <w:p w14:paraId="5C6FB156">
            <w:pPr>
              <w:jc w:val="center"/>
              <w:rPr>
                <w:b/>
                <w:color w:val="auto"/>
                <w:sz w:val="24"/>
              </w:rPr>
            </w:pPr>
          </w:p>
          <w:p w14:paraId="43F31E76">
            <w:pPr>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19</w:t>
            </w:r>
            <w:r>
              <w:rPr>
                <w:b/>
                <w:color w:val="auto"/>
                <w:sz w:val="24"/>
              </w:rPr>
              <w:t xml:space="preserve"> </w:t>
            </w:r>
            <w:r>
              <w:rPr>
                <w:rFonts w:hint="eastAsia"/>
                <w:b/>
                <w:color w:val="auto"/>
                <w:sz w:val="24"/>
              </w:rPr>
              <w:t>项目九龙卫生院废水类别、污染物及污染治理设施信息表</w:t>
            </w:r>
          </w:p>
          <w:tbl>
            <w:tblPr>
              <w:tblStyle w:val="33"/>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235"/>
              <w:gridCol w:w="735"/>
              <w:gridCol w:w="840"/>
              <w:gridCol w:w="855"/>
              <w:gridCol w:w="1395"/>
              <w:gridCol w:w="765"/>
              <w:gridCol w:w="645"/>
              <w:gridCol w:w="750"/>
            </w:tblGrid>
            <w:tr w14:paraId="2966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restart"/>
                  <w:vAlign w:val="center"/>
                </w:tcPr>
                <w:p w14:paraId="60E4761F">
                  <w:pPr>
                    <w:pStyle w:val="31"/>
                    <w:adjustRightInd w:val="0"/>
                    <w:spacing w:before="0" w:after="0" w:line="240" w:lineRule="auto"/>
                    <w:ind w:firstLine="0" w:firstLineChars="0"/>
                    <w:jc w:val="center"/>
                    <w:rPr>
                      <w:b/>
                      <w:bCs/>
                      <w:color w:val="auto"/>
                      <w:szCs w:val="21"/>
                    </w:rPr>
                  </w:pPr>
                  <w:r>
                    <w:rPr>
                      <w:rFonts w:hint="eastAsia"/>
                      <w:b/>
                      <w:bCs/>
                      <w:color w:val="auto"/>
                      <w:szCs w:val="21"/>
                    </w:rPr>
                    <w:t>废水类别</w:t>
                  </w:r>
                </w:p>
              </w:tc>
              <w:tc>
                <w:tcPr>
                  <w:tcW w:w="2235" w:type="dxa"/>
                  <w:vMerge w:val="restart"/>
                  <w:vAlign w:val="center"/>
                </w:tcPr>
                <w:p w14:paraId="37947AA0">
                  <w:pPr>
                    <w:pStyle w:val="31"/>
                    <w:adjustRightInd w:val="0"/>
                    <w:spacing w:before="0" w:after="0" w:line="240" w:lineRule="auto"/>
                    <w:ind w:firstLine="0" w:firstLineChars="0"/>
                    <w:jc w:val="center"/>
                    <w:rPr>
                      <w:b/>
                      <w:bCs/>
                      <w:color w:val="auto"/>
                      <w:szCs w:val="21"/>
                    </w:rPr>
                  </w:pPr>
                  <w:r>
                    <w:rPr>
                      <w:rFonts w:hint="eastAsia"/>
                      <w:b/>
                      <w:bCs/>
                      <w:color w:val="auto"/>
                      <w:szCs w:val="21"/>
                    </w:rPr>
                    <w:t>污染物种类</w:t>
                  </w:r>
                </w:p>
              </w:tc>
              <w:tc>
                <w:tcPr>
                  <w:tcW w:w="735" w:type="dxa"/>
                  <w:vMerge w:val="restart"/>
                  <w:vAlign w:val="center"/>
                </w:tcPr>
                <w:p w14:paraId="56310D29">
                  <w:pPr>
                    <w:pStyle w:val="31"/>
                    <w:adjustRightInd w:val="0"/>
                    <w:spacing w:before="0" w:after="0" w:line="240" w:lineRule="auto"/>
                    <w:ind w:firstLine="0" w:firstLineChars="0"/>
                    <w:jc w:val="center"/>
                    <w:rPr>
                      <w:b/>
                      <w:bCs/>
                      <w:color w:val="auto"/>
                      <w:szCs w:val="21"/>
                    </w:rPr>
                  </w:pPr>
                  <w:r>
                    <w:rPr>
                      <w:rFonts w:hint="eastAsia"/>
                      <w:b/>
                      <w:bCs/>
                      <w:color w:val="auto"/>
                      <w:szCs w:val="21"/>
                    </w:rPr>
                    <w:t>排放规律</w:t>
                  </w:r>
                </w:p>
              </w:tc>
              <w:tc>
                <w:tcPr>
                  <w:tcW w:w="3090" w:type="dxa"/>
                  <w:gridSpan w:val="3"/>
                  <w:vAlign w:val="center"/>
                </w:tcPr>
                <w:p w14:paraId="32D2D136">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w:t>
                  </w:r>
                </w:p>
              </w:tc>
              <w:tc>
                <w:tcPr>
                  <w:tcW w:w="765" w:type="dxa"/>
                  <w:vMerge w:val="restart"/>
                  <w:vAlign w:val="center"/>
                </w:tcPr>
                <w:p w14:paraId="5CB0CCFF">
                  <w:pPr>
                    <w:pStyle w:val="31"/>
                    <w:adjustRightInd w:val="0"/>
                    <w:spacing w:before="0" w:after="0" w:line="240" w:lineRule="auto"/>
                    <w:ind w:firstLine="0" w:firstLineChars="0"/>
                    <w:jc w:val="center"/>
                    <w:rPr>
                      <w:b/>
                      <w:bCs/>
                      <w:color w:val="auto"/>
                      <w:szCs w:val="21"/>
                    </w:rPr>
                  </w:pPr>
                  <w:r>
                    <w:rPr>
                      <w:rFonts w:hint="eastAsia"/>
                      <w:b/>
                      <w:bCs/>
                      <w:color w:val="auto"/>
                      <w:szCs w:val="21"/>
                    </w:rPr>
                    <w:t>排放口编号</w:t>
                  </w:r>
                </w:p>
              </w:tc>
              <w:tc>
                <w:tcPr>
                  <w:tcW w:w="645" w:type="dxa"/>
                  <w:vMerge w:val="restart"/>
                  <w:vAlign w:val="center"/>
                </w:tcPr>
                <w:p w14:paraId="05B53E50">
                  <w:pPr>
                    <w:pStyle w:val="31"/>
                    <w:adjustRightInd w:val="0"/>
                    <w:spacing w:before="0" w:after="0" w:line="240" w:lineRule="auto"/>
                    <w:ind w:firstLine="0" w:firstLineChars="0"/>
                    <w:jc w:val="center"/>
                    <w:rPr>
                      <w:b/>
                      <w:bCs/>
                      <w:color w:val="auto"/>
                      <w:szCs w:val="21"/>
                    </w:rPr>
                  </w:pPr>
                  <w:r>
                    <w:rPr>
                      <w:rFonts w:hint="eastAsia"/>
                      <w:b/>
                      <w:bCs/>
                      <w:color w:val="auto"/>
                      <w:szCs w:val="21"/>
                    </w:rPr>
                    <w:t>排放口类型</w:t>
                  </w:r>
                </w:p>
              </w:tc>
              <w:tc>
                <w:tcPr>
                  <w:tcW w:w="750" w:type="dxa"/>
                  <w:vMerge w:val="restart"/>
                  <w:vAlign w:val="center"/>
                </w:tcPr>
                <w:p w14:paraId="15243737">
                  <w:pPr>
                    <w:pStyle w:val="31"/>
                    <w:adjustRightInd w:val="0"/>
                    <w:spacing w:before="0" w:after="0" w:line="240" w:lineRule="auto"/>
                    <w:ind w:firstLine="0" w:firstLineChars="0"/>
                    <w:jc w:val="center"/>
                    <w:rPr>
                      <w:b/>
                      <w:bCs/>
                      <w:color w:val="auto"/>
                      <w:szCs w:val="21"/>
                    </w:rPr>
                  </w:pPr>
                  <w:r>
                    <w:rPr>
                      <w:rFonts w:hint="eastAsia"/>
                      <w:b/>
                      <w:bCs/>
                      <w:color w:val="auto"/>
                      <w:szCs w:val="21"/>
                    </w:rPr>
                    <w:t>排放去向</w:t>
                  </w:r>
                </w:p>
              </w:tc>
            </w:tr>
            <w:tr w14:paraId="7128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vAlign w:val="center"/>
                </w:tcPr>
                <w:p w14:paraId="6EF6FA3D">
                  <w:pPr>
                    <w:pStyle w:val="31"/>
                    <w:adjustRightInd w:val="0"/>
                    <w:spacing w:before="0" w:after="0" w:line="240" w:lineRule="auto"/>
                    <w:ind w:firstLine="0" w:firstLineChars="0"/>
                    <w:jc w:val="center"/>
                    <w:rPr>
                      <w:color w:val="auto"/>
                      <w:szCs w:val="21"/>
                    </w:rPr>
                  </w:pPr>
                </w:p>
              </w:tc>
              <w:tc>
                <w:tcPr>
                  <w:tcW w:w="2235" w:type="dxa"/>
                  <w:vMerge w:val="continue"/>
                  <w:vAlign w:val="center"/>
                </w:tcPr>
                <w:p w14:paraId="13EAEE20">
                  <w:pPr>
                    <w:pStyle w:val="31"/>
                    <w:adjustRightInd w:val="0"/>
                    <w:spacing w:before="0" w:after="0" w:line="240" w:lineRule="auto"/>
                    <w:ind w:firstLine="0" w:firstLineChars="0"/>
                    <w:jc w:val="center"/>
                    <w:rPr>
                      <w:color w:val="auto"/>
                      <w:szCs w:val="21"/>
                    </w:rPr>
                  </w:pPr>
                </w:p>
              </w:tc>
              <w:tc>
                <w:tcPr>
                  <w:tcW w:w="735" w:type="dxa"/>
                  <w:vMerge w:val="continue"/>
                  <w:vAlign w:val="center"/>
                </w:tcPr>
                <w:p w14:paraId="36BDEDC2">
                  <w:pPr>
                    <w:pStyle w:val="31"/>
                    <w:adjustRightInd w:val="0"/>
                    <w:spacing w:before="0" w:after="0" w:line="240" w:lineRule="auto"/>
                    <w:ind w:firstLine="0" w:firstLineChars="0"/>
                    <w:jc w:val="center"/>
                    <w:rPr>
                      <w:color w:val="auto"/>
                      <w:szCs w:val="21"/>
                    </w:rPr>
                  </w:pPr>
                </w:p>
              </w:tc>
              <w:tc>
                <w:tcPr>
                  <w:tcW w:w="840" w:type="dxa"/>
                  <w:vAlign w:val="center"/>
                </w:tcPr>
                <w:p w14:paraId="2F5704CB">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污染治理设施编号</w:t>
                  </w:r>
                </w:p>
              </w:tc>
              <w:tc>
                <w:tcPr>
                  <w:tcW w:w="855" w:type="dxa"/>
                  <w:vAlign w:val="center"/>
                </w:tcPr>
                <w:p w14:paraId="385FA701">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污染治理设施名称</w:t>
                  </w:r>
                </w:p>
              </w:tc>
              <w:tc>
                <w:tcPr>
                  <w:tcW w:w="1395" w:type="dxa"/>
                  <w:vAlign w:val="center"/>
                </w:tcPr>
                <w:p w14:paraId="4896A13D">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污染治理设施工艺</w:t>
                  </w:r>
                </w:p>
              </w:tc>
              <w:tc>
                <w:tcPr>
                  <w:tcW w:w="765" w:type="dxa"/>
                  <w:vMerge w:val="continue"/>
                  <w:vAlign w:val="center"/>
                </w:tcPr>
                <w:p w14:paraId="55B46CC3">
                  <w:pPr>
                    <w:pStyle w:val="31"/>
                    <w:adjustRightInd w:val="0"/>
                    <w:spacing w:before="0" w:after="0" w:line="240" w:lineRule="auto"/>
                    <w:ind w:firstLine="0" w:firstLineChars="0"/>
                    <w:jc w:val="center"/>
                    <w:rPr>
                      <w:color w:val="auto"/>
                      <w:szCs w:val="21"/>
                    </w:rPr>
                  </w:pPr>
                </w:p>
              </w:tc>
              <w:tc>
                <w:tcPr>
                  <w:tcW w:w="645" w:type="dxa"/>
                  <w:vMerge w:val="continue"/>
                  <w:vAlign w:val="center"/>
                </w:tcPr>
                <w:p w14:paraId="05BD593F">
                  <w:pPr>
                    <w:pStyle w:val="31"/>
                    <w:adjustRightInd w:val="0"/>
                    <w:spacing w:before="0" w:after="0" w:line="240" w:lineRule="auto"/>
                    <w:ind w:firstLine="0" w:firstLineChars="0"/>
                    <w:jc w:val="center"/>
                    <w:rPr>
                      <w:color w:val="auto"/>
                      <w:szCs w:val="21"/>
                    </w:rPr>
                  </w:pPr>
                </w:p>
              </w:tc>
              <w:tc>
                <w:tcPr>
                  <w:tcW w:w="750" w:type="dxa"/>
                  <w:vMerge w:val="continue"/>
                  <w:vAlign w:val="center"/>
                </w:tcPr>
                <w:p w14:paraId="4C1588A6">
                  <w:pPr>
                    <w:pStyle w:val="31"/>
                    <w:adjustRightInd w:val="0"/>
                    <w:spacing w:before="0" w:after="0" w:line="240" w:lineRule="auto"/>
                    <w:ind w:firstLine="0" w:firstLineChars="0"/>
                    <w:jc w:val="center"/>
                    <w:rPr>
                      <w:color w:val="auto"/>
                      <w:szCs w:val="21"/>
                    </w:rPr>
                  </w:pPr>
                </w:p>
              </w:tc>
            </w:tr>
            <w:tr w14:paraId="4898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660" w:type="dxa"/>
                  <w:vAlign w:val="center"/>
                </w:tcPr>
                <w:p w14:paraId="2AC9E197">
                  <w:pPr>
                    <w:pStyle w:val="31"/>
                    <w:adjustRightInd w:val="0"/>
                    <w:spacing w:before="0" w:after="0" w:line="240" w:lineRule="auto"/>
                    <w:ind w:firstLine="0" w:firstLineChars="0"/>
                    <w:jc w:val="center"/>
                    <w:rPr>
                      <w:color w:val="auto"/>
                      <w:szCs w:val="21"/>
                    </w:rPr>
                  </w:pPr>
                  <w:r>
                    <w:rPr>
                      <w:rFonts w:hint="eastAsia"/>
                      <w:color w:val="auto"/>
                      <w:szCs w:val="21"/>
                    </w:rPr>
                    <w:t>一般医疗废水</w:t>
                  </w:r>
                </w:p>
              </w:tc>
              <w:tc>
                <w:tcPr>
                  <w:tcW w:w="2235" w:type="dxa"/>
                  <w:vAlign w:val="center"/>
                </w:tcPr>
                <w:p w14:paraId="1DE02BDC">
                  <w:pPr>
                    <w:pStyle w:val="31"/>
                    <w:adjustRightInd w:val="0"/>
                    <w:spacing w:before="0" w:after="0" w:line="240" w:lineRule="auto"/>
                    <w:ind w:firstLine="0" w:firstLineChars="0"/>
                    <w:jc w:val="center"/>
                    <w:rPr>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、SS、氨氮、动植物油、粪大肠菌群</w:t>
                  </w:r>
                </w:p>
              </w:tc>
              <w:tc>
                <w:tcPr>
                  <w:tcW w:w="735" w:type="dxa"/>
                  <w:vAlign w:val="center"/>
                </w:tcPr>
                <w:p w14:paraId="3BFF4DC5">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840" w:type="dxa"/>
                  <w:vAlign w:val="center"/>
                </w:tcPr>
                <w:p w14:paraId="4C5756E8">
                  <w:pPr>
                    <w:pStyle w:val="31"/>
                    <w:adjustRightInd w:val="0"/>
                    <w:spacing w:before="0" w:after="0" w:line="240" w:lineRule="auto"/>
                    <w:ind w:firstLine="0" w:firstLineChars="0"/>
                    <w:jc w:val="center"/>
                    <w:rPr>
                      <w:color w:val="auto"/>
                      <w:szCs w:val="21"/>
                    </w:rPr>
                  </w:pPr>
                  <w:r>
                    <w:rPr>
                      <w:rFonts w:hint="eastAsia"/>
                      <w:color w:val="auto"/>
                      <w:szCs w:val="21"/>
                    </w:rPr>
                    <w:t>TW001</w:t>
                  </w:r>
                </w:p>
              </w:tc>
              <w:tc>
                <w:tcPr>
                  <w:tcW w:w="855" w:type="dxa"/>
                  <w:vAlign w:val="center"/>
                </w:tcPr>
                <w:p w14:paraId="4DADE20A">
                  <w:pPr>
                    <w:pStyle w:val="31"/>
                    <w:adjustRightInd w:val="0"/>
                    <w:spacing w:before="0" w:after="0" w:line="240" w:lineRule="auto"/>
                    <w:ind w:firstLine="0" w:firstLineChars="0"/>
                    <w:jc w:val="center"/>
                    <w:rPr>
                      <w:color w:val="auto"/>
                      <w:szCs w:val="21"/>
                    </w:rPr>
                  </w:pPr>
                  <w:r>
                    <w:rPr>
                      <w:rFonts w:hint="eastAsia"/>
                      <w:color w:val="auto"/>
                      <w:szCs w:val="21"/>
                    </w:rPr>
                    <w:t>综合废水化粪池+污水处理站</w:t>
                  </w:r>
                </w:p>
              </w:tc>
              <w:tc>
                <w:tcPr>
                  <w:tcW w:w="1395" w:type="dxa"/>
                  <w:vAlign w:val="center"/>
                </w:tcPr>
                <w:p w14:paraId="22C578B8">
                  <w:pPr>
                    <w:pStyle w:val="31"/>
                    <w:adjustRightInd w:val="0"/>
                    <w:spacing w:before="0" w:after="0" w:line="240" w:lineRule="auto"/>
                    <w:ind w:firstLine="0" w:firstLineChars="0"/>
                    <w:jc w:val="center"/>
                    <w:rPr>
                      <w:color w:val="auto"/>
                      <w:szCs w:val="21"/>
                    </w:rPr>
                  </w:pPr>
                  <w:r>
                    <w:rPr>
                      <w:rFonts w:hint="eastAsia"/>
                      <w:color w:val="auto"/>
                      <w:szCs w:val="21"/>
                    </w:rPr>
                    <w:t>综合废水</w:t>
                  </w:r>
                  <w:r>
                    <w:rPr>
                      <w:color w:val="auto"/>
                      <w:szCs w:val="21"/>
                    </w:rPr>
                    <w:t>化粪池+“水解酸化+生物接触氧化+消毒工艺”</w:t>
                  </w:r>
                </w:p>
              </w:tc>
              <w:tc>
                <w:tcPr>
                  <w:tcW w:w="765" w:type="dxa"/>
                  <w:vAlign w:val="center"/>
                </w:tcPr>
                <w:p w14:paraId="0CB4F194">
                  <w:pPr>
                    <w:pStyle w:val="31"/>
                    <w:adjustRightInd w:val="0"/>
                    <w:spacing w:before="0" w:after="0" w:line="240" w:lineRule="auto"/>
                    <w:ind w:firstLine="0" w:firstLineChars="0"/>
                    <w:jc w:val="center"/>
                    <w:rPr>
                      <w:color w:val="auto"/>
                      <w:szCs w:val="21"/>
                    </w:rPr>
                  </w:pPr>
                  <w:r>
                    <w:rPr>
                      <w:rFonts w:hint="eastAsia"/>
                      <w:color w:val="auto"/>
                      <w:szCs w:val="21"/>
                    </w:rPr>
                    <w:t>DW001</w:t>
                  </w:r>
                </w:p>
              </w:tc>
              <w:tc>
                <w:tcPr>
                  <w:tcW w:w="645" w:type="dxa"/>
                  <w:vAlign w:val="center"/>
                </w:tcPr>
                <w:p w14:paraId="14A4803A">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750" w:type="dxa"/>
                  <w:vAlign w:val="center"/>
                </w:tcPr>
                <w:p w14:paraId="05D7F329">
                  <w:pPr>
                    <w:pStyle w:val="31"/>
                    <w:adjustRightInd w:val="0"/>
                    <w:spacing w:before="0" w:after="0" w:line="240" w:lineRule="auto"/>
                    <w:ind w:firstLine="0" w:firstLineChars="0"/>
                    <w:jc w:val="center"/>
                    <w:rPr>
                      <w:color w:val="auto"/>
                      <w:szCs w:val="21"/>
                    </w:rPr>
                  </w:pPr>
                  <w:r>
                    <w:rPr>
                      <w:rFonts w:hint="eastAsia"/>
                      <w:color w:val="auto"/>
                      <w:szCs w:val="21"/>
                    </w:rPr>
                    <w:t>通海县第二污水处理厂</w:t>
                  </w:r>
                </w:p>
              </w:tc>
            </w:tr>
            <w:tr w14:paraId="4D7A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14:paraId="1029037A">
                  <w:pPr>
                    <w:pStyle w:val="31"/>
                    <w:adjustRightInd w:val="0"/>
                    <w:spacing w:before="0" w:after="0" w:line="240" w:lineRule="auto"/>
                    <w:ind w:firstLine="0" w:firstLineChars="0"/>
                    <w:jc w:val="center"/>
                    <w:rPr>
                      <w:color w:val="auto"/>
                      <w:szCs w:val="21"/>
                    </w:rPr>
                  </w:pPr>
                  <w:r>
                    <w:rPr>
                      <w:rFonts w:hint="eastAsia"/>
                      <w:color w:val="auto"/>
                      <w:szCs w:val="21"/>
                    </w:rPr>
                    <w:t>职工生活污水</w:t>
                  </w:r>
                </w:p>
              </w:tc>
              <w:tc>
                <w:tcPr>
                  <w:tcW w:w="2235" w:type="dxa"/>
                  <w:vAlign w:val="center"/>
                </w:tcPr>
                <w:p w14:paraId="107729E1">
                  <w:pPr>
                    <w:pStyle w:val="31"/>
                    <w:adjustRightInd w:val="0"/>
                    <w:spacing w:before="0" w:after="0" w:line="240" w:lineRule="auto"/>
                    <w:ind w:firstLine="0" w:firstLineChars="0"/>
                    <w:jc w:val="center"/>
                    <w:rPr>
                      <w:color w:val="auto"/>
                      <w:szCs w:val="21"/>
                    </w:rPr>
                  </w:pPr>
                  <w:r>
                    <w:rPr>
                      <w:rFonts w:hint="eastAsia"/>
                      <w:color w:val="auto"/>
                      <w:szCs w:val="21"/>
                    </w:rPr>
                    <w:t>pH 值、化学需氧量、五日生化需氧量、悬浮物、 氨氮、动植物油、pH 、化学需氧、五日生化需氧量、悬浮物、 氨氮、动植物油</w:t>
                  </w:r>
                </w:p>
              </w:tc>
              <w:tc>
                <w:tcPr>
                  <w:tcW w:w="735" w:type="dxa"/>
                  <w:vAlign w:val="center"/>
                </w:tcPr>
                <w:p w14:paraId="468E45F3">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840" w:type="dxa"/>
                  <w:vAlign w:val="center"/>
                </w:tcPr>
                <w:p w14:paraId="5B1E515E">
                  <w:pPr>
                    <w:pStyle w:val="31"/>
                    <w:adjustRightInd w:val="0"/>
                    <w:spacing w:before="0" w:after="0" w:line="240" w:lineRule="auto"/>
                    <w:ind w:firstLine="0" w:firstLineChars="0"/>
                    <w:jc w:val="center"/>
                    <w:rPr>
                      <w:color w:val="auto"/>
                      <w:szCs w:val="21"/>
                    </w:rPr>
                  </w:pPr>
                  <w:r>
                    <w:rPr>
                      <w:rFonts w:hint="eastAsia"/>
                      <w:color w:val="auto"/>
                      <w:szCs w:val="21"/>
                    </w:rPr>
                    <w:t>TW002</w:t>
                  </w:r>
                </w:p>
              </w:tc>
              <w:tc>
                <w:tcPr>
                  <w:tcW w:w="855" w:type="dxa"/>
                  <w:vAlign w:val="center"/>
                </w:tcPr>
                <w:p w14:paraId="3524780A">
                  <w:pPr>
                    <w:pStyle w:val="31"/>
                    <w:adjustRightInd w:val="0"/>
                    <w:spacing w:before="0" w:after="0" w:line="240" w:lineRule="auto"/>
                    <w:ind w:firstLine="0" w:firstLineChars="0"/>
                    <w:jc w:val="center"/>
                    <w:rPr>
                      <w:color w:val="auto"/>
                      <w:szCs w:val="21"/>
                    </w:rPr>
                  </w:pPr>
                  <w:r>
                    <w:rPr>
                      <w:rFonts w:hint="eastAsia"/>
                      <w:color w:val="auto"/>
                      <w:szCs w:val="21"/>
                    </w:rPr>
                    <w:t>生活污水化粪池</w:t>
                  </w:r>
                </w:p>
              </w:tc>
              <w:tc>
                <w:tcPr>
                  <w:tcW w:w="1395" w:type="dxa"/>
                  <w:vAlign w:val="center"/>
                </w:tcPr>
                <w:p w14:paraId="531DD8E5">
                  <w:pPr>
                    <w:pStyle w:val="31"/>
                    <w:adjustRightInd w:val="0"/>
                    <w:spacing w:before="0" w:after="0" w:line="240" w:lineRule="auto"/>
                    <w:ind w:firstLine="0" w:firstLineChars="0"/>
                    <w:jc w:val="center"/>
                    <w:rPr>
                      <w:color w:val="auto"/>
                      <w:szCs w:val="21"/>
                    </w:rPr>
                  </w:pPr>
                  <w:r>
                    <w:rPr>
                      <w:rFonts w:hint="eastAsia"/>
                      <w:color w:val="auto"/>
                      <w:szCs w:val="21"/>
                    </w:rPr>
                    <w:t>生活污水化粪池</w:t>
                  </w:r>
                </w:p>
              </w:tc>
              <w:tc>
                <w:tcPr>
                  <w:tcW w:w="765" w:type="dxa"/>
                  <w:vAlign w:val="center"/>
                </w:tcPr>
                <w:p w14:paraId="3B16AB0C">
                  <w:pPr>
                    <w:pStyle w:val="31"/>
                    <w:adjustRightInd w:val="0"/>
                    <w:spacing w:before="0" w:after="0" w:line="240" w:lineRule="auto"/>
                    <w:ind w:firstLine="0" w:firstLineChars="0"/>
                    <w:jc w:val="center"/>
                    <w:rPr>
                      <w:color w:val="auto"/>
                      <w:szCs w:val="21"/>
                    </w:rPr>
                  </w:pPr>
                  <w:r>
                    <w:rPr>
                      <w:rFonts w:hint="eastAsia"/>
                      <w:color w:val="auto"/>
                      <w:szCs w:val="21"/>
                    </w:rPr>
                    <w:t>DW002</w:t>
                  </w:r>
                </w:p>
              </w:tc>
              <w:tc>
                <w:tcPr>
                  <w:tcW w:w="645" w:type="dxa"/>
                  <w:vAlign w:val="center"/>
                </w:tcPr>
                <w:p w14:paraId="6FACCDBD">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750" w:type="dxa"/>
                  <w:vAlign w:val="center"/>
                </w:tcPr>
                <w:p w14:paraId="535DB875">
                  <w:pPr>
                    <w:pStyle w:val="31"/>
                    <w:adjustRightInd w:val="0"/>
                    <w:spacing w:before="0" w:after="0" w:line="240" w:lineRule="auto"/>
                    <w:ind w:firstLine="0" w:firstLineChars="0"/>
                    <w:jc w:val="center"/>
                    <w:rPr>
                      <w:color w:val="auto"/>
                      <w:szCs w:val="21"/>
                    </w:rPr>
                  </w:pPr>
                  <w:r>
                    <w:rPr>
                      <w:rFonts w:hint="eastAsia"/>
                      <w:color w:val="auto"/>
                      <w:szCs w:val="21"/>
                    </w:rPr>
                    <w:t>通海县第二污水处理厂</w:t>
                  </w:r>
                </w:p>
              </w:tc>
            </w:tr>
          </w:tbl>
          <w:p w14:paraId="63A1A4B6">
            <w:pPr>
              <w:rPr>
                <w:color w:val="auto"/>
              </w:rPr>
            </w:pPr>
          </w:p>
          <w:p w14:paraId="4B38BA66">
            <w:pPr>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20</w:t>
            </w:r>
            <w:r>
              <w:rPr>
                <w:b/>
                <w:color w:val="auto"/>
                <w:sz w:val="24"/>
              </w:rPr>
              <w:t xml:space="preserve"> </w:t>
            </w:r>
            <w:r>
              <w:rPr>
                <w:rFonts w:hint="eastAsia"/>
                <w:b/>
                <w:color w:val="auto"/>
                <w:sz w:val="24"/>
              </w:rPr>
              <w:t>项目杨广卫生院废水类别、污染物及污染治理设施信息表</w:t>
            </w:r>
          </w:p>
          <w:tbl>
            <w:tblPr>
              <w:tblStyle w:val="33"/>
              <w:tblW w:w="8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250"/>
              <w:gridCol w:w="759"/>
              <w:gridCol w:w="810"/>
              <w:gridCol w:w="827"/>
              <w:gridCol w:w="1219"/>
              <w:gridCol w:w="968"/>
              <w:gridCol w:w="631"/>
              <w:gridCol w:w="743"/>
            </w:tblGrid>
            <w:tr w14:paraId="7EEF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vAlign w:val="center"/>
                </w:tcPr>
                <w:p w14:paraId="5A53C48D">
                  <w:pPr>
                    <w:pStyle w:val="31"/>
                    <w:adjustRightInd w:val="0"/>
                    <w:spacing w:before="0" w:after="0" w:line="240" w:lineRule="auto"/>
                    <w:ind w:firstLine="0" w:firstLineChars="0"/>
                    <w:jc w:val="center"/>
                    <w:rPr>
                      <w:b/>
                      <w:bCs/>
                      <w:color w:val="auto"/>
                      <w:szCs w:val="21"/>
                    </w:rPr>
                  </w:pPr>
                  <w:r>
                    <w:rPr>
                      <w:rFonts w:hint="eastAsia"/>
                      <w:b/>
                      <w:bCs/>
                      <w:color w:val="auto"/>
                      <w:szCs w:val="21"/>
                    </w:rPr>
                    <w:t>废水类别</w:t>
                  </w:r>
                </w:p>
              </w:tc>
              <w:tc>
                <w:tcPr>
                  <w:tcW w:w="2250" w:type="dxa"/>
                  <w:vMerge w:val="restart"/>
                  <w:vAlign w:val="center"/>
                </w:tcPr>
                <w:p w14:paraId="5AA84BD5">
                  <w:pPr>
                    <w:pStyle w:val="31"/>
                    <w:adjustRightInd w:val="0"/>
                    <w:spacing w:before="0" w:after="0" w:line="240" w:lineRule="auto"/>
                    <w:ind w:firstLine="0" w:firstLineChars="0"/>
                    <w:jc w:val="center"/>
                    <w:rPr>
                      <w:b/>
                      <w:bCs/>
                      <w:color w:val="auto"/>
                      <w:szCs w:val="21"/>
                    </w:rPr>
                  </w:pPr>
                  <w:r>
                    <w:rPr>
                      <w:rFonts w:hint="eastAsia"/>
                      <w:b/>
                      <w:bCs/>
                      <w:color w:val="auto"/>
                      <w:szCs w:val="21"/>
                    </w:rPr>
                    <w:t>污染物种类</w:t>
                  </w:r>
                </w:p>
              </w:tc>
              <w:tc>
                <w:tcPr>
                  <w:tcW w:w="759" w:type="dxa"/>
                  <w:vMerge w:val="restart"/>
                  <w:vAlign w:val="center"/>
                </w:tcPr>
                <w:p w14:paraId="057218D4">
                  <w:pPr>
                    <w:pStyle w:val="31"/>
                    <w:adjustRightInd w:val="0"/>
                    <w:spacing w:before="0" w:after="0" w:line="240" w:lineRule="auto"/>
                    <w:ind w:firstLine="0" w:firstLineChars="0"/>
                    <w:jc w:val="center"/>
                    <w:rPr>
                      <w:b/>
                      <w:bCs/>
                      <w:color w:val="auto"/>
                      <w:szCs w:val="21"/>
                    </w:rPr>
                  </w:pPr>
                  <w:r>
                    <w:rPr>
                      <w:rFonts w:hint="eastAsia"/>
                      <w:b/>
                      <w:bCs/>
                      <w:color w:val="auto"/>
                      <w:szCs w:val="21"/>
                    </w:rPr>
                    <w:t>排放规律</w:t>
                  </w:r>
                </w:p>
              </w:tc>
              <w:tc>
                <w:tcPr>
                  <w:tcW w:w="2856" w:type="dxa"/>
                  <w:gridSpan w:val="3"/>
                  <w:vAlign w:val="center"/>
                </w:tcPr>
                <w:p w14:paraId="052F2674">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w:t>
                  </w:r>
                </w:p>
              </w:tc>
              <w:tc>
                <w:tcPr>
                  <w:tcW w:w="968" w:type="dxa"/>
                  <w:vMerge w:val="restart"/>
                  <w:vAlign w:val="center"/>
                </w:tcPr>
                <w:p w14:paraId="7CE2F4C6">
                  <w:pPr>
                    <w:pStyle w:val="31"/>
                    <w:adjustRightInd w:val="0"/>
                    <w:spacing w:before="0" w:after="0" w:line="240" w:lineRule="auto"/>
                    <w:ind w:firstLine="0" w:firstLineChars="0"/>
                    <w:jc w:val="center"/>
                    <w:rPr>
                      <w:b/>
                      <w:bCs/>
                      <w:color w:val="auto"/>
                      <w:szCs w:val="21"/>
                    </w:rPr>
                  </w:pPr>
                  <w:r>
                    <w:rPr>
                      <w:rFonts w:hint="eastAsia"/>
                      <w:b/>
                      <w:bCs/>
                      <w:color w:val="auto"/>
                      <w:szCs w:val="21"/>
                    </w:rPr>
                    <w:t>排放口编号</w:t>
                  </w:r>
                </w:p>
              </w:tc>
              <w:tc>
                <w:tcPr>
                  <w:tcW w:w="631" w:type="dxa"/>
                  <w:vMerge w:val="restart"/>
                  <w:vAlign w:val="center"/>
                </w:tcPr>
                <w:p w14:paraId="29D53875">
                  <w:pPr>
                    <w:pStyle w:val="31"/>
                    <w:adjustRightInd w:val="0"/>
                    <w:spacing w:before="0" w:after="0" w:line="240" w:lineRule="auto"/>
                    <w:ind w:firstLine="0" w:firstLineChars="0"/>
                    <w:jc w:val="center"/>
                    <w:rPr>
                      <w:b/>
                      <w:bCs/>
                      <w:color w:val="auto"/>
                      <w:szCs w:val="21"/>
                    </w:rPr>
                  </w:pPr>
                  <w:r>
                    <w:rPr>
                      <w:rFonts w:hint="eastAsia"/>
                      <w:b/>
                      <w:bCs/>
                      <w:color w:val="auto"/>
                      <w:szCs w:val="21"/>
                    </w:rPr>
                    <w:t>排放口类型</w:t>
                  </w:r>
                </w:p>
              </w:tc>
              <w:tc>
                <w:tcPr>
                  <w:tcW w:w="743" w:type="dxa"/>
                  <w:vMerge w:val="restart"/>
                  <w:vAlign w:val="center"/>
                </w:tcPr>
                <w:p w14:paraId="73E3A2F6">
                  <w:pPr>
                    <w:pStyle w:val="31"/>
                    <w:adjustRightInd w:val="0"/>
                    <w:spacing w:before="0" w:after="0" w:line="240" w:lineRule="auto"/>
                    <w:ind w:firstLine="0" w:firstLineChars="0"/>
                    <w:jc w:val="center"/>
                    <w:rPr>
                      <w:b/>
                      <w:bCs/>
                      <w:color w:val="auto"/>
                      <w:szCs w:val="21"/>
                    </w:rPr>
                  </w:pPr>
                  <w:r>
                    <w:rPr>
                      <w:rFonts w:hint="eastAsia"/>
                      <w:b/>
                      <w:bCs/>
                      <w:color w:val="auto"/>
                      <w:szCs w:val="21"/>
                    </w:rPr>
                    <w:t>排放去向</w:t>
                  </w:r>
                </w:p>
              </w:tc>
            </w:tr>
            <w:tr w14:paraId="4141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14:paraId="4E0BC63B">
                  <w:pPr>
                    <w:pStyle w:val="31"/>
                    <w:adjustRightInd w:val="0"/>
                    <w:spacing w:before="0" w:after="0" w:line="240" w:lineRule="auto"/>
                    <w:ind w:firstLine="0" w:firstLineChars="0"/>
                    <w:jc w:val="center"/>
                    <w:rPr>
                      <w:color w:val="auto"/>
                      <w:szCs w:val="21"/>
                    </w:rPr>
                  </w:pPr>
                </w:p>
              </w:tc>
              <w:tc>
                <w:tcPr>
                  <w:tcW w:w="2250" w:type="dxa"/>
                  <w:vMerge w:val="continue"/>
                  <w:vAlign w:val="center"/>
                </w:tcPr>
                <w:p w14:paraId="34C09FE0">
                  <w:pPr>
                    <w:pStyle w:val="31"/>
                    <w:adjustRightInd w:val="0"/>
                    <w:spacing w:before="0" w:after="0" w:line="240" w:lineRule="auto"/>
                    <w:ind w:firstLine="0" w:firstLineChars="0"/>
                    <w:jc w:val="center"/>
                    <w:rPr>
                      <w:color w:val="auto"/>
                      <w:szCs w:val="21"/>
                    </w:rPr>
                  </w:pPr>
                </w:p>
              </w:tc>
              <w:tc>
                <w:tcPr>
                  <w:tcW w:w="759" w:type="dxa"/>
                  <w:vMerge w:val="continue"/>
                  <w:vAlign w:val="center"/>
                </w:tcPr>
                <w:p w14:paraId="5CC21111">
                  <w:pPr>
                    <w:pStyle w:val="31"/>
                    <w:adjustRightInd w:val="0"/>
                    <w:spacing w:before="0" w:after="0" w:line="240" w:lineRule="auto"/>
                    <w:ind w:firstLine="0" w:firstLineChars="0"/>
                    <w:jc w:val="center"/>
                    <w:rPr>
                      <w:color w:val="auto"/>
                      <w:szCs w:val="21"/>
                    </w:rPr>
                  </w:pPr>
                </w:p>
              </w:tc>
              <w:tc>
                <w:tcPr>
                  <w:tcW w:w="810" w:type="dxa"/>
                  <w:vAlign w:val="center"/>
                </w:tcPr>
                <w:p w14:paraId="1C1597F6">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污染治理设施编号</w:t>
                  </w:r>
                </w:p>
              </w:tc>
              <w:tc>
                <w:tcPr>
                  <w:tcW w:w="827" w:type="dxa"/>
                  <w:vAlign w:val="center"/>
                </w:tcPr>
                <w:p w14:paraId="03738998">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污染治理设施名称</w:t>
                  </w:r>
                </w:p>
              </w:tc>
              <w:tc>
                <w:tcPr>
                  <w:tcW w:w="1219" w:type="dxa"/>
                  <w:vAlign w:val="center"/>
                </w:tcPr>
                <w:p w14:paraId="02723BCD">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污染治理设施工艺</w:t>
                  </w:r>
                </w:p>
              </w:tc>
              <w:tc>
                <w:tcPr>
                  <w:tcW w:w="968" w:type="dxa"/>
                  <w:vMerge w:val="continue"/>
                  <w:vAlign w:val="center"/>
                </w:tcPr>
                <w:p w14:paraId="736CE80F">
                  <w:pPr>
                    <w:pStyle w:val="31"/>
                    <w:adjustRightInd w:val="0"/>
                    <w:spacing w:before="0" w:after="0" w:line="240" w:lineRule="auto"/>
                    <w:ind w:firstLine="0" w:firstLineChars="0"/>
                    <w:jc w:val="center"/>
                    <w:rPr>
                      <w:color w:val="auto"/>
                      <w:szCs w:val="21"/>
                    </w:rPr>
                  </w:pPr>
                </w:p>
              </w:tc>
              <w:tc>
                <w:tcPr>
                  <w:tcW w:w="631" w:type="dxa"/>
                  <w:vMerge w:val="continue"/>
                  <w:vAlign w:val="center"/>
                </w:tcPr>
                <w:p w14:paraId="340F7752">
                  <w:pPr>
                    <w:pStyle w:val="31"/>
                    <w:adjustRightInd w:val="0"/>
                    <w:spacing w:before="0" w:after="0" w:line="240" w:lineRule="auto"/>
                    <w:ind w:firstLine="0" w:firstLineChars="0"/>
                    <w:jc w:val="center"/>
                    <w:rPr>
                      <w:color w:val="auto"/>
                      <w:szCs w:val="21"/>
                    </w:rPr>
                  </w:pPr>
                </w:p>
              </w:tc>
              <w:tc>
                <w:tcPr>
                  <w:tcW w:w="743" w:type="dxa"/>
                  <w:vMerge w:val="continue"/>
                  <w:vAlign w:val="center"/>
                </w:tcPr>
                <w:p w14:paraId="50615689">
                  <w:pPr>
                    <w:pStyle w:val="31"/>
                    <w:adjustRightInd w:val="0"/>
                    <w:spacing w:before="0" w:after="0" w:line="240" w:lineRule="auto"/>
                    <w:ind w:firstLine="0" w:firstLineChars="0"/>
                    <w:jc w:val="center"/>
                    <w:rPr>
                      <w:color w:val="auto"/>
                      <w:szCs w:val="21"/>
                    </w:rPr>
                  </w:pPr>
                </w:p>
              </w:tc>
            </w:tr>
            <w:tr w14:paraId="0CC2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0E8F0A19">
                  <w:pPr>
                    <w:pStyle w:val="31"/>
                    <w:adjustRightInd w:val="0"/>
                    <w:spacing w:before="0" w:after="0" w:line="240" w:lineRule="auto"/>
                    <w:ind w:firstLine="0" w:firstLineChars="0"/>
                    <w:jc w:val="center"/>
                    <w:rPr>
                      <w:color w:val="auto"/>
                      <w:szCs w:val="21"/>
                    </w:rPr>
                  </w:pPr>
                  <w:r>
                    <w:rPr>
                      <w:rFonts w:hint="eastAsia"/>
                      <w:color w:val="auto"/>
                      <w:szCs w:val="21"/>
                    </w:rPr>
                    <w:t>一般医疗废水</w:t>
                  </w:r>
                </w:p>
              </w:tc>
              <w:tc>
                <w:tcPr>
                  <w:tcW w:w="2250" w:type="dxa"/>
                  <w:vAlign w:val="center"/>
                </w:tcPr>
                <w:p w14:paraId="208306D9">
                  <w:pPr>
                    <w:pStyle w:val="31"/>
                    <w:adjustRightInd w:val="0"/>
                    <w:spacing w:before="0" w:after="0" w:line="240" w:lineRule="auto"/>
                    <w:ind w:firstLine="0" w:firstLineChars="0"/>
                    <w:jc w:val="center"/>
                    <w:rPr>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、SS、氨氮、动植物油、粪大肠菌群</w:t>
                  </w:r>
                </w:p>
              </w:tc>
              <w:tc>
                <w:tcPr>
                  <w:tcW w:w="759" w:type="dxa"/>
                  <w:vAlign w:val="center"/>
                </w:tcPr>
                <w:p w14:paraId="5DAA7B49">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810" w:type="dxa"/>
                  <w:vAlign w:val="center"/>
                </w:tcPr>
                <w:p w14:paraId="70489228">
                  <w:pPr>
                    <w:pStyle w:val="31"/>
                    <w:adjustRightInd w:val="0"/>
                    <w:spacing w:before="0" w:after="0" w:line="240" w:lineRule="auto"/>
                    <w:ind w:firstLine="0" w:firstLineChars="0"/>
                    <w:jc w:val="center"/>
                    <w:rPr>
                      <w:color w:val="auto"/>
                      <w:szCs w:val="21"/>
                    </w:rPr>
                  </w:pPr>
                  <w:r>
                    <w:rPr>
                      <w:rFonts w:hint="eastAsia"/>
                      <w:color w:val="auto"/>
                      <w:szCs w:val="21"/>
                    </w:rPr>
                    <w:t>TW001</w:t>
                  </w:r>
                </w:p>
              </w:tc>
              <w:tc>
                <w:tcPr>
                  <w:tcW w:w="827" w:type="dxa"/>
                  <w:vAlign w:val="center"/>
                </w:tcPr>
                <w:p w14:paraId="2B1C054A">
                  <w:pPr>
                    <w:pStyle w:val="31"/>
                    <w:adjustRightInd w:val="0"/>
                    <w:spacing w:before="0" w:after="0" w:line="240" w:lineRule="auto"/>
                    <w:ind w:firstLine="0" w:firstLineChars="0"/>
                    <w:jc w:val="center"/>
                    <w:rPr>
                      <w:color w:val="auto"/>
                      <w:szCs w:val="21"/>
                    </w:rPr>
                  </w:pPr>
                  <w:r>
                    <w:rPr>
                      <w:rFonts w:hint="eastAsia"/>
                      <w:color w:val="auto"/>
                      <w:szCs w:val="21"/>
                    </w:rPr>
                    <w:t>综合废水化粪池+污水处理站</w:t>
                  </w:r>
                </w:p>
              </w:tc>
              <w:tc>
                <w:tcPr>
                  <w:tcW w:w="1219" w:type="dxa"/>
                  <w:vAlign w:val="center"/>
                </w:tcPr>
                <w:p w14:paraId="6D03ABFD">
                  <w:pPr>
                    <w:pStyle w:val="31"/>
                    <w:adjustRightInd w:val="0"/>
                    <w:spacing w:before="0" w:after="0" w:line="240" w:lineRule="auto"/>
                    <w:ind w:firstLine="0" w:firstLineChars="0"/>
                    <w:jc w:val="center"/>
                    <w:rPr>
                      <w:color w:val="auto"/>
                      <w:szCs w:val="21"/>
                    </w:rPr>
                  </w:pPr>
                  <w:r>
                    <w:rPr>
                      <w:rFonts w:hint="eastAsia"/>
                      <w:color w:val="auto"/>
                      <w:szCs w:val="21"/>
                    </w:rPr>
                    <w:t>综合废水</w:t>
                  </w:r>
                  <w:r>
                    <w:rPr>
                      <w:color w:val="auto"/>
                      <w:szCs w:val="21"/>
                    </w:rPr>
                    <w:t>化粪池+“水解酸化+生物接触氧化+消毒工艺”</w:t>
                  </w:r>
                </w:p>
              </w:tc>
              <w:tc>
                <w:tcPr>
                  <w:tcW w:w="968" w:type="dxa"/>
                  <w:vAlign w:val="center"/>
                </w:tcPr>
                <w:p w14:paraId="40EA0D62">
                  <w:pPr>
                    <w:pStyle w:val="31"/>
                    <w:adjustRightInd w:val="0"/>
                    <w:spacing w:before="0" w:after="0" w:line="240" w:lineRule="auto"/>
                    <w:ind w:firstLine="0" w:firstLineChars="0"/>
                    <w:jc w:val="center"/>
                    <w:rPr>
                      <w:color w:val="auto"/>
                      <w:szCs w:val="21"/>
                    </w:rPr>
                  </w:pPr>
                  <w:r>
                    <w:rPr>
                      <w:rFonts w:hint="eastAsia"/>
                      <w:color w:val="auto"/>
                      <w:szCs w:val="21"/>
                    </w:rPr>
                    <w:t>DW001</w:t>
                  </w:r>
                </w:p>
              </w:tc>
              <w:tc>
                <w:tcPr>
                  <w:tcW w:w="631" w:type="dxa"/>
                  <w:vAlign w:val="center"/>
                </w:tcPr>
                <w:p w14:paraId="6E1047D5">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743" w:type="dxa"/>
                  <w:vAlign w:val="center"/>
                </w:tcPr>
                <w:p w14:paraId="01A0B16A">
                  <w:pPr>
                    <w:pStyle w:val="31"/>
                    <w:adjustRightInd w:val="0"/>
                    <w:spacing w:before="0" w:after="0" w:line="240" w:lineRule="auto"/>
                    <w:ind w:firstLine="0" w:firstLineChars="0"/>
                    <w:jc w:val="center"/>
                    <w:rPr>
                      <w:color w:val="auto"/>
                      <w:szCs w:val="21"/>
                    </w:rPr>
                  </w:pPr>
                  <w:r>
                    <w:rPr>
                      <w:rFonts w:hint="eastAsia"/>
                      <w:color w:val="auto"/>
                      <w:szCs w:val="21"/>
                    </w:rPr>
                    <w:t>通海县第一污水处理厂</w:t>
                  </w:r>
                </w:p>
              </w:tc>
            </w:tr>
            <w:tr w14:paraId="1AEB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2D061E26">
                  <w:pPr>
                    <w:pStyle w:val="31"/>
                    <w:adjustRightInd w:val="0"/>
                    <w:spacing w:before="0" w:after="0" w:line="240" w:lineRule="auto"/>
                    <w:ind w:firstLine="0" w:firstLineChars="0"/>
                    <w:jc w:val="center"/>
                    <w:rPr>
                      <w:color w:val="auto"/>
                      <w:szCs w:val="21"/>
                    </w:rPr>
                  </w:pPr>
                  <w:r>
                    <w:rPr>
                      <w:rFonts w:hint="eastAsia"/>
                      <w:color w:val="auto"/>
                      <w:szCs w:val="21"/>
                    </w:rPr>
                    <w:t>职工生活污水</w:t>
                  </w:r>
                </w:p>
              </w:tc>
              <w:tc>
                <w:tcPr>
                  <w:tcW w:w="2250" w:type="dxa"/>
                  <w:vAlign w:val="center"/>
                </w:tcPr>
                <w:p w14:paraId="5EBF75CD">
                  <w:pPr>
                    <w:pStyle w:val="31"/>
                    <w:adjustRightInd w:val="0"/>
                    <w:spacing w:before="0" w:after="0" w:line="240" w:lineRule="auto"/>
                    <w:ind w:firstLine="0" w:firstLineChars="0"/>
                    <w:jc w:val="center"/>
                    <w:rPr>
                      <w:color w:val="auto"/>
                      <w:szCs w:val="21"/>
                    </w:rPr>
                  </w:pPr>
                  <w:r>
                    <w:rPr>
                      <w:color w:val="auto"/>
                      <w:szCs w:val="21"/>
                    </w:rPr>
                    <w:t xml:space="preserve">pH </w:t>
                  </w:r>
                  <w:r>
                    <w:rPr>
                      <w:rFonts w:hint="eastAsia"/>
                      <w:color w:val="auto"/>
                      <w:szCs w:val="21"/>
                    </w:rPr>
                    <w:t>值、化学需氧量、五日生化需氧量、悬浮物、 氨氮、动植物油、</w:t>
                  </w:r>
                  <w:r>
                    <w:rPr>
                      <w:color w:val="auto"/>
                      <w:szCs w:val="21"/>
                    </w:rPr>
                    <w:t>pH 、化学需氧、五日生化需氧量、悬浮物、 氨氮、动植物油</w:t>
                  </w:r>
                </w:p>
              </w:tc>
              <w:tc>
                <w:tcPr>
                  <w:tcW w:w="759" w:type="dxa"/>
                  <w:vAlign w:val="center"/>
                </w:tcPr>
                <w:p w14:paraId="7217216F">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810" w:type="dxa"/>
                  <w:vAlign w:val="center"/>
                </w:tcPr>
                <w:p w14:paraId="7C6A8D51">
                  <w:pPr>
                    <w:pStyle w:val="31"/>
                    <w:adjustRightInd w:val="0"/>
                    <w:spacing w:before="0" w:after="0" w:line="240" w:lineRule="auto"/>
                    <w:ind w:firstLine="0" w:firstLineChars="0"/>
                    <w:jc w:val="center"/>
                    <w:rPr>
                      <w:color w:val="auto"/>
                      <w:szCs w:val="21"/>
                    </w:rPr>
                  </w:pPr>
                  <w:r>
                    <w:rPr>
                      <w:rFonts w:hint="eastAsia"/>
                      <w:color w:val="auto"/>
                      <w:szCs w:val="21"/>
                    </w:rPr>
                    <w:t>TW002</w:t>
                  </w:r>
                </w:p>
              </w:tc>
              <w:tc>
                <w:tcPr>
                  <w:tcW w:w="827" w:type="dxa"/>
                  <w:vAlign w:val="center"/>
                </w:tcPr>
                <w:p w14:paraId="1EBC4F25">
                  <w:pPr>
                    <w:pStyle w:val="31"/>
                    <w:adjustRightInd w:val="0"/>
                    <w:spacing w:before="0" w:after="0" w:line="240" w:lineRule="auto"/>
                    <w:ind w:firstLine="0" w:firstLineChars="0"/>
                    <w:jc w:val="center"/>
                    <w:rPr>
                      <w:color w:val="auto"/>
                      <w:szCs w:val="21"/>
                    </w:rPr>
                  </w:pPr>
                  <w:r>
                    <w:rPr>
                      <w:rFonts w:hint="eastAsia"/>
                      <w:color w:val="auto"/>
                      <w:szCs w:val="21"/>
                    </w:rPr>
                    <w:t>生活污水化粪池</w:t>
                  </w:r>
                </w:p>
              </w:tc>
              <w:tc>
                <w:tcPr>
                  <w:tcW w:w="1219" w:type="dxa"/>
                  <w:vAlign w:val="center"/>
                </w:tcPr>
                <w:p w14:paraId="3934F584">
                  <w:pPr>
                    <w:pStyle w:val="31"/>
                    <w:adjustRightInd w:val="0"/>
                    <w:spacing w:before="0" w:after="0" w:line="240" w:lineRule="auto"/>
                    <w:ind w:firstLine="0" w:firstLineChars="0"/>
                    <w:jc w:val="center"/>
                    <w:rPr>
                      <w:color w:val="auto"/>
                      <w:szCs w:val="21"/>
                    </w:rPr>
                  </w:pPr>
                  <w:r>
                    <w:rPr>
                      <w:rFonts w:hint="eastAsia"/>
                      <w:color w:val="auto"/>
                      <w:szCs w:val="21"/>
                    </w:rPr>
                    <w:t>化粪池</w:t>
                  </w:r>
                </w:p>
              </w:tc>
              <w:tc>
                <w:tcPr>
                  <w:tcW w:w="968" w:type="dxa"/>
                  <w:vAlign w:val="center"/>
                </w:tcPr>
                <w:p w14:paraId="3FBB8FD6">
                  <w:pPr>
                    <w:pStyle w:val="31"/>
                    <w:adjustRightInd w:val="0"/>
                    <w:spacing w:before="0" w:after="0" w:line="240" w:lineRule="auto"/>
                    <w:ind w:firstLine="0" w:firstLineChars="0"/>
                    <w:jc w:val="center"/>
                    <w:rPr>
                      <w:color w:val="auto"/>
                      <w:szCs w:val="21"/>
                    </w:rPr>
                  </w:pPr>
                  <w:r>
                    <w:rPr>
                      <w:rFonts w:hint="eastAsia"/>
                      <w:color w:val="auto"/>
                      <w:szCs w:val="21"/>
                    </w:rPr>
                    <w:t>DW002</w:t>
                  </w:r>
                </w:p>
              </w:tc>
              <w:tc>
                <w:tcPr>
                  <w:tcW w:w="631" w:type="dxa"/>
                  <w:vAlign w:val="center"/>
                </w:tcPr>
                <w:p w14:paraId="1989D824">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743" w:type="dxa"/>
                  <w:vAlign w:val="center"/>
                </w:tcPr>
                <w:p w14:paraId="583596EC">
                  <w:pPr>
                    <w:pStyle w:val="31"/>
                    <w:adjustRightInd w:val="0"/>
                    <w:spacing w:before="0" w:after="0" w:line="240" w:lineRule="auto"/>
                    <w:ind w:firstLine="0" w:firstLineChars="0"/>
                    <w:jc w:val="center"/>
                    <w:rPr>
                      <w:color w:val="auto"/>
                      <w:szCs w:val="21"/>
                    </w:rPr>
                  </w:pPr>
                  <w:r>
                    <w:rPr>
                      <w:rFonts w:hint="eastAsia"/>
                      <w:color w:val="auto"/>
                      <w:szCs w:val="21"/>
                    </w:rPr>
                    <w:t>海县第一污水处理厂</w:t>
                  </w:r>
                </w:p>
              </w:tc>
            </w:tr>
          </w:tbl>
          <w:p w14:paraId="60EF0B12">
            <w:pPr>
              <w:spacing w:line="360" w:lineRule="auto"/>
              <w:ind w:firstLine="482"/>
              <w:rPr>
                <w:rFonts w:hint="eastAsia" w:ascii="宋体" w:hAnsi="宋体" w:cs="宋体"/>
                <w:b/>
                <w:bCs/>
                <w:color w:val="auto"/>
                <w:sz w:val="24"/>
              </w:rPr>
            </w:pPr>
            <w:r>
              <w:rPr>
                <w:rFonts w:ascii="宋体" w:hAnsi="宋体" w:cs="宋体"/>
                <w:b/>
                <w:bCs/>
                <w:color w:val="auto"/>
                <w:sz w:val="24"/>
              </w:rPr>
              <w:t>（</w:t>
            </w:r>
            <w:r>
              <w:rPr>
                <w:rFonts w:hint="eastAsia" w:cs="宋体"/>
                <w:b/>
                <w:bCs/>
                <w:color w:val="auto"/>
                <w:sz w:val="24"/>
              </w:rPr>
              <w:t>5</w:t>
            </w:r>
            <w:r>
              <w:rPr>
                <w:rFonts w:ascii="宋体" w:hAnsi="宋体" w:cs="宋体"/>
                <w:b/>
                <w:bCs/>
                <w:color w:val="auto"/>
                <w:sz w:val="24"/>
              </w:rPr>
              <w:t>）地表水环境评价结论</w:t>
            </w:r>
          </w:p>
          <w:p w14:paraId="4D889F9C">
            <w:pPr>
              <w:spacing w:line="360" w:lineRule="auto"/>
              <w:ind w:firstLine="480" w:firstLineChars="200"/>
              <w:rPr>
                <w:rFonts w:hint="eastAsia" w:ascii="宋体" w:hAnsi="宋体" w:cs="宋体"/>
                <w:bCs/>
                <w:color w:val="auto"/>
                <w:sz w:val="24"/>
              </w:rPr>
            </w:pPr>
            <w:r>
              <w:rPr>
                <w:rFonts w:hint="eastAsia" w:ascii="宋体" w:hAnsi="宋体" w:cs="宋体"/>
                <w:bCs/>
                <w:color w:val="auto"/>
                <w:sz w:val="24"/>
              </w:rPr>
              <w:t>综上所述，本项目涉及4个卫生院，所有卫生院均实施雨污分流排水体制，</w:t>
            </w:r>
            <w:r>
              <w:rPr>
                <w:color w:val="auto"/>
                <w:sz w:val="24"/>
              </w:rPr>
              <w:t>雨水经过项目区内雨水管网直接排入市政雨水管</w:t>
            </w:r>
            <w:r>
              <w:rPr>
                <w:rFonts w:hint="eastAsia" w:ascii="宋体" w:hAnsi="宋体" w:cs="宋体"/>
                <w:bCs/>
                <w:color w:val="auto"/>
                <w:sz w:val="24"/>
              </w:rPr>
              <w:t>。杨广卫生院、纳古卫生院、九龙卫生院及四街卫生院产生的</w:t>
            </w:r>
            <w:r>
              <w:rPr>
                <w:rFonts w:hint="eastAsia"/>
                <w:bCs/>
                <w:color w:val="auto"/>
                <w:sz w:val="24"/>
              </w:rPr>
              <w:t>污水</w:t>
            </w:r>
            <w:r>
              <w:rPr>
                <w:bCs/>
                <w:color w:val="auto"/>
                <w:sz w:val="24"/>
              </w:rPr>
              <w:t>经化粪池预处理后进入</w:t>
            </w:r>
            <w:r>
              <w:rPr>
                <w:rFonts w:hint="eastAsia"/>
                <w:bCs/>
                <w:color w:val="auto"/>
                <w:sz w:val="24"/>
              </w:rPr>
              <w:t>本次</w:t>
            </w:r>
            <w:r>
              <w:rPr>
                <w:color w:val="auto"/>
                <w:sz w:val="24"/>
              </w:rPr>
              <w:t>自建</w:t>
            </w:r>
            <w:r>
              <w:rPr>
                <w:rFonts w:hint="eastAsia"/>
                <w:color w:val="auto"/>
                <w:sz w:val="24"/>
              </w:rPr>
              <w:t>的</w:t>
            </w:r>
            <w:r>
              <w:rPr>
                <w:color w:val="auto"/>
                <w:sz w:val="24"/>
              </w:rPr>
              <w:t>污水处理站处理达《医疗机构水污染物排放标准》（GB18466-2005）表2预处理标准</w:t>
            </w:r>
            <w:r>
              <w:rPr>
                <w:bCs/>
                <w:color w:val="auto"/>
                <w:sz w:val="24"/>
              </w:rPr>
              <w:t>及《污水排入城镇下水道水质标准》（GB/T31962-2015）表1B等级标准</w:t>
            </w:r>
            <w:r>
              <w:rPr>
                <w:color w:val="auto"/>
                <w:sz w:val="24"/>
              </w:rPr>
              <w:t>限值要求后，排入市政污水管网</w:t>
            </w:r>
            <w:r>
              <w:rPr>
                <w:rFonts w:hint="eastAsia"/>
                <w:color w:val="auto"/>
                <w:sz w:val="24"/>
              </w:rPr>
              <w:t>，最终进入污水</w:t>
            </w:r>
            <w:r>
              <w:rPr>
                <w:color w:val="auto"/>
                <w:sz w:val="24"/>
              </w:rPr>
              <w:t>处理厂处理。</w:t>
            </w:r>
            <w:r>
              <w:rPr>
                <w:rFonts w:hint="eastAsia" w:ascii="宋体" w:hAnsi="宋体" w:cs="宋体"/>
                <w:bCs/>
                <w:color w:val="auto"/>
                <w:sz w:val="24"/>
              </w:rPr>
              <w:t>项目废水对地表水的影响是可以接受的</w:t>
            </w:r>
            <w:r>
              <w:rPr>
                <w:rFonts w:hint="eastAsia" w:cs="宋体"/>
                <w:bCs/>
                <w:color w:val="auto"/>
                <w:sz w:val="24"/>
              </w:rPr>
              <w:t>。</w:t>
            </w:r>
          </w:p>
          <w:p w14:paraId="0D5FF6FF">
            <w:pPr>
              <w:spacing w:line="360" w:lineRule="auto"/>
              <w:ind w:firstLine="482"/>
              <w:rPr>
                <w:rFonts w:hint="eastAsia" w:ascii="宋体" w:hAnsi="宋体" w:cs="宋体"/>
                <w:b/>
                <w:bCs/>
                <w:color w:val="auto"/>
                <w:sz w:val="24"/>
              </w:rPr>
            </w:pPr>
            <w:r>
              <w:rPr>
                <w:rFonts w:ascii="宋体" w:hAnsi="宋体" w:cs="宋体"/>
                <w:b/>
                <w:bCs/>
                <w:color w:val="auto"/>
                <w:sz w:val="24"/>
              </w:rPr>
              <w:t>（</w:t>
            </w:r>
            <w:r>
              <w:rPr>
                <w:rFonts w:hint="eastAsia" w:cs="宋体"/>
                <w:b/>
                <w:bCs/>
                <w:color w:val="auto"/>
                <w:sz w:val="24"/>
              </w:rPr>
              <w:t>6</w:t>
            </w:r>
            <w:r>
              <w:rPr>
                <w:rFonts w:ascii="宋体" w:hAnsi="宋体" w:cs="宋体"/>
                <w:b/>
                <w:bCs/>
                <w:color w:val="auto"/>
                <w:sz w:val="24"/>
              </w:rPr>
              <w:t>）</w:t>
            </w:r>
            <w:r>
              <w:rPr>
                <w:rFonts w:hint="eastAsia" w:cs="宋体"/>
                <w:b/>
                <w:bCs/>
                <w:color w:val="auto"/>
                <w:sz w:val="24"/>
              </w:rPr>
              <w:t>项目废水自行监测要求</w:t>
            </w:r>
          </w:p>
          <w:p w14:paraId="35934784">
            <w:pPr>
              <w:widowControl/>
              <w:spacing w:line="360" w:lineRule="auto"/>
              <w:ind w:firstLine="480" w:firstLineChars="200"/>
              <w:jc w:val="left"/>
              <w:rPr>
                <w:color w:val="auto"/>
              </w:rPr>
            </w:pPr>
            <w:r>
              <w:rPr>
                <w:rFonts w:ascii="宋体" w:hAnsi="宋体" w:cs="宋体"/>
                <w:color w:val="auto"/>
                <w:kern w:val="0"/>
                <w:sz w:val="24"/>
                <w:lang w:bidi="ar"/>
              </w:rPr>
              <w:t>根据</w:t>
            </w:r>
            <w:r>
              <w:rPr>
                <w:rFonts w:hint="eastAsia" w:ascii="宋体" w:hAnsi="宋体" w:cs="宋体"/>
                <w:color w:val="auto"/>
                <w:kern w:val="0"/>
                <w:sz w:val="24"/>
                <w:lang w:bidi="ar"/>
              </w:rPr>
              <w:t>《排污单位自行监测技术指南 总则》（</w:t>
            </w:r>
            <w:r>
              <w:rPr>
                <w:rFonts w:ascii="宋体" w:hAnsi="宋体" w:cs="宋体"/>
                <w:color w:val="auto"/>
                <w:kern w:val="0"/>
                <w:sz w:val="24"/>
                <w:lang w:bidi="ar"/>
              </w:rPr>
              <w:t>HJ819-2017</w:t>
            </w:r>
            <w:r>
              <w:rPr>
                <w:rFonts w:hint="eastAsia" w:ascii="宋体" w:hAnsi="宋体" w:cs="宋体"/>
                <w:color w:val="auto"/>
                <w:kern w:val="0"/>
                <w:sz w:val="24"/>
                <w:lang w:bidi="ar"/>
              </w:rPr>
              <w:t>）以及</w:t>
            </w:r>
            <w:r>
              <w:rPr>
                <w:rFonts w:ascii="宋体" w:hAnsi="宋体" w:cs="宋体"/>
                <w:color w:val="auto"/>
                <w:kern w:val="0"/>
                <w:sz w:val="24"/>
                <w:lang w:bidi="ar"/>
              </w:rPr>
              <w:t>《排污许可证申请与核发技术规范 医疗机构》（</w:t>
            </w:r>
            <w:r>
              <w:rPr>
                <w:color w:val="auto"/>
                <w:kern w:val="0"/>
                <w:sz w:val="24"/>
                <w:lang w:bidi="ar"/>
              </w:rPr>
              <w:t>HJ 1105-2020</w:t>
            </w:r>
            <w:r>
              <w:rPr>
                <w:rFonts w:ascii="宋体" w:hAnsi="宋体" w:cs="宋体"/>
                <w:color w:val="auto"/>
                <w:kern w:val="0"/>
                <w:sz w:val="24"/>
                <w:lang w:bidi="ar"/>
              </w:rPr>
              <w:t xml:space="preserve">）中废水监测点位、监测指标和监测频次，本项目运营期废水监测要求如下表。 </w:t>
            </w:r>
          </w:p>
          <w:p w14:paraId="6E2B533D">
            <w:pPr>
              <w:widowControl/>
              <w:jc w:val="center"/>
              <w:rPr>
                <w:color w:val="auto"/>
              </w:rPr>
            </w:pPr>
            <w:r>
              <w:rPr>
                <w:rFonts w:ascii="宋体" w:hAnsi="宋体" w:cs="宋体"/>
                <w:b/>
                <w:color w:val="auto"/>
                <w:kern w:val="0"/>
                <w:sz w:val="24"/>
                <w:lang w:bidi="ar"/>
              </w:rPr>
              <w:t xml:space="preserve">表 </w:t>
            </w:r>
            <w:r>
              <w:rPr>
                <w:b/>
                <w:color w:val="auto"/>
                <w:kern w:val="0"/>
                <w:sz w:val="24"/>
                <w:lang w:bidi="ar"/>
              </w:rPr>
              <w:t>4-</w:t>
            </w:r>
            <w:r>
              <w:rPr>
                <w:rFonts w:hint="eastAsia"/>
                <w:b/>
                <w:color w:val="auto"/>
                <w:kern w:val="0"/>
                <w:sz w:val="24"/>
                <w:lang w:bidi="ar"/>
              </w:rPr>
              <w:t xml:space="preserve">21 </w:t>
            </w:r>
            <w:r>
              <w:rPr>
                <w:b/>
                <w:color w:val="auto"/>
                <w:kern w:val="0"/>
                <w:sz w:val="24"/>
                <w:lang w:bidi="ar"/>
              </w:rPr>
              <w:t xml:space="preserve"> </w:t>
            </w:r>
            <w:r>
              <w:rPr>
                <w:rFonts w:ascii="宋体" w:hAnsi="宋体" w:cs="宋体"/>
                <w:b/>
                <w:color w:val="auto"/>
                <w:kern w:val="0"/>
                <w:sz w:val="24"/>
                <w:lang w:bidi="ar"/>
              </w:rPr>
              <w:t>项目运营期废水</w:t>
            </w:r>
            <w:r>
              <w:rPr>
                <w:rFonts w:hint="eastAsia" w:ascii="宋体" w:hAnsi="宋体" w:cs="宋体"/>
                <w:b/>
                <w:color w:val="auto"/>
                <w:kern w:val="0"/>
                <w:sz w:val="24"/>
                <w:lang w:bidi="ar"/>
              </w:rPr>
              <w:t>自行</w:t>
            </w:r>
            <w:r>
              <w:rPr>
                <w:rFonts w:ascii="宋体" w:hAnsi="宋体" w:cs="宋体"/>
                <w:b/>
                <w:color w:val="auto"/>
                <w:kern w:val="0"/>
                <w:sz w:val="24"/>
                <w:lang w:bidi="ar"/>
              </w:rPr>
              <w:t>监测要求</w:t>
            </w:r>
          </w:p>
          <w:tbl>
            <w:tblPr>
              <w:tblStyle w:val="33"/>
              <w:tblW w:w="8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106"/>
              <w:gridCol w:w="1301"/>
              <w:gridCol w:w="1760"/>
              <w:gridCol w:w="1364"/>
              <w:gridCol w:w="2343"/>
            </w:tblGrid>
            <w:tr w14:paraId="7F17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Align w:val="center"/>
                </w:tcPr>
                <w:p w14:paraId="0F254585">
                  <w:pPr>
                    <w:adjustRightInd w:val="0"/>
                    <w:snapToGrid w:val="0"/>
                    <w:jc w:val="center"/>
                    <w:rPr>
                      <w:rFonts w:hint="eastAsia" w:ascii="宋体" w:hAnsi="宋体" w:cs="宋体"/>
                      <w:bCs/>
                      <w:color w:val="auto"/>
                      <w:szCs w:val="21"/>
                    </w:rPr>
                  </w:pPr>
                  <w:r>
                    <w:rPr>
                      <w:rFonts w:hint="eastAsia" w:ascii="宋体" w:hAnsi="宋体" w:cs="宋体"/>
                      <w:bCs/>
                      <w:color w:val="auto"/>
                      <w:szCs w:val="21"/>
                    </w:rPr>
                    <w:t>分区</w:t>
                  </w:r>
                </w:p>
              </w:tc>
              <w:tc>
                <w:tcPr>
                  <w:tcW w:w="1106" w:type="dxa"/>
                  <w:vAlign w:val="center"/>
                </w:tcPr>
                <w:p w14:paraId="23E8CA9F">
                  <w:pPr>
                    <w:adjustRightInd w:val="0"/>
                    <w:snapToGrid w:val="0"/>
                    <w:jc w:val="center"/>
                    <w:rPr>
                      <w:rFonts w:cs="宋体"/>
                      <w:bCs/>
                      <w:color w:val="auto"/>
                      <w:szCs w:val="21"/>
                    </w:rPr>
                  </w:pPr>
                  <w:r>
                    <w:rPr>
                      <w:rFonts w:hint="eastAsia" w:cs="宋体"/>
                      <w:bCs/>
                      <w:color w:val="auto"/>
                      <w:szCs w:val="21"/>
                    </w:rPr>
                    <w:t>项目</w:t>
                  </w:r>
                </w:p>
              </w:tc>
              <w:tc>
                <w:tcPr>
                  <w:tcW w:w="1301" w:type="dxa"/>
                  <w:vAlign w:val="center"/>
                </w:tcPr>
                <w:p w14:paraId="34B1FE4B">
                  <w:pPr>
                    <w:adjustRightInd w:val="0"/>
                    <w:snapToGrid w:val="0"/>
                    <w:jc w:val="center"/>
                    <w:rPr>
                      <w:rFonts w:hint="eastAsia" w:ascii="宋体" w:hAnsi="宋体" w:cs="宋体"/>
                      <w:bCs/>
                      <w:color w:val="auto"/>
                      <w:szCs w:val="21"/>
                    </w:rPr>
                  </w:pPr>
                  <w:r>
                    <w:rPr>
                      <w:rFonts w:hint="eastAsia" w:cs="宋体"/>
                      <w:bCs/>
                      <w:color w:val="auto"/>
                      <w:szCs w:val="21"/>
                    </w:rPr>
                    <w:t>监测点位</w:t>
                  </w:r>
                </w:p>
              </w:tc>
              <w:tc>
                <w:tcPr>
                  <w:tcW w:w="1760" w:type="dxa"/>
                  <w:vAlign w:val="center"/>
                </w:tcPr>
                <w:p w14:paraId="2B75567E">
                  <w:pPr>
                    <w:adjustRightInd w:val="0"/>
                    <w:snapToGrid w:val="0"/>
                    <w:jc w:val="center"/>
                    <w:rPr>
                      <w:rFonts w:hint="eastAsia" w:ascii="宋体" w:hAnsi="宋体" w:cs="宋体"/>
                      <w:bCs/>
                      <w:color w:val="auto"/>
                      <w:szCs w:val="21"/>
                    </w:rPr>
                  </w:pPr>
                  <w:r>
                    <w:rPr>
                      <w:rFonts w:hint="eastAsia" w:cs="宋体"/>
                      <w:bCs/>
                      <w:color w:val="auto"/>
                      <w:szCs w:val="21"/>
                    </w:rPr>
                    <w:t>监测因子</w:t>
                  </w:r>
                </w:p>
              </w:tc>
              <w:tc>
                <w:tcPr>
                  <w:tcW w:w="1364" w:type="dxa"/>
                  <w:vAlign w:val="center"/>
                </w:tcPr>
                <w:p w14:paraId="4F83F20B">
                  <w:pPr>
                    <w:adjustRightInd w:val="0"/>
                    <w:snapToGrid w:val="0"/>
                    <w:jc w:val="center"/>
                    <w:rPr>
                      <w:rFonts w:hint="eastAsia" w:ascii="宋体" w:hAnsi="宋体" w:cs="宋体"/>
                      <w:bCs/>
                      <w:color w:val="auto"/>
                      <w:szCs w:val="21"/>
                    </w:rPr>
                  </w:pPr>
                  <w:r>
                    <w:rPr>
                      <w:rFonts w:hint="eastAsia" w:cs="宋体"/>
                      <w:bCs/>
                      <w:color w:val="auto"/>
                      <w:szCs w:val="21"/>
                    </w:rPr>
                    <w:t>监测频次</w:t>
                  </w:r>
                </w:p>
              </w:tc>
              <w:tc>
                <w:tcPr>
                  <w:tcW w:w="2343" w:type="dxa"/>
                  <w:vAlign w:val="center"/>
                </w:tcPr>
                <w:p w14:paraId="13E97AC6">
                  <w:pPr>
                    <w:adjustRightInd w:val="0"/>
                    <w:snapToGrid w:val="0"/>
                    <w:jc w:val="center"/>
                    <w:rPr>
                      <w:rFonts w:hint="eastAsia" w:ascii="宋体" w:hAnsi="宋体" w:cs="宋体"/>
                      <w:bCs/>
                      <w:color w:val="auto"/>
                      <w:szCs w:val="21"/>
                    </w:rPr>
                  </w:pPr>
                  <w:r>
                    <w:rPr>
                      <w:rFonts w:hint="eastAsia" w:cs="宋体"/>
                      <w:bCs/>
                      <w:color w:val="auto"/>
                      <w:szCs w:val="21"/>
                    </w:rPr>
                    <w:t>执行标准</w:t>
                  </w:r>
                </w:p>
              </w:tc>
            </w:tr>
            <w:tr w14:paraId="64F2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Merge w:val="restart"/>
                  <w:vAlign w:val="center"/>
                </w:tcPr>
                <w:p w14:paraId="4A0F1F30">
                  <w:pPr>
                    <w:adjustRightInd w:val="0"/>
                    <w:snapToGrid w:val="0"/>
                    <w:jc w:val="center"/>
                    <w:rPr>
                      <w:rFonts w:hint="eastAsia" w:ascii="宋体" w:hAnsi="宋体" w:cs="宋体"/>
                      <w:bCs/>
                      <w:color w:val="auto"/>
                      <w:szCs w:val="21"/>
                    </w:rPr>
                  </w:pPr>
                  <w:r>
                    <w:rPr>
                      <w:rFonts w:hint="eastAsia" w:ascii="宋体" w:hAnsi="宋体" w:cs="宋体"/>
                      <w:bCs/>
                      <w:color w:val="auto"/>
                      <w:szCs w:val="21"/>
                    </w:rPr>
                    <w:t>纳古卫生院</w:t>
                  </w:r>
                </w:p>
              </w:tc>
              <w:tc>
                <w:tcPr>
                  <w:tcW w:w="1106" w:type="dxa"/>
                  <w:vMerge w:val="restart"/>
                  <w:vAlign w:val="center"/>
                </w:tcPr>
                <w:p w14:paraId="412C4AAE">
                  <w:pPr>
                    <w:adjustRightInd w:val="0"/>
                    <w:snapToGrid w:val="0"/>
                    <w:jc w:val="center"/>
                    <w:rPr>
                      <w:rFonts w:cs="宋体"/>
                      <w:bCs/>
                      <w:color w:val="auto"/>
                      <w:szCs w:val="21"/>
                    </w:rPr>
                  </w:pPr>
                  <w:r>
                    <w:rPr>
                      <w:rFonts w:hint="eastAsia" w:cs="宋体"/>
                      <w:bCs/>
                      <w:color w:val="auto"/>
                      <w:szCs w:val="21"/>
                    </w:rPr>
                    <w:t>纳古卫生院综合废水排放口</w:t>
                  </w:r>
                </w:p>
              </w:tc>
              <w:tc>
                <w:tcPr>
                  <w:tcW w:w="1301" w:type="dxa"/>
                  <w:vMerge w:val="restart"/>
                  <w:vAlign w:val="center"/>
                </w:tcPr>
                <w:p w14:paraId="5B39D1AC">
                  <w:pPr>
                    <w:adjustRightInd w:val="0"/>
                    <w:snapToGrid w:val="0"/>
                    <w:jc w:val="center"/>
                    <w:rPr>
                      <w:rFonts w:hint="eastAsia" w:ascii="宋体" w:hAnsi="宋体" w:cs="宋体"/>
                      <w:bCs/>
                      <w:color w:val="auto"/>
                      <w:szCs w:val="21"/>
                    </w:rPr>
                  </w:pPr>
                  <w:r>
                    <w:rPr>
                      <w:rFonts w:hint="eastAsia" w:cs="宋体"/>
                      <w:bCs/>
                      <w:color w:val="auto"/>
                      <w:szCs w:val="21"/>
                    </w:rPr>
                    <w:t>污水处理站排放口（DW001）</w:t>
                  </w:r>
                </w:p>
              </w:tc>
              <w:tc>
                <w:tcPr>
                  <w:tcW w:w="1760" w:type="dxa"/>
                  <w:vAlign w:val="center"/>
                </w:tcPr>
                <w:p w14:paraId="542D92DE">
                  <w:pPr>
                    <w:adjustRightInd w:val="0"/>
                    <w:snapToGrid w:val="0"/>
                    <w:jc w:val="center"/>
                    <w:rPr>
                      <w:rFonts w:hint="eastAsia" w:ascii="宋体" w:hAnsi="宋体" w:cs="宋体"/>
                      <w:bCs/>
                      <w:color w:val="auto"/>
                      <w:szCs w:val="21"/>
                    </w:rPr>
                  </w:pPr>
                  <w:r>
                    <w:rPr>
                      <w:rFonts w:hint="eastAsia" w:cs="宋体"/>
                      <w:bCs/>
                      <w:color w:val="auto"/>
                      <w:szCs w:val="21"/>
                    </w:rPr>
                    <w:t>pH</w:t>
                  </w:r>
                </w:p>
              </w:tc>
              <w:tc>
                <w:tcPr>
                  <w:tcW w:w="1364" w:type="dxa"/>
                  <w:vAlign w:val="center"/>
                </w:tcPr>
                <w:p w14:paraId="73683140">
                  <w:pPr>
                    <w:adjustRightInd w:val="0"/>
                    <w:snapToGrid w:val="0"/>
                    <w:jc w:val="center"/>
                    <w:rPr>
                      <w:rFonts w:hint="eastAsia" w:ascii="宋体" w:hAnsi="宋体" w:cs="宋体"/>
                      <w:bCs/>
                      <w:color w:val="auto"/>
                      <w:szCs w:val="21"/>
                    </w:rPr>
                  </w:pPr>
                  <w:r>
                    <w:rPr>
                      <w:rFonts w:hint="eastAsia" w:cs="宋体"/>
                      <w:bCs/>
                      <w:color w:val="auto"/>
                      <w:szCs w:val="21"/>
                    </w:rPr>
                    <w:t>1次/12小时</w:t>
                  </w:r>
                </w:p>
              </w:tc>
              <w:tc>
                <w:tcPr>
                  <w:tcW w:w="2343" w:type="dxa"/>
                  <w:vMerge w:val="restart"/>
                  <w:vAlign w:val="center"/>
                </w:tcPr>
                <w:p w14:paraId="7F3665F3">
                  <w:pPr>
                    <w:widowControl/>
                    <w:jc w:val="center"/>
                    <w:rPr>
                      <w:rFonts w:hint="eastAsia" w:ascii="宋体" w:hAnsi="宋体" w:cs="宋体"/>
                      <w:bCs/>
                      <w:color w:val="auto"/>
                      <w:szCs w:val="21"/>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79BC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Merge w:val="continue"/>
                  <w:vAlign w:val="center"/>
                </w:tcPr>
                <w:p w14:paraId="33C235B6">
                  <w:pPr>
                    <w:adjustRightInd w:val="0"/>
                    <w:snapToGrid w:val="0"/>
                    <w:jc w:val="center"/>
                    <w:rPr>
                      <w:rFonts w:hint="eastAsia" w:ascii="宋体" w:hAnsi="宋体" w:cs="宋体"/>
                      <w:bCs/>
                      <w:color w:val="auto"/>
                      <w:szCs w:val="21"/>
                    </w:rPr>
                  </w:pPr>
                </w:p>
              </w:tc>
              <w:tc>
                <w:tcPr>
                  <w:tcW w:w="1106" w:type="dxa"/>
                  <w:vMerge w:val="continue"/>
                  <w:vAlign w:val="center"/>
                </w:tcPr>
                <w:p w14:paraId="3C935FAF">
                  <w:pPr>
                    <w:adjustRightInd w:val="0"/>
                    <w:snapToGrid w:val="0"/>
                    <w:jc w:val="center"/>
                    <w:rPr>
                      <w:rFonts w:cs="宋体"/>
                      <w:bCs/>
                      <w:color w:val="auto"/>
                      <w:szCs w:val="21"/>
                    </w:rPr>
                  </w:pPr>
                </w:p>
              </w:tc>
              <w:tc>
                <w:tcPr>
                  <w:tcW w:w="1301" w:type="dxa"/>
                  <w:vMerge w:val="continue"/>
                  <w:vAlign w:val="center"/>
                </w:tcPr>
                <w:p w14:paraId="7CCA8ADF">
                  <w:pPr>
                    <w:adjustRightInd w:val="0"/>
                    <w:snapToGrid w:val="0"/>
                    <w:jc w:val="center"/>
                    <w:rPr>
                      <w:rFonts w:cs="宋体"/>
                      <w:bCs/>
                      <w:color w:val="auto"/>
                      <w:szCs w:val="21"/>
                    </w:rPr>
                  </w:pPr>
                </w:p>
              </w:tc>
              <w:tc>
                <w:tcPr>
                  <w:tcW w:w="1760" w:type="dxa"/>
                  <w:vAlign w:val="center"/>
                </w:tcPr>
                <w:p w14:paraId="013E861A">
                  <w:pPr>
                    <w:adjustRightInd w:val="0"/>
                    <w:snapToGrid w:val="0"/>
                    <w:jc w:val="center"/>
                    <w:rPr>
                      <w:rFonts w:cs="宋体"/>
                      <w:bCs/>
                      <w:color w:val="auto"/>
                      <w:szCs w:val="21"/>
                    </w:rPr>
                  </w:pPr>
                  <w:r>
                    <w:rPr>
                      <w:rFonts w:hint="eastAsia" w:cs="宋体"/>
                      <w:bCs/>
                      <w:color w:val="auto"/>
                      <w:szCs w:val="21"/>
                    </w:rPr>
                    <w:t>CODcr、SS</w:t>
                  </w:r>
                </w:p>
              </w:tc>
              <w:tc>
                <w:tcPr>
                  <w:tcW w:w="1364" w:type="dxa"/>
                  <w:vAlign w:val="center"/>
                </w:tcPr>
                <w:p w14:paraId="56AB34F0">
                  <w:pPr>
                    <w:adjustRightInd w:val="0"/>
                    <w:snapToGrid w:val="0"/>
                    <w:jc w:val="center"/>
                    <w:rPr>
                      <w:rFonts w:cs="宋体"/>
                      <w:bCs/>
                      <w:color w:val="auto"/>
                      <w:szCs w:val="21"/>
                    </w:rPr>
                  </w:pPr>
                  <w:r>
                    <w:rPr>
                      <w:rFonts w:hint="eastAsia" w:cs="宋体"/>
                      <w:bCs/>
                      <w:color w:val="auto"/>
                      <w:szCs w:val="21"/>
                    </w:rPr>
                    <w:t>1次/周</w:t>
                  </w:r>
                </w:p>
              </w:tc>
              <w:tc>
                <w:tcPr>
                  <w:tcW w:w="2343" w:type="dxa"/>
                  <w:vMerge w:val="continue"/>
                  <w:vAlign w:val="center"/>
                </w:tcPr>
                <w:p w14:paraId="011ABC73">
                  <w:pPr>
                    <w:widowControl/>
                    <w:jc w:val="center"/>
                    <w:rPr>
                      <w:rFonts w:hint="eastAsia" w:ascii="宋体" w:hAnsi="宋体" w:cs="宋体"/>
                      <w:color w:val="auto"/>
                      <w:kern w:val="0"/>
                      <w:szCs w:val="21"/>
                      <w:lang w:bidi="ar"/>
                    </w:rPr>
                  </w:pPr>
                </w:p>
              </w:tc>
            </w:tr>
            <w:tr w14:paraId="15D1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Merge w:val="continue"/>
                  <w:vAlign w:val="center"/>
                </w:tcPr>
                <w:p w14:paraId="459E99C3">
                  <w:pPr>
                    <w:adjustRightInd w:val="0"/>
                    <w:snapToGrid w:val="0"/>
                    <w:jc w:val="center"/>
                    <w:rPr>
                      <w:rFonts w:hint="eastAsia" w:ascii="宋体" w:hAnsi="宋体" w:cs="宋体"/>
                      <w:bCs/>
                      <w:color w:val="auto"/>
                      <w:szCs w:val="21"/>
                    </w:rPr>
                  </w:pPr>
                </w:p>
              </w:tc>
              <w:tc>
                <w:tcPr>
                  <w:tcW w:w="1106" w:type="dxa"/>
                  <w:vMerge w:val="continue"/>
                  <w:vAlign w:val="center"/>
                </w:tcPr>
                <w:p w14:paraId="707D95B2">
                  <w:pPr>
                    <w:adjustRightInd w:val="0"/>
                    <w:snapToGrid w:val="0"/>
                    <w:jc w:val="center"/>
                    <w:rPr>
                      <w:rFonts w:hint="eastAsia" w:ascii="宋体" w:hAnsi="宋体" w:cs="宋体"/>
                      <w:bCs/>
                      <w:color w:val="auto"/>
                      <w:szCs w:val="21"/>
                    </w:rPr>
                  </w:pPr>
                </w:p>
              </w:tc>
              <w:tc>
                <w:tcPr>
                  <w:tcW w:w="1301" w:type="dxa"/>
                  <w:vMerge w:val="continue"/>
                  <w:vAlign w:val="center"/>
                </w:tcPr>
                <w:p w14:paraId="1CE4AEEC">
                  <w:pPr>
                    <w:adjustRightInd w:val="0"/>
                    <w:snapToGrid w:val="0"/>
                    <w:jc w:val="center"/>
                    <w:rPr>
                      <w:rFonts w:hint="eastAsia" w:ascii="宋体" w:hAnsi="宋体" w:cs="宋体"/>
                      <w:bCs/>
                      <w:color w:val="auto"/>
                      <w:szCs w:val="21"/>
                    </w:rPr>
                  </w:pPr>
                </w:p>
              </w:tc>
              <w:tc>
                <w:tcPr>
                  <w:tcW w:w="1760" w:type="dxa"/>
                  <w:vAlign w:val="center"/>
                </w:tcPr>
                <w:p w14:paraId="0C1764E3">
                  <w:pPr>
                    <w:adjustRightInd w:val="0"/>
                    <w:snapToGrid w:val="0"/>
                    <w:jc w:val="center"/>
                    <w:rPr>
                      <w:rFonts w:hint="eastAsia" w:ascii="宋体" w:hAnsi="宋体" w:cs="宋体"/>
                      <w:bCs/>
                      <w:color w:val="auto"/>
                      <w:szCs w:val="21"/>
                    </w:rPr>
                  </w:pPr>
                  <w:r>
                    <w:rPr>
                      <w:rFonts w:hint="eastAsia" w:cs="宋体"/>
                      <w:bCs/>
                      <w:color w:val="auto"/>
                      <w:szCs w:val="21"/>
                    </w:rPr>
                    <w:t>粪大肠菌群</w:t>
                  </w:r>
                </w:p>
              </w:tc>
              <w:tc>
                <w:tcPr>
                  <w:tcW w:w="1364" w:type="dxa"/>
                  <w:vAlign w:val="center"/>
                </w:tcPr>
                <w:p w14:paraId="78860113">
                  <w:pPr>
                    <w:adjustRightInd w:val="0"/>
                    <w:snapToGrid w:val="0"/>
                    <w:jc w:val="center"/>
                    <w:rPr>
                      <w:rFonts w:hint="eastAsia" w:ascii="宋体" w:hAnsi="宋体" w:cs="宋体"/>
                      <w:bCs/>
                      <w:color w:val="auto"/>
                      <w:szCs w:val="21"/>
                    </w:rPr>
                  </w:pPr>
                  <w:r>
                    <w:rPr>
                      <w:rFonts w:hint="eastAsia" w:cs="宋体"/>
                      <w:bCs/>
                      <w:color w:val="auto"/>
                      <w:szCs w:val="21"/>
                    </w:rPr>
                    <w:t>1次/月</w:t>
                  </w:r>
                </w:p>
              </w:tc>
              <w:tc>
                <w:tcPr>
                  <w:tcW w:w="2343" w:type="dxa"/>
                  <w:vMerge w:val="continue"/>
                  <w:vAlign w:val="center"/>
                </w:tcPr>
                <w:p w14:paraId="47E420FA">
                  <w:pPr>
                    <w:adjustRightInd w:val="0"/>
                    <w:snapToGrid w:val="0"/>
                    <w:jc w:val="center"/>
                    <w:rPr>
                      <w:rFonts w:hint="eastAsia" w:ascii="宋体" w:hAnsi="宋体" w:cs="宋体"/>
                      <w:bCs/>
                      <w:color w:val="auto"/>
                      <w:szCs w:val="21"/>
                    </w:rPr>
                  </w:pPr>
                </w:p>
              </w:tc>
            </w:tr>
            <w:tr w14:paraId="3B55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Merge w:val="continue"/>
                  <w:vAlign w:val="center"/>
                </w:tcPr>
                <w:p w14:paraId="2F8C31C7">
                  <w:pPr>
                    <w:adjustRightInd w:val="0"/>
                    <w:snapToGrid w:val="0"/>
                    <w:jc w:val="center"/>
                    <w:rPr>
                      <w:rFonts w:hint="eastAsia" w:ascii="宋体" w:hAnsi="宋体" w:cs="宋体"/>
                      <w:bCs/>
                      <w:color w:val="auto"/>
                      <w:szCs w:val="21"/>
                    </w:rPr>
                  </w:pPr>
                </w:p>
              </w:tc>
              <w:tc>
                <w:tcPr>
                  <w:tcW w:w="1106" w:type="dxa"/>
                  <w:vMerge w:val="continue"/>
                  <w:vAlign w:val="center"/>
                </w:tcPr>
                <w:p w14:paraId="305E72D7">
                  <w:pPr>
                    <w:adjustRightInd w:val="0"/>
                    <w:snapToGrid w:val="0"/>
                    <w:jc w:val="center"/>
                    <w:rPr>
                      <w:rFonts w:hint="eastAsia" w:ascii="宋体" w:hAnsi="宋体" w:cs="宋体"/>
                      <w:bCs/>
                      <w:color w:val="auto"/>
                      <w:szCs w:val="21"/>
                    </w:rPr>
                  </w:pPr>
                </w:p>
              </w:tc>
              <w:tc>
                <w:tcPr>
                  <w:tcW w:w="1301" w:type="dxa"/>
                  <w:vMerge w:val="continue"/>
                  <w:vAlign w:val="center"/>
                </w:tcPr>
                <w:p w14:paraId="326869E3">
                  <w:pPr>
                    <w:adjustRightInd w:val="0"/>
                    <w:snapToGrid w:val="0"/>
                    <w:jc w:val="center"/>
                    <w:rPr>
                      <w:rFonts w:hint="eastAsia" w:ascii="宋体" w:hAnsi="宋体" w:cs="宋体"/>
                      <w:bCs/>
                      <w:color w:val="auto"/>
                      <w:szCs w:val="21"/>
                    </w:rPr>
                  </w:pPr>
                </w:p>
              </w:tc>
              <w:tc>
                <w:tcPr>
                  <w:tcW w:w="1760" w:type="dxa"/>
                  <w:vAlign w:val="center"/>
                </w:tcPr>
                <w:p w14:paraId="6AB303C0">
                  <w:pPr>
                    <w:adjustRightInd w:val="0"/>
                    <w:snapToGrid w:val="0"/>
                    <w:jc w:val="center"/>
                    <w:rPr>
                      <w:rFonts w:hint="eastAsia" w:ascii="宋体" w:hAnsi="宋体"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364" w:type="dxa"/>
                  <w:vAlign w:val="center"/>
                </w:tcPr>
                <w:p w14:paraId="70A3D83B">
                  <w:pPr>
                    <w:adjustRightInd w:val="0"/>
                    <w:snapToGrid w:val="0"/>
                    <w:jc w:val="center"/>
                    <w:rPr>
                      <w:rFonts w:hint="eastAsia" w:ascii="宋体" w:hAnsi="宋体" w:cs="宋体"/>
                      <w:bCs/>
                      <w:color w:val="auto"/>
                      <w:szCs w:val="21"/>
                    </w:rPr>
                  </w:pPr>
                  <w:r>
                    <w:rPr>
                      <w:rFonts w:hint="eastAsia" w:cs="宋体"/>
                      <w:bCs/>
                      <w:color w:val="auto"/>
                      <w:szCs w:val="21"/>
                    </w:rPr>
                    <w:t>1次/季度</w:t>
                  </w:r>
                </w:p>
              </w:tc>
              <w:tc>
                <w:tcPr>
                  <w:tcW w:w="2343" w:type="dxa"/>
                  <w:vMerge w:val="continue"/>
                  <w:vAlign w:val="center"/>
                </w:tcPr>
                <w:p w14:paraId="58AB3675">
                  <w:pPr>
                    <w:adjustRightInd w:val="0"/>
                    <w:snapToGrid w:val="0"/>
                    <w:jc w:val="center"/>
                    <w:rPr>
                      <w:rFonts w:hint="eastAsia" w:ascii="宋体" w:hAnsi="宋体" w:cs="宋体"/>
                      <w:bCs/>
                      <w:color w:val="auto"/>
                      <w:szCs w:val="21"/>
                    </w:rPr>
                  </w:pPr>
                </w:p>
              </w:tc>
            </w:tr>
            <w:tr w14:paraId="7AC6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Merge w:val="continue"/>
                  <w:vAlign w:val="center"/>
                </w:tcPr>
                <w:p w14:paraId="4B564F76">
                  <w:pPr>
                    <w:adjustRightInd w:val="0"/>
                    <w:snapToGrid w:val="0"/>
                    <w:jc w:val="center"/>
                    <w:rPr>
                      <w:rFonts w:hint="eastAsia" w:ascii="宋体" w:hAnsi="宋体" w:cs="宋体"/>
                      <w:bCs/>
                      <w:color w:val="auto"/>
                      <w:szCs w:val="21"/>
                    </w:rPr>
                  </w:pPr>
                </w:p>
              </w:tc>
              <w:tc>
                <w:tcPr>
                  <w:tcW w:w="1106" w:type="dxa"/>
                  <w:vMerge w:val="continue"/>
                  <w:vAlign w:val="center"/>
                </w:tcPr>
                <w:p w14:paraId="4933478B">
                  <w:pPr>
                    <w:adjustRightInd w:val="0"/>
                    <w:snapToGrid w:val="0"/>
                    <w:jc w:val="center"/>
                    <w:rPr>
                      <w:rFonts w:hint="eastAsia" w:ascii="宋体" w:hAnsi="宋体" w:cs="宋体"/>
                      <w:bCs/>
                      <w:color w:val="auto"/>
                      <w:szCs w:val="21"/>
                    </w:rPr>
                  </w:pPr>
                </w:p>
              </w:tc>
              <w:tc>
                <w:tcPr>
                  <w:tcW w:w="1301" w:type="dxa"/>
                  <w:vMerge w:val="continue"/>
                  <w:vAlign w:val="center"/>
                </w:tcPr>
                <w:p w14:paraId="4F4C8BFE">
                  <w:pPr>
                    <w:adjustRightInd w:val="0"/>
                    <w:snapToGrid w:val="0"/>
                    <w:jc w:val="center"/>
                    <w:rPr>
                      <w:rFonts w:hint="eastAsia" w:ascii="宋体" w:hAnsi="宋体" w:cs="宋体"/>
                      <w:bCs/>
                      <w:color w:val="auto"/>
                      <w:szCs w:val="21"/>
                    </w:rPr>
                  </w:pPr>
                </w:p>
              </w:tc>
              <w:tc>
                <w:tcPr>
                  <w:tcW w:w="1760" w:type="dxa"/>
                  <w:vAlign w:val="center"/>
                </w:tcPr>
                <w:p w14:paraId="46A369B6">
                  <w:pPr>
                    <w:adjustRightInd w:val="0"/>
                    <w:snapToGrid w:val="0"/>
                    <w:jc w:val="center"/>
                    <w:rPr>
                      <w:rFonts w:hint="eastAsia" w:ascii="宋体" w:hAnsi="宋体" w:cs="宋体"/>
                      <w:bCs/>
                      <w:color w:val="auto"/>
                      <w:szCs w:val="21"/>
                    </w:rPr>
                  </w:pPr>
                  <w:r>
                    <w:rPr>
                      <w:rFonts w:hint="eastAsia" w:cs="宋体"/>
                      <w:bCs/>
                      <w:color w:val="auto"/>
                      <w:szCs w:val="21"/>
                    </w:rPr>
                    <w:t>流量</w:t>
                  </w:r>
                </w:p>
              </w:tc>
              <w:tc>
                <w:tcPr>
                  <w:tcW w:w="1364" w:type="dxa"/>
                  <w:vAlign w:val="center"/>
                </w:tcPr>
                <w:p w14:paraId="061B4E2D">
                  <w:pPr>
                    <w:adjustRightInd w:val="0"/>
                    <w:snapToGrid w:val="0"/>
                    <w:jc w:val="center"/>
                    <w:rPr>
                      <w:rFonts w:hint="eastAsia" w:ascii="宋体" w:hAnsi="宋体" w:cs="宋体"/>
                      <w:bCs/>
                      <w:color w:val="auto"/>
                      <w:szCs w:val="21"/>
                    </w:rPr>
                  </w:pPr>
                  <w:r>
                    <w:rPr>
                      <w:rFonts w:hint="eastAsia" w:cs="宋体"/>
                      <w:bCs/>
                      <w:color w:val="auto"/>
                      <w:szCs w:val="21"/>
                    </w:rPr>
                    <w:t>自动监测</w:t>
                  </w:r>
                </w:p>
              </w:tc>
              <w:tc>
                <w:tcPr>
                  <w:tcW w:w="2343" w:type="dxa"/>
                  <w:vMerge w:val="continue"/>
                  <w:vAlign w:val="center"/>
                </w:tcPr>
                <w:p w14:paraId="6092CCC4">
                  <w:pPr>
                    <w:adjustRightInd w:val="0"/>
                    <w:snapToGrid w:val="0"/>
                    <w:jc w:val="center"/>
                    <w:rPr>
                      <w:rFonts w:hint="eastAsia" w:ascii="宋体" w:hAnsi="宋体" w:cs="宋体"/>
                      <w:bCs/>
                      <w:color w:val="auto"/>
                      <w:szCs w:val="21"/>
                    </w:rPr>
                  </w:pPr>
                </w:p>
              </w:tc>
            </w:tr>
            <w:tr w14:paraId="2572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003" w:type="dxa"/>
                  <w:vMerge w:val="continue"/>
                  <w:vAlign w:val="center"/>
                </w:tcPr>
                <w:p w14:paraId="257FA63D">
                  <w:pPr>
                    <w:adjustRightInd w:val="0"/>
                    <w:snapToGrid w:val="0"/>
                    <w:jc w:val="center"/>
                    <w:rPr>
                      <w:rFonts w:hint="eastAsia" w:ascii="宋体" w:hAnsi="宋体" w:cs="宋体"/>
                      <w:bCs/>
                      <w:color w:val="auto"/>
                      <w:szCs w:val="21"/>
                    </w:rPr>
                  </w:pPr>
                </w:p>
              </w:tc>
              <w:tc>
                <w:tcPr>
                  <w:tcW w:w="1106" w:type="dxa"/>
                  <w:vMerge w:val="continue"/>
                  <w:vAlign w:val="center"/>
                </w:tcPr>
                <w:p w14:paraId="2D1928B6">
                  <w:pPr>
                    <w:adjustRightInd w:val="0"/>
                    <w:snapToGrid w:val="0"/>
                    <w:jc w:val="center"/>
                    <w:rPr>
                      <w:rFonts w:cs="宋体"/>
                      <w:bCs/>
                      <w:color w:val="auto"/>
                      <w:szCs w:val="21"/>
                    </w:rPr>
                  </w:pPr>
                </w:p>
              </w:tc>
              <w:tc>
                <w:tcPr>
                  <w:tcW w:w="1301" w:type="dxa"/>
                  <w:vAlign w:val="center"/>
                </w:tcPr>
                <w:p w14:paraId="393B8A96">
                  <w:pPr>
                    <w:adjustRightInd w:val="0"/>
                    <w:snapToGrid w:val="0"/>
                    <w:jc w:val="center"/>
                    <w:rPr>
                      <w:rFonts w:cs="宋体"/>
                      <w:bCs/>
                      <w:color w:val="auto"/>
                      <w:szCs w:val="21"/>
                    </w:rPr>
                  </w:pPr>
                  <w:r>
                    <w:rPr>
                      <w:rFonts w:hint="eastAsia"/>
                      <w:bCs/>
                      <w:color w:val="auto"/>
                      <w:szCs w:val="21"/>
                    </w:rPr>
                    <w:t>接触池出口</w:t>
                  </w:r>
                </w:p>
              </w:tc>
              <w:tc>
                <w:tcPr>
                  <w:tcW w:w="1760" w:type="dxa"/>
                  <w:vAlign w:val="center"/>
                </w:tcPr>
                <w:p w14:paraId="3C40665F">
                  <w:pPr>
                    <w:widowControl/>
                    <w:jc w:val="center"/>
                    <w:rPr>
                      <w:rFonts w:cs="宋体"/>
                      <w:bCs/>
                      <w:color w:val="auto"/>
                      <w:szCs w:val="21"/>
                    </w:rPr>
                  </w:pPr>
                  <w:r>
                    <w:rPr>
                      <w:color w:val="auto"/>
                      <w:kern w:val="0"/>
                      <w:szCs w:val="21"/>
                      <w:lang w:bidi="ar"/>
                    </w:rPr>
                    <w:t>总余氯</w:t>
                  </w:r>
                </w:p>
              </w:tc>
              <w:tc>
                <w:tcPr>
                  <w:tcW w:w="1364" w:type="dxa"/>
                  <w:vAlign w:val="center"/>
                </w:tcPr>
                <w:p w14:paraId="0DA4281A">
                  <w:pPr>
                    <w:jc w:val="center"/>
                    <w:rPr>
                      <w:rFonts w:cs="宋体"/>
                      <w:bCs/>
                      <w:color w:val="auto"/>
                      <w:szCs w:val="21"/>
                    </w:rPr>
                  </w:pPr>
                  <w:r>
                    <w:rPr>
                      <w:rFonts w:hint="eastAsia"/>
                      <w:bCs/>
                      <w:color w:val="auto"/>
                      <w:szCs w:val="21"/>
                    </w:rPr>
                    <w:t>1次/12小时</w:t>
                  </w:r>
                </w:p>
              </w:tc>
              <w:tc>
                <w:tcPr>
                  <w:tcW w:w="2343" w:type="dxa"/>
                  <w:vMerge w:val="continue"/>
                  <w:vAlign w:val="center"/>
                </w:tcPr>
                <w:p w14:paraId="6DA31BE6">
                  <w:pPr>
                    <w:widowControl/>
                    <w:jc w:val="center"/>
                    <w:rPr>
                      <w:rFonts w:hint="eastAsia" w:ascii="宋体" w:hAnsi="宋体" w:cs="宋体"/>
                      <w:color w:val="auto"/>
                      <w:kern w:val="0"/>
                      <w:szCs w:val="21"/>
                      <w:lang w:bidi="ar"/>
                    </w:rPr>
                  </w:pPr>
                </w:p>
              </w:tc>
            </w:tr>
            <w:tr w14:paraId="263A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003" w:type="dxa"/>
                  <w:vMerge w:val="restart"/>
                  <w:vAlign w:val="center"/>
                </w:tcPr>
                <w:p w14:paraId="29DDEB93">
                  <w:pPr>
                    <w:adjustRightInd w:val="0"/>
                    <w:snapToGrid w:val="0"/>
                    <w:jc w:val="center"/>
                    <w:rPr>
                      <w:rFonts w:hint="eastAsia" w:ascii="宋体" w:hAnsi="宋体" w:cs="宋体"/>
                      <w:bCs/>
                      <w:color w:val="auto"/>
                      <w:szCs w:val="21"/>
                    </w:rPr>
                  </w:pPr>
                  <w:r>
                    <w:rPr>
                      <w:rFonts w:hint="eastAsia" w:ascii="宋体" w:hAnsi="宋体" w:cs="宋体"/>
                      <w:bCs/>
                      <w:color w:val="auto"/>
                      <w:szCs w:val="21"/>
                    </w:rPr>
                    <w:t>四街卫生院</w:t>
                  </w:r>
                </w:p>
              </w:tc>
              <w:tc>
                <w:tcPr>
                  <w:tcW w:w="1106" w:type="dxa"/>
                  <w:vMerge w:val="restart"/>
                  <w:vAlign w:val="center"/>
                </w:tcPr>
                <w:p w14:paraId="41A3227F">
                  <w:pPr>
                    <w:adjustRightInd w:val="0"/>
                    <w:snapToGrid w:val="0"/>
                    <w:jc w:val="center"/>
                    <w:rPr>
                      <w:rFonts w:cs="宋体"/>
                      <w:bCs/>
                      <w:color w:val="auto"/>
                      <w:szCs w:val="21"/>
                    </w:rPr>
                  </w:pPr>
                  <w:r>
                    <w:rPr>
                      <w:rFonts w:hint="eastAsia" w:cs="宋体"/>
                      <w:bCs/>
                      <w:color w:val="auto"/>
                      <w:szCs w:val="21"/>
                    </w:rPr>
                    <w:t>四街卫生院综合废水排放口</w:t>
                  </w:r>
                </w:p>
              </w:tc>
              <w:tc>
                <w:tcPr>
                  <w:tcW w:w="1301" w:type="dxa"/>
                  <w:vMerge w:val="restart"/>
                  <w:vAlign w:val="center"/>
                </w:tcPr>
                <w:p w14:paraId="2A6F2F8A">
                  <w:pPr>
                    <w:adjustRightInd w:val="0"/>
                    <w:snapToGrid w:val="0"/>
                    <w:jc w:val="center"/>
                    <w:rPr>
                      <w:rFonts w:cs="宋体"/>
                      <w:bCs/>
                      <w:color w:val="auto"/>
                      <w:szCs w:val="21"/>
                    </w:rPr>
                  </w:pPr>
                  <w:r>
                    <w:rPr>
                      <w:rFonts w:hint="eastAsia" w:cs="宋体"/>
                      <w:bCs/>
                      <w:color w:val="auto"/>
                      <w:szCs w:val="21"/>
                    </w:rPr>
                    <w:t>污水处理站排放口（DW001）</w:t>
                  </w:r>
                </w:p>
              </w:tc>
              <w:tc>
                <w:tcPr>
                  <w:tcW w:w="1760" w:type="dxa"/>
                  <w:vAlign w:val="center"/>
                </w:tcPr>
                <w:p w14:paraId="067F8CF7">
                  <w:pPr>
                    <w:adjustRightInd w:val="0"/>
                    <w:snapToGrid w:val="0"/>
                    <w:jc w:val="center"/>
                    <w:rPr>
                      <w:rFonts w:cs="宋体"/>
                      <w:bCs/>
                      <w:color w:val="auto"/>
                      <w:szCs w:val="21"/>
                    </w:rPr>
                  </w:pPr>
                  <w:r>
                    <w:rPr>
                      <w:rFonts w:hint="eastAsia" w:cs="宋体"/>
                      <w:bCs/>
                      <w:color w:val="auto"/>
                      <w:szCs w:val="21"/>
                    </w:rPr>
                    <w:t>pH</w:t>
                  </w:r>
                </w:p>
              </w:tc>
              <w:tc>
                <w:tcPr>
                  <w:tcW w:w="1364" w:type="dxa"/>
                  <w:vAlign w:val="center"/>
                </w:tcPr>
                <w:p w14:paraId="664F8C50">
                  <w:pPr>
                    <w:adjustRightInd w:val="0"/>
                    <w:snapToGrid w:val="0"/>
                    <w:jc w:val="center"/>
                    <w:rPr>
                      <w:rFonts w:cs="宋体"/>
                      <w:bCs/>
                      <w:color w:val="auto"/>
                      <w:szCs w:val="21"/>
                    </w:rPr>
                  </w:pPr>
                  <w:r>
                    <w:rPr>
                      <w:rFonts w:hint="eastAsia" w:cs="宋体"/>
                      <w:bCs/>
                      <w:color w:val="auto"/>
                      <w:szCs w:val="21"/>
                    </w:rPr>
                    <w:t>1次/12小时</w:t>
                  </w:r>
                </w:p>
              </w:tc>
              <w:tc>
                <w:tcPr>
                  <w:tcW w:w="2343" w:type="dxa"/>
                  <w:vMerge w:val="restart"/>
                  <w:vAlign w:val="center"/>
                </w:tcPr>
                <w:p w14:paraId="14C6B5D4">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076A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03" w:type="dxa"/>
                  <w:vMerge w:val="continue"/>
                  <w:vAlign w:val="center"/>
                </w:tcPr>
                <w:p w14:paraId="21FEB0FC">
                  <w:pPr>
                    <w:adjustRightInd w:val="0"/>
                    <w:snapToGrid w:val="0"/>
                    <w:jc w:val="center"/>
                    <w:rPr>
                      <w:rFonts w:hint="eastAsia" w:ascii="宋体" w:hAnsi="宋体" w:cs="宋体"/>
                      <w:bCs/>
                      <w:color w:val="auto"/>
                      <w:szCs w:val="21"/>
                    </w:rPr>
                  </w:pPr>
                </w:p>
              </w:tc>
              <w:tc>
                <w:tcPr>
                  <w:tcW w:w="1106" w:type="dxa"/>
                  <w:vMerge w:val="continue"/>
                  <w:vAlign w:val="center"/>
                </w:tcPr>
                <w:p w14:paraId="42D86A05">
                  <w:pPr>
                    <w:adjustRightInd w:val="0"/>
                    <w:snapToGrid w:val="0"/>
                    <w:jc w:val="center"/>
                    <w:rPr>
                      <w:rFonts w:cs="宋体"/>
                      <w:bCs/>
                      <w:color w:val="auto"/>
                      <w:szCs w:val="21"/>
                    </w:rPr>
                  </w:pPr>
                </w:p>
              </w:tc>
              <w:tc>
                <w:tcPr>
                  <w:tcW w:w="1301" w:type="dxa"/>
                  <w:vMerge w:val="continue"/>
                  <w:vAlign w:val="center"/>
                </w:tcPr>
                <w:p w14:paraId="03681DAF">
                  <w:pPr>
                    <w:adjustRightInd w:val="0"/>
                    <w:snapToGrid w:val="0"/>
                    <w:jc w:val="center"/>
                    <w:rPr>
                      <w:rFonts w:cs="宋体"/>
                      <w:bCs/>
                      <w:color w:val="auto"/>
                      <w:szCs w:val="21"/>
                    </w:rPr>
                  </w:pPr>
                </w:p>
              </w:tc>
              <w:tc>
                <w:tcPr>
                  <w:tcW w:w="1760" w:type="dxa"/>
                  <w:vAlign w:val="center"/>
                </w:tcPr>
                <w:p w14:paraId="4C476A36">
                  <w:pPr>
                    <w:adjustRightInd w:val="0"/>
                    <w:snapToGrid w:val="0"/>
                    <w:jc w:val="center"/>
                    <w:rPr>
                      <w:rFonts w:cs="宋体"/>
                      <w:bCs/>
                      <w:color w:val="auto"/>
                      <w:szCs w:val="21"/>
                    </w:rPr>
                  </w:pPr>
                  <w:r>
                    <w:rPr>
                      <w:rFonts w:hint="eastAsia" w:cs="宋体"/>
                      <w:bCs/>
                      <w:color w:val="auto"/>
                      <w:szCs w:val="21"/>
                    </w:rPr>
                    <w:t>CODcr、SS</w:t>
                  </w:r>
                </w:p>
              </w:tc>
              <w:tc>
                <w:tcPr>
                  <w:tcW w:w="1364" w:type="dxa"/>
                  <w:vAlign w:val="center"/>
                </w:tcPr>
                <w:p w14:paraId="6AC276D3">
                  <w:pPr>
                    <w:adjustRightInd w:val="0"/>
                    <w:snapToGrid w:val="0"/>
                    <w:jc w:val="center"/>
                    <w:rPr>
                      <w:rFonts w:cs="宋体"/>
                      <w:bCs/>
                      <w:color w:val="auto"/>
                      <w:szCs w:val="21"/>
                    </w:rPr>
                  </w:pPr>
                  <w:r>
                    <w:rPr>
                      <w:rFonts w:hint="eastAsia" w:cs="宋体"/>
                      <w:bCs/>
                      <w:color w:val="auto"/>
                      <w:szCs w:val="21"/>
                    </w:rPr>
                    <w:t>1次/周</w:t>
                  </w:r>
                </w:p>
              </w:tc>
              <w:tc>
                <w:tcPr>
                  <w:tcW w:w="2343" w:type="dxa"/>
                  <w:vMerge w:val="continue"/>
                  <w:vAlign w:val="center"/>
                </w:tcPr>
                <w:p w14:paraId="41557B5B">
                  <w:pPr>
                    <w:widowControl/>
                    <w:jc w:val="center"/>
                    <w:rPr>
                      <w:rFonts w:hint="eastAsia" w:ascii="宋体" w:hAnsi="宋体" w:cs="宋体"/>
                      <w:color w:val="auto"/>
                      <w:kern w:val="0"/>
                      <w:szCs w:val="21"/>
                      <w:lang w:bidi="ar"/>
                    </w:rPr>
                  </w:pPr>
                </w:p>
              </w:tc>
            </w:tr>
            <w:tr w14:paraId="2C0A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03" w:type="dxa"/>
                  <w:vMerge w:val="continue"/>
                  <w:vAlign w:val="center"/>
                </w:tcPr>
                <w:p w14:paraId="1005FE03">
                  <w:pPr>
                    <w:adjustRightInd w:val="0"/>
                    <w:snapToGrid w:val="0"/>
                    <w:jc w:val="center"/>
                    <w:rPr>
                      <w:rFonts w:hint="eastAsia" w:ascii="宋体" w:hAnsi="宋体" w:cs="宋体"/>
                      <w:bCs/>
                      <w:color w:val="auto"/>
                      <w:szCs w:val="21"/>
                    </w:rPr>
                  </w:pPr>
                </w:p>
              </w:tc>
              <w:tc>
                <w:tcPr>
                  <w:tcW w:w="1106" w:type="dxa"/>
                  <w:vMerge w:val="continue"/>
                  <w:vAlign w:val="center"/>
                </w:tcPr>
                <w:p w14:paraId="50EE7FD2">
                  <w:pPr>
                    <w:adjustRightInd w:val="0"/>
                    <w:snapToGrid w:val="0"/>
                    <w:jc w:val="center"/>
                    <w:rPr>
                      <w:rFonts w:cs="宋体"/>
                      <w:bCs/>
                      <w:color w:val="auto"/>
                      <w:szCs w:val="21"/>
                    </w:rPr>
                  </w:pPr>
                </w:p>
              </w:tc>
              <w:tc>
                <w:tcPr>
                  <w:tcW w:w="1301" w:type="dxa"/>
                  <w:vMerge w:val="continue"/>
                  <w:vAlign w:val="center"/>
                </w:tcPr>
                <w:p w14:paraId="68AA871C">
                  <w:pPr>
                    <w:adjustRightInd w:val="0"/>
                    <w:snapToGrid w:val="0"/>
                    <w:jc w:val="center"/>
                    <w:rPr>
                      <w:rFonts w:cs="宋体"/>
                      <w:bCs/>
                      <w:color w:val="auto"/>
                      <w:szCs w:val="21"/>
                    </w:rPr>
                  </w:pPr>
                </w:p>
              </w:tc>
              <w:tc>
                <w:tcPr>
                  <w:tcW w:w="1760" w:type="dxa"/>
                  <w:vAlign w:val="center"/>
                </w:tcPr>
                <w:p w14:paraId="710E259F">
                  <w:pPr>
                    <w:adjustRightInd w:val="0"/>
                    <w:snapToGrid w:val="0"/>
                    <w:jc w:val="center"/>
                    <w:rPr>
                      <w:rFonts w:cs="宋体"/>
                      <w:bCs/>
                      <w:color w:val="auto"/>
                      <w:szCs w:val="21"/>
                    </w:rPr>
                  </w:pPr>
                  <w:r>
                    <w:rPr>
                      <w:rFonts w:hint="eastAsia" w:cs="宋体"/>
                      <w:bCs/>
                      <w:color w:val="auto"/>
                      <w:szCs w:val="21"/>
                    </w:rPr>
                    <w:t>粪大肠菌群</w:t>
                  </w:r>
                </w:p>
              </w:tc>
              <w:tc>
                <w:tcPr>
                  <w:tcW w:w="1364" w:type="dxa"/>
                  <w:vAlign w:val="center"/>
                </w:tcPr>
                <w:p w14:paraId="46C6268B">
                  <w:pPr>
                    <w:adjustRightInd w:val="0"/>
                    <w:snapToGrid w:val="0"/>
                    <w:jc w:val="center"/>
                    <w:rPr>
                      <w:rFonts w:cs="宋体"/>
                      <w:bCs/>
                      <w:color w:val="auto"/>
                      <w:szCs w:val="21"/>
                    </w:rPr>
                  </w:pPr>
                  <w:r>
                    <w:rPr>
                      <w:rFonts w:hint="eastAsia" w:cs="宋体"/>
                      <w:bCs/>
                      <w:color w:val="auto"/>
                      <w:szCs w:val="21"/>
                    </w:rPr>
                    <w:t>1次/月</w:t>
                  </w:r>
                </w:p>
              </w:tc>
              <w:tc>
                <w:tcPr>
                  <w:tcW w:w="2343" w:type="dxa"/>
                  <w:vMerge w:val="continue"/>
                  <w:vAlign w:val="center"/>
                </w:tcPr>
                <w:p w14:paraId="3AC17DFC">
                  <w:pPr>
                    <w:widowControl/>
                    <w:jc w:val="center"/>
                    <w:rPr>
                      <w:rFonts w:hint="eastAsia" w:ascii="宋体" w:hAnsi="宋体" w:cs="宋体"/>
                      <w:color w:val="auto"/>
                      <w:kern w:val="0"/>
                      <w:szCs w:val="21"/>
                      <w:lang w:bidi="ar"/>
                    </w:rPr>
                  </w:pPr>
                </w:p>
              </w:tc>
            </w:tr>
            <w:tr w14:paraId="61D0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003" w:type="dxa"/>
                  <w:vMerge w:val="continue"/>
                  <w:vAlign w:val="center"/>
                </w:tcPr>
                <w:p w14:paraId="3CC1C3FE">
                  <w:pPr>
                    <w:adjustRightInd w:val="0"/>
                    <w:snapToGrid w:val="0"/>
                    <w:jc w:val="center"/>
                    <w:rPr>
                      <w:rFonts w:hint="eastAsia" w:ascii="宋体" w:hAnsi="宋体" w:cs="宋体"/>
                      <w:bCs/>
                      <w:color w:val="auto"/>
                      <w:szCs w:val="21"/>
                    </w:rPr>
                  </w:pPr>
                </w:p>
              </w:tc>
              <w:tc>
                <w:tcPr>
                  <w:tcW w:w="1106" w:type="dxa"/>
                  <w:vMerge w:val="continue"/>
                  <w:vAlign w:val="center"/>
                </w:tcPr>
                <w:p w14:paraId="7088BDBD">
                  <w:pPr>
                    <w:adjustRightInd w:val="0"/>
                    <w:snapToGrid w:val="0"/>
                    <w:jc w:val="center"/>
                    <w:rPr>
                      <w:rFonts w:cs="宋体"/>
                      <w:bCs/>
                      <w:color w:val="auto"/>
                      <w:szCs w:val="21"/>
                    </w:rPr>
                  </w:pPr>
                </w:p>
              </w:tc>
              <w:tc>
                <w:tcPr>
                  <w:tcW w:w="1301" w:type="dxa"/>
                  <w:vMerge w:val="continue"/>
                  <w:vAlign w:val="center"/>
                </w:tcPr>
                <w:p w14:paraId="48E3ED07">
                  <w:pPr>
                    <w:adjustRightInd w:val="0"/>
                    <w:snapToGrid w:val="0"/>
                    <w:jc w:val="center"/>
                    <w:rPr>
                      <w:rFonts w:cs="宋体"/>
                      <w:bCs/>
                      <w:color w:val="auto"/>
                      <w:szCs w:val="21"/>
                    </w:rPr>
                  </w:pPr>
                </w:p>
              </w:tc>
              <w:tc>
                <w:tcPr>
                  <w:tcW w:w="1760" w:type="dxa"/>
                  <w:vAlign w:val="center"/>
                </w:tcPr>
                <w:p w14:paraId="6B08F8A3">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364" w:type="dxa"/>
                  <w:vAlign w:val="center"/>
                </w:tcPr>
                <w:p w14:paraId="52376FE9">
                  <w:pPr>
                    <w:adjustRightInd w:val="0"/>
                    <w:snapToGrid w:val="0"/>
                    <w:jc w:val="center"/>
                    <w:rPr>
                      <w:rFonts w:cs="宋体"/>
                      <w:bCs/>
                      <w:color w:val="auto"/>
                      <w:szCs w:val="21"/>
                    </w:rPr>
                  </w:pPr>
                  <w:r>
                    <w:rPr>
                      <w:rFonts w:hint="eastAsia" w:cs="宋体"/>
                      <w:bCs/>
                      <w:color w:val="auto"/>
                      <w:szCs w:val="21"/>
                    </w:rPr>
                    <w:t>1次/季度</w:t>
                  </w:r>
                </w:p>
              </w:tc>
              <w:tc>
                <w:tcPr>
                  <w:tcW w:w="2343" w:type="dxa"/>
                  <w:vMerge w:val="continue"/>
                  <w:vAlign w:val="center"/>
                </w:tcPr>
                <w:p w14:paraId="33CD30A9">
                  <w:pPr>
                    <w:widowControl/>
                    <w:jc w:val="center"/>
                    <w:rPr>
                      <w:rFonts w:hint="eastAsia" w:ascii="宋体" w:hAnsi="宋体" w:cs="宋体"/>
                      <w:color w:val="auto"/>
                      <w:kern w:val="0"/>
                      <w:szCs w:val="21"/>
                      <w:lang w:bidi="ar"/>
                    </w:rPr>
                  </w:pPr>
                </w:p>
              </w:tc>
            </w:tr>
            <w:tr w14:paraId="126D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03" w:type="dxa"/>
                  <w:vMerge w:val="continue"/>
                  <w:vAlign w:val="center"/>
                </w:tcPr>
                <w:p w14:paraId="1A218480">
                  <w:pPr>
                    <w:adjustRightInd w:val="0"/>
                    <w:snapToGrid w:val="0"/>
                    <w:jc w:val="center"/>
                    <w:rPr>
                      <w:rFonts w:hint="eastAsia" w:ascii="宋体" w:hAnsi="宋体" w:cs="宋体"/>
                      <w:bCs/>
                      <w:color w:val="auto"/>
                      <w:szCs w:val="21"/>
                    </w:rPr>
                  </w:pPr>
                </w:p>
              </w:tc>
              <w:tc>
                <w:tcPr>
                  <w:tcW w:w="1106" w:type="dxa"/>
                  <w:vMerge w:val="continue"/>
                  <w:vAlign w:val="center"/>
                </w:tcPr>
                <w:p w14:paraId="12E4D528">
                  <w:pPr>
                    <w:adjustRightInd w:val="0"/>
                    <w:snapToGrid w:val="0"/>
                    <w:jc w:val="center"/>
                    <w:rPr>
                      <w:rFonts w:cs="宋体"/>
                      <w:bCs/>
                      <w:color w:val="auto"/>
                      <w:szCs w:val="21"/>
                    </w:rPr>
                  </w:pPr>
                </w:p>
              </w:tc>
              <w:tc>
                <w:tcPr>
                  <w:tcW w:w="1301" w:type="dxa"/>
                  <w:vMerge w:val="continue"/>
                  <w:vAlign w:val="center"/>
                </w:tcPr>
                <w:p w14:paraId="6FD20AEA">
                  <w:pPr>
                    <w:adjustRightInd w:val="0"/>
                    <w:snapToGrid w:val="0"/>
                    <w:jc w:val="center"/>
                    <w:rPr>
                      <w:rFonts w:cs="宋体"/>
                      <w:bCs/>
                      <w:color w:val="auto"/>
                      <w:szCs w:val="21"/>
                    </w:rPr>
                  </w:pPr>
                </w:p>
              </w:tc>
              <w:tc>
                <w:tcPr>
                  <w:tcW w:w="1760" w:type="dxa"/>
                  <w:vAlign w:val="center"/>
                </w:tcPr>
                <w:p w14:paraId="67F9935D">
                  <w:pPr>
                    <w:adjustRightInd w:val="0"/>
                    <w:snapToGrid w:val="0"/>
                    <w:jc w:val="center"/>
                    <w:rPr>
                      <w:rFonts w:cs="宋体"/>
                      <w:bCs/>
                      <w:color w:val="auto"/>
                      <w:szCs w:val="21"/>
                    </w:rPr>
                  </w:pPr>
                  <w:r>
                    <w:rPr>
                      <w:rFonts w:hint="eastAsia" w:cs="宋体"/>
                      <w:bCs/>
                      <w:color w:val="auto"/>
                      <w:szCs w:val="21"/>
                    </w:rPr>
                    <w:t>流量</w:t>
                  </w:r>
                </w:p>
              </w:tc>
              <w:tc>
                <w:tcPr>
                  <w:tcW w:w="1364" w:type="dxa"/>
                  <w:vAlign w:val="center"/>
                </w:tcPr>
                <w:p w14:paraId="6C974766">
                  <w:pPr>
                    <w:adjustRightInd w:val="0"/>
                    <w:snapToGrid w:val="0"/>
                    <w:jc w:val="center"/>
                    <w:rPr>
                      <w:rFonts w:cs="宋体"/>
                      <w:bCs/>
                      <w:color w:val="auto"/>
                      <w:szCs w:val="21"/>
                    </w:rPr>
                  </w:pPr>
                  <w:r>
                    <w:rPr>
                      <w:rFonts w:hint="eastAsia" w:cs="宋体"/>
                      <w:bCs/>
                      <w:color w:val="auto"/>
                      <w:szCs w:val="21"/>
                    </w:rPr>
                    <w:t>自动监测</w:t>
                  </w:r>
                </w:p>
              </w:tc>
              <w:tc>
                <w:tcPr>
                  <w:tcW w:w="2343" w:type="dxa"/>
                  <w:vMerge w:val="continue"/>
                  <w:vAlign w:val="center"/>
                </w:tcPr>
                <w:p w14:paraId="029B147C">
                  <w:pPr>
                    <w:widowControl/>
                    <w:jc w:val="center"/>
                    <w:rPr>
                      <w:rFonts w:hint="eastAsia" w:ascii="宋体" w:hAnsi="宋体" w:cs="宋体"/>
                      <w:color w:val="auto"/>
                      <w:kern w:val="0"/>
                      <w:szCs w:val="21"/>
                      <w:lang w:bidi="ar"/>
                    </w:rPr>
                  </w:pPr>
                </w:p>
              </w:tc>
            </w:tr>
            <w:tr w14:paraId="2D99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3" w:type="dxa"/>
                  <w:vMerge w:val="continue"/>
                  <w:vAlign w:val="center"/>
                </w:tcPr>
                <w:p w14:paraId="0064205A">
                  <w:pPr>
                    <w:adjustRightInd w:val="0"/>
                    <w:snapToGrid w:val="0"/>
                    <w:jc w:val="center"/>
                    <w:rPr>
                      <w:rFonts w:hint="eastAsia" w:ascii="宋体" w:hAnsi="宋体" w:cs="宋体"/>
                      <w:bCs/>
                      <w:color w:val="auto"/>
                      <w:szCs w:val="21"/>
                    </w:rPr>
                  </w:pPr>
                </w:p>
              </w:tc>
              <w:tc>
                <w:tcPr>
                  <w:tcW w:w="1106" w:type="dxa"/>
                  <w:vMerge w:val="continue"/>
                  <w:vAlign w:val="center"/>
                </w:tcPr>
                <w:p w14:paraId="1C39BB91">
                  <w:pPr>
                    <w:adjustRightInd w:val="0"/>
                    <w:snapToGrid w:val="0"/>
                    <w:jc w:val="center"/>
                    <w:rPr>
                      <w:rFonts w:cs="宋体"/>
                      <w:bCs/>
                      <w:color w:val="auto"/>
                      <w:szCs w:val="21"/>
                    </w:rPr>
                  </w:pPr>
                </w:p>
              </w:tc>
              <w:tc>
                <w:tcPr>
                  <w:tcW w:w="1301" w:type="dxa"/>
                  <w:vAlign w:val="center"/>
                </w:tcPr>
                <w:p w14:paraId="6DDD7D38">
                  <w:pPr>
                    <w:adjustRightInd w:val="0"/>
                    <w:snapToGrid w:val="0"/>
                    <w:jc w:val="center"/>
                    <w:rPr>
                      <w:rFonts w:cs="宋体"/>
                      <w:bCs/>
                      <w:color w:val="auto"/>
                      <w:szCs w:val="21"/>
                    </w:rPr>
                  </w:pPr>
                  <w:r>
                    <w:rPr>
                      <w:rFonts w:hint="eastAsia"/>
                      <w:bCs/>
                      <w:color w:val="auto"/>
                      <w:szCs w:val="21"/>
                    </w:rPr>
                    <w:t>接触池出口</w:t>
                  </w:r>
                </w:p>
              </w:tc>
              <w:tc>
                <w:tcPr>
                  <w:tcW w:w="1760" w:type="dxa"/>
                  <w:vAlign w:val="center"/>
                </w:tcPr>
                <w:p w14:paraId="6519C9DF">
                  <w:pPr>
                    <w:widowControl/>
                    <w:jc w:val="center"/>
                    <w:rPr>
                      <w:rFonts w:cs="宋体"/>
                      <w:bCs/>
                      <w:color w:val="auto"/>
                      <w:szCs w:val="21"/>
                    </w:rPr>
                  </w:pPr>
                  <w:r>
                    <w:rPr>
                      <w:color w:val="auto"/>
                      <w:kern w:val="0"/>
                      <w:szCs w:val="21"/>
                      <w:lang w:bidi="ar"/>
                    </w:rPr>
                    <w:t>总余氯</w:t>
                  </w:r>
                </w:p>
              </w:tc>
              <w:tc>
                <w:tcPr>
                  <w:tcW w:w="1364" w:type="dxa"/>
                  <w:vAlign w:val="center"/>
                </w:tcPr>
                <w:p w14:paraId="29626C05">
                  <w:pPr>
                    <w:jc w:val="center"/>
                    <w:rPr>
                      <w:rFonts w:cs="宋体"/>
                      <w:bCs/>
                      <w:color w:val="auto"/>
                      <w:szCs w:val="21"/>
                    </w:rPr>
                  </w:pPr>
                  <w:r>
                    <w:rPr>
                      <w:rFonts w:hint="eastAsia"/>
                      <w:bCs/>
                      <w:color w:val="auto"/>
                      <w:szCs w:val="21"/>
                    </w:rPr>
                    <w:t>1次/12小时</w:t>
                  </w:r>
                </w:p>
              </w:tc>
              <w:tc>
                <w:tcPr>
                  <w:tcW w:w="2343" w:type="dxa"/>
                  <w:vMerge w:val="continue"/>
                  <w:vAlign w:val="center"/>
                </w:tcPr>
                <w:p w14:paraId="3FD6C6E5">
                  <w:pPr>
                    <w:widowControl/>
                    <w:jc w:val="center"/>
                    <w:rPr>
                      <w:rFonts w:hint="eastAsia" w:ascii="宋体" w:hAnsi="宋体" w:cs="宋体"/>
                      <w:color w:val="auto"/>
                      <w:kern w:val="0"/>
                      <w:szCs w:val="21"/>
                      <w:lang w:bidi="ar"/>
                    </w:rPr>
                  </w:pPr>
                </w:p>
              </w:tc>
            </w:tr>
            <w:tr w14:paraId="3858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003" w:type="dxa"/>
                  <w:vMerge w:val="continue"/>
                  <w:vAlign w:val="center"/>
                </w:tcPr>
                <w:p w14:paraId="6567D951">
                  <w:pPr>
                    <w:adjustRightInd w:val="0"/>
                    <w:snapToGrid w:val="0"/>
                    <w:jc w:val="center"/>
                    <w:rPr>
                      <w:rFonts w:hint="eastAsia" w:ascii="宋体" w:hAnsi="宋体" w:cs="宋体"/>
                      <w:bCs/>
                      <w:color w:val="auto"/>
                      <w:szCs w:val="21"/>
                    </w:rPr>
                  </w:pPr>
                </w:p>
              </w:tc>
              <w:tc>
                <w:tcPr>
                  <w:tcW w:w="1106" w:type="dxa"/>
                  <w:vAlign w:val="center"/>
                </w:tcPr>
                <w:p w14:paraId="5C08EFEF">
                  <w:pPr>
                    <w:adjustRightInd w:val="0"/>
                    <w:snapToGrid w:val="0"/>
                    <w:jc w:val="center"/>
                    <w:rPr>
                      <w:rFonts w:cs="宋体"/>
                      <w:bCs/>
                      <w:color w:val="auto"/>
                      <w:szCs w:val="21"/>
                    </w:rPr>
                  </w:pPr>
                  <w:r>
                    <w:rPr>
                      <w:rFonts w:hint="eastAsia" w:cs="宋体"/>
                      <w:bCs/>
                      <w:color w:val="auto"/>
                      <w:szCs w:val="21"/>
                    </w:rPr>
                    <w:t>员工生活区生活污水排放口</w:t>
                  </w:r>
                </w:p>
              </w:tc>
              <w:tc>
                <w:tcPr>
                  <w:tcW w:w="1301" w:type="dxa"/>
                  <w:vAlign w:val="center"/>
                </w:tcPr>
                <w:p w14:paraId="5DE99929">
                  <w:pPr>
                    <w:adjustRightInd w:val="0"/>
                    <w:snapToGrid w:val="0"/>
                    <w:jc w:val="center"/>
                    <w:rPr>
                      <w:rFonts w:cs="宋体"/>
                      <w:bCs/>
                      <w:color w:val="auto"/>
                      <w:szCs w:val="21"/>
                    </w:rPr>
                  </w:pPr>
                  <w:r>
                    <w:rPr>
                      <w:rFonts w:hint="eastAsia" w:cs="宋体"/>
                      <w:bCs/>
                      <w:color w:val="auto"/>
                      <w:szCs w:val="21"/>
                    </w:rPr>
                    <w:t>生活区总排口（DW002）</w:t>
                  </w:r>
                </w:p>
              </w:tc>
              <w:tc>
                <w:tcPr>
                  <w:tcW w:w="1760" w:type="dxa"/>
                  <w:vAlign w:val="center"/>
                </w:tcPr>
                <w:p w14:paraId="65A5A4F7">
                  <w:pPr>
                    <w:pStyle w:val="11"/>
                    <w:rPr>
                      <w:rFonts w:cs="宋体"/>
                      <w:bCs/>
                      <w:color w:val="auto"/>
                      <w:sz w:val="21"/>
                      <w:szCs w:val="21"/>
                    </w:rPr>
                  </w:pPr>
                  <w:r>
                    <w:rPr>
                      <w:rFonts w:hint="eastAsia" w:cs="宋体"/>
                      <w:bCs/>
                      <w:color w:val="auto"/>
                      <w:sz w:val="21"/>
                      <w:szCs w:val="21"/>
                    </w:rPr>
                    <w:t>pH、CODcr、SS、BOD</w:t>
                  </w:r>
                  <w:r>
                    <w:rPr>
                      <w:rFonts w:hint="eastAsia" w:cs="宋体"/>
                      <w:bCs/>
                      <w:color w:val="auto"/>
                      <w:sz w:val="21"/>
                      <w:szCs w:val="21"/>
                      <w:vertAlign w:val="subscript"/>
                    </w:rPr>
                    <w:t>5</w:t>
                  </w:r>
                  <w:r>
                    <w:rPr>
                      <w:rFonts w:hint="eastAsia" w:cs="宋体"/>
                      <w:bCs/>
                      <w:color w:val="auto"/>
                      <w:sz w:val="21"/>
                      <w:szCs w:val="21"/>
                    </w:rPr>
                    <w:t>、氨氮、</w:t>
                  </w:r>
                  <w:r>
                    <w:rPr>
                      <w:rFonts w:hint="eastAsia"/>
                      <w:color w:val="auto"/>
                      <w:sz w:val="21"/>
                      <w:szCs w:val="21"/>
                    </w:rPr>
                    <w:t>动植物油、SS</w:t>
                  </w:r>
                </w:p>
              </w:tc>
              <w:tc>
                <w:tcPr>
                  <w:tcW w:w="1364" w:type="dxa"/>
                  <w:vAlign w:val="center"/>
                </w:tcPr>
                <w:p w14:paraId="1EB6873A">
                  <w:pPr>
                    <w:adjustRightInd w:val="0"/>
                    <w:snapToGrid w:val="0"/>
                    <w:jc w:val="center"/>
                    <w:rPr>
                      <w:rFonts w:cs="宋体"/>
                      <w:bCs/>
                      <w:color w:val="auto"/>
                      <w:szCs w:val="21"/>
                    </w:rPr>
                  </w:pPr>
                  <w:r>
                    <w:rPr>
                      <w:rFonts w:hint="eastAsia" w:cs="宋体"/>
                      <w:bCs/>
                      <w:color w:val="auto"/>
                      <w:szCs w:val="21"/>
                    </w:rPr>
                    <w:t>1次/年</w:t>
                  </w:r>
                </w:p>
              </w:tc>
              <w:tc>
                <w:tcPr>
                  <w:tcW w:w="2343" w:type="dxa"/>
                  <w:vAlign w:val="center"/>
                </w:tcPr>
                <w:p w14:paraId="5B6E7A56">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0C8A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003" w:type="dxa"/>
                  <w:vMerge w:val="restart"/>
                  <w:vAlign w:val="center"/>
                </w:tcPr>
                <w:p w14:paraId="24F40E0E">
                  <w:pPr>
                    <w:adjustRightInd w:val="0"/>
                    <w:snapToGrid w:val="0"/>
                    <w:jc w:val="center"/>
                    <w:rPr>
                      <w:rFonts w:hint="eastAsia" w:ascii="宋体" w:hAnsi="宋体" w:cs="宋体"/>
                      <w:bCs/>
                      <w:color w:val="auto"/>
                      <w:szCs w:val="21"/>
                    </w:rPr>
                  </w:pPr>
                  <w:r>
                    <w:rPr>
                      <w:rFonts w:hint="eastAsia" w:ascii="宋体" w:hAnsi="宋体" w:cs="宋体"/>
                      <w:bCs/>
                      <w:color w:val="auto"/>
                      <w:szCs w:val="21"/>
                    </w:rPr>
                    <w:t>九龙卫生院</w:t>
                  </w:r>
                </w:p>
              </w:tc>
              <w:tc>
                <w:tcPr>
                  <w:tcW w:w="1106" w:type="dxa"/>
                  <w:vMerge w:val="restart"/>
                  <w:vAlign w:val="center"/>
                </w:tcPr>
                <w:p w14:paraId="41CBE688">
                  <w:pPr>
                    <w:adjustRightInd w:val="0"/>
                    <w:snapToGrid w:val="0"/>
                    <w:jc w:val="center"/>
                    <w:rPr>
                      <w:rFonts w:cs="宋体"/>
                      <w:bCs/>
                      <w:color w:val="auto"/>
                      <w:szCs w:val="21"/>
                    </w:rPr>
                  </w:pPr>
                  <w:r>
                    <w:rPr>
                      <w:rFonts w:hint="eastAsia" w:cs="宋体"/>
                      <w:bCs/>
                      <w:color w:val="auto"/>
                      <w:szCs w:val="21"/>
                    </w:rPr>
                    <w:t>四街卫生院废水排放口</w:t>
                  </w:r>
                </w:p>
              </w:tc>
              <w:tc>
                <w:tcPr>
                  <w:tcW w:w="1301" w:type="dxa"/>
                  <w:vMerge w:val="restart"/>
                  <w:vAlign w:val="center"/>
                </w:tcPr>
                <w:p w14:paraId="4657D921">
                  <w:pPr>
                    <w:adjustRightInd w:val="0"/>
                    <w:snapToGrid w:val="0"/>
                    <w:jc w:val="center"/>
                    <w:rPr>
                      <w:rFonts w:cs="宋体"/>
                      <w:bCs/>
                      <w:color w:val="auto"/>
                      <w:szCs w:val="21"/>
                    </w:rPr>
                  </w:pPr>
                  <w:r>
                    <w:rPr>
                      <w:rFonts w:hint="eastAsia" w:cs="宋体"/>
                      <w:bCs/>
                      <w:color w:val="auto"/>
                      <w:szCs w:val="21"/>
                    </w:rPr>
                    <w:t>污水处理站排放口（DW001）</w:t>
                  </w:r>
                </w:p>
              </w:tc>
              <w:tc>
                <w:tcPr>
                  <w:tcW w:w="1760" w:type="dxa"/>
                  <w:vAlign w:val="center"/>
                </w:tcPr>
                <w:p w14:paraId="3331AC25">
                  <w:pPr>
                    <w:adjustRightInd w:val="0"/>
                    <w:snapToGrid w:val="0"/>
                    <w:jc w:val="center"/>
                    <w:rPr>
                      <w:rFonts w:cs="宋体"/>
                      <w:bCs/>
                      <w:color w:val="auto"/>
                      <w:szCs w:val="21"/>
                    </w:rPr>
                  </w:pPr>
                  <w:r>
                    <w:rPr>
                      <w:rFonts w:hint="eastAsia" w:cs="宋体"/>
                      <w:bCs/>
                      <w:color w:val="auto"/>
                      <w:szCs w:val="21"/>
                    </w:rPr>
                    <w:t>pH</w:t>
                  </w:r>
                </w:p>
              </w:tc>
              <w:tc>
                <w:tcPr>
                  <w:tcW w:w="1364" w:type="dxa"/>
                  <w:vAlign w:val="center"/>
                </w:tcPr>
                <w:p w14:paraId="13A5C32A">
                  <w:pPr>
                    <w:adjustRightInd w:val="0"/>
                    <w:snapToGrid w:val="0"/>
                    <w:jc w:val="center"/>
                    <w:rPr>
                      <w:rFonts w:cs="宋体"/>
                      <w:bCs/>
                      <w:color w:val="auto"/>
                      <w:szCs w:val="21"/>
                    </w:rPr>
                  </w:pPr>
                  <w:r>
                    <w:rPr>
                      <w:rFonts w:hint="eastAsia" w:cs="宋体"/>
                      <w:bCs/>
                      <w:color w:val="auto"/>
                      <w:szCs w:val="21"/>
                    </w:rPr>
                    <w:t>1次/12小时</w:t>
                  </w:r>
                </w:p>
              </w:tc>
              <w:tc>
                <w:tcPr>
                  <w:tcW w:w="2343" w:type="dxa"/>
                  <w:vMerge w:val="restart"/>
                  <w:vAlign w:val="center"/>
                </w:tcPr>
                <w:p w14:paraId="593CCCD1">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20D1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30ECF07F">
                  <w:pPr>
                    <w:adjustRightInd w:val="0"/>
                    <w:snapToGrid w:val="0"/>
                    <w:jc w:val="center"/>
                    <w:rPr>
                      <w:rFonts w:hint="eastAsia" w:ascii="宋体" w:hAnsi="宋体" w:cs="宋体"/>
                      <w:bCs/>
                      <w:color w:val="auto"/>
                      <w:szCs w:val="21"/>
                    </w:rPr>
                  </w:pPr>
                </w:p>
              </w:tc>
              <w:tc>
                <w:tcPr>
                  <w:tcW w:w="1106" w:type="dxa"/>
                  <w:vMerge w:val="continue"/>
                  <w:vAlign w:val="center"/>
                </w:tcPr>
                <w:p w14:paraId="0CD30025">
                  <w:pPr>
                    <w:adjustRightInd w:val="0"/>
                    <w:snapToGrid w:val="0"/>
                    <w:jc w:val="center"/>
                    <w:rPr>
                      <w:rFonts w:cs="宋体"/>
                      <w:bCs/>
                      <w:color w:val="auto"/>
                      <w:szCs w:val="21"/>
                    </w:rPr>
                  </w:pPr>
                </w:p>
              </w:tc>
              <w:tc>
                <w:tcPr>
                  <w:tcW w:w="1301" w:type="dxa"/>
                  <w:vMerge w:val="continue"/>
                  <w:vAlign w:val="center"/>
                </w:tcPr>
                <w:p w14:paraId="15B95446">
                  <w:pPr>
                    <w:adjustRightInd w:val="0"/>
                    <w:snapToGrid w:val="0"/>
                    <w:jc w:val="center"/>
                    <w:rPr>
                      <w:rFonts w:cs="宋体"/>
                      <w:bCs/>
                      <w:color w:val="auto"/>
                      <w:szCs w:val="21"/>
                    </w:rPr>
                  </w:pPr>
                </w:p>
              </w:tc>
              <w:tc>
                <w:tcPr>
                  <w:tcW w:w="1760" w:type="dxa"/>
                  <w:vAlign w:val="center"/>
                </w:tcPr>
                <w:p w14:paraId="01E2CA30">
                  <w:pPr>
                    <w:adjustRightInd w:val="0"/>
                    <w:snapToGrid w:val="0"/>
                    <w:jc w:val="center"/>
                    <w:rPr>
                      <w:rFonts w:cs="宋体"/>
                      <w:bCs/>
                      <w:color w:val="auto"/>
                      <w:szCs w:val="21"/>
                    </w:rPr>
                  </w:pPr>
                  <w:r>
                    <w:rPr>
                      <w:rFonts w:hint="eastAsia" w:cs="宋体"/>
                      <w:bCs/>
                      <w:color w:val="auto"/>
                      <w:szCs w:val="21"/>
                    </w:rPr>
                    <w:t>CODcr、SS</w:t>
                  </w:r>
                </w:p>
              </w:tc>
              <w:tc>
                <w:tcPr>
                  <w:tcW w:w="1364" w:type="dxa"/>
                  <w:vAlign w:val="center"/>
                </w:tcPr>
                <w:p w14:paraId="74735539">
                  <w:pPr>
                    <w:adjustRightInd w:val="0"/>
                    <w:snapToGrid w:val="0"/>
                    <w:jc w:val="center"/>
                    <w:rPr>
                      <w:rFonts w:cs="宋体"/>
                      <w:bCs/>
                      <w:color w:val="auto"/>
                      <w:szCs w:val="21"/>
                    </w:rPr>
                  </w:pPr>
                  <w:r>
                    <w:rPr>
                      <w:rFonts w:hint="eastAsia" w:cs="宋体"/>
                      <w:bCs/>
                      <w:color w:val="auto"/>
                      <w:szCs w:val="21"/>
                    </w:rPr>
                    <w:t>1次/周</w:t>
                  </w:r>
                </w:p>
              </w:tc>
              <w:tc>
                <w:tcPr>
                  <w:tcW w:w="2343" w:type="dxa"/>
                  <w:vMerge w:val="continue"/>
                  <w:vAlign w:val="center"/>
                </w:tcPr>
                <w:p w14:paraId="079957FC">
                  <w:pPr>
                    <w:widowControl/>
                    <w:jc w:val="center"/>
                    <w:rPr>
                      <w:rFonts w:hint="eastAsia" w:ascii="宋体" w:hAnsi="宋体" w:cs="宋体"/>
                      <w:color w:val="auto"/>
                      <w:kern w:val="0"/>
                      <w:szCs w:val="21"/>
                      <w:lang w:bidi="ar"/>
                    </w:rPr>
                  </w:pPr>
                </w:p>
              </w:tc>
            </w:tr>
            <w:tr w14:paraId="16DA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1014BD33">
                  <w:pPr>
                    <w:adjustRightInd w:val="0"/>
                    <w:snapToGrid w:val="0"/>
                    <w:jc w:val="center"/>
                    <w:rPr>
                      <w:rFonts w:hint="eastAsia" w:ascii="宋体" w:hAnsi="宋体" w:cs="宋体"/>
                      <w:bCs/>
                      <w:color w:val="auto"/>
                      <w:szCs w:val="21"/>
                    </w:rPr>
                  </w:pPr>
                </w:p>
              </w:tc>
              <w:tc>
                <w:tcPr>
                  <w:tcW w:w="1106" w:type="dxa"/>
                  <w:vMerge w:val="continue"/>
                  <w:vAlign w:val="center"/>
                </w:tcPr>
                <w:p w14:paraId="06AB05A7">
                  <w:pPr>
                    <w:adjustRightInd w:val="0"/>
                    <w:snapToGrid w:val="0"/>
                    <w:jc w:val="center"/>
                    <w:rPr>
                      <w:rFonts w:cs="宋体"/>
                      <w:bCs/>
                      <w:color w:val="auto"/>
                      <w:szCs w:val="21"/>
                    </w:rPr>
                  </w:pPr>
                </w:p>
              </w:tc>
              <w:tc>
                <w:tcPr>
                  <w:tcW w:w="1301" w:type="dxa"/>
                  <w:vMerge w:val="continue"/>
                  <w:vAlign w:val="center"/>
                </w:tcPr>
                <w:p w14:paraId="6A048D04">
                  <w:pPr>
                    <w:adjustRightInd w:val="0"/>
                    <w:snapToGrid w:val="0"/>
                    <w:jc w:val="center"/>
                    <w:rPr>
                      <w:rFonts w:cs="宋体"/>
                      <w:bCs/>
                      <w:color w:val="auto"/>
                      <w:szCs w:val="21"/>
                    </w:rPr>
                  </w:pPr>
                </w:p>
              </w:tc>
              <w:tc>
                <w:tcPr>
                  <w:tcW w:w="1760" w:type="dxa"/>
                  <w:vAlign w:val="center"/>
                </w:tcPr>
                <w:p w14:paraId="4BA2B8E1">
                  <w:pPr>
                    <w:adjustRightInd w:val="0"/>
                    <w:snapToGrid w:val="0"/>
                    <w:jc w:val="center"/>
                    <w:rPr>
                      <w:rFonts w:cs="宋体"/>
                      <w:bCs/>
                      <w:color w:val="auto"/>
                      <w:szCs w:val="21"/>
                    </w:rPr>
                  </w:pPr>
                  <w:r>
                    <w:rPr>
                      <w:rFonts w:hint="eastAsia" w:cs="宋体"/>
                      <w:bCs/>
                      <w:color w:val="auto"/>
                      <w:szCs w:val="21"/>
                    </w:rPr>
                    <w:t>粪大肠菌群</w:t>
                  </w:r>
                </w:p>
              </w:tc>
              <w:tc>
                <w:tcPr>
                  <w:tcW w:w="1364" w:type="dxa"/>
                  <w:vAlign w:val="center"/>
                </w:tcPr>
                <w:p w14:paraId="3C9B7531">
                  <w:pPr>
                    <w:adjustRightInd w:val="0"/>
                    <w:snapToGrid w:val="0"/>
                    <w:jc w:val="center"/>
                    <w:rPr>
                      <w:rFonts w:cs="宋体"/>
                      <w:bCs/>
                      <w:color w:val="auto"/>
                      <w:szCs w:val="21"/>
                    </w:rPr>
                  </w:pPr>
                  <w:r>
                    <w:rPr>
                      <w:rFonts w:hint="eastAsia" w:cs="宋体"/>
                      <w:bCs/>
                      <w:color w:val="auto"/>
                      <w:szCs w:val="21"/>
                    </w:rPr>
                    <w:t>1次/月</w:t>
                  </w:r>
                </w:p>
              </w:tc>
              <w:tc>
                <w:tcPr>
                  <w:tcW w:w="2343" w:type="dxa"/>
                  <w:vMerge w:val="continue"/>
                  <w:vAlign w:val="center"/>
                </w:tcPr>
                <w:p w14:paraId="32EBB065">
                  <w:pPr>
                    <w:widowControl/>
                    <w:jc w:val="center"/>
                    <w:rPr>
                      <w:rFonts w:hint="eastAsia" w:ascii="宋体" w:hAnsi="宋体" w:cs="宋体"/>
                      <w:color w:val="auto"/>
                      <w:kern w:val="0"/>
                      <w:szCs w:val="21"/>
                      <w:lang w:bidi="ar"/>
                    </w:rPr>
                  </w:pPr>
                </w:p>
              </w:tc>
            </w:tr>
            <w:tr w14:paraId="2D92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63E27AEB">
                  <w:pPr>
                    <w:adjustRightInd w:val="0"/>
                    <w:snapToGrid w:val="0"/>
                    <w:jc w:val="center"/>
                    <w:rPr>
                      <w:rFonts w:hint="eastAsia" w:ascii="宋体" w:hAnsi="宋体" w:cs="宋体"/>
                      <w:bCs/>
                      <w:color w:val="auto"/>
                      <w:szCs w:val="21"/>
                    </w:rPr>
                  </w:pPr>
                </w:p>
              </w:tc>
              <w:tc>
                <w:tcPr>
                  <w:tcW w:w="1106" w:type="dxa"/>
                  <w:vMerge w:val="continue"/>
                  <w:vAlign w:val="center"/>
                </w:tcPr>
                <w:p w14:paraId="029272B9">
                  <w:pPr>
                    <w:adjustRightInd w:val="0"/>
                    <w:snapToGrid w:val="0"/>
                    <w:jc w:val="center"/>
                    <w:rPr>
                      <w:rFonts w:cs="宋体"/>
                      <w:bCs/>
                      <w:color w:val="auto"/>
                      <w:szCs w:val="21"/>
                    </w:rPr>
                  </w:pPr>
                </w:p>
              </w:tc>
              <w:tc>
                <w:tcPr>
                  <w:tcW w:w="1301" w:type="dxa"/>
                  <w:vMerge w:val="continue"/>
                  <w:vAlign w:val="center"/>
                </w:tcPr>
                <w:p w14:paraId="4747E585">
                  <w:pPr>
                    <w:adjustRightInd w:val="0"/>
                    <w:snapToGrid w:val="0"/>
                    <w:jc w:val="center"/>
                    <w:rPr>
                      <w:rFonts w:cs="宋体"/>
                      <w:bCs/>
                      <w:color w:val="auto"/>
                      <w:szCs w:val="21"/>
                    </w:rPr>
                  </w:pPr>
                </w:p>
              </w:tc>
              <w:tc>
                <w:tcPr>
                  <w:tcW w:w="1760" w:type="dxa"/>
                  <w:vAlign w:val="center"/>
                </w:tcPr>
                <w:p w14:paraId="2C3CEFA5">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364" w:type="dxa"/>
                  <w:vAlign w:val="center"/>
                </w:tcPr>
                <w:p w14:paraId="38C24CA2">
                  <w:pPr>
                    <w:adjustRightInd w:val="0"/>
                    <w:snapToGrid w:val="0"/>
                    <w:jc w:val="center"/>
                    <w:rPr>
                      <w:rFonts w:cs="宋体"/>
                      <w:bCs/>
                      <w:color w:val="auto"/>
                      <w:szCs w:val="21"/>
                    </w:rPr>
                  </w:pPr>
                  <w:r>
                    <w:rPr>
                      <w:rFonts w:hint="eastAsia" w:cs="宋体"/>
                      <w:bCs/>
                      <w:color w:val="auto"/>
                      <w:szCs w:val="21"/>
                    </w:rPr>
                    <w:t>1次/季度</w:t>
                  </w:r>
                </w:p>
              </w:tc>
              <w:tc>
                <w:tcPr>
                  <w:tcW w:w="2343" w:type="dxa"/>
                  <w:vMerge w:val="continue"/>
                  <w:vAlign w:val="center"/>
                </w:tcPr>
                <w:p w14:paraId="1102A577">
                  <w:pPr>
                    <w:widowControl/>
                    <w:jc w:val="center"/>
                    <w:rPr>
                      <w:rFonts w:hint="eastAsia" w:ascii="宋体" w:hAnsi="宋体" w:cs="宋体"/>
                      <w:color w:val="auto"/>
                      <w:kern w:val="0"/>
                      <w:szCs w:val="21"/>
                      <w:lang w:bidi="ar"/>
                    </w:rPr>
                  </w:pPr>
                </w:p>
              </w:tc>
            </w:tr>
            <w:tr w14:paraId="7803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6A1426BD">
                  <w:pPr>
                    <w:adjustRightInd w:val="0"/>
                    <w:snapToGrid w:val="0"/>
                    <w:jc w:val="center"/>
                    <w:rPr>
                      <w:rFonts w:hint="eastAsia" w:ascii="宋体" w:hAnsi="宋体" w:cs="宋体"/>
                      <w:bCs/>
                      <w:color w:val="auto"/>
                      <w:szCs w:val="21"/>
                    </w:rPr>
                  </w:pPr>
                </w:p>
              </w:tc>
              <w:tc>
                <w:tcPr>
                  <w:tcW w:w="1106" w:type="dxa"/>
                  <w:vMerge w:val="continue"/>
                  <w:vAlign w:val="center"/>
                </w:tcPr>
                <w:p w14:paraId="221F1434">
                  <w:pPr>
                    <w:adjustRightInd w:val="0"/>
                    <w:snapToGrid w:val="0"/>
                    <w:jc w:val="center"/>
                    <w:rPr>
                      <w:rFonts w:cs="宋体"/>
                      <w:bCs/>
                      <w:color w:val="auto"/>
                      <w:szCs w:val="21"/>
                    </w:rPr>
                  </w:pPr>
                </w:p>
              </w:tc>
              <w:tc>
                <w:tcPr>
                  <w:tcW w:w="1301" w:type="dxa"/>
                  <w:vMerge w:val="continue"/>
                  <w:vAlign w:val="center"/>
                </w:tcPr>
                <w:p w14:paraId="1D56C5D1">
                  <w:pPr>
                    <w:adjustRightInd w:val="0"/>
                    <w:snapToGrid w:val="0"/>
                    <w:jc w:val="center"/>
                    <w:rPr>
                      <w:rFonts w:cs="宋体"/>
                      <w:bCs/>
                      <w:color w:val="auto"/>
                      <w:szCs w:val="21"/>
                    </w:rPr>
                  </w:pPr>
                </w:p>
              </w:tc>
              <w:tc>
                <w:tcPr>
                  <w:tcW w:w="1760" w:type="dxa"/>
                  <w:vAlign w:val="center"/>
                </w:tcPr>
                <w:p w14:paraId="24EF9BE0">
                  <w:pPr>
                    <w:adjustRightInd w:val="0"/>
                    <w:snapToGrid w:val="0"/>
                    <w:jc w:val="center"/>
                    <w:rPr>
                      <w:rFonts w:cs="宋体"/>
                      <w:bCs/>
                      <w:color w:val="auto"/>
                      <w:szCs w:val="21"/>
                    </w:rPr>
                  </w:pPr>
                  <w:r>
                    <w:rPr>
                      <w:rFonts w:hint="eastAsia" w:cs="宋体"/>
                      <w:bCs/>
                      <w:color w:val="auto"/>
                      <w:szCs w:val="21"/>
                    </w:rPr>
                    <w:t>流量</w:t>
                  </w:r>
                </w:p>
              </w:tc>
              <w:tc>
                <w:tcPr>
                  <w:tcW w:w="1364" w:type="dxa"/>
                  <w:vAlign w:val="center"/>
                </w:tcPr>
                <w:p w14:paraId="173B95A7">
                  <w:pPr>
                    <w:adjustRightInd w:val="0"/>
                    <w:snapToGrid w:val="0"/>
                    <w:jc w:val="center"/>
                    <w:rPr>
                      <w:rFonts w:cs="宋体"/>
                      <w:bCs/>
                      <w:color w:val="auto"/>
                      <w:szCs w:val="21"/>
                    </w:rPr>
                  </w:pPr>
                  <w:r>
                    <w:rPr>
                      <w:rFonts w:hint="eastAsia" w:cs="宋体"/>
                      <w:bCs/>
                      <w:color w:val="auto"/>
                      <w:szCs w:val="21"/>
                    </w:rPr>
                    <w:t>自动监测</w:t>
                  </w:r>
                </w:p>
              </w:tc>
              <w:tc>
                <w:tcPr>
                  <w:tcW w:w="2343" w:type="dxa"/>
                  <w:vMerge w:val="continue"/>
                  <w:vAlign w:val="center"/>
                </w:tcPr>
                <w:p w14:paraId="63E8E0C3">
                  <w:pPr>
                    <w:widowControl/>
                    <w:jc w:val="center"/>
                    <w:rPr>
                      <w:rFonts w:hint="eastAsia" w:ascii="宋体" w:hAnsi="宋体" w:cs="宋体"/>
                      <w:color w:val="auto"/>
                      <w:kern w:val="0"/>
                      <w:szCs w:val="21"/>
                      <w:lang w:bidi="ar"/>
                    </w:rPr>
                  </w:pPr>
                </w:p>
              </w:tc>
            </w:tr>
            <w:tr w14:paraId="6877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3DAB3566">
                  <w:pPr>
                    <w:adjustRightInd w:val="0"/>
                    <w:snapToGrid w:val="0"/>
                    <w:jc w:val="center"/>
                    <w:rPr>
                      <w:rFonts w:hint="eastAsia" w:ascii="宋体" w:hAnsi="宋体" w:cs="宋体"/>
                      <w:bCs/>
                      <w:color w:val="auto"/>
                      <w:szCs w:val="21"/>
                    </w:rPr>
                  </w:pPr>
                </w:p>
              </w:tc>
              <w:tc>
                <w:tcPr>
                  <w:tcW w:w="1106" w:type="dxa"/>
                  <w:vMerge w:val="continue"/>
                  <w:vAlign w:val="center"/>
                </w:tcPr>
                <w:p w14:paraId="6C2C5F78">
                  <w:pPr>
                    <w:adjustRightInd w:val="0"/>
                    <w:snapToGrid w:val="0"/>
                    <w:jc w:val="center"/>
                    <w:rPr>
                      <w:rFonts w:cs="宋体"/>
                      <w:bCs/>
                      <w:color w:val="auto"/>
                      <w:szCs w:val="21"/>
                    </w:rPr>
                  </w:pPr>
                </w:p>
              </w:tc>
              <w:tc>
                <w:tcPr>
                  <w:tcW w:w="1301" w:type="dxa"/>
                  <w:vAlign w:val="center"/>
                </w:tcPr>
                <w:p w14:paraId="7D57817D">
                  <w:pPr>
                    <w:adjustRightInd w:val="0"/>
                    <w:snapToGrid w:val="0"/>
                    <w:jc w:val="center"/>
                    <w:rPr>
                      <w:rFonts w:cs="宋体"/>
                      <w:bCs/>
                      <w:color w:val="auto"/>
                      <w:szCs w:val="21"/>
                    </w:rPr>
                  </w:pPr>
                  <w:r>
                    <w:rPr>
                      <w:rFonts w:hint="eastAsia"/>
                      <w:bCs/>
                      <w:color w:val="auto"/>
                      <w:szCs w:val="21"/>
                    </w:rPr>
                    <w:t>接触池出口</w:t>
                  </w:r>
                </w:p>
              </w:tc>
              <w:tc>
                <w:tcPr>
                  <w:tcW w:w="1760" w:type="dxa"/>
                  <w:vAlign w:val="center"/>
                </w:tcPr>
                <w:p w14:paraId="210FA534">
                  <w:pPr>
                    <w:widowControl/>
                    <w:jc w:val="center"/>
                    <w:rPr>
                      <w:rFonts w:cs="宋体"/>
                      <w:bCs/>
                      <w:color w:val="auto"/>
                      <w:szCs w:val="21"/>
                    </w:rPr>
                  </w:pPr>
                  <w:r>
                    <w:rPr>
                      <w:color w:val="auto"/>
                      <w:kern w:val="0"/>
                      <w:szCs w:val="21"/>
                      <w:lang w:bidi="ar"/>
                    </w:rPr>
                    <w:t>总余氯</w:t>
                  </w:r>
                </w:p>
              </w:tc>
              <w:tc>
                <w:tcPr>
                  <w:tcW w:w="1364" w:type="dxa"/>
                  <w:vAlign w:val="center"/>
                </w:tcPr>
                <w:p w14:paraId="70417B0D">
                  <w:pPr>
                    <w:jc w:val="center"/>
                    <w:rPr>
                      <w:rFonts w:cs="宋体"/>
                      <w:bCs/>
                      <w:color w:val="auto"/>
                      <w:szCs w:val="21"/>
                    </w:rPr>
                  </w:pPr>
                  <w:r>
                    <w:rPr>
                      <w:rFonts w:hint="eastAsia"/>
                      <w:bCs/>
                      <w:color w:val="auto"/>
                      <w:szCs w:val="21"/>
                    </w:rPr>
                    <w:t>1次/12小时</w:t>
                  </w:r>
                </w:p>
              </w:tc>
              <w:tc>
                <w:tcPr>
                  <w:tcW w:w="2343" w:type="dxa"/>
                  <w:vMerge w:val="continue"/>
                  <w:vAlign w:val="center"/>
                </w:tcPr>
                <w:p w14:paraId="1B1AA6A6">
                  <w:pPr>
                    <w:widowControl/>
                    <w:jc w:val="center"/>
                    <w:rPr>
                      <w:rFonts w:hint="eastAsia" w:ascii="宋体" w:hAnsi="宋体" w:cs="宋体"/>
                      <w:color w:val="auto"/>
                      <w:kern w:val="0"/>
                      <w:szCs w:val="21"/>
                      <w:lang w:bidi="ar"/>
                    </w:rPr>
                  </w:pPr>
                </w:p>
              </w:tc>
            </w:tr>
            <w:tr w14:paraId="05CB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5B7677CF">
                  <w:pPr>
                    <w:adjustRightInd w:val="0"/>
                    <w:snapToGrid w:val="0"/>
                    <w:jc w:val="center"/>
                    <w:rPr>
                      <w:rFonts w:hint="eastAsia" w:ascii="宋体" w:hAnsi="宋体" w:cs="宋体"/>
                      <w:bCs/>
                      <w:color w:val="auto"/>
                      <w:szCs w:val="21"/>
                    </w:rPr>
                  </w:pPr>
                </w:p>
              </w:tc>
              <w:tc>
                <w:tcPr>
                  <w:tcW w:w="1106" w:type="dxa"/>
                  <w:vAlign w:val="center"/>
                </w:tcPr>
                <w:p w14:paraId="6ADF1DC8">
                  <w:pPr>
                    <w:adjustRightInd w:val="0"/>
                    <w:snapToGrid w:val="0"/>
                    <w:jc w:val="center"/>
                    <w:rPr>
                      <w:rFonts w:cs="宋体"/>
                      <w:bCs/>
                      <w:color w:val="auto"/>
                      <w:szCs w:val="21"/>
                    </w:rPr>
                  </w:pPr>
                  <w:r>
                    <w:rPr>
                      <w:rFonts w:hint="eastAsia" w:cs="宋体"/>
                      <w:bCs/>
                      <w:color w:val="auto"/>
                      <w:szCs w:val="21"/>
                    </w:rPr>
                    <w:t>员工生活区生活污水排放口</w:t>
                  </w:r>
                </w:p>
              </w:tc>
              <w:tc>
                <w:tcPr>
                  <w:tcW w:w="1301" w:type="dxa"/>
                  <w:vAlign w:val="center"/>
                </w:tcPr>
                <w:p w14:paraId="0C867CD8">
                  <w:pPr>
                    <w:adjustRightInd w:val="0"/>
                    <w:snapToGrid w:val="0"/>
                    <w:jc w:val="center"/>
                    <w:rPr>
                      <w:rFonts w:cs="宋体"/>
                      <w:bCs/>
                      <w:color w:val="auto"/>
                      <w:szCs w:val="21"/>
                    </w:rPr>
                  </w:pPr>
                  <w:r>
                    <w:rPr>
                      <w:rFonts w:hint="eastAsia" w:cs="宋体"/>
                      <w:bCs/>
                      <w:color w:val="auto"/>
                      <w:szCs w:val="21"/>
                    </w:rPr>
                    <w:t>生活区总排口（DW002）</w:t>
                  </w:r>
                </w:p>
              </w:tc>
              <w:tc>
                <w:tcPr>
                  <w:tcW w:w="1760" w:type="dxa"/>
                  <w:vAlign w:val="center"/>
                </w:tcPr>
                <w:p w14:paraId="1E700F43">
                  <w:pPr>
                    <w:adjustRightInd w:val="0"/>
                    <w:snapToGrid w:val="0"/>
                    <w:jc w:val="center"/>
                    <w:rPr>
                      <w:rFonts w:cs="宋体"/>
                      <w:bCs/>
                      <w:color w:val="auto"/>
                      <w:szCs w:val="21"/>
                    </w:rPr>
                  </w:pPr>
                  <w:r>
                    <w:rPr>
                      <w:rFonts w:hint="eastAsia" w:cs="宋体"/>
                      <w:bCs/>
                      <w:color w:val="auto"/>
                      <w:szCs w:val="21"/>
                    </w:rPr>
                    <w:t>pH、CODcr、SS、BOD</w:t>
                  </w:r>
                  <w:r>
                    <w:rPr>
                      <w:rFonts w:hint="eastAsia" w:cs="宋体"/>
                      <w:bCs/>
                      <w:color w:val="auto"/>
                      <w:szCs w:val="21"/>
                      <w:vertAlign w:val="subscript"/>
                    </w:rPr>
                    <w:t>5</w:t>
                  </w:r>
                  <w:r>
                    <w:rPr>
                      <w:rFonts w:hint="eastAsia" w:cs="宋体"/>
                      <w:bCs/>
                      <w:color w:val="auto"/>
                      <w:szCs w:val="21"/>
                    </w:rPr>
                    <w:t>、氨氮、</w:t>
                  </w:r>
                  <w:r>
                    <w:rPr>
                      <w:rFonts w:hint="eastAsia"/>
                      <w:color w:val="auto"/>
                      <w:szCs w:val="21"/>
                    </w:rPr>
                    <w:t>动植物油、SS</w:t>
                  </w:r>
                </w:p>
              </w:tc>
              <w:tc>
                <w:tcPr>
                  <w:tcW w:w="1364" w:type="dxa"/>
                  <w:vAlign w:val="center"/>
                </w:tcPr>
                <w:p w14:paraId="4C0637EF">
                  <w:pPr>
                    <w:adjustRightInd w:val="0"/>
                    <w:snapToGrid w:val="0"/>
                    <w:jc w:val="center"/>
                    <w:rPr>
                      <w:rFonts w:cs="宋体"/>
                      <w:bCs/>
                      <w:color w:val="auto"/>
                      <w:szCs w:val="21"/>
                    </w:rPr>
                  </w:pPr>
                  <w:r>
                    <w:rPr>
                      <w:rFonts w:hint="eastAsia" w:cs="宋体"/>
                      <w:bCs/>
                      <w:color w:val="auto"/>
                      <w:szCs w:val="21"/>
                    </w:rPr>
                    <w:t>1次/年</w:t>
                  </w:r>
                </w:p>
              </w:tc>
              <w:tc>
                <w:tcPr>
                  <w:tcW w:w="2343" w:type="dxa"/>
                  <w:vAlign w:val="center"/>
                </w:tcPr>
                <w:p w14:paraId="259CA750">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076C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restart"/>
                  <w:vAlign w:val="center"/>
                </w:tcPr>
                <w:p w14:paraId="6A043AF1">
                  <w:pPr>
                    <w:adjustRightInd w:val="0"/>
                    <w:snapToGrid w:val="0"/>
                    <w:jc w:val="center"/>
                    <w:rPr>
                      <w:rFonts w:hint="eastAsia" w:ascii="宋体" w:hAnsi="宋体" w:cs="宋体"/>
                      <w:bCs/>
                      <w:color w:val="auto"/>
                      <w:szCs w:val="21"/>
                    </w:rPr>
                  </w:pPr>
                  <w:r>
                    <w:rPr>
                      <w:rFonts w:hint="eastAsia" w:ascii="宋体" w:hAnsi="宋体" w:cs="宋体"/>
                      <w:bCs/>
                      <w:color w:val="auto"/>
                      <w:szCs w:val="21"/>
                    </w:rPr>
                    <w:t>杨广卫生院</w:t>
                  </w:r>
                </w:p>
              </w:tc>
              <w:tc>
                <w:tcPr>
                  <w:tcW w:w="1106" w:type="dxa"/>
                  <w:vMerge w:val="restart"/>
                  <w:vAlign w:val="center"/>
                </w:tcPr>
                <w:p w14:paraId="3F562C62">
                  <w:pPr>
                    <w:adjustRightInd w:val="0"/>
                    <w:snapToGrid w:val="0"/>
                    <w:jc w:val="center"/>
                    <w:rPr>
                      <w:rFonts w:cs="宋体"/>
                      <w:bCs/>
                      <w:color w:val="auto"/>
                      <w:szCs w:val="21"/>
                    </w:rPr>
                  </w:pPr>
                  <w:r>
                    <w:rPr>
                      <w:rFonts w:hint="eastAsia" w:cs="宋体"/>
                      <w:bCs/>
                      <w:color w:val="auto"/>
                      <w:szCs w:val="21"/>
                    </w:rPr>
                    <w:t>四街卫生院废水排放口</w:t>
                  </w:r>
                </w:p>
              </w:tc>
              <w:tc>
                <w:tcPr>
                  <w:tcW w:w="1301" w:type="dxa"/>
                  <w:vMerge w:val="restart"/>
                  <w:vAlign w:val="center"/>
                </w:tcPr>
                <w:p w14:paraId="67F1769A">
                  <w:pPr>
                    <w:adjustRightInd w:val="0"/>
                    <w:snapToGrid w:val="0"/>
                    <w:jc w:val="center"/>
                    <w:rPr>
                      <w:rFonts w:cs="宋体"/>
                      <w:bCs/>
                      <w:color w:val="auto"/>
                      <w:szCs w:val="21"/>
                    </w:rPr>
                  </w:pPr>
                  <w:r>
                    <w:rPr>
                      <w:rFonts w:hint="eastAsia" w:cs="宋体"/>
                      <w:bCs/>
                      <w:color w:val="auto"/>
                      <w:szCs w:val="21"/>
                    </w:rPr>
                    <w:t>污水处理站排放口（DW001）</w:t>
                  </w:r>
                </w:p>
              </w:tc>
              <w:tc>
                <w:tcPr>
                  <w:tcW w:w="1760" w:type="dxa"/>
                  <w:vAlign w:val="center"/>
                </w:tcPr>
                <w:p w14:paraId="355FEB55">
                  <w:pPr>
                    <w:adjustRightInd w:val="0"/>
                    <w:snapToGrid w:val="0"/>
                    <w:jc w:val="center"/>
                    <w:rPr>
                      <w:rFonts w:cs="宋体"/>
                      <w:bCs/>
                      <w:color w:val="auto"/>
                      <w:szCs w:val="21"/>
                    </w:rPr>
                  </w:pPr>
                  <w:r>
                    <w:rPr>
                      <w:rFonts w:hint="eastAsia" w:cs="宋体"/>
                      <w:bCs/>
                      <w:color w:val="auto"/>
                      <w:szCs w:val="21"/>
                    </w:rPr>
                    <w:t>pH</w:t>
                  </w:r>
                </w:p>
              </w:tc>
              <w:tc>
                <w:tcPr>
                  <w:tcW w:w="1364" w:type="dxa"/>
                  <w:vAlign w:val="center"/>
                </w:tcPr>
                <w:p w14:paraId="3BD3D93F">
                  <w:pPr>
                    <w:adjustRightInd w:val="0"/>
                    <w:snapToGrid w:val="0"/>
                    <w:jc w:val="center"/>
                    <w:rPr>
                      <w:rFonts w:cs="宋体"/>
                      <w:bCs/>
                      <w:color w:val="auto"/>
                      <w:szCs w:val="21"/>
                    </w:rPr>
                  </w:pPr>
                  <w:r>
                    <w:rPr>
                      <w:rFonts w:hint="eastAsia" w:cs="宋体"/>
                      <w:bCs/>
                      <w:color w:val="auto"/>
                      <w:szCs w:val="21"/>
                    </w:rPr>
                    <w:t>1次/12小时</w:t>
                  </w:r>
                </w:p>
              </w:tc>
              <w:tc>
                <w:tcPr>
                  <w:tcW w:w="2343" w:type="dxa"/>
                  <w:vMerge w:val="restart"/>
                  <w:vAlign w:val="center"/>
                </w:tcPr>
                <w:p w14:paraId="494216A9">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5527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5AA9BB24">
                  <w:pPr>
                    <w:adjustRightInd w:val="0"/>
                    <w:snapToGrid w:val="0"/>
                    <w:jc w:val="center"/>
                    <w:rPr>
                      <w:rFonts w:hint="eastAsia" w:ascii="宋体" w:hAnsi="宋体" w:cs="宋体"/>
                      <w:bCs/>
                      <w:color w:val="auto"/>
                      <w:szCs w:val="21"/>
                    </w:rPr>
                  </w:pPr>
                </w:p>
              </w:tc>
              <w:tc>
                <w:tcPr>
                  <w:tcW w:w="1106" w:type="dxa"/>
                  <w:vMerge w:val="continue"/>
                  <w:vAlign w:val="center"/>
                </w:tcPr>
                <w:p w14:paraId="3C7D41B3">
                  <w:pPr>
                    <w:adjustRightInd w:val="0"/>
                    <w:snapToGrid w:val="0"/>
                    <w:jc w:val="center"/>
                    <w:rPr>
                      <w:rFonts w:cs="宋体"/>
                      <w:bCs/>
                      <w:color w:val="auto"/>
                      <w:szCs w:val="21"/>
                    </w:rPr>
                  </w:pPr>
                </w:p>
              </w:tc>
              <w:tc>
                <w:tcPr>
                  <w:tcW w:w="1301" w:type="dxa"/>
                  <w:vMerge w:val="continue"/>
                  <w:vAlign w:val="center"/>
                </w:tcPr>
                <w:p w14:paraId="2C4E3FE7">
                  <w:pPr>
                    <w:adjustRightInd w:val="0"/>
                    <w:snapToGrid w:val="0"/>
                    <w:jc w:val="center"/>
                    <w:rPr>
                      <w:rFonts w:cs="宋体"/>
                      <w:bCs/>
                      <w:color w:val="auto"/>
                      <w:szCs w:val="21"/>
                    </w:rPr>
                  </w:pPr>
                </w:p>
              </w:tc>
              <w:tc>
                <w:tcPr>
                  <w:tcW w:w="1760" w:type="dxa"/>
                  <w:vAlign w:val="center"/>
                </w:tcPr>
                <w:p w14:paraId="50F64C85">
                  <w:pPr>
                    <w:adjustRightInd w:val="0"/>
                    <w:snapToGrid w:val="0"/>
                    <w:jc w:val="center"/>
                    <w:rPr>
                      <w:rFonts w:cs="宋体"/>
                      <w:bCs/>
                      <w:color w:val="auto"/>
                      <w:szCs w:val="21"/>
                    </w:rPr>
                  </w:pPr>
                  <w:r>
                    <w:rPr>
                      <w:rFonts w:hint="eastAsia" w:cs="宋体"/>
                      <w:bCs/>
                      <w:color w:val="auto"/>
                      <w:szCs w:val="21"/>
                    </w:rPr>
                    <w:t>CODcr、SS</w:t>
                  </w:r>
                </w:p>
              </w:tc>
              <w:tc>
                <w:tcPr>
                  <w:tcW w:w="1364" w:type="dxa"/>
                  <w:vAlign w:val="center"/>
                </w:tcPr>
                <w:p w14:paraId="13E26EB9">
                  <w:pPr>
                    <w:adjustRightInd w:val="0"/>
                    <w:snapToGrid w:val="0"/>
                    <w:jc w:val="center"/>
                    <w:rPr>
                      <w:rFonts w:cs="宋体"/>
                      <w:bCs/>
                      <w:color w:val="auto"/>
                      <w:szCs w:val="21"/>
                    </w:rPr>
                  </w:pPr>
                  <w:r>
                    <w:rPr>
                      <w:rFonts w:hint="eastAsia" w:cs="宋体"/>
                      <w:bCs/>
                      <w:color w:val="auto"/>
                      <w:szCs w:val="21"/>
                    </w:rPr>
                    <w:t>1次/周</w:t>
                  </w:r>
                </w:p>
              </w:tc>
              <w:tc>
                <w:tcPr>
                  <w:tcW w:w="2343" w:type="dxa"/>
                  <w:vMerge w:val="continue"/>
                  <w:vAlign w:val="center"/>
                </w:tcPr>
                <w:p w14:paraId="70BE71F7">
                  <w:pPr>
                    <w:widowControl/>
                    <w:jc w:val="center"/>
                    <w:rPr>
                      <w:rFonts w:hint="eastAsia" w:ascii="宋体" w:hAnsi="宋体" w:cs="宋体"/>
                      <w:color w:val="auto"/>
                      <w:kern w:val="0"/>
                      <w:szCs w:val="21"/>
                      <w:lang w:bidi="ar"/>
                    </w:rPr>
                  </w:pPr>
                </w:p>
              </w:tc>
            </w:tr>
            <w:tr w14:paraId="4AA4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55D89D1F">
                  <w:pPr>
                    <w:adjustRightInd w:val="0"/>
                    <w:snapToGrid w:val="0"/>
                    <w:jc w:val="center"/>
                    <w:rPr>
                      <w:rFonts w:hint="eastAsia" w:ascii="宋体" w:hAnsi="宋体" w:cs="宋体"/>
                      <w:bCs/>
                      <w:color w:val="auto"/>
                      <w:szCs w:val="21"/>
                    </w:rPr>
                  </w:pPr>
                </w:p>
              </w:tc>
              <w:tc>
                <w:tcPr>
                  <w:tcW w:w="1106" w:type="dxa"/>
                  <w:vMerge w:val="continue"/>
                  <w:vAlign w:val="center"/>
                </w:tcPr>
                <w:p w14:paraId="72108A1F">
                  <w:pPr>
                    <w:adjustRightInd w:val="0"/>
                    <w:snapToGrid w:val="0"/>
                    <w:jc w:val="center"/>
                    <w:rPr>
                      <w:rFonts w:cs="宋体"/>
                      <w:bCs/>
                      <w:color w:val="auto"/>
                      <w:szCs w:val="21"/>
                    </w:rPr>
                  </w:pPr>
                </w:p>
              </w:tc>
              <w:tc>
                <w:tcPr>
                  <w:tcW w:w="1301" w:type="dxa"/>
                  <w:vMerge w:val="continue"/>
                  <w:vAlign w:val="center"/>
                </w:tcPr>
                <w:p w14:paraId="7F8FBB9F">
                  <w:pPr>
                    <w:adjustRightInd w:val="0"/>
                    <w:snapToGrid w:val="0"/>
                    <w:jc w:val="center"/>
                    <w:rPr>
                      <w:rFonts w:cs="宋体"/>
                      <w:bCs/>
                      <w:color w:val="auto"/>
                      <w:szCs w:val="21"/>
                    </w:rPr>
                  </w:pPr>
                </w:p>
              </w:tc>
              <w:tc>
                <w:tcPr>
                  <w:tcW w:w="1760" w:type="dxa"/>
                  <w:vAlign w:val="center"/>
                </w:tcPr>
                <w:p w14:paraId="481DC669">
                  <w:pPr>
                    <w:adjustRightInd w:val="0"/>
                    <w:snapToGrid w:val="0"/>
                    <w:jc w:val="center"/>
                    <w:rPr>
                      <w:rFonts w:cs="宋体"/>
                      <w:bCs/>
                      <w:color w:val="auto"/>
                      <w:szCs w:val="21"/>
                    </w:rPr>
                  </w:pPr>
                  <w:r>
                    <w:rPr>
                      <w:rFonts w:hint="eastAsia" w:cs="宋体"/>
                      <w:bCs/>
                      <w:color w:val="auto"/>
                      <w:szCs w:val="21"/>
                    </w:rPr>
                    <w:t>粪大肠菌群</w:t>
                  </w:r>
                </w:p>
              </w:tc>
              <w:tc>
                <w:tcPr>
                  <w:tcW w:w="1364" w:type="dxa"/>
                  <w:vAlign w:val="center"/>
                </w:tcPr>
                <w:p w14:paraId="39518987">
                  <w:pPr>
                    <w:adjustRightInd w:val="0"/>
                    <w:snapToGrid w:val="0"/>
                    <w:jc w:val="center"/>
                    <w:rPr>
                      <w:rFonts w:cs="宋体"/>
                      <w:bCs/>
                      <w:color w:val="auto"/>
                      <w:szCs w:val="21"/>
                    </w:rPr>
                  </w:pPr>
                  <w:r>
                    <w:rPr>
                      <w:rFonts w:hint="eastAsia" w:cs="宋体"/>
                      <w:bCs/>
                      <w:color w:val="auto"/>
                      <w:szCs w:val="21"/>
                    </w:rPr>
                    <w:t>1次/月</w:t>
                  </w:r>
                </w:p>
              </w:tc>
              <w:tc>
                <w:tcPr>
                  <w:tcW w:w="2343" w:type="dxa"/>
                  <w:vMerge w:val="continue"/>
                  <w:vAlign w:val="center"/>
                </w:tcPr>
                <w:p w14:paraId="0815E2A7">
                  <w:pPr>
                    <w:widowControl/>
                    <w:jc w:val="center"/>
                    <w:rPr>
                      <w:rFonts w:hint="eastAsia" w:ascii="宋体" w:hAnsi="宋体" w:cs="宋体"/>
                      <w:color w:val="auto"/>
                      <w:kern w:val="0"/>
                      <w:szCs w:val="21"/>
                      <w:lang w:bidi="ar"/>
                    </w:rPr>
                  </w:pPr>
                </w:p>
              </w:tc>
            </w:tr>
            <w:tr w14:paraId="33AC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30A4DE87">
                  <w:pPr>
                    <w:adjustRightInd w:val="0"/>
                    <w:snapToGrid w:val="0"/>
                    <w:jc w:val="center"/>
                    <w:rPr>
                      <w:rFonts w:hint="eastAsia" w:ascii="宋体" w:hAnsi="宋体" w:cs="宋体"/>
                      <w:bCs/>
                      <w:color w:val="auto"/>
                      <w:szCs w:val="21"/>
                    </w:rPr>
                  </w:pPr>
                </w:p>
              </w:tc>
              <w:tc>
                <w:tcPr>
                  <w:tcW w:w="1106" w:type="dxa"/>
                  <w:vMerge w:val="continue"/>
                  <w:vAlign w:val="center"/>
                </w:tcPr>
                <w:p w14:paraId="3FF9B4BD">
                  <w:pPr>
                    <w:adjustRightInd w:val="0"/>
                    <w:snapToGrid w:val="0"/>
                    <w:jc w:val="center"/>
                    <w:rPr>
                      <w:rFonts w:cs="宋体"/>
                      <w:bCs/>
                      <w:color w:val="auto"/>
                      <w:szCs w:val="21"/>
                    </w:rPr>
                  </w:pPr>
                </w:p>
              </w:tc>
              <w:tc>
                <w:tcPr>
                  <w:tcW w:w="1301" w:type="dxa"/>
                  <w:vMerge w:val="continue"/>
                  <w:vAlign w:val="center"/>
                </w:tcPr>
                <w:p w14:paraId="69978C60">
                  <w:pPr>
                    <w:adjustRightInd w:val="0"/>
                    <w:snapToGrid w:val="0"/>
                    <w:jc w:val="center"/>
                    <w:rPr>
                      <w:rFonts w:cs="宋体"/>
                      <w:bCs/>
                      <w:color w:val="auto"/>
                      <w:szCs w:val="21"/>
                    </w:rPr>
                  </w:pPr>
                </w:p>
              </w:tc>
              <w:tc>
                <w:tcPr>
                  <w:tcW w:w="1760" w:type="dxa"/>
                  <w:vAlign w:val="center"/>
                </w:tcPr>
                <w:p w14:paraId="75F13748">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364" w:type="dxa"/>
                  <w:vAlign w:val="center"/>
                </w:tcPr>
                <w:p w14:paraId="41E2C163">
                  <w:pPr>
                    <w:adjustRightInd w:val="0"/>
                    <w:snapToGrid w:val="0"/>
                    <w:jc w:val="center"/>
                    <w:rPr>
                      <w:rFonts w:cs="宋体"/>
                      <w:bCs/>
                      <w:color w:val="auto"/>
                      <w:szCs w:val="21"/>
                    </w:rPr>
                  </w:pPr>
                  <w:r>
                    <w:rPr>
                      <w:rFonts w:hint="eastAsia" w:cs="宋体"/>
                      <w:bCs/>
                      <w:color w:val="auto"/>
                      <w:szCs w:val="21"/>
                    </w:rPr>
                    <w:t>1次/季度</w:t>
                  </w:r>
                </w:p>
              </w:tc>
              <w:tc>
                <w:tcPr>
                  <w:tcW w:w="2343" w:type="dxa"/>
                  <w:vMerge w:val="continue"/>
                  <w:vAlign w:val="center"/>
                </w:tcPr>
                <w:p w14:paraId="3321D319">
                  <w:pPr>
                    <w:widowControl/>
                    <w:jc w:val="center"/>
                    <w:rPr>
                      <w:rFonts w:hint="eastAsia" w:ascii="宋体" w:hAnsi="宋体" w:cs="宋体"/>
                      <w:color w:val="auto"/>
                      <w:kern w:val="0"/>
                      <w:szCs w:val="21"/>
                      <w:lang w:bidi="ar"/>
                    </w:rPr>
                  </w:pPr>
                </w:p>
              </w:tc>
            </w:tr>
            <w:tr w14:paraId="1BC0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725F2F6E">
                  <w:pPr>
                    <w:adjustRightInd w:val="0"/>
                    <w:snapToGrid w:val="0"/>
                    <w:jc w:val="center"/>
                    <w:rPr>
                      <w:rFonts w:hint="eastAsia" w:ascii="宋体" w:hAnsi="宋体" w:cs="宋体"/>
                      <w:bCs/>
                      <w:color w:val="auto"/>
                      <w:szCs w:val="21"/>
                    </w:rPr>
                  </w:pPr>
                </w:p>
              </w:tc>
              <w:tc>
                <w:tcPr>
                  <w:tcW w:w="1106" w:type="dxa"/>
                  <w:vMerge w:val="continue"/>
                  <w:vAlign w:val="center"/>
                </w:tcPr>
                <w:p w14:paraId="48AB7CA8">
                  <w:pPr>
                    <w:adjustRightInd w:val="0"/>
                    <w:snapToGrid w:val="0"/>
                    <w:jc w:val="center"/>
                    <w:rPr>
                      <w:rFonts w:cs="宋体"/>
                      <w:bCs/>
                      <w:color w:val="auto"/>
                      <w:szCs w:val="21"/>
                    </w:rPr>
                  </w:pPr>
                </w:p>
              </w:tc>
              <w:tc>
                <w:tcPr>
                  <w:tcW w:w="1301" w:type="dxa"/>
                  <w:vMerge w:val="continue"/>
                  <w:vAlign w:val="center"/>
                </w:tcPr>
                <w:p w14:paraId="75DA0FDF">
                  <w:pPr>
                    <w:adjustRightInd w:val="0"/>
                    <w:snapToGrid w:val="0"/>
                    <w:jc w:val="center"/>
                    <w:rPr>
                      <w:rFonts w:cs="宋体"/>
                      <w:bCs/>
                      <w:color w:val="auto"/>
                      <w:szCs w:val="21"/>
                    </w:rPr>
                  </w:pPr>
                </w:p>
              </w:tc>
              <w:tc>
                <w:tcPr>
                  <w:tcW w:w="1760" w:type="dxa"/>
                  <w:vAlign w:val="center"/>
                </w:tcPr>
                <w:p w14:paraId="499FCBDB">
                  <w:pPr>
                    <w:adjustRightInd w:val="0"/>
                    <w:snapToGrid w:val="0"/>
                    <w:jc w:val="center"/>
                    <w:rPr>
                      <w:rFonts w:cs="宋体"/>
                      <w:bCs/>
                      <w:color w:val="auto"/>
                      <w:szCs w:val="21"/>
                    </w:rPr>
                  </w:pPr>
                  <w:r>
                    <w:rPr>
                      <w:rFonts w:hint="eastAsia" w:cs="宋体"/>
                      <w:bCs/>
                      <w:color w:val="auto"/>
                      <w:szCs w:val="21"/>
                    </w:rPr>
                    <w:t>流量</w:t>
                  </w:r>
                </w:p>
              </w:tc>
              <w:tc>
                <w:tcPr>
                  <w:tcW w:w="1364" w:type="dxa"/>
                  <w:vAlign w:val="center"/>
                </w:tcPr>
                <w:p w14:paraId="125C757D">
                  <w:pPr>
                    <w:adjustRightInd w:val="0"/>
                    <w:snapToGrid w:val="0"/>
                    <w:jc w:val="center"/>
                    <w:rPr>
                      <w:rFonts w:cs="宋体"/>
                      <w:bCs/>
                      <w:color w:val="auto"/>
                      <w:szCs w:val="21"/>
                    </w:rPr>
                  </w:pPr>
                  <w:r>
                    <w:rPr>
                      <w:rFonts w:hint="eastAsia" w:cs="宋体"/>
                      <w:bCs/>
                      <w:color w:val="auto"/>
                      <w:szCs w:val="21"/>
                    </w:rPr>
                    <w:t>自动监测</w:t>
                  </w:r>
                </w:p>
              </w:tc>
              <w:tc>
                <w:tcPr>
                  <w:tcW w:w="2343" w:type="dxa"/>
                  <w:vMerge w:val="continue"/>
                  <w:vAlign w:val="center"/>
                </w:tcPr>
                <w:p w14:paraId="00140997">
                  <w:pPr>
                    <w:widowControl/>
                    <w:jc w:val="center"/>
                    <w:rPr>
                      <w:rFonts w:hint="eastAsia" w:ascii="宋体" w:hAnsi="宋体" w:cs="宋体"/>
                      <w:color w:val="auto"/>
                      <w:kern w:val="0"/>
                      <w:szCs w:val="21"/>
                      <w:lang w:bidi="ar"/>
                    </w:rPr>
                  </w:pPr>
                </w:p>
              </w:tc>
            </w:tr>
            <w:tr w14:paraId="29AE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03" w:type="dxa"/>
                  <w:vMerge w:val="continue"/>
                  <w:vAlign w:val="center"/>
                </w:tcPr>
                <w:p w14:paraId="5E89D1B1">
                  <w:pPr>
                    <w:adjustRightInd w:val="0"/>
                    <w:snapToGrid w:val="0"/>
                    <w:jc w:val="center"/>
                    <w:rPr>
                      <w:rFonts w:hint="eastAsia" w:ascii="宋体" w:hAnsi="宋体" w:cs="宋体"/>
                      <w:bCs/>
                      <w:color w:val="auto"/>
                      <w:szCs w:val="21"/>
                    </w:rPr>
                  </w:pPr>
                </w:p>
              </w:tc>
              <w:tc>
                <w:tcPr>
                  <w:tcW w:w="1106" w:type="dxa"/>
                  <w:vMerge w:val="continue"/>
                  <w:vAlign w:val="center"/>
                </w:tcPr>
                <w:p w14:paraId="683E590D">
                  <w:pPr>
                    <w:adjustRightInd w:val="0"/>
                    <w:snapToGrid w:val="0"/>
                    <w:jc w:val="center"/>
                    <w:rPr>
                      <w:rFonts w:cs="宋体"/>
                      <w:bCs/>
                      <w:color w:val="auto"/>
                      <w:szCs w:val="21"/>
                    </w:rPr>
                  </w:pPr>
                </w:p>
              </w:tc>
              <w:tc>
                <w:tcPr>
                  <w:tcW w:w="1301" w:type="dxa"/>
                  <w:vAlign w:val="center"/>
                </w:tcPr>
                <w:p w14:paraId="3AEB3B30">
                  <w:pPr>
                    <w:adjustRightInd w:val="0"/>
                    <w:snapToGrid w:val="0"/>
                    <w:jc w:val="center"/>
                    <w:rPr>
                      <w:rFonts w:cs="宋体"/>
                      <w:bCs/>
                      <w:color w:val="auto"/>
                      <w:szCs w:val="21"/>
                    </w:rPr>
                  </w:pPr>
                  <w:r>
                    <w:rPr>
                      <w:rFonts w:hint="eastAsia"/>
                      <w:bCs/>
                      <w:color w:val="auto"/>
                      <w:szCs w:val="21"/>
                    </w:rPr>
                    <w:t>接触池出口</w:t>
                  </w:r>
                </w:p>
              </w:tc>
              <w:tc>
                <w:tcPr>
                  <w:tcW w:w="1760" w:type="dxa"/>
                  <w:vAlign w:val="center"/>
                </w:tcPr>
                <w:p w14:paraId="6D4A76C1">
                  <w:pPr>
                    <w:widowControl/>
                    <w:jc w:val="center"/>
                    <w:rPr>
                      <w:rFonts w:cs="宋体"/>
                      <w:bCs/>
                      <w:color w:val="auto"/>
                      <w:szCs w:val="21"/>
                    </w:rPr>
                  </w:pPr>
                  <w:r>
                    <w:rPr>
                      <w:color w:val="auto"/>
                      <w:kern w:val="0"/>
                      <w:szCs w:val="21"/>
                      <w:lang w:bidi="ar"/>
                    </w:rPr>
                    <w:t>总余氯</w:t>
                  </w:r>
                </w:p>
              </w:tc>
              <w:tc>
                <w:tcPr>
                  <w:tcW w:w="1364" w:type="dxa"/>
                  <w:vAlign w:val="center"/>
                </w:tcPr>
                <w:p w14:paraId="5CBAAD8B">
                  <w:pPr>
                    <w:jc w:val="center"/>
                    <w:rPr>
                      <w:rFonts w:cs="宋体"/>
                      <w:bCs/>
                      <w:color w:val="auto"/>
                      <w:szCs w:val="21"/>
                    </w:rPr>
                  </w:pPr>
                  <w:r>
                    <w:rPr>
                      <w:rFonts w:hint="eastAsia"/>
                      <w:bCs/>
                      <w:color w:val="auto"/>
                      <w:szCs w:val="21"/>
                    </w:rPr>
                    <w:t>1次/12小时</w:t>
                  </w:r>
                </w:p>
              </w:tc>
              <w:tc>
                <w:tcPr>
                  <w:tcW w:w="2343" w:type="dxa"/>
                  <w:vMerge w:val="continue"/>
                  <w:vAlign w:val="center"/>
                </w:tcPr>
                <w:p w14:paraId="00A088D6">
                  <w:pPr>
                    <w:widowControl/>
                    <w:jc w:val="center"/>
                    <w:rPr>
                      <w:rFonts w:hint="eastAsia" w:ascii="宋体" w:hAnsi="宋体" w:cs="宋体"/>
                      <w:color w:val="auto"/>
                      <w:kern w:val="0"/>
                      <w:szCs w:val="21"/>
                      <w:lang w:bidi="ar"/>
                    </w:rPr>
                  </w:pPr>
                </w:p>
              </w:tc>
            </w:tr>
            <w:tr w14:paraId="5586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1C739337">
                  <w:pPr>
                    <w:adjustRightInd w:val="0"/>
                    <w:snapToGrid w:val="0"/>
                    <w:jc w:val="center"/>
                    <w:rPr>
                      <w:rFonts w:hint="eastAsia" w:ascii="宋体" w:hAnsi="宋体" w:cs="宋体"/>
                      <w:bCs/>
                      <w:color w:val="auto"/>
                      <w:szCs w:val="21"/>
                    </w:rPr>
                  </w:pPr>
                </w:p>
              </w:tc>
              <w:tc>
                <w:tcPr>
                  <w:tcW w:w="1106" w:type="dxa"/>
                  <w:vAlign w:val="center"/>
                </w:tcPr>
                <w:p w14:paraId="18E35FD7">
                  <w:pPr>
                    <w:adjustRightInd w:val="0"/>
                    <w:snapToGrid w:val="0"/>
                    <w:jc w:val="center"/>
                    <w:rPr>
                      <w:rFonts w:cs="宋体"/>
                      <w:bCs/>
                      <w:color w:val="auto"/>
                      <w:szCs w:val="21"/>
                    </w:rPr>
                  </w:pPr>
                  <w:r>
                    <w:rPr>
                      <w:rFonts w:hint="eastAsia" w:cs="宋体"/>
                      <w:bCs/>
                      <w:color w:val="auto"/>
                      <w:szCs w:val="21"/>
                    </w:rPr>
                    <w:t>员工生活区生活污水排放口</w:t>
                  </w:r>
                </w:p>
              </w:tc>
              <w:tc>
                <w:tcPr>
                  <w:tcW w:w="1301" w:type="dxa"/>
                  <w:vAlign w:val="center"/>
                </w:tcPr>
                <w:p w14:paraId="65E0756F">
                  <w:pPr>
                    <w:adjustRightInd w:val="0"/>
                    <w:snapToGrid w:val="0"/>
                    <w:jc w:val="center"/>
                    <w:rPr>
                      <w:rFonts w:cs="宋体"/>
                      <w:bCs/>
                      <w:color w:val="auto"/>
                      <w:szCs w:val="21"/>
                    </w:rPr>
                  </w:pPr>
                  <w:r>
                    <w:rPr>
                      <w:rFonts w:hint="eastAsia" w:cs="宋体"/>
                      <w:bCs/>
                      <w:color w:val="auto"/>
                      <w:szCs w:val="21"/>
                    </w:rPr>
                    <w:t>生活区总排口（DW002）</w:t>
                  </w:r>
                </w:p>
              </w:tc>
              <w:tc>
                <w:tcPr>
                  <w:tcW w:w="1760" w:type="dxa"/>
                  <w:vAlign w:val="center"/>
                </w:tcPr>
                <w:p w14:paraId="6F061FF7">
                  <w:pPr>
                    <w:adjustRightInd w:val="0"/>
                    <w:snapToGrid w:val="0"/>
                    <w:jc w:val="center"/>
                    <w:rPr>
                      <w:rFonts w:cs="宋体"/>
                      <w:bCs/>
                      <w:color w:val="auto"/>
                      <w:szCs w:val="21"/>
                    </w:rPr>
                  </w:pPr>
                  <w:r>
                    <w:rPr>
                      <w:rFonts w:hint="eastAsia" w:cs="宋体"/>
                      <w:bCs/>
                      <w:color w:val="auto"/>
                      <w:szCs w:val="21"/>
                    </w:rPr>
                    <w:t>pH、CODcr、SS、BOD</w:t>
                  </w:r>
                  <w:r>
                    <w:rPr>
                      <w:rFonts w:hint="eastAsia" w:cs="宋体"/>
                      <w:bCs/>
                      <w:color w:val="auto"/>
                      <w:szCs w:val="21"/>
                      <w:vertAlign w:val="subscript"/>
                    </w:rPr>
                    <w:t>5</w:t>
                  </w:r>
                  <w:r>
                    <w:rPr>
                      <w:rFonts w:hint="eastAsia" w:cs="宋体"/>
                      <w:bCs/>
                      <w:color w:val="auto"/>
                      <w:szCs w:val="21"/>
                    </w:rPr>
                    <w:t>、氨氮、</w:t>
                  </w:r>
                  <w:r>
                    <w:rPr>
                      <w:rFonts w:hint="eastAsia"/>
                      <w:color w:val="auto"/>
                      <w:szCs w:val="21"/>
                    </w:rPr>
                    <w:t>动植物油、SS</w:t>
                  </w:r>
                </w:p>
              </w:tc>
              <w:tc>
                <w:tcPr>
                  <w:tcW w:w="1364" w:type="dxa"/>
                  <w:vAlign w:val="center"/>
                </w:tcPr>
                <w:p w14:paraId="590539D2">
                  <w:pPr>
                    <w:adjustRightInd w:val="0"/>
                    <w:snapToGrid w:val="0"/>
                    <w:jc w:val="center"/>
                    <w:rPr>
                      <w:rFonts w:cs="宋体"/>
                      <w:bCs/>
                      <w:color w:val="auto"/>
                      <w:szCs w:val="21"/>
                    </w:rPr>
                  </w:pPr>
                  <w:r>
                    <w:rPr>
                      <w:rFonts w:hint="eastAsia" w:cs="宋体"/>
                      <w:bCs/>
                      <w:color w:val="auto"/>
                      <w:szCs w:val="21"/>
                    </w:rPr>
                    <w:t>1次/年</w:t>
                  </w:r>
                </w:p>
              </w:tc>
              <w:tc>
                <w:tcPr>
                  <w:tcW w:w="2343" w:type="dxa"/>
                  <w:vAlign w:val="center"/>
                </w:tcPr>
                <w:p w14:paraId="38880721">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bl>
          <w:p w14:paraId="44BFD9B7">
            <w:pPr>
              <w:spacing w:line="360" w:lineRule="auto"/>
              <w:ind w:firstLine="442" w:firstLineChars="200"/>
              <w:rPr>
                <w:b/>
                <w:color w:val="auto"/>
                <w:spacing w:val="-10"/>
                <w:kern w:val="0"/>
                <w:sz w:val="24"/>
              </w:rPr>
            </w:pPr>
          </w:p>
          <w:p w14:paraId="7E50C790">
            <w:pPr>
              <w:spacing w:line="360" w:lineRule="auto"/>
              <w:ind w:firstLine="442" w:firstLineChars="200"/>
              <w:rPr>
                <w:b/>
                <w:color w:val="auto"/>
                <w:spacing w:val="-10"/>
                <w:kern w:val="0"/>
                <w:sz w:val="24"/>
              </w:rPr>
            </w:pPr>
          </w:p>
          <w:p w14:paraId="1C8482C9">
            <w:pPr>
              <w:spacing w:line="360" w:lineRule="auto"/>
              <w:ind w:firstLine="442" w:firstLineChars="200"/>
              <w:rPr>
                <w:b/>
                <w:color w:val="auto"/>
                <w:spacing w:val="-10"/>
                <w:kern w:val="0"/>
                <w:sz w:val="24"/>
              </w:rPr>
            </w:pPr>
            <w:r>
              <w:rPr>
                <w:b/>
                <w:color w:val="auto"/>
                <w:spacing w:val="-10"/>
                <w:kern w:val="0"/>
                <w:sz w:val="24"/>
              </w:rPr>
              <w:t>四、声环境影响和保护措施</w:t>
            </w:r>
          </w:p>
          <w:p w14:paraId="229A273F">
            <w:pPr>
              <w:pStyle w:val="32"/>
              <w:spacing w:after="0" w:line="360" w:lineRule="auto"/>
              <w:ind w:left="0" w:leftChars="0" w:firstLine="482"/>
              <w:jc w:val="left"/>
              <w:rPr>
                <w:b/>
                <w:bCs/>
                <w:color w:val="auto"/>
              </w:rPr>
            </w:pPr>
            <w:r>
              <w:rPr>
                <w:b/>
                <w:bCs/>
                <w:color w:val="auto"/>
              </w:rPr>
              <w:t>1、噪声源强分析</w:t>
            </w:r>
          </w:p>
          <w:p w14:paraId="0EE067A4">
            <w:pPr>
              <w:pStyle w:val="31"/>
              <w:spacing w:before="0" w:after="0" w:line="360" w:lineRule="auto"/>
              <w:ind w:right="0" w:firstLine="480" w:firstLineChars="200"/>
              <w:jc w:val="left"/>
              <w:rPr>
                <w:b/>
                <w:color w:val="auto"/>
                <w:sz w:val="24"/>
              </w:rPr>
            </w:pPr>
            <w:r>
              <w:rPr>
                <w:rFonts w:hint="eastAsia"/>
                <w:color w:val="auto"/>
                <w:kern w:val="2"/>
                <w:sz w:val="24"/>
              </w:rPr>
              <w:t>本项目涉及4个卫生院，纳古卫生院</w:t>
            </w:r>
            <w:r>
              <w:rPr>
                <w:color w:val="auto"/>
                <w:kern w:val="2"/>
                <w:sz w:val="24"/>
              </w:rPr>
              <w:t>设备噪声源为</w:t>
            </w:r>
            <w:bookmarkStart w:id="78" w:name="_Hlk194507382"/>
            <w:r>
              <w:rPr>
                <w:rFonts w:hint="eastAsia"/>
                <w:color w:val="auto"/>
                <w:kern w:val="2"/>
                <w:sz w:val="24"/>
              </w:rPr>
              <w:t>污水处理站水泵、风机、柴油发电机</w:t>
            </w:r>
            <w:r>
              <w:rPr>
                <w:color w:val="auto"/>
                <w:kern w:val="2"/>
                <w:sz w:val="24"/>
              </w:rPr>
              <w:t>等</w:t>
            </w:r>
            <w:bookmarkEnd w:id="78"/>
            <w:r>
              <w:rPr>
                <w:color w:val="auto"/>
                <w:kern w:val="2"/>
                <w:sz w:val="24"/>
              </w:rPr>
              <w:t>设备产生的噪声</w:t>
            </w:r>
            <w:r>
              <w:rPr>
                <w:rFonts w:hint="eastAsia"/>
                <w:color w:val="auto"/>
                <w:kern w:val="2"/>
                <w:sz w:val="24"/>
              </w:rPr>
              <w:t>；四街卫生院设备噪声源主要为污水处理站水泵、风机等设备产生的噪声；九龙卫生院设备噪声源主要为污水处理站水泵、风机等设备产生的噪声，本项目杨广卫生院设备噪声源主要为污水处理站水泵、风机等设备产生的噪声。</w:t>
            </w:r>
            <w:r>
              <w:rPr>
                <w:color w:val="auto"/>
                <w:kern w:val="2"/>
                <w:sz w:val="24"/>
              </w:rPr>
              <w:t>项目运营期间主要噪声源设备噪声源特性及运行噪声级见表</w:t>
            </w:r>
            <w:r>
              <w:rPr>
                <w:rFonts w:hint="eastAsia"/>
                <w:color w:val="auto"/>
                <w:kern w:val="2"/>
                <w:sz w:val="24"/>
              </w:rPr>
              <w:t>4</w:t>
            </w:r>
            <w:r>
              <w:rPr>
                <w:color w:val="auto"/>
                <w:kern w:val="2"/>
                <w:sz w:val="24"/>
              </w:rPr>
              <w:t>-</w:t>
            </w:r>
            <w:r>
              <w:rPr>
                <w:rFonts w:hint="eastAsia"/>
                <w:color w:val="auto"/>
                <w:kern w:val="2"/>
                <w:sz w:val="24"/>
              </w:rPr>
              <w:t>22~4-24</w:t>
            </w:r>
            <w:r>
              <w:rPr>
                <w:color w:val="auto"/>
                <w:kern w:val="2"/>
                <w:sz w:val="24"/>
              </w:rPr>
              <w:t>。</w:t>
            </w:r>
          </w:p>
          <w:p w14:paraId="51F4CA8E">
            <w:pPr>
              <w:pStyle w:val="31"/>
              <w:spacing w:before="0" w:after="0" w:line="360" w:lineRule="auto"/>
              <w:ind w:right="0" w:firstLine="0" w:firstLineChars="0"/>
              <w:jc w:val="center"/>
              <w:rPr>
                <w:color w:val="auto"/>
                <w:sz w:val="24"/>
              </w:rPr>
            </w:pPr>
            <w:r>
              <w:rPr>
                <w:rFonts w:hint="eastAsia"/>
                <w:b/>
                <w:color w:val="auto"/>
                <w:sz w:val="24"/>
              </w:rPr>
              <w:t>表4-22 本项目（纳古卫生院）高噪声设备源强及采取的降噪措施</w:t>
            </w:r>
          </w:p>
          <w:tbl>
            <w:tblPr>
              <w:tblStyle w:val="33"/>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46"/>
              <w:gridCol w:w="665"/>
              <w:gridCol w:w="721"/>
              <w:gridCol w:w="772"/>
              <w:gridCol w:w="1450"/>
              <w:gridCol w:w="1966"/>
              <w:gridCol w:w="911"/>
            </w:tblGrid>
            <w:tr w14:paraId="192D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restart"/>
                  <w:vAlign w:val="center"/>
                </w:tcPr>
                <w:p w14:paraId="370B8A78">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工序</w:t>
                  </w:r>
                </w:p>
              </w:tc>
              <w:tc>
                <w:tcPr>
                  <w:tcW w:w="563" w:type="pct"/>
                  <w:vMerge w:val="restart"/>
                  <w:vAlign w:val="center"/>
                </w:tcPr>
                <w:p w14:paraId="50CBF21D">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噪声源</w:t>
                  </w:r>
                </w:p>
              </w:tc>
              <w:tc>
                <w:tcPr>
                  <w:tcW w:w="396" w:type="pct"/>
                  <w:vMerge w:val="restart"/>
                  <w:vAlign w:val="center"/>
                </w:tcPr>
                <w:p w14:paraId="3B14182E">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数量</w:t>
                  </w:r>
                </w:p>
              </w:tc>
              <w:tc>
                <w:tcPr>
                  <w:tcW w:w="430" w:type="pct"/>
                  <w:vMerge w:val="restart"/>
                  <w:vAlign w:val="center"/>
                </w:tcPr>
                <w:p w14:paraId="0CF067CB">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声源位置</w:t>
                  </w:r>
                </w:p>
              </w:tc>
              <w:tc>
                <w:tcPr>
                  <w:tcW w:w="460" w:type="pct"/>
                  <w:vMerge w:val="restart"/>
                  <w:vAlign w:val="center"/>
                </w:tcPr>
                <w:p w14:paraId="7DCA8A5E">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声源类型</w:t>
                  </w:r>
                </w:p>
              </w:tc>
              <w:tc>
                <w:tcPr>
                  <w:tcW w:w="863" w:type="pct"/>
                  <w:vAlign w:val="center"/>
                </w:tcPr>
                <w:p w14:paraId="5E2B3E1E">
                  <w:pPr>
                    <w:jc w:val="center"/>
                    <w:rPr>
                      <w:rFonts w:hint="eastAsia" w:ascii="宋体" w:hAnsi="宋体" w:cs="宋体"/>
                      <w:b/>
                      <w:bCs/>
                      <w:color w:val="auto"/>
                      <w:kern w:val="0"/>
                      <w:szCs w:val="21"/>
                    </w:rPr>
                  </w:pPr>
                  <w:r>
                    <w:rPr>
                      <w:rFonts w:hint="eastAsia" w:ascii="宋体" w:hAnsi="宋体" w:cs="宋体"/>
                      <w:b/>
                      <w:bCs/>
                      <w:color w:val="auto"/>
                      <w:szCs w:val="21"/>
                    </w:rPr>
                    <w:t>声源源强</w:t>
                  </w:r>
                </w:p>
              </w:tc>
              <w:tc>
                <w:tcPr>
                  <w:tcW w:w="1171" w:type="pct"/>
                  <w:vMerge w:val="restart"/>
                  <w:vAlign w:val="center"/>
                </w:tcPr>
                <w:p w14:paraId="3BFAFC69">
                  <w:pPr>
                    <w:jc w:val="center"/>
                    <w:rPr>
                      <w:rFonts w:hint="eastAsia" w:ascii="宋体" w:hAnsi="宋体" w:cs="宋体"/>
                      <w:b/>
                      <w:bCs/>
                      <w:color w:val="auto"/>
                      <w:kern w:val="0"/>
                      <w:szCs w:val="21"/>
                    </w:rPr>
                  </w:pPr>
                  <w:r>
                    <w:rPr>
                      <w:rFonts w:hint="eastAsia" w:ascii="宋体" w:hAnsi="宋体" w:cs="宋体"/>
                      <w:b/>
                      <w:bCs/>
                      <w:color w:val="auto"/>
                      <w:kern w:val="0"/>
                      <w:szCs w:val="21"/>
                    </w:rPr>
                    <w:t>源强数据来源</w:t>
                  </w:r>
                </w:p>
              </w:tc>
              <w:tc>
                <w:tcPr>
                  <w:tcW w:w="543" w:type="pct"/>
                  <w:vMerge w:val="restart"/>
                  <w:vAlign w:val="center"/>
                </w:tcPr>
                <w:p w14:paraId="26B2171F">
                  <w:pPr>
                    <w:jc w:val="center"/>
                    <w:rPr>
                      <w:rFonts w:hint="eastAsia" w:ascii="宋体" w:hAnsi="宋体" w:cs="宋体"/>
                      <w:b/>
                      <w:bCs/>
                      <w:color w:val="auto"/>
                      <w:kern w:val="0"/>
                      <w:szCs w:val="21"/>
                    </w:rPr>
                  </w:pPr>
                  <w:r>
                    <w:rPr>
                      <w:rFonts w:hint="eastAsia" w:ascii="宋体" w:hAnsi="宋体" w:cs="宋体"/>
                      <w:b/>
                      <w:bCs/>
                      <w:color w:val="auto"/>
                      <w:kern w:val="0"/>
                      <w:szCs w:val="21"/>
                    </w:rPr>
                    <w:t>运行时间/h</w:t>
                  </w:r>
                </w:p>
              </w:tc>
            </w:tr>
            <w:tr w14:paraId="7620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continue"/>
                  <w:vAlign w:val="center"/>
                </w:tcPr>
                <w:p w14:paraId="0BEA4D97">
                  <w:pPr>
                    <w:pStyle w:val="18"/>
                    <w:jc w:val="center"/>
                    <w:rPr>
                      <w:rFonts w:hint="eastAsia" w:ascii="宋体" w:hAnsi="宋体" w:eastAsia="宋体" w:cs="宋体"/>
                      <w:color w:val="auto"/>
                      <w:sz w:val="21"/>
                      <w:szCs w:val="21"/>
                    </w:rPr>
                  </w:pPr>
                </w:p>
              </w:tc>
              <w:tc>
                <w:tcPr>
                  <w:tcW w:w="563" w:type="pct"/>
                  <w:vMerge w:val="continue"/>
                  <w:vAlign w:val="center"/>
                </w:tcPr>
                <w:p w14:paraId="36AF581F">
                  <w:pPr>
                    <w:pStyle w:val="18"/>
                    <w:jc w:val="center"/>
                    <w:rPr>
                      <w:rFonts w:hint="eastAsia" w:ascii="宋体" w:hAnsi="宋体" w:eastAsia="宋体" w:cs="宋体"/>
                      <w:color w:val="auto"/>
                      <w:sz w:val="21"/>
                      <w:szCs w:val="21"/>
                    </w:rPr>
                  </w:pPr>
                </w:p>
              </w:tc>
              <w:tc>
                <w:tcPr>
                  <w:tcW w:w="396" w:type="pct"/>
                  <w:vMerge w:val="continue"/>
                  <w:vAlign w:val="center"/>
                </w:tcPr>
                <w:p w14:paraId="7FD474ED">
                  <w:pPr>
                    <w:pStyle w:val="18"/>
                    <w:jc w:val="center"/>
                    <w:rPr>
                      <w:rFonts w:hint="eastAsia" w:ascii="宋体" w:hAnsi="宋体" w:eastAsia="宋体" w:cs="宋体"/>
                      <w:color w:val="auto"/>
                      <w:sz w:val="21"/>
                      <w:szCs w:val="21"/>
                    </w:rPr>
                  </w:pPr>
                </w:p>
              </w:tc>
              <w:tc>
                <w:tcPr>
                  <w:tcW w:w="430" w:type="pct"/>
                  <w:vMerge w:val="continue"/>
                  <w:vAlign w:val="center"/>
                </w:tcPr>
                <w:p w14:paraId="149695DF">
                  <w:pPr>
                    <w:pStyle w:val="18"/>
                    <w:jc w:val="center"/>
                    <w:rPr>
                      <w:rFonts w:hint="eastAsia" w:ascii="宋体" w:hAnsi="宋体" w:eastAsia="宋体" w:cs="宋体"/>
                      <w:color w:val="auto"/>
                      <w:sz w:val="21"/>
                      <w:szCs w:val="21"/>
                    </w:rPr>
                  </w:pPr>
                </w:p>
              </w:tc>
              <w:tc>
                <w:tcPr>
                  <w:tcW w:w="460" w:type="pct"/>
                  <w:vMerge w:val="continue"/>
                  <w:vAlign w:val="center"/>
                </w:tcPr>
                <w:p w14:paraId="70004388">
                  <w:pPr>
                    <w:pStyle w:val="18"/>
                    <w:jc w:val="center"/>
                    <w:rPr>
                      <w:rFonts w:hint="eastAsia" w:ascii="宋体" w:hAnsi="宋体" w:eastAsia="宋体" w:cs="宋体"/>
                      <w:color w:val="auto"/>
                      <w:sz w:val="21"/>
                      <w:szCs w:val="21"/>
                    </w:rPr>
                  </w:pPr>
                </w:p>
              </w:tc>
              <w:tc>
                <w:tcPr>
                  <w:tcW w:w="863" w:type="pct"/>
                  <w:vAlign w:val="center"/>
                </w:tcPr>
                <w:p w14:paraId="552BA919">
                  <w:pPr>
                    <w:jc w:val="center"/>
                    <w:rPr>
                      <w:rFonts w:hint="eastAsia" w:ascii="宋体" w:hAnsi="宋体" w:cs="宋体"/>
                      <w:b/>
                      <w:bCs/>
                      <w:color w:val="auto"/>
                      <w:kern w:val="0"/>
                      <w:szCs w:val="21"/>
                    </w:rPr>
                  </w:pPr>
                  <w:r>
                    <w:rPr>
                      <w:rFonts w:hint="eastAsia" w:ascii="宋体" w:hAnsi="宋体" w:cs="宋体"/>
                      <w:b/>
                      <w:bCs/>
                      <w:color w:val="auto"/>
                      <w:szCs w:val="21"/>
                    </w:rPr>
                    <w:t>（声压级/距声源距）/(dB(A)/1m)</w:t>
                  </w:r>
                </w:p>
              </w:tc>
              <w:tc>
                <w:tcPr>
                  <w:tcW w:w="1171" w:type="pct"/>
                  <w:vMerge w:val="continue"/>
                  <w:vAlign w:val="center"/>
                </w:tcPr>
                <w:p w14:paraId="0703051E">
                  <w:pPr>
                    <w:pStyle w:val="18"/>
                    <w:jc w:val="center"/>
                    <w:rPr>
                      <w:rFonts w:hint="eastAsia" w:ascii="宋体" w:hAnsi="宋体" w:eastAsia="宋体" w:cs="宋体"/>
                      <w:b/>
                      <w:bCs/>
                      <w:color w:val="auto"/>
                      <w:kern w:val="0"/>
                      <w:sz w:val="21"/>
                      <w:szCs w:val="21"/>
                    </w:rPr>
                  </w:pPr>
                </w:p>
              </w:tc>
              <w:tc>
                <w:tcPr>
                  <w:tcW w:w="543" w:type="pct"/>
                  <w:vMerge w:val="continue"/>
                  <w:vAlign w:val="center"/>
                </w:tcPr>
                <w:p w14:paraId="19E80BFE">
                  <w:pPr>
                    <w:pStyle w:val="18"/>
                    <w:jc w:val="center"/>
                    <w:rPr>
                      <w:rFonts w:hint="eastAsia" w:ascii="宋体" w:hAnsi="宋体" w:eastAsia="宋体" w:cs="宋体"/>
                      <w:b/>
                      <w:bCs/>
                      <w:color w:val="auto"/>
                      <w:kern w:val="0"/>
                      <w:sz w:val="21"/>
                      <w:szCs w:val="21"/>
                    </w:rPr>
                  </w:pPr>
                </w:p>
              </w:tc>
            </w:tr>
            <w:tr w14:paraId="7511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restart"/>
                  <w:vAlign w:val="center"/>
                </w:tcPr>
                <w:p w14:paraId="65BEA4AC">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污水处理站</w:t>
                  </w:r>
                </w:p>
              </w:tc>
              <w:tc>
                <w:tcPr>
                  <w:tcW w:w="563" w:type="pct"/>
                  <w:vAlign w:val="center"/>
                </w:tcPr>
                <w:p w14:paraId="5DC053CB">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污水处理系统水泵</w:t>
                  </w:r>
                </w:p>
              </w:tc>
              <w:tc>
                <w:tcPr>
                  <w:tcW w:w="396" w:type="pct"/>
                  <w:vAlign w:val="center"/>
                </w:tcPr>
                <w:p w14:paraId="365B6F82">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30" w:type="pct"/>
                  <w:vAlign w:val="center"/>
                </w:tcPr>
                <w:p w14:paraId="6CD1A31E">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416BAE62">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63" w:type="pct"/>
                  <w:vAlign w:val="center"/>
                </w:tcPr>
                <w:p w14:paraId="5B0DC270">
                  <w:pPr>
                    <w:jc w:val="center"/>
                    <w:rPr>
                      <w:rFonts w:hint="eastAsia" w:ascii="宋体" w:hAnsi="宋体" w:cs="宋体"/>
                      <w:color w:val="auto"/>
                      <w:szCs w:val="21"/>
                    </w:rPr>
                  </w:pPr>
                  <w:r>
                    <w:rPr>
                      <w:rFonts w:hint="eastAsia" w:ascii="宋体" w:hAnsi="宋体" w:cs="宋体"/>
                      <w:color w:val="auto"/>
                      <w:kern w:val="0"/>
                      <w:szCs w:val="21"/>
                    </w:rPr>
                    <w:t>85</w:t>
                  </w:r>
                </w:p>
              </w:tc>
              <w:tc>
                <w:tcPr>
                  <w:tcW w:w="1171" w:type="pct"/>
                  <w:vMerge w:val="restart"/>
                  <w:vAlign w:val="center"/>
                </w:tcPr>
                <w:p w14:paraId="39E91E8D">
                  <w:pPr>
                    <w:jc w:val="center"/>
                    <w:rPr>
                      <w:rFonts w:hint="eastAsia" w:ascii="宋体" w:hAnsi="宋体" w:cs="宋体"/>
                      <w:color w:val="auto"/>
                      <w:kern w:val="0"/>
                      <w:szCs w:val="21"/>
                    </w:rPr>
                  </w:pPr>
                  <w:r>
                    <w:rPr>
                      <w:rFonts w:hint="eastAsia" w:ascii="宋体" w:hAnsi="宋体" w:cs="宋体"/>
                      <w:color w:val="auto"/>
                      <w:szCs w:val="21"/>
                    </w:rPr>
                    <w:t>参考《污染源源强核算技术指南》各行业技术指南附录中相关设备声源源强资料</w:t>
                  </w:r>
                </w:p>
              </w:tc>
              <w:tc>
                <w:tcPr>
                  <w:tcW w:w="543" w:type="pct"/>
                  <w:vAlign w:val="center"/>
                </w:tcPr>
                <w:p w14:paraId="3F45D539">
                  <w:pPr>
                    <w:pStyle w:val="18"/>
                    <w:jc w:val="center"/>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8760</w:t>
                  </w:r>
                </w:p>
              </w:tc>
            </w:tr>
            <w:tr w14:paraId="566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continue"/>
                  <w:vAlign w:val="center"/>
                </w:tcPr>
                <w:p w14:paraId="4655B7B6">
                  <w:pPr>
                    <w:pStyle w:val="18"/>
                    <w:jc w:val="center"/>
                    <w:rPr>
                      <w:rFonts w:hint="eastAsia" w:ascii="宋体" w:hAnsi="宋体" w:eastAsia="宋体" w:cs="宋体"/>
                      <w:color w:val="auto"/>
                      <w:sz w:val="21"/>
                      <w:szCs w:val="21"/>
                    </w:rPr>
                  </w:pPr>
                </w:p>
              </w:tc>
              <w:tc>
                <w:tcPr>
                  <w:tcW w:w="563" w:type="pct"/>
                  <w:vAlign w:val="center"/>
                </w:tcPr>
                <w:p w14:paraId="6175A0F3">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风机</w:t>
                  </w:r>
                </w:p>
              </w:tc>
              <w:tc>
                <w:tcPr>
                  <w:tcW w:w="396" w:type="pct"/>
                  <w:vAlign w:val="center"/>
                </w:tcPr>
                <w:p w14:paraId="78AC7054">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30" w:type="pct"/>
                  <w:vAlign w:val="center"/>
                </w:tcPr>
                <w:p w14:paraId="0A5E2F7E">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5A50BAAE">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63" w:type="pct"/>
                  <w:vAlign w:val="center"/>
                </w:tcPr>
                <w:p w14:paraId="6616911B">
                  <w:pPr>
                    <w:jc w:val="center"/>
                    <w:rPr>
                      <w:rFonts w:hint="eastAsia" w:ascii="宋体" w:hAnsi="宋体" w:cs="宋体"/>
                      <w:color w:val="auto"/>
                      <w:kern w:val="0"/>
                      <w:szCs w:val="21"/>
                    </w:rPr>
                  </w:pPr>
                  <w:r>
                    <w:rPr>
                      <w:rFonts w:hint="eastAsia" w:ascii="宋体" w:hAnsi="宋体" w:cs="宋体"/>
                      <w:color w:val="auto"/>
                      <w:kern w:val="0"/>
                      <w:szCs w:val="21"/>
                    </w:rPr>
                    <w:t>85</w:t>
                  </w:r>
                </w:p>
              </w:tc>
              <w:tc>
                <w:tcPr>
                  <w:tcW w:w="1171" w:type="pct"/>
                  <w:vMerge w:val="continue"/>
                  <w:vAlign w:val="center"/>
                </w:tcPr>
                <w:p w14:paraId="0AC9A83B">
                  <w:pPr>
                    <w:jc w:val="center"/>
                    <w:rPr>
                      <w:rFonts w:hint="eastAsia" w:ascii="宋体" w:hAnsi="宋体" w:cs="宋体"/>
                      <w:color w:val="auto"/>
                      <w:szCs w:val="21"/>
                    </w:rPr>
                  </w:pPr>
                </w:p>
              </w:tc>
              <w:tc>
                <w:tcPr>
                  <w:tcW w:w="543" w:type="pct"/>
                  <w:vAlign w:val="center"/>
                </w:tcPr>
                <w:p w14:paraId="754796BA">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8760</w:t>
                  </w:r>
                </w:p>
              </w:tc>
            </w:tr>
            <w:tr w14:paraId="1BAD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70" w:type="pct"/>
                  <w:vMerge w:val="restart"/>
                  <w:vAlign w:val="center"/>
                </w:tcPr>
                <w:p w14:paraId="635B0350">
                  <w:pPr>
                    <w:jc w:val="center"/>
                    <w:rPr>
                      <w:rFonts w:hint="eastAsia" w:ascii="宋体" w:hAnsi="宋体" w:cs="宋体"/>
                      <w:color w:val="auto"/>
                      <w:szCs w:val="21"/>
                    </w:rPr>
                  </w:pPr>
                  <w:r>
                    <w:rPr>
                      <w:rFonts w:hint="eastAsia" w:ascii="宋体" w:hAnsi="宋体" w:cs="宋体"/>
                      <w:color w:val="auto"/>
                      <w:szCs w:val="21"/>
                    </w:rPr>
                    <w:t>柴油发电机房</w:t>
                  </w:r>
                </w:p>
              </w:tc>
              <w:tc>
                <w:tcPr>
                  <w:tcW w:w="563" w:type="pct"/>
                  <w:vAlign w:val="center"/>
                </w:tcPr>
                <w:p w14:paraId="359AFC5D">
                  <w:pPr>
                    <w:widowControl/>
                    <w:jc w:val="center"/>
                    <w:rPr>
                      <w:rFonts w:hint="eastAsia" w:ascii="宋体" w:hAnsi="宋体" w:cs="宋体"/>
                      <w:color w:val="auto"/>
                      <w:szCs w:val="21"/>
                    </w:rPr>
                  </w:pPr>
                  <w:r>
                    <w:rPr>
                      <w:rFonts w:hint="eastAsia" w:ascii="宋体" w:hAnsi="宋体" w:cs="宋体"/>
                      <w:color w:val="auto"/>
                      <w:szCs w:val="21"/>
                    </w:rPr>
                    <w:t>备用柴油发电机</w:t>
                  </w:r>
                </w:p>
              </w:tc>
              <w:tc>
                <w:tcPr>
                  <w:tcW w:w="396" w:type="pct"/>
                  <w:vAlign w:val="center"/>
                </w:tcPr>
                <w:p w14:paraId="15D04FA2">
                  <w:pPr>
                    <w:widowControl/>
                    <w:jc w:val="center"/>
                    <w:rPr>
                      <w:rFonts w:hint="eastAsia" w:ascii="宋体" w:hAnsi="宋体" w:cs="宋体"/>
                      <w:color w:val="auto"/>
                      <w:kern w:val="0"/>
                      <w:szCs w:val="21"/>
                    </w:rPr>
                  </w:pPr>
                  <w:r>
                    <w:rPr>
                      <w:rFonts w:hint="eastAsia" w:ascii="宋体" w:hAnsi="宋体" w:cs="宋体"/>
                      <w:color w:val="auto"/>
                      <w:kern w:val="0"/>
                      <w:szCs w:val="21"/>
                    </w:rPr>
                    <w:t>1</w:t>
                  </w:r>
                </w:p>
              </w:tc>
              <w:tc>
                <w:tcPr>
                  <w:tcW w:w="430" w:type="pct"/>
                  <w:vAlign w:val="center"/>
                </w:tcPr>
                <w:p w14:paraId="738BB724">
                  <w:pPr>
                    <w:widowControl/>
                    <w:jc w:val="center"/>
                    <w:rPr>
                      <w:rFonts w:hint="eastAsia" w:ascii="宋体" w:hAnsi="宋体" w:cs="宋体"/>
                      <w:color w:val="auto"/>
                      <w:kern w:val="0"/>
                      <w:szCs w:val="21"/>
                    </w:rPr>
                  </w:pPr>
                  <w:r>
                    <w:rPr>
                      <w:rFonts w:hint="eastAsia" w:ascii="宋体" w:hAnsi="宋体" w:cs="宋体"/>
                      <w:color w:val="auto"/>
                      <w:kern w:val="0"/>
                      <w:szCs w:val="21"/>
                    </w:rPr>
                    <w:t>室内</w:t>
                  </w:r>
                </w:p>
              </w:tc>
              <w:tc>
                <w:tcPr>
                  <w:tcW w:w="460" w:type="pct"/>
                  <w:vAlign w:val="center"/>
                </w:tcPr>
                <w:p w14:paraId="51FDD03F">
                  <w:pPr>
                    <w:widowControl/>
                    <w:jc w:val="center"/>
                    <w:rPr>
                      <w:rFonts w:hint="eastAsia" w:ascii="宋体" w:hAnsi="宋体" w:cs="宋体"/>
                      <w:color w:val="auto"/>
                      <w:kern w:val="0"/>
                      <w:szCs w:val="21"/>
                    </w:rPr>
                  </w:pPr>
                  <w:r>
                    <w:rPr>
                      <w:rFonts w:hint="eastAsia" w:ascii="宋体" w:hAnsi="宋体" w:cs="宋体"/>
                      <w:color w:val="auto"/>
                      <w:szCs w:val="21"/>
                    </w:rPr>
                    <w:t>偶发</w:t>
                  </w:r>
                </w:p>
              </w:tc>
              <w:tc>
                <w:tcPr>
                  <w:tcW w:w="863" w:type="pct"/>
                  <w:vAlign w:val="center"/>
                </w:tcPr>
                <w:p w14:paraId="112AD795">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90</w:t>
                  </w:r>
                </w:p>
              </w:tc>
              <w:tc>
                <w:tcPr>
                  <w:tcW w:w="1171" w:type="pct"/>
                  <w:vMerge w:val="continue"/>
                  <w:vAlign w:val="center"/>
                </w:tcPr>
                <w:p w14:paraId="339D28AD">
                  <w:pPr>
                    <w:jc w:val="center"/>
                    <w:rPr>
                      <w:rFonts w:hint="eastAsia" w:ascii="宋体" w:hAnsi="宋体" w:cs="宋体"/>
                      <w:color w:val="auto"/>
                      <w:szCs w:val="21"/>
                    </w:rPr>
                  </w:pPr>
                </w:p>
              </w:tc>
              <w:tc>
                <w:tcPr>
                  <w:tcW w:w="543" w:type="pct"/>
                  <w:vAlign w:val="center"/>
                </w:tcPr>
                <w:p w14:paraId="2F2E3B82">
                  <w:pPr>
                    <w:pStyle w:val="18"/>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72</w:t>
                  </w:r>
                </w:p>
              </w:tc>
            </w:tr>
            <w:tr w14:paraId="007C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70" w:type="pct"/>
                  <w:vMerge w:val="continue"/>
                  <w:vAlign w:val="center"/>
                </w:tcPr>
                <w:p w14:paraId="702E610D">
                  <w:pPr>
                    <w:jc w:val="center"/>
                    <w:rPr>
                      <w:rFonts w:hint="eastAsia" w:ascii="宋体" w:hAnsi="宋体" w:cs="宋体"/>
                      <w:color w:val="auto"/>
                      <w:szCs w:val="21"/>
                    </w:rPr>
                  </w:pPr>
                </w:p>
              </w:tc>
              <w:tc>
                <w:tcPr>
                  <w:tcW w:w="563" w:type="pct"/>
                  <w:vAlign w:val="center"/>
                </w:tcPr>
                <w:p w14:paraId="3E4E1121">
                  <w:pPr>
                    <w:widowControl/>
                    <w:jc w:val="center"/>
                    <w:rPr>
                      <w:rFonts w:hint="eastAsia" w:ascii="宋体" w:hAnsi="宋体" w:cs="宋体"/>
                      <w:color w:val="auto"/>
                      <w:szCs w:val="21"/>
                    </w:rPr>
                  </w:pPr>
                  <w:r>
                    <w:rPr>
                      <w:rFonts w:hint="eastAsia" w:ascii="宋体" w:hAnsi="宋体" w:cs="宋体"/>
                      <w:color w:val="auto"/>
                      <w:szCs w:val="21"/>
                    </w:rPr>
                    <w:t>风机</w:t>
                  </w:r>
                </w:p>
              </w:tc>
              <w:tc>
                <w:tcPr>
                  <w:tcW w:w="396" w:type="pct"/>
                  <w:vAlign w:val="center"/>
                </w:tcPr>
                <w:p w14:paraId="53F3FDEC">
                  <w:pPr>
                    <w:widowControl/>
                    <w:jc w:val="center"/>
                    <w:rPr>
                      <w:rFonts w:hint="eastAsia" w:ascii="宋体" w:hAnsi="宋体" w:cs="宋体"/>
                      <w:color w:val="auto"/>
                      <w:kern w:val="0"/>
                      <w:szCs w:val="21"/>
                    </w:rPr>
                  </w:pPr>
                  <w:r>
                    <w:rPr>
                      <w:rFonts w:hint="eastAsia" w:ascii="宋体" w:hAnsi="宋体" w:cs="宋体"/>
                      <w:color w:val="auto"/>
                      <w:kern w:val="0"/>
                      <w:szCs w:val="21"/>
                    </w:rPr>
                    <w:t>1</w:t>
                  </w:r>
                </w:p>
              </w:tc>
              <w:tc>
                <w:tcPr>
                  <w:tcW w:w="430" w:type="pct"/>
                  <w:vAlign w:val="center"/>
                </w:tcPr>
                <w:p w14:paraId="526125E4">
                  <w:pPr>
                    <w:widowControl/>
                    <w:jc w:val="center"/>
                    <w:rPr>
                      <w:rFonts w:hint="eastAsia" w:ascii="宋体" w:hAnsi="宋体" w:cs="宋体"/>
                      <w:color w:val="auto"/>
                      <w:kern w:val="0"/>
                      <w:szCs w:val="21"/>
                    </w:rPr>
                  </w:pPr>
                  <w:r>
                    <w:rPr>
                      <w:rFonts w:hint="eastAsia" w:ascii="宋体" w:hAnsi="宋体" w:cs="宋体"/>
                      <w:color w:val="auto"/>
                      <w:kern w:val="0"/>
                      <w:szCs w:val="21"/>
                    </w:rPr>
                    <w:t>室内</w:t>
                  </w:r>
                </w:p>
              </w:tc>
              <w:tc>
                <w:tcPr>
                  <w:tcW w:w="460" w:type="pct"/>
                  <w:vAlign w:val="center"/>
                </w:tcPr>
                <w:p w14:paraId="73F78FE4">
                  <w:pPr>
                    <w:widowControl/>
                    <w:jc w:val="center"/>
                    <w:rPr>
                      <w:rFonts w:hint="eastAsia" w:ascii="宋体" w:hAnsi="宋体" w:cs="宋体"/>
                      <w:color w:val="auto"/>
                      <w:szCs w:val="21"/>
                    </w:rPr>
                  </w:pPr>
                  <w:r>
                    <w:rPr>
                      <w:rFonts w:hint="eastAsia" w:ascii="宋体" w:hAnsi="宋体" w:cs="宋体"/>
                      <w:color w:val="auto"/>
                      <w:szCs w:val="21"/>
                    </w:rPr>
                    <w:t>偶发</w:t>
                  </w:r>
                </w:p>
              </w:tc>
              <w:tc>
                <w:tcPr>
                  <w:tcW w:w="863" w:type="pct"/>
                  <w:vAlign w:val="center"/>
                </w:tcPr>
                <w:p w14:paraId="7B580587">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85</w:t>
                  </w:r>
                </w:p>
              </w:tc>
              <w:tc>
                <w:tcPr>
                  <w:tcW w:w="1171" w:type="pct"/>
                  <w:vMerge w:val="continue"/>
                  <w:vAlign w:val="center"/>
                </w:tcPr>
                <w:p w14:paraId="7AD8F4DD">
                  <w:pPr>
                    <w:jc w:val="center"/>
                    <w:rPr>
                      <w:rFonts w:hint="eastAsia" w:ascii="宋体" w:hAnsi="宋体" w:cs="宋体"/>
                      <w:color w:val="auto"/>
                      <w:szCs w:val="21"/>
                    </w:rPr>
                  </w:pPr>
                </w:p>
              </w:tc>
              <w:tc>
                <w:tcPr>
                  <w:tcW w:w="543" w:type="pct"/>
                  <w:vAlign w:val="center"/>
                </w:tcPr>
                <w:p w14:paraId="7036C6FB">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72</w:t>
                  </w:r>
                </w:p>
              </w:tc>
            </w:tr>
          </w:tbl>
          <w:p w14:paraId="43303B67">
            <w:pPr>
              <w:pStyle w:val="31"/>
              <w:spacing w:before="0" w:after="0" w:line="360" w:lineRule="auto"/>
              <w:ind w:right="0" w:firstLine="0" w:firstLineChars="0"/>
              <w:jc w:val="center"/>
              <w:rPr>
                <w:color w:val="auto"/>
                <w:sz w:val="24"/>
              </w:rPr>
            </w:pPr>
            <w:r>
              <w:rPr>
                <w:rFonts w:hint="eastAsia"/>
                <w:b/>
                <w:color w:val="auto"/>
                <w:sz w:val="24"/>
              </w:rPr>
              <w:t>表4-23 本项目（四街卫生院）高噪声设备源强及采取的降噪措施</w:t>
            </w:r>
          </w:p>
          <w:tbl>
            <w:tblPr>
              <w:tblStyle w:val="33"/>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46"/>
              <w:gridCol w:w="665"/>
              <w:gridCol w:w="722"/>
              <w:gridCol w:w="772"/>
              <w:gridCol w:w="1409"/>
              <w:gridCol w:w="1998"/>
              <w:gridCol w:w="919"/>
            </w:tblGrid>
            <w:tr w14:paraId="4FF1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restart"/>
                  <w:vAlign w:val="center"/>
                </w:tcPr>
                <w:p w14:paraId="2C63C5F9">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工序</w:t>
                  </w:r>
                </w:p>
              </w:tc>
              <w:tc>
                <w:tcPr>
                  <w:tcW w:w="563" w:type="pct"/>
                  <w:vMerge w:val="restart"/>
                  <w:vAlign w:val="center"/>
                </w:tcPr>
                <w:p w14:paraId="0AAEA173">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噪声源</w:t>
                  </w:r>
                </w:p>
              </w:tc>
              <w:tc>
                <w:tcPr>
                  <w:tcW w:w="396" w:type="pct"/>
                  <w:vMerge w:val="restart"/>
                  <w:vAlign w:val="center"/>
                </w:tcPr>
                <w:p w14:paraId="687470E6">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数量</w:t>
                  </w:r>
                </w:p>
              </w:tc>
              <w:tc>
                <w:tcPr>
                  <w:tcW w:w="430" w:type="pct"/>
                  <w:vMerge w:val="restart"/>
                  <w:vAlign w:val="center"/>
                </w:tcPr>
                <w:p w14:paraId="561C0344">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声源位置</w:t>
                  </w:r>
                </w:p>
              </w:tc>
              <w:tc>
                <w:tcPr>
                  <w:tcW w:w="460" w:type="pct"/>
                  <w:vMerge w:val="restart"/>
                  <w:vAlign w:val="center"/>
                </w:tcPr>
                <w:p w14:paraId="0BB62E22">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声源类型</w:t>
                  </w:r>
                </w:p>
              </w:tc>
              <w:tc>
                <w:tcPr>
                  <w:tcW w:w="839" w:type="pct"/>
                  <w:vAlign w:val="center"/>
                </w:tcPr>
                <w:p w14:paraId="67148D70">
                  <w:pPr>
                    <w:jc w:val="center"/>
                    <w:rPr>
                      <w:rFonts w:hint="eastAsia" w:ascii="宋体" w:hAnsi="宋体" w:cs="宋体"/>
                      <w:b/>
                      <w:bCs/>
                      <w:color w:val="auto"/>
                      <w:kern w:val="0"/>
                      <w:szCs w:val="21"/>
                    </w:rPr>
                  </w:pPr>
                  <w:r>
                    <w:rPr>
                      <w:rFonts w:hint="eastAsia" w:ascii="宋体" w:hAnsi="宋体" w:cs="宋体"/>
                      <w:b/>
                      <w:bCs/>
                      <w:color w:val="auto"/>
                      <w:szCs w:val="21"/>
                    </w:rPr>
                    <w:t>声源源强</w:t>
                  </w:r>
                </w:p>
              </w:tc>
              <w:tc>
                <w:tcPr>
                  <w:tcW w:w="1190" w:type="pct"/>
                  <w:vMerge w:val="restart"/>
                  <w:vAlign w:val="center"/>
                </w:tcPr>
                <w:p w14:paraId="1A82FFA5">
                  <w:pPr>
                    <w:jc w:val="center"/>
                    <w:rPr>
                      <w:rFonts w:hint="eastAsia" w:ascii="宋体" w:hAnsi="宋体" w:cs="宋体"/>
                      <w:b/>
                      <w:bCs/>
                      <w:color w:val="auto"/>
                      <w:kern w:val="0"/>
                      <w:szCs w:val="21"/>
                    </w:rPr>
                  </w:pPr>
                  <w:r>
                    <w:rPr>
                      <w:rFonts w:hint="eastAsia" w:ascii="宋体" w:hAnsi="宋体" w:cs="宋体"/>
                      <w:b/>
                      <w:bCs/>
                      <w:color w:val="auto"/>
                      <w:kern w:val="0"/>
                      <w:szCs w:val="21"/>
                    </w:rPr>
                    <w:t>源强数据来源</w:t>
                  </w:r>
                </w:p>
              </w:tc>
              <w:tc>
                <w:tcPr>
                  <w:tcW w:w="548" w:type="pct"/>
                  <w:vMerge w:val="restart"/>
                  <w:vAlign w:val="center"/>
                </w:tcPr>
                <w:p w14:paraId="2E961D62">
                  <w:pPr>
                    <w:jc w:val="center"/>
                    <w:rPr>
                      <w:rFonts w:hint="eastAsia" w:ascii="宋体" w:hAnsi="宋体" w:cs="宋体"/>
                      <w:b/>
                      <w:bCs/>
                      <w:color w:val="auto"/>
                      <w:kern w:val="0"/>
                      <w:szCs w:val="21"/>
                    </w:rPr>
                  </w:pPr>
                  <w:r>
                    <w:rPr>
                      <w:rFonts w:hint="eastAsia" w:ascii="宋体" w:hAnsi="宋体" w:cs="宋体"/>
                      <w:b/>
                      <w:bCs/>
                      <w:color w:val="auto"/>
                      <w:kern w:val="0"/>
                      <w:szCs w:val="21"/>
                    </w:rPr>
                    <w:t>运行时间/h</w:t>
                  </w:r>
                </w:p>
              </w:tc>
            </w:tr>
            <w:tr w14:paraId="2A99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continue"/>
                  <w:vAlign w:val="center"/>
                </w:tcPr>
                <w:p w14:paraId="1030FEF9">
                  <w:pPr>
                    <w:pStyle w:val="18"/>
                    <w:jc w:val="center"/>
                    <w:rPr>
                      <w:rFonts w:hint="eastAsia" w:ascii="宋体" w:hAnsi="宋体" w:eastAsia="宋体" w:cs="宋体"/>
                      <w:color w:val="auto"/>
                      <w:sz w:val="21"/>
                      <w:szCs w:val="21"/>
                    </w:rPr>
                  </w:pPr>
                </w:p>
              </w:tc>
              <w:tc>
                <w:tcPr>
                  <w:tcW w:w="563" w:type="pct"/>
                  <w:vMerge w:val="continue"/>
                  <w:vAlign w:val="center"/>
                </w:tcPr>
                <w:p w14:paraId="42B258C5">
                  <w:pPr>
                    <w:pStyle w:val="18"/>
                    <w:jc w:val="center"/>
                    <w:rPr>
                      <w:rFonts w:hint="eastAsia" w:ascii="宋体" w:hAnsi="宋体" w:eastAsia="宋体" w:cs="宋体"/>
                      <w:color w:val="auto"/>
                      <w:sz w:val="21"/>
                      <w:szCs w:val="21"/>
                    </w:rPr>
                  </w:pPr>
                </w:p>
              </w:tc>
              <w:tc>
                <w:tcPr>
                  <w:tcW w:w="396" w:type="pct"/>
                  <w:vMerge w:val="continue"/>
                  <w:vAlign w:val="center"/>
                </w:tcPr>
                <w:p w14:paraId="4F044DE4">
                  <w:pPr>
                    <w:pStyle w:val="18"/>
                    <w:jc w:val="center"/>
                    <w:rPr>
                      <w:rFonts w:hint="eastAsia" w:ascii="宋体" w:hAnsi="宋体" w:eastAsia="宋体" w:cs="宋体"/>
                      <w:color w:val="auto"/>
                      <w:sz w:val="21"/>
                      <w:szCs w:val="21"/>
                    </w:rPr>
                  </w:pPr>
                </w:p>
              </w:tc>
              <w:tc>
                <w:tcPr>
                  <w:tcW w:w="430" w:type="pct"/>
                  <w:vMerge w:val="continue"/>
                  <w:vAlign w:val="center"/>
                </w:tcPr>
                <w:p w14:paraId="732CF2E0">
                  <w:pPr>
                    <w:pStyle w:val="18"/>
                    <w:jc w:val="center"/>
                    <w:rPr>
                      <w:rFonts w:hint="eastAsia" w:ascii="宋体" w:hAnsi="宋体" w:eastAsia="宋体" w:cs="宋体"/>
                      <w:color w:val="auto"/>
                      <w:sz w:val="21"/>
                      <w:szCs w:val="21"/>
                    </w:rPr>
                  </w:pPr>
                </w:p>
              </w:tc>
              <w:tc>
                <w:tcPr>
                  <w:tcW w:w="460" w:type="pct"/>
                  <w:vMerge w:val="continue"/>
                  <w:vAlign w:val="center"/>
                </w:tcPr>
                <w:p w14:paraId="1E6E6D6B">
                  <w:pPr>
                    <w:pStyle w:val="18"/>
                    <w:jc w:val="center"/>
                    <w:rPr>
                      <w:rFonts w:hint="eastAsia" w:ascii="宋体" w:hAnsi="宋体" w:eastAsia="宋体" w:cs="宋体"/>
                      <w:color w:val="auto"/>
                      <w:sz w:val="21"/>
                      <w:szCs w:val="21"/>
                    </w:rPr>
                  </w:pPr>
                </w:p>
              </w:tc>
              <w:tc>
                <w:tcPr>
                  <w:tcW w:w="839" w:type="pct"/>
                  <w:vAlign w:val="center"/>
                </w:tcPr>
                <w:p w14:paraId="0D686709">
                  <w:pPr>
                    <w:jc w:val="center"/>
                    <w:rPr>
                      <w:rFonts w:hint="eastAsia" w:ascii="宋体" w:hAnsi="宋体" w:cs="宋体"/>
                      <w:b/>
                      <w:bCs/>
                      <w:color w:val="auto"/>
                      <w:kern w:val="0"/>
                      <w:szCs w:val="21"/>
                    </w:rPr>
                  </w:pPr>
                  <w:r>
                    <w:rPr>
                      <w:rFonts w:hint="eastAsia" w:ascii="宋体" w:hAnsi="宋体" w:cs="宋体"/>
                      <w:b/>
                      <w:bCs/>
                      <w:color w:val="auto"/>
                      <w:szCs w:val="21"/>
                    </w:rPr>
                    <w:t>（声压级/距声源距）/(dB(A)/1m)</w:t>
                  </w:r>
                </w:p>
              </w:tc>
              <w:tc>
                <w:tcPr>
                  <w:tcW w:w="1190" w:type="pct"/>
                  <w:vMerge w:val="continue"/>
                  <w:vAlign w:val="center"/>
                </w:tcPr>
                <w:p w14:paraId="79456A7B">
                  <w:pPr>
                    <w:pStyle w:val="18"/>
                    <w:jc w:val="center"/>
                    <w:rPr>
                      <w:rFonts w:hint="eastAsia" w:ascii="宋体" w:hAnsi="宋体" w:eastAsia="宋体" w:cs="宋体"/>
                      <w:b/>
                      <w:bCs/>
                      <w:color w:val="auto"/>
                      <w:kern w:val="0"/>
                      <w:sz w:val="21"/>
                      <w:szCs w:val="21"/>
                    </w:rPr>
                  </w:pPr>
                </w:p>
              </w:tc>
              <w:tc>
                <w:tcPr>
                  <w:tcW w:w="548" w:type="pct"/>
                  <w:vMerge w:val="continue"/>
                  <w:vAlign w:val="center"/>
                </w:tcPr>
                <w:p w14:paraId="7712E2F2">
                  <w:pPr>
                    <w:pStyle w:val="18"/>
                    <w:jc w:val="center"/>
                    <w:rPr>
                      <w:rFonts w:hint="eastAsia" w:ascii="宋体" w:hAnsi="宋体" w:eastAsia="宋体" w:cs="宋体"/>
                      <w:b/>
                      <w:bCs/>
                      <w:color w:val="auto"/>
                      <w:kern w:val="0"/>
                      <w:sz w:val="21"/>
                      <w:szCs w:val="21"/>
                    </w:rPr>
                  </w:pPr>
                </w:p>
              </w:tc>
            </w:tr>
            <w:tr w14:paraId="4806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restart"/>
                  <w:vAlign w:val="center"/>
                </w:tcPr>
                <w:p w14:paraId="58C23663">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污水处理站</w:t>
                  </w:r>
                </w:p>
              </w:tc>
              <w:tc>
                <w:tcPr>
                  <w:tcW w:w="563" w:type="pct"/>
                  <w:vAlign w:val="center"/>
                </w:tcPr>
                <w:p w14:paraId="2DAD4C15">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污水处理系统水泵</w:t>
                  </w:r>
                </w:p>
              </w:tc>
              <w:tc>
                <w:tcPr>
                  <w:tcW w:w="396" w:type="pct"/>
                  <w:vAlign w:val="center"/>
                </w:tcPr>
                <w:p w14:paraId="6C4C8C7B">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30" w:type="pct"/>
                  <w:vAlign w:val="center"/>
                </w:tcPr>
                <w:p w14:paraId="4FB63621">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1C477C1D">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7D711C21">
                  <w:pPr>
                    <w:jc w:val="center"/>
                    <w:rPr>
                      <w:rFonts w:hint="eastAsia" w:ascii="宋体" w:hAnsi="宋体" w:cs="宋体"/>
                      <w:color w:val="auto"/>
                      <w:szCs w:val="21"/>
                    </w:rPr>
                  </w:pPr>
                  <w:r>
                    <w:rPr>
                      <w:rFonts w:hint="eastAsia" w:ascii="宋体" w:hAnsi="宋体" w:cs="宋体"/>
                      <w:color w:val="auto"/>
                      <w:kern w:val="0"/>
                      <w:szCs w:val="21"/>
                    </w:rPr>
                    <w:t>85</w:t>
                  </w:r>
                </w:p>
              </w:tc>
              <w:tc>
                <w:tcPr>
                  <w:tcW w:w="1190" w:type="pct"/>
                  <w:vMerge w:val="restart"/>
                  <w:vAlign w:val="center"/>
                </w:tcPr>
                <w:p w14:paraId="775115A5">
                  <w:pPr>
                    <w:jc w:val="center"/>
                    <w:rPr>
                      <w:rFonts w:hint="eastAsia" w:ascii="宋体" w:hAnsi="宋体" w:cs="宋体"/>
                      <w:color w:val="auto"/>
                      <w:kern w:val="0"/>
                      <w:szCs w:val="21"/>
                    </w:rPr>
                  </w:pPr>
                  <w:r>
                    <w:rPr>
                      <w:rFonts w:hint="eastAsia" w:ascii="宋体" w:hAnsi="宋体" w:cs="宋体"/>
                      <w:color w:val="auto"/>
                      <w:szCs w:val="21"/>
                    </w:rPr>
                    <w:t>参考《污染源源强核算技术指南》各行业技术指南附录中相关设备声源源强资料</w:t>
                  </w:r>
                </w:p>
              </w:tc>
              <w:tc>
                <w:tcPr>
                  <w:tcW w:w="548" w:type="pct"/>
                  <w:vAlign w:val="center"/>
                </w:tcPr>
                <w:p w14:paraId="7CB85E4A">
                  <w:pPr>
                    <w:pStyle w:val="18"/>
                    <w:jc w:val="center"/>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8760</w:t>
                  </w:r>
                </w:p>
              </w:tc>
            </w:tr>
            <w:tr w14:paraId="2FF4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continue"/>
                  <w:vAlign w:val="center"/>
                </w:tcPr>
                <w:p w14:paraId="2F09AD48">
                  <w:pPr>
                    <w:pStyle w:val="18"/>
                    <w:jc w:val="center"/>
                    <w:rPr>
                      <w:rFonts w:hint="eastAsia" w:ascii="宋体" w:hAnsi="宋体" w:eastAsia="宋体" w:cs="宋体"/>
                      <w:color w:val="auto"/>
                      <w:sz w:val="21"/>
                      <w:szCs w:val="21"/>
                    </w:rPr>
                  </w:pPr>
                </w:p>
              </w:tc>
              <w:tc>
                <w:tcPr>
                  <w:tcW w:w="563" w:type="pct"/>
                  <w:vAlign w:val="center"/>
                </w:tcPr>
                <w:p w14:paraId="21495D9A">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风机</w:t>
                  </w:r>
                </w:p>
              </w:tc>
              <w:tc>
                <w:tcPr>
                  <w:tcW w:w="396" w:type="pct"/>
                  <w:vAlign w:val="center"/>
                </w:tcPr>
                <w:p w14:paraId="1698AA80">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30" w:type="pct"/>
                  <w:vAlign w:val="center"/>
                </w:tcPr>
                <w:p w14:paraId="79D1A3E6">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7A899F9E">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0CBD745A">
                  <w:pPr>
                    <w:jc w:val="center"/>
                    <w:rPr>
                      <w:rFonts w:hint="eastAsia" w:ascii="宋体" w:hAnsi="宋体" w:cs="宋体"/>
                      <w:color w:val="auto"/>
                      <w:kern w:val="0"/>
                      <w:szCs w:val="21"/>
                    </w:rPr>
                  </w:pPr>
                  <w:r>
                    <w:rPr>
                      <w:rFonts w:hint="eastAsia" w:ascii="宋体" w:hAnsi="宋体" w:cs="宋体"/>
                      <w:color w:val="auto"/>
                      <w:kern w:val="0"/>
                      <w:szCs w:val="21"/>
                    </w:rPr>
                    <w:t>85</w:t>
                  </w:r>
                </w:p>
              </w:tc>
              <w:tc>
                <w:tcPr>
                  <w:tcW w:w="1190" w:type="pct"/>
                  <w:vMerge w:val="continue"/>
                  <w:vAlign w:val="center"/>
                </w:tcPr>
                <w:p w14:paraId="5B254F39">
                  <w:pPr>
                    <w:jc w:val="center"/>
                    <w:rPr>
                      <w:rFonts w:hint="eastAsia" w:ascii="宋体" w:hAnsi="宋体" w:cs="宋体"/>
                      <w:color w:val="auto"/>
                      <w:szCs w:val="21"/>
                    </w:rPr>
                  </w:pPr>
                </w:p>
              </w:tc>
              <w:tc>
                <w:tcPr>
                  <w:tcW w:w="548" w:type="pct"/>
                  <w:vAlign w:val="center"/>
                </w:tcPr>
                <w:p w14:paraId="415D3631">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8760</w:t>
                  </w:r>
                </w:p>
              </w:tc>
            </w:tr>
          </w:tbl>
          <w:p w14:paraId="3EAC463E">
            <w:pPr>
              <w:pStyle w:val="31"/>
              <w:spacing w:before="0" w:after="0" w:line="360" w:lineRule="auto"/>
              <w:ind w:right="0" w:firstLine="0" w:firstLineChars="0"/>
              <w:jc w:val="center"/>
              <w:rPr>
                <w:rFonts w:hint="eastAsia"/>
                <w:b/>
                <w:color w:val="auto"/>
                <w:sz w:val="24"/>
              </w:rPr>
            </w:pPr>
          </w:p>
          <w:p w14:paraId="37F92BCD">
            <w:pPr>
              <w:pStyle w:val="31"/>
              <w:spacing w:before="0" w:after="0" w:line="360" w:lineRule="auto"/>
              <w:ind w:right="0" w:firstLine="0" w:firstLineChars="0"/>
              <w:jc w:val="center"/>
              <w:rPr>
                <w:rFonts w:hint="eastAsia"/>
                <w:b/>
                <w:color w:val="auto"/>
                <w:sz w:val="24"/>
              </w:rPr>
            </w:pPr>
          </w:p>
          <w:p w14:paraId="610E4D0A">
            <w:pPr>
              <w:pStyle w:val="31"/>
              <w:spacing w:before="0" w:after="0" w:line="360" w:lineRule="auto"/>
              <w:ind w:right="0" w:firstLine="0" w:firstLineChars="0"/>
              <w:jc w:val="center"/>
              <w:rPr>
                <w:rFonts w:hint="eastAsia"/>
                <w:b/>
                <w:color w:val="auto"/>
                <w:sz w:val="24"/>
              </w:rPr>
            </w:pPr>
          </w:p>
          <w:p w14:paraId="5DBECB3B">
            <w:pPr>
              <w:pStyle w:val="31"/>
              <w:spacing w:before="0" w:after="0" w:line="360" w:lineRule="auto"/>
              <w:ind w:right="0" w:firstLine="0" w:firstLineChars="0"/>
              <w:jc w:val="center"/>
              <w:rPr>
                <w:rFonts w:hint="eastAsia"/>
                <w:b/>
                <w:color w:val="auto"/>
                <w:sz w:val="24"/>
              </w:rPr>
            </w:pPr>
          </w:p>
          <w:p w14:paraId="5E419313">
            <w:pPr>
              <w:pStyle w:val="31"/>
              <w:spacing w:before="0" w:after="0" w:line="360" w:lineRule="auto"/>
              <w:ind w:right="0" w:firstLine="0" w:firstLineChars="0"/>
              <w:jc w:val="center"/>
              <w:rPr>
                <w:color w:val="auto"/>
                <w:sz w:val="24"/>
              </w:rPr>
            </w:pPr>
            <w:r>
              <w:rPr>
                <w:rFonts w:hint="eastAsia"/>
                <w:b/>
                <w:color w:val="auto"/>
                <w:sz w:val="24"/>
              </w:rPr>
              <w:t>表4-21本项目（九龙卫生院）高噪声设备源强及采取的降噪措施</w:t>
            </w:r>
          </w:p>
          <w:tbl>
            <w:tblPr>
              <w:tblStyle w:val="33"/>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46"/>
              <w:gridCol w:w="665"/>
              <w:gridCol w:w="722"/>
              <w:gridCol w:w="772"/>
              <w:gridCol w:w="1409"/>
              <w:gridCol w:w="1998"/>
              <w:gridCol w:w="919"/>
            </w:tblGrid>
            <w:tr w14:paraId="1BCC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restart"/>
                  <w:vAlign w:val="center"/>
                </w:tcPr>
                <w:p w14:paraId="14B43445">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工序</w:t>
                  </w:r>
                </w:p>
              </w:tc>
              <w:tc>
                <w:tcPr>
                  <w:tcW w:w="563" w:type="pct"/>
                  <w:vMerge w:val="restart"/>
                  <w:vAlign w:val="center"/>
                </w:tcPr>
                <w:p w14:paraId="6045F1EA">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噪声源</w:t>
                  </w:r>
                </w:p>
              </w:tc>
              <w:tc>
                <w:tcPr>
                  <w:tcW w:w="396" w:type="pct"/>
                  <w:vMerge w:val="restart"/>
                  <w:vAlign w:val="center"/>
                </w:tcPr>
                <w:p w14:paraId="765E7658">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数量</w:t>
                  </w:r>
                </w:p>
              </w:tc>
              <w:tc>
                <w:tcPr>
                  <w:tcW w:w="430" w:type="pct"/>
                  <w:vMerge w:val="restart"/>
                  <w:vAlign w:val="center"/>
                </w:tcPr>
                <w:p w14:paraId="20EF1418">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声源位置</w:t>
                  </w:r>
                </w:p>
              </w:tc>
              <w:tc>
                <w:tcPr>
                  <w:tcW w:w="460" w:type="pct"/>
                  <w:vMerge w:val="restart"/>
                  <w:vAlign w:val="center"/>
                </w:tcPr>
                <w:p w14:paraId="0EE29598">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声源类型</w:t>
                  </w:r>
                </w:p>
              </w:tc>
              <w:tc>
                <w:tcPr>
                  <w:tcW w:w="839" w:type="pct"/>
                  <w:vAlign w:val="center"/>
                </w:tcPr>
                <w:p w14:paraId="25919687">
                  <w:pPr>
                    <w:jc w:val="center"/>
                    <w:rPr>
                      <w:rFonts w:hint="eastAsia" w:ascii="宋体" w:hAnsi="宋体" w:cs="宋体"/>
                      <w:b/>
                      <w:bCs/>
                      <w:color w:val="auto"/>
                      <w:kern w:val="0"/>
                      <w:szCs w:val="21"/>
                    </w:rPr>
                  </w:pPr>
                  <w:r>
                    <w:rPr>
                      <w:rFonts w:hint="eastAsia" w:ascii="宋体" w:hAnsi="宋体" w:cs="宋体"/>
                      <w:b/>
                      <w:bCs/>
                      <w:color w:val="auto"/>
                      <w:szCs w:val="21"/>
                    </w:rPr>
                    <w:t>声源源强</w:t>
                  </w:r>
                </w:p>
              </w:tc>
              <w:tc>
                <w:tcPr>
                  <w:tcW w:w="1190" w:type="pct"/>
                  <w:vMerge w:val="restart"/>
                  <w:vAlign w:val="center"/>
                </w:tcPr>
                <w:p w14:paraId="5D487642">
                  <w:pPr>
                    <w:jc w:val="center"/>
                    <w:rPr>
                      <w:rFonts w:hint="eastAsia" w:ascii="宋体" w:hAnsi="宋体" w:cs="宋体"/>
                      <w:b/>
                      <w:bCs/>
                      <w:color w:val="auto"/>
                      <w:kern w:val="0"/>
                      <w:szCs w:val="21"/>
                    </w:rPr>
                  </w:pPr>
                  <w:r>
                    <w:rPr>
                      <w:rFonts w:hint="eastAsia" w:ascii="宋体" w:hAnsi="宋体" w:cs="宋体"/>
                      <w:b/>
                      <w:bCs/>
                      <w:color w:val="auto"/>
                      <w:kern w:val="0"/>
                      <w:szCs w:val="21"/>
                    </w:rPr>
                    <w:t>源强数据来源</w:t>
                  </w:r>
                </w:p>
              </w:tc>
              <w:tc>
                <w:tcPr>
                  <w:tcW w:w="548" w:type="pct"/>
                  <w:vMerge w:val="restart"/>
                  <w:vAlign w:val="center"/>
                </w:tcPr>
                <w:p w14:paraId="3FEDAB2D">
                  <w:pPr>
                    <w:jc w:val="center"/>
                    <w:rPr>
                      <w:rFonts w:hint="eastAsia" w:ascii="宋体" w:hAnsi="宋体" w:cs="宋体"/>
                      <w:b/>
                      <w:bCs/>
                      <w:color w:val="auto"/>
                      <w:kern w:val="0"/>
                      <w:szCs w:val="21"/>
                    </w:rPr>
                  </w:pPr>
                  <w:r>
                    <w:rPr>
                      <w:rFonts w:hint="eastAsia" w:ascii="宋体" w:hAnsi="宋体" w:cs="宋体"/>
                      <w:b/>
                      <w:bCs/>
                      <w:color w:val="auto"/>
                      <w:kern w:val="0"/>
                      <w:szCs w:val="21"/>
                    </w:rPr>
                    <w:t>运行时间/h</w:t>
                  </w:r>
                </w:p>
              </w:tc>
            </w:tr>
            <w:tr w14:paraId="75CE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continue"/>
                  <w:vAlign w:val="center"/>
                </w:tcPr>
                <w:p w14:paraId="17BEFC8F">
                  <w:pPr>
                    <w:pStyle w:val="18"/>
                    <w:jc w:val="center"/>
                    <w:rPr>
                      <w:rFonts w:hint="eastAsia" w:ascii="宋体" w:hAnsi="宋体" w:eastAsia="宋体" w:cs="宋体"/>
                      <w:color w:val="auto"/>
                      <w:sz w:val="21"/>
                      <w:szCs w:val="21"/>
                    </w:rPr>
                  </w:pPr>
                </w:p>
              </w:tc>
              <w:tc>
                <w:tcPr>
                  <w:tcW w:w="563" w:type="pct"/>
                  <w:vMerge w:val="continue"/>
                  <w:vAlign w:val="center"/>
                </w:tcPr>
                <w:p w14:paraId="14EBC841">
                  <w:pPr>
                    <w:pStyle w:val="18"/>
                    <w:jc w:val="center"/>
                    <w:rPr>
                      <w:rFonts w:hint="eastAsia" w:ascii="宋体" w:hAnsi="宋体" w:eastAsia="宋体" w:cs="宋体"/>
                      <w:color w:val="auto"/>
                      <w:sz w:val="21"/>
                      <w:szCs w:val="21"/>
                    </w:rPr>
                  </w:pPr>
                </w:p>
              </w:tc>
              <w:tc>
                <w:tcPr>
                  <w:tcW w:w="396" w:type="pct"/>
                  <w:vMerge w:val="continue"/>
                  <w:vAlign w:val="center"/>
                </w:tcPr>
                <w:p w14:paraId="346E11F9">
                  <w:pPr>
                    <w:pStyle w:val="18"/>
                    <w:jc w:val="center"/>
                    <w:rPr>
                      <w:rFonts w:hint="eastAsia" w:ascii="宋体" w:hAnsi="宋体" w:eastAsia="宋体" w:cs="宋体"/>
                      <w:color w:val="auto"/>
                      <w:sz w:val="21"/>
                      <w:szCs w:val="21"/>
                    </w:rPr>
                  </w:pPr>
                </w:p>
              </w:tc>
              <w:tc>
                <w:tcPr>
                  <w:tcW w:w="430" w:type="pct"/>
                  <w:vMerge w:val="continue"/>
                  <w:vAlign w:val="center"/>
                </w:tcPr>
                <w:p w14:paraId="7DB4454F">
                  <w:pPr>
                    <w:pStyle w:val="18"/>
                    <w:jc w:val="center"/>
                    <w:rPr>
                      <w:rFonts w:hint="eastAsia" w:ascii="宋体" w:hAnsi="宋体" w:eastAsia="宋体" w:cs="宋体"/>
                      <w:color w:val="auto"/>
                      <w:sz w:val="21"/>
                      <w:szCs w:val="21"/>
                    </w:rPr>
                  </w:pPr>
                </w:p>
              </w:tc>
              <w:tc>
                <w:tcPr>
                  <w:tcW w:w="460" w:type="pct"/>
                  <w:vMerge w:val="continue"/>
                  <w:vAlign w:val="center"/>
                </w:tcPr>
                <w:p w14:paraId="07D3EF53">
                  <w:pPr>
                    <w:pStyle w:val="18"/>
                    <w:jc w:val="center"/>
                    <w:rPr>
                      <w:rFonts w:hint="eastAsia" w:ascii="宋体" w:hAnsi="宋体" w:eastAsia="宋体" w:cs="宋体"/>
                      <w:color w:val="auto"/>
                      <w:sz w:val="21"/>
                      <w:szCs w:val="21"/>
                    </w:rPr>
                  </w:pPr>
                </w:p>
              </w:tc>
              <w:tc>
                <w:tcPr>
                  <w:tcW w:w="839" w:type="pct"/>
                  <w:vAlign w:val="center"/>
                </w:tcPr>
                <w:p w14:paraId="6890EDEF">
                  <w:pPr>
                    <w:jc w:val="center"/>
                    <w:rPr>
                      <w:rFonts w:hint="eastAsia" w:ascii="宋体" w:hAnsi="宋体" w:cs="宋体"/>
                      <w:b/>
                      <w:bCs/>
                      <w:color w:val="auto"/>
                      <w:kern w:val="0"/>
                      <w:szCs w:val="21"/>
                    </w:rPr>
                  </w:pPr>
                  <w:r>
                    <w:rPr>
                      <w:rFonts w:hint="eastAsia" w:ascii="宋体" w:hAnsi="宋体" w:cs="宋体"/>
                      <w:b/>
                      <w:bCs/>
                      <w:color w:val="auto"/>
                      <w:szCs w:val="21"/>
                    </w:rPr>
                    <w:t>（声压级/距声源距）/(dB(A)/1m)</w:t>
                  </w:r>
                </w:p>
              </w:tc>
              <w:tc>
                <w:tcPr>
                  <w:tcW w:w="1190" w:type="pct"/>
                  <w:vMerge w:val="continue"/>
                  <w:vAlign w:val="center"/>
                </w:tcPr>
                <w:p w14:paraId="1B04DF2A">
                  <w:pPr>
                    <w:pStyle w:val="18"/>
                    <w:jc w:val="center"/>
                    <w:rPr>
                      <w:rFonts w:hint="eastAsia" w:ascii="宋体" w:hAnsi="宋体" w:eastAsia="宋体" w:cs="宋体"/>
                      <w:b/>
                      <w:bCs/>
                      <w:color w:val="auto"/>
                      <w:kern w:val="0"/>
                      <w:sz w:val="21"/>
                      <w:szCs w:val="21"/>
                    </w:rPr>
                  </w:pPr>
                </w:p>
              </w:tc>
              <w:tc>
                <w:tcPr>
                  <w:tcW w:w="548" w:type="pct"/>
                  <w:vMerge w:val="continue"/>
                  <w:vAlign w:val="center"/>
                </w:tcPr>
                <w:p w14:paraId="24F212F8">
                  <w:pPr>
                    <w:pStyle w:val="18"/>
                    <w:jc w:val="center"/>
                    <w:rPr>
                      <w:rFonts w:hint="eastAsia" w:ascii="宋体" w:hAnsi="宋体" w:eastAsia="宋体" w:cs="宋体"/>
                      <w:b/>
                      <w:bCs/>
                      <w:color w:val="auto"/>
                      <w:kern w:val="0"/>
                      <w:sz w:val="21"/>
                      <w:szCs w:val="21"/>
                    </w:rPr>
                  </w:pPr>
                </w:p>
              </w:tc>
            </w:tr>
            <w:tr w14:paraId="2A5D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restart"/>
                  <w:vAlign w:val="center"/>
                </w:tcPr>
                <w:p w14:paraId="0DA6D857">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污水处理站</w:t>
                  </w:r>
                </w:p>
              </w:tc>
              <w:tc>
                <w:tcPr>
                  <w:tcW w:w="563" w:type="pct"/>
                  <w:vAlign w:val="center"/>
                </w:tcPr>
                <w:p w14:paraId="54C632FB">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污水处理系统水泵</w:t>
                  </w:r>
                </w:p>
              </w:tc>
              <w:tc>
                <w:tcPr>
                  <w:tcW w:w="396" w:type="pct"/>
                  <w:vAlign w:val="center"/>
                </w:tcPr>
                <w:p w14:paraId="529EBBEC">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30" w:type="pct"/>
                  <w:vAlign w:val="center"/>
                </w:tcPr>
                <w:p w14:paraId="2E9C266D">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377AE755">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01098984">
                  <w:pPr>
                    <w:jc w:val="center"/>
                    <w:rPr>
                      <w:rFonts w:hint="eastAsia" w:ascii="宋体" w:hAnsi="宋体" w:cs="宋体"/>
                      <w:color w:val="auto"/>
                      <w:szCs w:val="21"/>
                    </w:rPr>
                  </w:pPr>
                  <w:r>
                    <w:rPr>
                      <w:rFonts w:hint="eastAsia" w:ascii="宋体" w:hAnsi="宋体" w:cs="宋体"/>
                      <w:color w:val="auto"/>
                      <w:kern w:val="0"/>
                      <w:szCs w:val="21"/>
                    </w:rPr>
                    <w:t>85</w:t>
                  </w:r>
                </w:p>
              </w:tc>
              <w:tc>
                <w:tcPr>
                  <w:tcW w:w="1190" w:type="pct"/>
                  <w:vMerge w:val="restart"/>
                  <w:vAlign w:val="center"/>
                </w:tcPr>
                <w:p w14:paraId="65ED3410">
                  <w:pPr>
                    <w:jc w:val="center"/>
                    <w:rPr>
                      <w:rFonts w:hint="eastAsia" w:ascii="宋体" w:hAnsi="宋体" w:cs="宋体"/>
                      <w:color w:val="auto"/>
                      <w:kern w:val="0"/>
                      <w:szCs w:val="21"/>
                    </w:rPr>
                  </w:pPr>
                  <w:r>
                    <w:rPr>
                      <w:rFonts w:hint="eastAsia" w:ascii="宋体" w:hAnsi="宋体" w:cs="宋体"/>
                      <w:color w:val="auto"/>
                      <w:szCs w:val="21"/>
                    </w:rPr>
                    <w:t>参考《污染源源强核算技术指南》各行业技术指南附录中相关设备声源源强资料</w:t>
                  </w:r>
                </w:p>
              </w:tc>
              <w:tc>
                <w:tcPr>
                  <w:tcW w:w="548" w:type="pct"/>
                  <w:vAlign w:val="center"/>
                </w:tcPr>
                <w:p w14:paraId="57F342F9">
                  <w:pPr>
                    <w:pStyle w:val="18"/>
                    <w:jc w:val="center"/>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8760</w:t>
                  </w:r>
                </w:p>
              </w:tc>
            </w:tr>
            <w:tr w14:paraId="2973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continue"/>
                  <w:vAlign w:val="center"/>
                </w:tcPr>
                <w:p w14:paraId="52578881">
                  <w:pPr>
                    <w:pStyle w:val="18"/>
                    <w:jc w:val="center"/>
                    <w:rPr>
                      <w:rFonts w:hint="eastAsia" w:ascii="宋体" w:hAnsi="宋体" w:eastAsia="宋体" w:cs="宋体"/>
                      <w:color w:val="auto"/>
                      <w:sz w:val="21"/>
                      <w:szCs w:val="21"/>
                    </w:rPr>
                  </w:pPr>
                </w:p>
              </w:tc>
              <w:tc>
                <w:tcPr>
                  <w:tcW w:w="563" w:type="pct"/>
                  <w:vAlign w:val="center"/>
                </w:tcPr>
                <w:p w14:paraId="031CA3E5">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风机</w:t>
                  </w:r>
                </w:p>
              </w:tc>
              <w:tc>
                <w:tcPr>
                  <w:tcW w:w="396" w:type="pct"/>
                  <w:vAlign w:val="center"/>
                </w:tcPr>
                <w:p w14:paraId="7CC8324C">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30" w:type="pct"/>
                  <w:vAlign w:val="center"/>
                </w:tcPr>
                <w:p w14:paraId="273E90F6">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264C07CF">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4DD44CE4">
                  <w:pPr>
                    <w:jc w:val="center"/>
                    <w:rPr>
                      <w:rFonts w:hint="eastAsia" w:ascii="宋体" w:hAnsi="宋体" w:cs="宋体"/>
                      <w:color w:val="auto"/>
                      <w:kern w:val="0"/>
                      <w:szCs w:val="21"/>
                    </w:rPr>
                  </w:pPr>
                  <w:r>
                    <w:rPr>
                      <w:rFonts w:hint="eastAsia" w:ascii="宋体" w:hAnsi="宋体" w:cs="宋体"/>
                      <w:color w:val="auto"/>
                      <w:kern w:val="0"/>
                      <w:szCs w:val="21"/>
                    </w:rPr>
                    <w:t>85</w:t>
                  </w:r>
                </w:p>
              </w:tc>
              <w:tc>
                <w:tcPr>
                  <w:tcW w:w="1190" w:type="pct"/>
                  <w:vMerge w:val="continue"/>
                  <w:vAlign w:val="center"/>
                </w:tcPr>
                <w:p w14:paraId="6496A59C">
                  <w:pPr>
                    <w:jc w:val="center"/>
                    <w:rPr>
                      <w:rFonts w:hint="eastAsia" w:ascii="宋体" w:hAnsi="宋体" w:cs="宋体"/>
                      <w:color w:val="auto"/>
                      <w:szCs w:val="21"/>
                    </w:rPr>
                  </w:pPr>
                </w:p>
              </w:tc>
              <w:tc>
                <w:tcPr>
                  <w:tcW w:w="548" w:type="pct"/>
                  <w:vAlign w:val="center"/>
                </w:tcPr>
                <w:p w14:paraId="025C4943">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8760</w:t>
                  </w:r>
                </w:p>
              </w:tc>
            </w:tr>
          </w:tbl>
          <w:p w14:paraId="4541A453">
            <w:pPr>
              <w:pStyle w:val="31"/>
              <w:spacing w:before="0" w:after="0" w:line="360" w:lineRule="auto"/>
              <w:ind w:right="0" w:firstLine="0" w:firstLineChars="0"/>
              <w:jc w:val="center"/>
              <w:rPr>
                <w:color w:val="auto"/>
                <w:sz w:val="24"/>
              </w:rPr>
            </w:pPr>
            <w:r>
              <w:rPr>
                <w:rFonts w:hint="eastAsia"/>
                <w:b/>
                <w:color w:val="auto"/>
                <w:sz w:val="24"/>
              </w:rPr>
              <w:t>表4-24本项目（杨广卫生院）高噪声设备源强及采取的降噪措施</w:t>
            </w:r>
          </w:p>
          <w:tbl>
            <w:tblPr>
              <w:tblStyle w:val="33"/>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46"/>
              <w:gridCol w:w="665"/>
              <w:gridCol w:w="722"/>
              <w:gridCol w:w="772"/>
              <w:gridCol w:w="1409"/>
              <w:gridCol w:w="1998"/>
              <w:gridCol w:w="919"/>
            </w:tblGrid>
            <w:tr w14:paraId="6C09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restart"/>
                  <w:vAlign w:val="center"/>
                </w:tcPr>
                <w:p w14:paraId="0249E4AA">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工序</w:t>
                  </w:r>
                </w:p>
              </w:tc>
              <w:tc>
                <w:tcPr>
                  <w:tcW w:w="563" w:type="pct"/>
                  <w:vMerge w:val="restart"/>
                  <w:vAlign w:val="center"/>
                </w:tcPr>
                <w:p w14:paraId="67D5FF6F">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噪声源</w:t>
                  </w:r>
                </w:p>
              </w:tc>
              <w:tc>
                <w:tcPr>
                  <w:tcW w:w="396" w:type="pct"/>
                  <w:vMerge w:val="restart"/>
                  <w:vAlign w:val="center"/>
                </w:tcPr>
                <w:p w14:paraId="17B52F94">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数量</w:t>
                  </w:r>
                </w:p>
              </w:tc>
              <w:tc>
                <w:tcPr>
                  <w:tcW w:w="430" w:type="pct"/>
                  <w:vMerge w:val="restart"/>
                  <w:vAlign w:val="center"/>
                </w:tcPr>
                <w:p w14:paraId="1CEEFA9D">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声源位置</w:t>
                  </w:r>
                </w:p>
              </w:tc>
              <w:tc>
                <w:tcPr>
                  <w:tcW w:w="460" w:type="pct"/>
                  <w:vMerge w:val="restart"/>
                  <w:vAlign w:val="center"/>
                </w:tcPr>
                <w:p w14:paraId="17111535">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声源类型</w:t>
                  </w:r>
                </w:p>
              </w:tc>
              <w:tc>
                <w:tcPr>
                  <w:tcW w:w="839" w:type="pct"/>
                  <w:vAlign w:val="center"/>
                </w:tcPr>
                <w:p w14:paraId="05674044">
                  <w:pPr>
                    <w:jc w:val="center"/>
                    <w:rPr>
                      <w:rFonts w:hint="eastAsia" w:ascii="宋体" w:hAnsi="宋体" w:cs="宋体"/>
                      <w:b/>
                      <w:bCs/>
                      <w:color w:val="auto"/>
                      <w:kern w:val="0"/>
                      <w:szCs w:val="21"/>
                    </w:rPr>
                  </w:pPr>
                  <w:r>
                    <w:rPr>
                      <w:rFonts w:hint="eastAsia" w:ascii="宋体" w:hAnsi="宋体" w:cs="宋体"/>
                      <w:b/>
                      <w:bCs/>
                      <w:color w:val="auto"/>
                      <w:szCs w:val="21"/>
                    </w:rPr>
                    <w:t>声源源强</w:t>
                  </w:r>
                </w:p>
              </w:tc>
              <w:tc>
                <w:tcPr>
                  <w:tcW w:w="1190" w:type="pct"/>
                  <w:vMerge w:val="restart"/>
                  <w:vAlign w:val="center"/>
                </w:tcPr>
                <w:p w14:paraId="6519120B">
                  <w:pPr>
                    <w:jc w:val="center"/>
                    <w:rPr>
                      <w:rFonts w:hint="eastAsia" w:ascii="宋体" w:hAnsi="宋体" w:cs="宋体"/>
                      <w:b/>
                      <w:bCs/>
                      <w:color w:val="auto"/>
                      <w:kern w:val="0"/>
                      <w:szCs w:val="21"/>
                    </w:rPr>
                  </w:pPr>
                  <w:r>
                    <w:rPr>
                      <w:rFonts w:hint="eastAsia" w:ascii="宋体" w:hAnsi="宋体" w:cs="宋体"/>
                      <w:b/>
                      <w:bCs/>
                      <w:color w:val="auto"/>
                      <w:kern w:val="0"/>
                      <w:szCs w:val="21"/>
                    </w:rPr>
                    <w:t>源强数据来源</w:t>
                  </w:r>
                </w:p>
              </w:tc>
              <w:tc>
                <w:tcPr>
                  <w:tcW w:w="548" w:type="pct"/>
                  <w:vMerge w:val="restart"/>
                  <w:vAlign w:val="center"/>
                </w:tcPr>
                <w:p w14:paraId="0DD629AF">
                  <w:pPr>
                    <w:jc w:val="center"/>
                    <w:rPr>
                      <w:rFonts w:hint="eastAsia" w:ascii="宋体" w:hAnsi="宋体" w:cs="宋体"/>
                      <w:b/>
                      <w:bCs/>
                      <w:color w:val="auto"/>
                      <w:kern w:val="0"/>
                      <w:szCs w:val="21"/>
                    </w:rPr>
                  </w:pPr>
                  <w:r>
                    <w:rPr>
                      <w:rFonts w:hint="eastAsia" w:ascii="宋体" w:hAnsi="宋体" w:cs="宋体"/>
                      <w:b/>
                      <w:bCs/>
                      <w:color w:val="auto"/>
                      <w:kern w:val="0"/>
                      <w:szCs w:val="21"/>
                    </w:rPr>
                    <w:t>运行时间/h</w:t>
                  </w:r>
                </w:p>
              </w:tc>
            </w:tr>
            <w:tr w14:paraId="35DD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continue"/>
                  <w:vAlign w:val="center"/>
                </w:tcPr>
                <w:p w14:paraId="4FB50F6E">
                  <w:pPr>
                    <w:pStyle w:val="18"/>
                    <w:jc w:val="center"/>
                    <w:rPr>
                      <w:rFonts w:hint="eastAsia" w:ascii="宋体" w:hAnsi="宋体" w:eastAsia="宋体" w:cs="宋体"/>
                      <w:color w:val="auto"/>
                      <w:sz w:val="21"/>
                      <w:szCs w:val="21"/>
                    </w:rPr>
                  </w:pPr>
                </w:p>
              </w:tc>
              <w:tc>
                <w:tcPr>
                  <w:tcW w:w="563" w:type="pct"/>
                  <w:vMerge w:val="continue"/>
                  <w:vAlign w:val="center"/>
                </w:tcPr>
                <w:p w14:paraId="701DC31A">
                  <w:pPr>
                    <w:pStyle w:val="18"/>
                    <w:jc w:val="center"/>
                    <w:rPr>
                      <w:rFonts w:hint="eastAsia" w:ascii="宋体" w:hAnsi="宋体" w:eastAsia="宋体" w:cs="宋体"/>
                      <w:color w:val="auto"/>
                      <w:sz w:val="21"/>
                      <w:szCs w:val="21"/>
                    </w:rPr>
                  </w:pPr>
                </w:p>
              </w:tc>
              <w:tc>
                <w:tcPr>
                  <w:tcW w:w="396" w:type="pct"/>
                  <w:vMerge w:val="continue"/>
                  <w:vAlign w:val="center"/>
                </w:tcPr>
                <w:p w14:paraId="40D2BBF9">
                  <w:pPr>
                    <w:pStyle w:val="18"/>
                    <w:jc w:val="center"/>
                    <w:rPr>
                      <w:rFonts w:hint="eastAsia" w:ascii="宋体" w:hAnsi="宋体" w:eastAsia="宋体" w:cs="宋体"/>
                      <w:color w:val="auto"/>
                      <w:sz w:val="21"/>
                      <w:szCs w:val="21"/>
                    </w:rPr>
                  </w:pPr>
                </w:p>
              </w:tc>
              <w:tc>
                <w:tcPr>
                  <w:tcW w:w="430" w:type="pct"/>
                  <w:vMerge w:val="continue"/>
                  <w:vAlign w:val="center"/>
                </w:tcPr>
                <w:p w14:paraId="6F821F4A">
                  <w:pPr>
                    <w:pStyle w:val="18"/>
                    <w:jc w:val="center"/>
                    <w:rPr>
                      <w:rFonts w:hint="eastAsia" w:ascii="宋体" w:hAnsi="宋体" w:eastAsia="宋体" w:cs="宋体"/>
                      <w:color w:val="auto"/>
                      <w:sz w:val="21"/>
                      <w:szCs w:val="21"/>
                    </w:rPr>
                  </w:pPr>
                </w:p>
              </w:tc>
              <w:tc>
                <w:tcPr>
                  <w:tcW w:w="460" w:type="pct"/>
                  <w:vMerge w:val="continue"/>
                  <w:vAlign w:val="center"/>
                </w:tcPr>
                <w:p w14:paraId="6DF73FEF">
                  <w:pPr>
                    <w:pStyle w:val="18"/>
                    <w:jc w:val="center"/>
                    <w:rPr>
                      <w:rFonts w:hint="eastAsia" w:ascii="宋体" w:hAnsi="宋体" w:eastAsia="宋体" w:cs="宋体"/>
                      <w:color w:val="auto"/>
                      <w:sz w:val="21"/>
                      <w:szCs w:val="21"/>
                    </w:rPr>
                  </w:pPr>
                </w:p>
              </w:tc>
              <w:tc>
                <w:tcPr>
                  <w:tcW w:w="839" w:type="pct"/>
                  <w:vAlign w:val="center"/>
                </w:tcPr>
                <w:p w14:paraId="415C9CF3">
                  <w:pPr>
                    <w:jc w:val="center"/>
                    <w:rPr>
                      <w:rFonts w:hint="eastAsia" w:ascii="宋体" w:hAnsi="宋体" w:cs="宋体"/>
                      <w:b/>
                      <w:bCs/>
                      <w:color w:val="auto"/>
                      <w:kern w:val="0"/>
                      <w:szCs w:val="21"/>
                    </w:rPr>
                  </w:pPr>
                  <w:r>
                    <w:rPr>
                      <w:rFonts w:hint="eastAsia" w:ascii="宋体" w:hAnsi="宋体" w:cs="宋体"/>
                      <w:b/>
                      <w:bCs/>
                      <w:color w:val="auto"/>
                      <w:szCs w:val="21"/>
                    </w:rPr>
                    <w:t>（声压级/距声源距）/(dB(A)/1m)</w:t>
                  </w:r>
                </w:p>
              </w:tc>
              <w:tc>
                <w:tcPr>
                  <w:tcW w:w="1190" w:type="pct"/>
                  <w:vMerge w:val="continue"/>
                  <w:vAlign w:val="center"/>
                </w:tcPr>
                <w:p w14:paraId="18FDEA20">
                  <w:pPr>
                    <w:pStyle w:val="18"/>
                    <w:jc w:val="center"/>
                    <w:rPr>
                      <w:rFonts w:hint="eastAsia" w:ascii="宋体" w:hAnsi="宋体" w:eastAsia="宋体" w:cs="宋体"/>
                      <w:b/>
                      <w:bCs/>
                      <w:color w:val="auto"/>
                      <w:kern w:val="0"/>
                      <w:sz w:val="21"/>
                      <w:szCs w:val="21"/>
                    </w:rPr>
                  </w:pPr>
                </w:p>
              </w:tc>
              <w:tc>
                <w:tcPr>
                  <w:tcW w:w="548" w:type="pct"/>
                  <w:vMerge w:val="continue"/>
                  <w:vAlign w:val="center"/>
                </w:tcPr>
                <w:p w14:paraId="600B8AEA">
                  <w:pPr>
                    <w:pStyle w:val="18"/>
                    <w:jc w:val="center"/>
                    <w:rPr>
                      <w:rFonts w:hint="eastAsia" w:ascii="宋体" w:hAnsi="宋体" w:eastAsia="宋体" w:cs="宋体"/>
                      <w:b/>
                      <w:bCs/>
                      <w:color w:val="auto"/>
                      <w:kern w:val="0"/>
                      <w:sz w:val="21"/>
                      <w:szCs w:val="21"/>
                    </w:rPr>
                  </w:pPr>
                </w:p>
              </w:tc>
            </w:tr>
            <w:tr w14:paraId="74B5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restart"/>
                  <w:vAlign w:val="center"/>
                </w:tcPr>
                <w:p w14:paraId="7F9B4BF6">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污水处理站</w:t>
                  </w:r>
                </w:p>
              </w:tc>
              <w:tc>
                <w:tcPr>
                  <w:tcW w:w="563" w:type="pct"/>
                  <w:vAlign w:val="center"/>
                </w:tcPr>
                <w:p w14:paraId="03BE1BAD">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污水处理系统水泵</w:t>
                  </w:r>
                </w:p>
              </w:tc>
              <w:tc>
                <w:tcPr>
                  <w:tcW w:w="396" w:type="pct"/>
                  <w:vAlign w:val="center"/>
                </w:tcPr>
                <w:p w14:paraId="2F386057">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30" w:type="pct"/>
                  <w:vAlign w:val="center"/>
                </w:tcPr>
                <w:p w14:paraId="20D4AEB1">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1A3E81E9">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6B0A97AA">
                  <w:pPr>
                    <w:jc w:val="center"/>
                    <w:rPr>
                      <w:rFonts w:hint="eastAsia" w:ascii="宋体" w:hAnsi="宋体" w:cs="宋体"/>
                      <w:color w:val="auto"/>
                      <w:szCs w:val="21"/>
                    </w:rPr>
                  </w:pPr>
                  <w:r>
                    <w:rPr>
                      <w:rFonts w:hint="eastAsia" w:ascii="宋体" w:hAnsi="宋体" w:cs="宋体"/>
                      <w:color w:val="auto"/>
                      <w:kern w:val="0"/>
                      <w:szCs w:val="21"/>
                    </w:rPr>
                    <w:t>85</w:t>
                  </w:r>
                </w:p>
              </w:tc>
              <w:tc>
                <w:tcPr>
                  <w:tcW w:w="1190" w:type="pct"/>
                  <w:vMerge w:val="restart"/>
                  <w:vAlign w:val="center"/>
                </w:tcPr>
                <w:p w14:paraId="106954AA">
                  <w:pPr>
                    <w:jc w:val="center"/>
                    <w:rPr>
                      <w:rFonts w:hint="eastAsia" w:ascii="宋体" w:hAnsi="宋体" w:cs="宋体"/>
                      <w:color w:val="auto"/>
                      <w:kern w:val="0"/>
                      <w:szCs w:val="21"/>
                    </w:rPr>
                  </w:pPr>
                  <w:r>
                    <w:rPr>
                      <w:rFonts w:hint="eastAsia" w:ascii="宋体" w:hAnsi="宋体" w:cs="宋体"/>
                      <w:color w:val="auto"/>
                      <w:szCs w:val="21"/>
                    </w:rPr>
                    <w:t>参考《污染源源强核算技术指南》各行业技术指南附录中相关设备声源源强资料</w:t>
                  </w:r>
                </w:p>
              </w:tc>
              <w:tc>
                <w:tcPr>
                  <w:tcW w:w="548" w:type="pct"/>
                  <w:vAlign w:val="center"/>
                </w:tcPr>
                <w:p w14:paraId="33E1B3A2">
                  <w:pPr>
                    <w:pStyle w:val="18"/>
                    <w:jc w:val="center"/>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8760</w:t>
                  </w:r>
                </w:p>
              </w:tc>
            </w:tr>
            <w:tr w14:paraId="308B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continue"/>
                  <w:vAlign w:val="center"/>
                </w:tcPr>
                <w:p w14:paraId="62733D7C">
                  <w:pPr>
                    <w:pStyle w:val="18"/>
                    <w:jc w:val="center"/>
                    <w:rPr>
                      <w:rFonts w:hint="eastAsia" w:ascii="宋体" w:hAnsi="宋体" w:eastAsia="宋体" w:cs="宋体"/>
                      <w:color w:val="auto"/>
                      <w:sz w:val="21"/>
                      <w:szCs w:val="21"/>
                    </w:rPr>
                  </w:pPr>
                </w:p>
              </w:tc>
              <w:tc>
                <w:tcPr>
                  <w:tcW w:w="563" w:type="pct"/>
                  <w:vAlign w:val="center"/>
                </w:tcPr>
                <w:p w14:paraId="7A0A9855">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风机</w:t>
                  </w:r>
                </w:p>
              </w:tc>
              <w:tc>
                <w:tcPr>
                  <w:tcW w:w="396" w:type="pct"/>
                  <w:vAlign w:val="center"/>
                </w:tcPr>
                <w:p w14:paraId="0382F05D">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30" w:type="pct"/>
                  <w:vAlign w:val="center"/>
                </w:tcPr>
                <w:p w14:paraId="514BE073">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66EE6C40">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63BBB03C">
                  <w:pPr>
                    <w:jc w:val="center"/>
                    <w:rPr>
                      <w:rFonts w:hint="eastAsia" w:ascii="宋体" w:hAnsi="宋体" w:cs="宋体"/>
                      <w:color w:val="auto"/>
                      <w:kern w:val="0"/>
                      <w:szCs w:val="21"/>
                    </w:rPr>
                  </w:pPr>
                  <w:r>
                    <w:rPr>
                      <w:rFonts w:hint="eastAsia" w:ascii="宋体" w:hAnsi="宋体" w:cs="宋体"/>
                      <w:color w:val="auto"/>
                      <w:kern w:val="0"/>
                      <w:szCs w:val="21"/>
                    </w:rPr>
                    <w:t>85</w:t>
                  </w:r>
                </w:p>
              </w:tc>
              <w:tc>
                <w:tcPr>
                  <w:tcW w:w="1190" w:type="pct"/>
                  <w:vMerge w:val="continue"/>
                  <w:vAlign w:val="center"/>
                </w:tcPr>
                <w:p w14:paraId="3264D799">
                  <w:pPr>
                    <w:jc w:val="center"/>
                    <w:rPr>
                      <w:rFonts w:hint="eastAsia" w:ascii="宋体" w:hAnsi="宋体" w:cs="宋体"/>
                      <w:color w:val="auto"/>
                      <w:szCs w:val="21"/>
                    </w:rPr>
                  </w:pPr>
                </w:p>
              </w:tc>
              <w:tc>
                <w:tcPr>
                  <w:tcW w:w="548" w:type="pct"/>
                  <w:vAlign w:val="center"/>
                </w:tcPr>
                <w:p w14:paraId="61AFCE57">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8760</w:t>
                  </w:r>
                </w:p>
              </w:tc>
            </w:tr>
          </w:tbl>
          <w:p w14:paraId="7BF434F8">
            <w:pPr>
              <w:pStyle w:val="32"/>
              <w:spacing w:after="0" w:line="360" w:lineRule="auto"/>
              <w:ind w:left="0" w:leftChars="0" w:firstLine="482"/>
              <w:jc w:val="left"/>
              <w:rPr>
                <w:b/>
                <w:bCs/>
                <w:color w:val="auto"/>
              </w:rPr>
            </w:pPr>
            <w:r>
              <w:rPr>
                <w:rFonts w:hint="eastAsia"/>
                <w:b/>
                <w:bCs/>
                <w:color w:val="auto"/>
              </w:rPr>
              <w:t>2、噪声预测分析</w:t>
            </w:r>
          </w:p>
          <w:p w14:paraId="62A1115E">
            <w:pPr>
              <w:spacing w:line="360" w:lineRule="auto"/>
              <w:ind w:firstLine="482" w:firstLineChars="200"/>
              <w:rPr>
                <w:b/>
                <w:color w:val="auto"/>
                <w:sz w:val="24"/>
              </w:rPr>
            </w:pPr>
            <w:r>
              <w:rPr>
                <w:b/>
                <w:color w:val="auto"/>
                <w:sz w:val="24"/>
              </w:rPr>
              <w:t>（</w:t>
            </w:r>
            <w:r>
              <w:rPr>
                <w:rFonts w:hint="eastAsia"/>
                <w:b/>
                <w:color w:val="auto"/>
                <w:sz w:val="24"/>
              </w:rPr>
              <w:t>1</w:t>
            </w:r>
            <w:r>
              <w:rPr>
                <w:b/>
                <w:color w:val="auto"/>
                <w:sz w:val="24"/>
              </w:rPr>
              <w:t>）预测模型及方法</w:t>
            </w:r>
          </w:p>
          <w:p w14:paraId="582425FA">
            <w:pPr>
              <w:spacing w:line="360" w:lineRule="auto"/>
              <w:ind w:firstLine="480" w:firstLineChars="200"/>
              <w:rPr>
                <w:color w:val="auto"/>
                <w:sz w:val="24"/>
              </w:rPr>
            </w:pPr>
            <w:r>
              <w:rPr>
                <w:rFonts w:hint="eastAsia"/>
                <w:color w:val="auto"/>
                <w:sz w:val="24"/>
              </w:rPr>
              <w:t>根据项目建设内容及《环境影响评价技术导则 声环境》（HJ2.4-2021）的要求，项目声环境预测采用的模型为《环境影响评价技术导则 声环境》(HJ2.4-2021）附录B（规范性附录）中“B.1工业噪声预测计算模型”。</w:t>
            </w:r>
          </w:p>
          <w:p w14:paraId="7DD1D80F">
            <w:pPr>
              <w:spacing w:line="360" w:lineRule="auto"/>
              <w:ind w:firstLine="482" w:firstLineChars="200"/>
              <w:rPr>
                <w:b/>
                <w:bCs/>
                <w:color w:val="auto"/>
                <w:sz w:val="24"/>
              </w:rPr>
            </w:pPr>
            <w:r>
              <w:rPr>
                <w:rFonts w:hint="eastAsia"/>
                <w:b/>
                <w:bCs/>
                <w:color w:val="auto"/>
                <w:sz w:val="24"/>
              </w:rPr>
              <w:t>（2）声源数据</w:t>
            </w:r>
          </w:p>
          <w:p w14:paraId="765ABB65">
            <w:pPr>
              <w:tabs>
                <w:tab w:val="left" w:pos="540"/>
              </w:tabs>
              <w:spacing w:line="360" w:lineRule="auto"/>
              <w:ind w:firstLine="480" w:firstLineChars="200"/>
              <w:rPr>
                <w:color w:val="auto"/>
                <w:sz w:val="24"/>
                <w:highlight w:val="yellow"/>
              </w:rPr>
            </w:pPr>
            <w:r>
              <w:rPr>
                <w:rFonts w:hint="eastAsia"/>
                <w:bCs/>
                <w:color w:val="auto"/>
                <w:sz w:val="24"/>
              </w:rPr>
              <w:t>本</w:t>
            </w:r>
            <w:r>
              <w:rPr>
                <w:bCs/>
                <w:color w:val="auto"/>
                <w:sz w:val="24"/>
              </w:rPr>
              <w:t>项目运营期噪声</w:t>
            </w:r>
            <w:r>
              <w:rPr>
                <w:color w:val="auto"/>
                <w:sz w:val="24"/>
              </w:rPr>
              <w:t>主要</w:t>
            </w:r>
            <w:r>
              <w:rPr>
                <w:rFonts w:hint="eastAsia"/>
                <w:color w:val="auto"/>
                <w:sz w:val="24"/>
              </w:rPr>
              <w:t>为污水处理系统的水泵噪声、</w:t>
            </w:r>
            <w:r>
              <w:rPr>
                <w:bCs/>
                <w:color w:val="auto"/>
                <w:sz w:val="24"/>
              </w:rPr>
              <w:t>备用</w:t>
            </w:r>
            <w:r>
              <w:rPr>
                <w:rFonts w:hint="eastAsia"/>
                <w:bCs/>
                <w:color w:val="auto"/>
                <w:sz w:val="24"/>
              </w:rPr>
              <w:t>柴油</w:t>
            </w:r>
            <w:r>
              <w:rPr>
                <w:bCs/>
                <w:color w:val="auto"/>
                <w:sz w:val="24"/>
              </w:rPr>
              <w:t>发电机</w:t>
            </w:r>
            <w:r>
              <w:rPr>
                <w:rFonts w:hint="eastAsia"/>
                <w:color w:val="auto"/>
                <w:sz w:val="24"/>
              </w:rPr>
              <w:t>，噪声源强约80～90dB（A）</w:t>
            </w:r>
            <w:r>
              <w:rPr>
                <w:rFonts w:hint="eastAsia"/>
                <w:color w:val="auto"/>
                <w:kern w:val="24"/>
                <w:sz w:val="24"/>
              </w:rPr>
              <w:t>。</w:t>
            </w:r>
            <w:r>
              <w:rPr>
                <w:rFonts w:hint="eastAsia"/>
                <w:color w:val="auto"/>
                <w:sz w:val="24"/>
              </w:rPr>
              <w:t>项目产生噪声的噪声源强调查清单见表4-23~4-26。</w:t>
            </w:r>
          </w:p>
          <w:p w14:paraId="11D40CF4">
            <w:pPr>
              <w:spacing w:line="360" w:lineRule="auto"/>
              <w:ind w:firstLine="480" w:firstLineChars="200"/>
              <w:rPr>
                <w:color w:val="auto"/>
                <w:sz w:val="24"/>
              </w:rPr>
            </w:pPr>
            <w:r>
              <w:rPr>
                <w:rFonts w:hint="eastAsia"/>
                <w:color w:val="auto"/>
                <w:sz w:val="24"/>
              </w:rPr>
              <w:t>本项目坐标原点为预测范围图南面处，原点以东方向为X轴正方向，原点以北方向为Y轴正方向（0，0，0）。</w:t>
            </w:r>
          </w:p>
          <w:p w14:paraId="3214C4F3">
            <w:pPr>
              <w:adjustRightInd w:val="0"/>
              <w:snapToGrid w:val="0"/>
              <w:ind w:firstLine="1205" w:firstLineChars="500"/>
              <w:rPr>
                <w:rFonts w:hint="eastAsia"/>
                <w:b/>
                <w:color w:val="auto"/>
                <w:kern w:val="24"/>
                <w:sz w:val="24"/>
              </w:rPr>
            </w:pPr>
          </w:p>
          <w:p w14:paraId="5B2A4A16">
            <w:pPr>
              <w:adjustRightInd w:val="0"/>
              <w:snapToGrid w:val="0"/>
              <w:ind w:firstLine="1205" w:firstLineChars="500"/>
              <w:rPr>
                <w:rFonts w:hint="eastAsia"/>
                <w:b/>
                <w:color w:val="auto"/>
                <w:kern w:val="24"/>
                <w:sz w:val="24"/>
              </w:rPr>
            </w:pPr>
          </w:p>
          <w:p w14:paraId="155BE0A6">
            <w:pPr>
              <w:adjustRightInd w:val="0"/>
              <w:snapToGrid w:val="0"/>
              <w:ind w:firstLine="1205" w:firstLineChars="500"/>
              <w:rPr>
                <w:rFonts w:hint="eastAsia"/>
                <w:b/>
                <w:color w:val="auto"/>
                <w:kern w:val="24"/>
                <w:sz w:val="24"/>
              </w:rPr>
            </w:pPr>
          </w:p>
          <w:p w14:paraId="219C1E36">
            <w:pPr>
              <w:adjustRightInd w:val="0"/>
              <w:snapToGrid w:val="0"/>
              <w:ind w:firstLine="1205" w:firstLineChars="500"/>
              <w:rPr>
                <w:rFonts w:hint="eastAsia"/>
                <w:b/>
                <w:color w:val="auto"/>
                <w:kern w:val="24"/>
                <w:sz w:val="24"/>
              </w:rPr>
            </w:pPr>
          </w:p>
          <w:p w14:paraId="7318FA70">
            <w:pPr>
              <w:adjustRightInd w:val="0"/>
              <w:snapToGrid w:val="0"/>
              <w:ind w:firstLine="1205" w:firstLineChars="500"/>
              <w:rPr>
                <w:rFonts w:hint="eastAsia"/>
                <w:b/>
                <w:color w:val="auto"/>
                <w:kern w:val="24"/>
                <w:sz w:val="24"/>
              </w:rPr>
            </w:pPr>
          </w:p>
          <w:p w14:paraId="67D9331F">
            <w:pPr>
              <w:adjustRightInd w:val="0"/>
              <w:snapToGrid w:val="0"/>
              <w:ind w:firstLine="1205" w:firstLineChars="500"/>
              <w:rPr>
                <w:rFonts w:hint="eastAsia"/>
                <w:b/>
                <w:color w:val="auto"/>
                <w:kern w:val="24"/>
                <w:sz w:val="24"/>
              </w:rPr>
            </w:pPr>
          </w:p>
          <w:p w14:paraId="0F01987A">
            <w:pPr>
              <w:adjustRightInd w:val="0"/>
              <w:snapToGrid w:val="0"/>
              <w:ind w:firstLine="1205" w:firstLineChars="500"/>
              <w:rPr>
                <w:b/>
                <w:color w:val="auto"/>
                <w:kern w:val="24"/>
                <w:sz w:val="24"/>
              </w:rPr>
            </w:pPr>
            <w:r>
              <w:rPr>
                <w:rFonts w:hint="eastAsia"/>
                <w:b/>
                <w:color w:val="auto"/>
                <w:kern w:val="24"/>
                <w:sz w:val="24"/>
              </w:rPr>
              <w:t>表4-25  纳古卫生院工业企业噪声源强调查清单（室内声源）</w:t>
            </w:r>
          </w:p>
          <w:tbl>
            <w:tblPr>
              <w:tblStyle w:val="33"/>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61"/>
              <w:gridCol w:w="396"/>
              <w:gridCol w:w="1107"/>
              <w:gridCol w:w="677"/>
              <w:gridCol w:w="663"/>
              <w:gridCol w:w="663"/>
              <w:gridCol w:w="469"/>
              <w:gridCol w:w="464"/>
              <w:gridCol w:w="762"/>
              <w:gridCol w:w="483"/>
              <w:gridCol w:w="669"/>
              <w:gridCol w:w="717"/>
              <w:gridCol w:w="503"/>
            </w:tblGrid>
            <w:tr w14:paraId="2F70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4B433DC3">
                  <w:pPr>
                    <w:pStyle w:val="14"/>
                    <w:spacing w:before="0" w:after="0" w:line="240" w:lineRule="auto"/>
                    <w:ind w:right="0"/>
                    <w:jc w:val="center"/>
                    <w:rPr>
                      <w:color w:val="auto"/>
                      <w:szCs w:val="18"/>
                    </w:rPr>
                  </w:pPr>
                  <w:r>
                    <w:rPr>
                      <w:color w:val="auto"/>
                      <w:szCs w:val="18"/>
                    </w:rPr>
                    <w:t>建筑物名称</w:t>
                  </w:r>
                </w:p>
              </w:tc>
              <w:tc>
                <w:tcPr>
                  <w:tcW w:w="463" w:type="dxa"/>
                  <w:vMerge w:val="restart"/>
                  <w:vAlign w:val="center"/>
                </w:tcPr>
                <w:p w14:paraId="6DA53994">
                  <w:pPr>
                    <w:pStyle w:val="14"/>
                    <w:spacing w:before="0" w:after="0" w:line="240" w:lineRule="auto"/>
                    <w:ind w:right="0"/>
                    <w:jc w:val="center"/>
                    <w:rPr>
                      <w:color w:val="auto"/>
                      <w:szCs w:val="18"/>
                    </w:rPr>
                  </w:pPr>
                  <w:r>
                    <w:rPr>
                      <w:color w:val="auto"/>
                      <w:szCs w:val="18"/>
                    </w:rPr>
                    <w:t>声源名称</w:t>
                  </w:r>
                </w:p>
              </w:tc>
              <w:tc>
                <w:tcPr>
                  <w:tcW w:w="396" w:type="dxa"/>
                  <w:vMerge w:val="restart"/>
                  <w:vAlign w:val="center"/>
                </w:tcPr>
                <w:p w14:paraId="769ED780">
                  <w:pPr>
                    <w:pStyle w:val="14"/>
                    <w:spacing w:before="0" w:after="0" w:line="240" w:lineRule="auto"/>
                    <w:ind w:right="0"/>
                    <w:jc w:val="center"/>
                    <w:rPr>
                      <w:color w:val="auto"/>
                      <w:szCs w:val="18"/>
                    </w:rPr>
                  </w:pPr>
                  <w:r>
                    <w:rPr>
                      <w:color w:val="auto"/>
                      <w:szCs w:val="18"/>
                    </w:rPr>
                    <w:t>型号</w:t>
                  </w:r>
                </w:p>
              </w:tc>
              <w:tc>
                <w:tcPr>
                  <w:tcW w:w="1126" w:type="dxa"/>
                  <w:vAlign w:val="center"/>
                </w:tcPr>
                <w:p w14:paraId="46BE49B4">
                  <w:pPr>
                    <w:jc w:val="center"/>
                    <w:rPr>
                      <w:color w:val="auto"/>
                      <w:szCs w:val="21"/>
                    </w:rPr>
                  </w:pPr>
                  <w:r>
                    <w:rPr>
                      <w:rFonts w:hint="eastAsia"/>
                      <w:color w:val="auto"/>
                      <w:szCs w:val="21"/>
                    </w:rPr>
                    <w:t>点声源</w:t>
                  </w:r>
                </w:p>
                <w:p w14:paraId="0D1E5024">
                  <w:pPr>
                    <w:jc w:val="center"/>
                    <w:rPr>
                      <w:color w:val="auto"/>
                      <w:szCs w:val="18"/>
                    </w:rPr>
                  </w:pPr>
                  <w:r>
                    <w:rPr>
                      <w:rFonts w:hint="eastAsia"/>
                      <w:color w:val="auto"/>
                      <w:szCs w:val="21"/>
                    </w:rPr>
                    <w:t>源强</w:t>
                  </w:r>
                </w:p>
              </w:tc>
              <w:tc>
                <w:tcPr>
                  <w:tcW w:w="685" w:type="dxa"/>
                  <w:vMerge w:val="restart"/>
                  <w:vAlign w:val="center"/>
                </w:tcPr>
                <w:p w14:paraId="5EF52F12">
                  <w:pPr>
                    <w:pStyle w:val="14"/>
                    <w:spacing w:before="0" w:after="0" w:line="240" w:lineRule="auto"/>
                    <w:ind w:right="0"/>
                    <w:jc w:val="center"/>
                    <w:rPr>
                      <w:color w:val="auto"/>
                      <w:szCs w:val="18"/>
                    </w:rPr>
                  </w:pPr>
                  <w:r>
                    <w:rPr>
                      <w:color w:val="auto"/>
                      <w:szCs w:val="18"/>
                    </w:rPr>
                    <w:t>声源控制措施</w:t>
                  </w:r>
                </w:p>
              </w:tc>
              <w:tc>
                <w:tcPr>
                  <w:tcW w:w="1811" w:type="dxa"/>
                  <w:gridSpan w:val="3"/>
                  <w:vAlign w:val="center"/>
                </w:tcPr>
                <w:p w14:paraId="7F1BB601">
                  <w:pPr>
                    <w:pStyle w:val="14"/>
                    <w:spacing w:before="0" w:after="0" w:line="240" w:lineRule="auto"/>
                    <w:ind w:right="0"/>
                    <w:jc w:val="center"/>
                    <w:rPr>
                      <w:color w:val="auto"/>
                      <w:szCs w:val="18"/>
                    </w:rPr>
                  </w:pPr>
                  <w:r>
                    <w:rPr>
                      <w:color w:val="auto"/>
                      <w:szCs w:val="18"/>
                    </w:rPr>
                    <w:t>空间相对位置/m</w:t>
                  </w:r>
                </w:p>
              </w:tc>
              <w:tc>
                <w:tcPr>
                  <w:tcW w:w="466" w:type="dxa"/>
                  <w:vMerge w:val="restart"/>
                  <w:vAlign w:val="center"/>
                </w:tcPr>
                <w:p w14:paraId="652236DA">
                  <w:pPr>
                    <w:pStyle w:val="14"/>
                    <w:spacing w:before="0" w:after="0" w:line="240" w:lineRule="auto"/>
                    <w:ind w:right="0"/>
                    <w:jc w:val="center"/>
                    <w:rPr>
                      <w:color w:val="auto"/>
                      <w:szCs w:val="18"/>
                    </w:rPr>
                  </w:pPr>
                  <w:r>
                    <w:rPr>
                      <w:color w:val="auto"/>
                      <w:szCs w:val="18"/>
                    </w:rPr>
                    <w:t>距室内边界距离/m</w:t>
                  </w:r>
                </w:p>
              </w:tc>
              <w:tc>
                <w:tcPr>
                  <w:tcW w:w="772" w:type="dxa"/>
                  <w:vMerge w:val="restart"/>
                  <w:vAlign w:val="center"/>
                </w:tcPr>
                <w:p w14:paraId="6C9F3803">
                  <w:pPr>
                    <w:pStyle w:val="14"/>
                    <w:spacing w:before="0" w:after="0" w:line="240" w:lineRule="auto"/>
                    <w:ind w:right="0"/>
                    <w:jc w:val="center"/>
                    <w:rPr>
                      <w:color w:val="auto"/>
                      <w:szCs w:val="18"/>
                    </w:rPr>
                  </w:pPr>
                  <w:r>
                    <w:rPr>
                      <w:color w:val="auto"/>
                      <w:szCs w:val="18"/>
                    </w:rPr>
                    <w:t>室内边界声级/dB(A)</w:t>
                  </w:r>
                </w:p>
              </w:tc>
              <w:tc>
                <w:tcPr>
                  <w:tcW w:w="485" w:type="dxa"/>
                  <w:vMerge w:val="restart"/>
                  <w:vAlign w:val="center"/>
                </w:tcPr>
                <w:p w14:paraId="3334BDBB">
                  <w:pPr>
                    <w:pStyle w:val="14"/>
                    <w:spacing w:before="0" w:after="0" w:line="240" w:lineRule="auto"/>
                    <w:ind w:right="0"/>
                    <w:jc w:val="center"/>
                    <w:rPr>
                      <w:color w:val="auto"/>
                      <w:szCs w:val="18"/>
                    </w:rPr>
                  </w:pPr>
                  <w:r>
                    <w:rPr>
                      <w:color w:val="auto"/>
                      <w:szCs w:val="18"/>
                    </w:rPr>
                    <w:t>运行时段</w:t>
                  </w:r>
                  <w:r>
                    <w:rPr>
                      <w:color w:val="auto"/>
                      <w:sz w:val="21"/>
                      <w:szCs w:val="21"/>
                    </w:rPr>
                    <w:t>h/d</w:t>
                  </w:r>
                </w:p>
              </w:tc>
              <w:tc>
                <w:tcPr>
                  <w:tcW w:w="676" w:type="dxa"/>
                  <w:vMerge w:val="restart"/>
                  <w:vAlign w:val="center"/>
                </w:tcPr>
                <w:p w14:paraId="095F857B">
                  <w:pPr>
                    <w:pStyle w:val="14"/>
                    <w:spacing w:before="0" w:after="0" w:line="240" w:lineRule="auto"/>
                    <w:ind w:right="0"/>
                    <w:jc w:val="center"/>
                    <w:rPr>
                      <w:color w:val="auto"/>
                      <w:szCs w:val="18"/>
                    </w:rPr>
                  </w:pPr>
                  <w:r>
                    <w:rPr>
                      <w:color w:val="auto"/>
                      <w:szCs w:val="18"/>
                    </w:rPr>
                    <w:t>建筑物插入损失/ dB(A)</w:t>
                  </w:r>
                </w:p>
              </w:tc>
              <w:tc>
                <w:tcPr>
                  <w:tcW w:w="1232" w:type="dxa"/>
                  <w:gridSpan w:val="2"/>
                  <w:vAlign w:val="center"/>
                </w:tcPr>
                <w:p w14:paraId="30906B4B">
                  <w:pPr>
                    <w:pStyle w:val="14"/>
                    <w:spacing w:before="0" w:after="0" w:line="240" w:lineRule="auto"/>
                    <w:ind w:right="0"/>
                    <w:jc w:val="center"/>
                    <w:rPr>
                      <w:color w:val="auto"/>
                      <w:szCs w:val="18"/>
                    </w:rPr>
                  </w:pPr>
                  <w:r>
                    <w:rPr>
                      <w:color w:val="auto"/>
                      <w:szCs w:val="18"/>
                    </w:rPr>
                    <w:t>建筑物外噪声</w:t>
                  </w:r>
                </w:p>
              </w:tc>
            </w:tr>
            <w:tr w14:paraId="6B66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481" w:type="dxa"/>
                  <w:vMerge w:val="continue"/>
                  <w:vAlign w:val="center"/>
                </w:tcPr>
                <w:p w14:paraId="19F9CE8C">
                  <w:pPr>
                    <w:pStyle w:val="14"/>
                    <w:spacing w:before="0" w:after="0" w:line="240" w:lineRule="auto"/>
                    <w:ind w:right="0"/>
                    <w:jc w:val="center"/>
                    <w:rPr>
                      <w:color w:val="auto"/>
                      <w:szCs w:val="18"/>
                    </w:rPr>
                  </w:pPr>
                </w:p>
              </w:tc>
              <w:tc>
                <w:tcPr>
                  <w:tcW w:w="463" w:type="dxa"/>
                  <w:vMerge w:val="continue"/>
                  <w:vAlign w:val="center"/>
                </w:tcPr>
                <w:p w14:paraId="1F759E1D">
                  <w:pPr>
                    <w:pStyle w:val="14"/>
                    <w:spacing w:before="0" w:after="0" w:line="240" w:lineRule="auto"/>
                    <w:ind w:right="0"/>
                    <w:jc w:val="center"/>
                    <w:rPr>
                      <w:color w:val="auto"/>
                      <w:szCs w:val="18"/>
                    </w:rPr>
                  </w:pPr>
                </w:p>
              </w:tc>
              <w:tc>
                <w:tcPr>
                  <w:tcW w:w="396" w:type="dxa"/>
                  <w:vMerge w:val="continue"/>
                  <w:vAlign w:val="center"/>
                </w:tcPr>
                <w:p w14:paraId="7E3F7C6C">
                  <w:pPr>
                    <w:pStyle w:val="14"/>
                    <w:spacing w:before="0" w:after="0" w:line="240" w:lineRule="auto"/>
                    <w:ind w:right="0"/>
                    <w:jc w:val="center"/>
                    <w:rPr>
                      <w:color w:val="auto"/>
                      <w:szCs w:val="18"/>
                    </w:rPr>
                  </w:pPr>
                </w:p>
              </w:tc>
              <w:tc>
                <w:tcPr>
                  <w:tcW w:w="1126" w:type="dxa"/>
                  <w:vAlign w:val="center"/>
                </w:tcPr>
                <w:p w14:paraId="64953CC9">
                  <w:pPr>
                    <w:jc w:val="center"/>
                    <w:rPr>
                      <w:color w:val="auto"/>
                      <w:szCs w:val="18"/>
                    </w:rPr>
                  </w:pPr>
                  <w:r>
                    <w:rPr>
                      <w:rFonts w:hint="eastAsia"/>
                      <w:color w:val="auto"/>
                      <w:sz w:val="18"/>
                      <w:szCs w:val="18"/>
                    </w:rPr>
                    <w:t>（声压级/距声源距）/(dB(A)/1m)</w:t>
                  </w:r>
                </w:p>
              </w:tc>
              <w:tc>
                <w:tcPr>
                  <w:tcW w:w="685" w:type="dxa"/>
                  <w:vMerge w:val="continue"/>
                  <w:vAlign w:val="center"/>
                </w:tcPr>
                <w:p w14:paraId="4C49C71B">
                  <w:pPr>
                    <w:pStyle w:val="14"/>
                    <w:spacing w:before="0" w:after="0" w:line="240" w:lineRule="auto"/>
                    <w:ind w:right="0"/>
                    <w:jc w:val="center"/>
                    <w:rPr>
                      <w:color w:val="auto"/>
                      <w:szCs w:val="18"/>
                    </w:rPr>
                  </w:pPr>
                </w:p>
              </w:tc>
              <w:tc>
                <w:tcPr>
                  <w:tcW w:w="670" w:type="dxa"/>
                  <w:vAlign w:val="center"/>
                </w:tcPr>
                <w:p w14:paraId="456839B7">
                  <w:pPr>
                    <w:pStyle w:val="14"/>
                    <w:spacing w:before="0" w:after="0" w:line="240" w:lineRule="auto"/>
                    <w:ind w:right="0"/>
                    <w:jc w:val="center"/>
                    <w:rPr>
                      <w:color w:val="auto"/>
                      <w:szCs w:val="18"/>
                    </w:rPr>
                  </w:pPr>
                  <w:r>
                    <w:rPr>
                      <w:color w:val="auto"/>
                      <w:szCs w:val="18"/>
                    </w:rPr>
                    <w:t>X</w:t>
                  </w:r>
                </w:p>
              </w:tc>
              <w:tc>
                <w:tcPr>
                  <w:tcW w:w="670" w:type="dxa"/>
                  <w:vAlign w:val="center"/>
                </w:tcPr>
                <w:p w14:paraId="4A7AF254">
                  <w:pPr>
                    <w:pStyle w:val="14"/>
                    <w:spacing w:before="0" w:after="0" w:line="240" w:lineRule="auto"/>
                    <w:ind w:right="0"/>
                    <w:jc w:val="center"/>
                    <w:rPr>
                      <w:color w:val="auto"/>
                      <w:szCs w:val="18"/>
                    </w:rPr>
                  </w:pPr>
                  <w:r>
                    <w:rPr>
                      <w:color w:val="auto"/>
                      <w:szCs w:val="18"/>
                    </w:rPr>
                    <w:t>Y</w:t>
                  </w:r>
                </w:p>
              </w:tc>
              <w:tc>
                <w:tcPr>
                  <w:tcW w:w="471" w:type="dxa"/>
                  <w:vAlign w:val="center"/>
                </w:tcPr>
                <w:p w14:paraId="69AF59FA">
                  <w:pPr>
                    <w:pStyle w:val="14"/>
                    <w:spacing w:before="0" w:after="0" w:line="240" w:lineRule="auto"/>
                    <w:ind w:right="0"/>
                    <w:jc w:val="center"/>
                    <w:rPr>
                      <w:color w:val="auto"/>
                      <w:szCs w:val="18"/>
                    </w:rPr>
                  </w:pPr>
                  <w:r>
                    <w:rPr>
                      <w:color w:val="auto"/>
                      <w:szCs w:val="18"/>
                    </w:rPr>
                    <w:t>Z</w:t>
                  </w:r>
                </w:p>
              </w:tc>
              <w:tc>
                <w:tcPr>
                  <w:tcW w:w="466" w:type="dxa"/>
                  <w:vMerge w:val="continue"/>
                  <w:vAlign w:val="center"/>
                </w:tcPr>
                <w:p w14:paraId="071BC762">
                  <w:pPr>
                    <w:pStyle w:val="14"/>
                    <w:spacing w:before="0" w:after="0" w:line="240" w:lineRule="auto"/>
                    <w:ind w:right="0"/>
                    <w:jc w:val="center"/>
                    <w:rPr>
                      <w:color w:val="auto"/>
                      <w:szCs w:val="18"/>
                    </w:rPr>
                  </w:pPr>
                </w:p>
              </w:tc>
              <w:tc>
                <w:tcPr>
                  <w:tcW w:w="772" w:type="dxa"/>
                  <w:vMerge w:val="continue"/>
                  <w:vAlign w:val="center"/>
                </w:tcPr>
                <w:p w14:paraId="4FBC9BDE">
                  <w:pPr>
                    <w:pStyle w:val="14"/>
                    <w:spacing w:before="0" w:after="0" w:line="240" w:lineRule="auto"/>
                    <w:ind w:right="0"/>
                    <w:jc w:val="center"/>
                    <w:rPr>
                      <w:color w:val="auto"/>
                      <w:szCs w:val="18"/>
                    </w:rPr>
                  </w:pPr>
                </w:p>
              </w:tc>
              <w:tc>
                <w:tcPr>
                  <w:tcW w:w="485" w:type="dxa"/>
                  <w:vMerge w:val="continue"/>
                  <w:vAlign w:val="center"/>
                </w:tcPr>
                <w:p w14:paraId="11B4865E">
                  <w:pPr>
                    <w:pStyle w:val="14"/>
                    <w:spacing w:before="0" w:after="0" w:line="240" w:lineRule="auto"/>
                    <w:ind w:right="0"/>
                    <w:jc w:val="center"/>
                    <w:rPr>
                      <w:color w:val="auto"/>
                      <w:szCs w:val="18"/>
                    </w:rPr>
                  </w:pPr>
                </w:p>
              </w:tc>
              <w:tc>
                <w:tcPr>
                  <w:tcW w:w="676" w:type="dxa"/>
                  <w:vMerge w:val="continue"/>
                  <w:vAlign w:val="center"/>
                </w:tcPr>
                <w:p w14:paraId="55937B25">
                  <w:pPr>
                    <w:pStyle w:val="14"/>
                    <w:spacing w:before="0" w:after="0" w:line="240" w:lineRule="auto"/>
                    <w:ind w:right="0"/>
                    <w:jc w:val="center"/>
                    <w:rPr>
                      <w:color w:val="auto"/>
                      <w:szCs w:val="18"/>
                    </w:rPr>
                  </w:pPr>
                </w:p>
              </w:tc>
              <w:tc>
                <w:tcPr>
                  <w:tcW w:w="726" w:type="dxa"/>
                  <w:vAlign w:val="center"/>
                </w:tcPr>
                <w:p w14:paraId="15E820B9">
                  <w:pPr>
                    <w:pStyle w:val="14"/>
                    <w:spacing w:before="0" w:after="0" w:line="240" w:lineRule="auto"/>
                    <w:ind w:right="0"/>
                    <w:jc w:val="center"/>
                    <w:rPr>
                      <w:color w:val="auto"/>
                      <w:szCs w:val="18"/>
                    </w:rPr>
                  </w:pPr>
                  <w:r>
                    <w:rPr>
                      <w:color w:val="auto"/>
                      <w:szCs w:val="18"/>
                    </w:rPr>
                    <w:t>声压级/dB(A)</w:t>
                  </w:r>
                </w:p>
              </w:tc>
              <w:tc>
                <w:tcPr>
                  <w:tcW w:w="506" w:type="dxa"/>
                  <w:vAlign w:val="center"/>
                </w:tcPr>
                <w:p w14:paraId="053C0A5D">
                  <w:pPr>
                    <w:pStyle w:val="14"/>
                    <w:spacing w:before="0" w:after="0" w:line="240" w:lineRule="auto"/>
                    <w:ind w:right="0"/>
                    <w:jc w:val="center"/>
                    <w:rPr>
                      <w:color w:val="auto"/>
                      <w:szCs w:val="18"/>
                    </w:rPr>
                  </w:pPr>
                  <w:r>
                    <w:rPr>
                      <w:color w:val="auto"/>
                      <w:szCs w:val="18"/>
                    </w:rPr>
                    <w:t>建筑物外距离</w:t>
                  </w:r>
                  <w:r>
                    <w:rPr>
                      <w:rFonts w:hint="eastAsia"/>
                      <w:color w:val="auto"/>
                      <w:szCs w:val="18"/>
                    </w:rPr>
                    <w:t>/m</w:t>
                  </w:r>
                </w:p>
              </w:tc>
            </w:tr>
            <w:tr w14:paraId="29AB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4E61E2AA">
                  <w:pPr>
                    <w:pStyle w:val="14"/>
                    <w:spacing w:before="0" w:after="0" w:line="240" w:lineRule="auto"/>
                    <w:ind w:right="0"/>
                    <w:jc w:val="center"/>
                    <w:rPr>
                      <w:color w:val="auto"/>
                      <w:sz w:val="21"/>
                      <w:szCs w:val="21"/>
                    </w:rPr>
                  </w:pPr>
                  <w:bookmarkStart w:id="79" w:name="_Hlk194507427"/>
                  <w:r>
                    <w:rPr>
                      <w:rFonts w:hint="eastAsia"/>
                      <w:color w:val="auto"/>
                      <w:sz w:val="21"/>
                      <w:szCs w:val="21"/>
                    </w:rPr>
                    <w:t>污水站</w:t>
                  </w:r>
                </w:p>
              </w:tc>
              <w:tc>
                <w:tcPr>
                  <w:tcW w:w="463" w:type="dxa"/>
                  <w:vAlign w:val="center"/>
                </w:tcPr>
                <w:p w14:paraId="1C417CE2">
                  <w:pPr>
                    <w:pStyle w:val="14"/>
                    <w:spacing w:before="0" w:after="0" w:line="240" w:lineRule="auto"/>
                    <w:ind w:right="0"/>
                    <w:jc w:val="center"/>
                    <w:rPr>
                      <w:color w:val="auto"/>
                      <w:sz w:val="21"/>
                      <w:szCs w:val="21"/>
                    </w:rPr>
                  </w:pPr>
                  <w:r>
                    <w:rPr>
                      <w:rFonts w:hint="eastAsia"/>
                      <w:color w:val="auto"/>
                      <w:sz w:val="21"/>
                      <w:szCs w:val="21"/>
                    </w:rPr>
                    <w:t>1#水泵</w:t>
                  </w:r>
                </w:p>
              </w:tc>
              <w:tc>
                <w:tcPr>
                  <w:tcW w:w="396" w:type="dxa"/>
                  <w:vAlign w:val="center"/>
                </w:tcPr>
                <w:p w14:paraId="1760BDE0">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7560F0B2">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22FED0F4">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24A2F6E3">
                  <w:pPr>
                    <w:pStyle w:val="14"/>
                    <w:spacing w:before="0" w:after="0" w:line="240" w:lineRule="auto"/>
                    <w:ind w:right="0"/>
                    <w:jc w:val="center"/>
                    <w:rPr>
                      <w:color w:val="auto"/>
                      <w:szCs w:val="18"/>
                    </w:rPr>
                  </w:pPr>
                  <w:r>
                    <w:rPr>
                      <w:rFonts w:hint="eastAsia"/>
                      <w:color w:val="auto"/>
                      <w:szCs w:val="18"/>
                    </w:rPr>
                    <w:t>48.07</w:t>
                  </w:r>
                </w:p>
              </w:tc>
              <w:tc>
                <w:tcPr>
                  <w:tcW w:w="670" w:type="dxa"/>
                  <w:vAlign w:val="center"/>
                </w:tcPr>
                <w:p w14:paraId="1AE61891">
                  <w:pPr>
                    <w:pStyle w:val="14"/>
                    <w:spacing w:before="0" w:after="0" w:line="240" w:lineRule="auto"/>
                    <w:ind w:right="0"/>
                    <w:jc w:val="center"/>
                    <w:rPr>
                      <w:color w:val="auto"/>
                      <w:szCs w:val="18"/>
                    </w:rPr>
                  </w:pPr>
                  <w:r>
                    <w:rPr>
                      <w:rFonts w:hint="eastAsia"/>
                      <w:color w:val="auto"/>
                      <w:szCs w:val="18"/>
                    </w:rPr>
                    <w:t>39.07</w:t>
                  </w:r>
                </w:p>
              </w:tc>
              <w:tc>
                <w:tcPr>
                  <w:tcW w:w="471" w:type="dxa"/>
                  <w:vAlign w:val="center"/>
                </w:tcPr>
                <w:p w14:paraId="08492BB3">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7A1E2E44">
                  <w:pPr>
                    <w:pStyle w:val="14"/>
                    <w:spacing w:before="0" w:after="0" w:line="240" w:lineRule="auto"/>
                    <w:ind w:right="0"/>
                    <w:jc w:val="center"/>
                    <w:rPr>
                      <w:color w:val="auto"/>
                      <w:szCs w:val="18"/>
                    </w:rPr>
                  </w:pPr>
                  <w:r>
                    <w:rPr>
                      <w:rFonts w:hint="eastAsia"/>
                      <w:color w:val="auto"/>
                      <w:szCs w:val="18"/>
                    </w:rPr>
                    <w:t>4.5</w:t>
                  </w:r>
                </w:p>
              </w:tc>
              <w:tc>
                <w:tcPr>
                  <w:tcW w:w="772" w:type="dxa"/>
                  <w:vAlign w:val="center"/>
                </w:tcPr>
                <w:p w14:paraId="72E1E867">
                  <w:pPr>
                    <w:pStyle w:val="14"/>
                    <w:spacing w:before="0" w:after="0" w:line="240" w:lineRule="auto"/>
                    <w:ind w:right="0"/>
                    <w:jc w:val="center"/>
                    <w:rPr>
                      <w:color w:val="auto"/>
                      <w:szCs w:val="18"/>
                    </w:rPr>
                  </w:pPr>
                  <w:r>
                    <w:rPr>
                      <w:rFonts w:hint="eastAsia"/>
                      <w:color w:val="auto"/>
                      <w:szCs w:val="18"/>
                    </w:rPr>
                    <w:t>71.93</w:t>
                  </w:r>
                </w:p>
              </w:tc>
              <w:tc>
                <w:tcPr>
                  <w:tcW w:w="485" w:type="dxa"/>
                  <w:vAlign w:val="center"/>
                </w:tcPr>
                <w:p w14:paraId="5F9DA171">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3D4746CA">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72738BF2">
                  <w:pPr>
                    <w:pStyle w:val="14"/>
                    <w:spacing w:before="0" w:after="0" w:line="240" w:lineRule="auto"/>
                    <w:ind w:right="0"/>
                    <w:jc w:val="center"/>
                    <w:rPr>
                      <w:color w:val="auto"/>
                      <w:szCs w:val="18"/>
                    </w:rPr>
                  </w:pPr>
                  <w:r>
                    <w:rPr>
                      <w:rFonts w:hint="eastAsia"/>
                      <w:color w:val="auto"/>
                      <w:szCs w:val="18"/>
                    </w:rPr>
                    <w:t>45.93</w:t>
                  </w:r>
                </w:p>
              </w:tc>
              <w:tc>
                <w:tcPr>
                  <w:tcW w:w="506" w:type="dxa"/>
                  <w:vAlign w:val="center"/>
                </w:tcPr>
                <w:p w14:paraId="55CCB794">
                  <w:pPr>
                    <w:pStyle w:val="14"/>
                    <w:spacing w:before="0" w:after="0" w:line="240" w:lineRule="auto"/>
                    <w:ind w:right="0"/>
                    <w:jc w:val="center"/>
                    <w:rPr>
                      <w:color w:val="auto"/>
                      <w:szCs w:val="18"/>
                    </w:rPr>
                  </w:pPr>
                  <w:r>
                    <w:rPr>
                      <w:rFonts w:hint="eastAsia"/>
                      <w:color w:val="auto"/>
                      <w:szCs w:val="18"/>
                    </w:rPr>
                    <w:t>1</w:t>
                  </w:r>
                </w:p>
              </w:tc>
            </w:tr>
            <w:tr w14:paraId="119B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32B01223">
                  <w:pPr>
                    <w:pStyle w:val="14"/>
                    <w:spacing w:before="0" w:after="0" w:line="240" w:lineRule="auto"/>
                    <w:ind w:right="0"/>
                    <w:jc w:val="center"/>
                    <w:rPr>
                      <w:color w:val="auto"/>
                      <w:sz w:val="21"/>
                      <w:szCs w:val="21"/>
                    </w:rPr>
                  </w:pPr>
                </w:p>
              </w:tc>
              <w:tc>
                <w:tcPr>
                  <w:tcW w:w="463" w:type="dxa"/>
                  <w:vAlign w:val="center"/>
                </w:tcPr>
                <w:p w14:paraId="27B4A5DA">
                  <w:pPr>
                    <w:pStyle w:val="14"/>
                    <w:spacing w:before="0" w:after="0" w:line="240" w:lineRule="auto"/>
                    <w:ind w:right="0"/>
                    <w:jc w:val="center"/>
                    <w:rPr>
                      <w:color w:val="auto"/>
                      <w:sz w:val="21"/>
                      <w:szCs w:val="21"/>
                    </w:rPr>
                  </w:pPr>
                  <w:r>
                    <w:rPr>
                      <w:rFonts w:hint="eastAsia"/>
                      <w:color w:val="auto"/>
                      <w:sz w:val="21"/>
                      <w:szCs w:val="21"/>
                    </w:rPr>
                    <w:t>2#水泵</w:t>
                  </w:r>
                </w:p>
              </w:tc>
              <w:tc>
                <w:tcPr>
                  <w:tcW w:w="396" w:type="dxa"/>
                  <w:vAlign w:val="center"/>
                </w:tcPr>
                <w:p w14:paraId="584B6D91">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60B7378E">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6FDB214B">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44992ADD">
                  <w:pPr>
                    <w:pStyle w:val="14"/>
                    <w:spacing w:before="0" w:after="0" w:line="240" w:lineRule="auto"/>
                    <w:ind w:right="0"/>
                    <w:jc w:val="center"/>
                    <w:rPr>
                      <w:color w:val="auto"/>
                      <w:szCs w:val="18"/>
                    </w:rPr>
                  </w:pPr>
                  <w:r>
                    <w:rPr>
                      <w:rFonts w:hint="eastAsia"/>
                      <w:color w:val="auto"/>
                      <w:szCs w:val="18"/>
                    </w:rPr>
                    <w:t>49.99</w:t>
                  </w:r>
                </w:p>
              </w:tc>
              <w:tc>
                <w:tcPr>
                  <w:tcW w:w="670" w:type="dxa"/>
                  <w:vAlign w:val="center"/>
                </w:tcPr>
                <w:p w14:paraId="430E3A6D">
                  <w:pPr>
                    <w:pStyle w:val="14"/>
                    <w:spacing w:before="0" w:after="0" w:line="240" w:lineRule="auto"/>
                    <w:ind w:right="0"/>
                    <w:jc w:val="center"/>
                    <w:rPr>
                      <w:color w:val="auto"/>
                      <w:szCs w:val="18"/>
                    </w:rPr>
                  </w:pPr>
                  <w:r>
                    <w:rPr>
                      <w:rFonts w:hint="eastAsia"/>
                      <w:color w:val="auto"/>
                      <w:szCs w:val="18"/>
                    </w:rPr>
                    <w:t>38.82</w:t>
                  </w:r>
                </w:p>
              </w:tc>
              <w:tc>
                <w:tcPr>
                  <w:tcW w:w="471" w:type="dxa"/>
                  <w:vAlign w:val="center"/>
                </w:tcPr>
                <w:p w14:paraId="13E42EC8">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33E37790">
                  <w:pPr>
                    <w:pStyle w:val="14"/>
                    <w:spacing w:before="0" w:after="0" w:line="240" w:lineRule="auto"/>
                    <w:ind w:right="0"/>
                    <w:jc w:val="center"/>
                    <w:rPr>
                      <w:color w:val="auto"/>
                      <w:szCs w:val="18"/>
                    </w:rPr>
                  </w:pPr>
                  <w:r>
                    <w:rPr>
                      <w:rFonts w:hint="eastAsia"/>
                      <w:color w:val="auto"/>
                      <w:szCs w:val="18"/>
                    </w:rPr>
                    <w:t>4.6</w:t>
                  </w:r>
                </w:p>
              </w:tc>
              <w:tc>
                <w:tcPr>
                  <w:tcW w:w="772" w:type="dxa"/>
                  <w:vAlign w:val="center"/>
                </w:tcPr>
                <w:p w14:paraId="386E9F09">
                  <w:pPr>
                    <w:pStyle w:val="14"/>
                    <w:spacing w:before="0" w:after="0" w:line="240" w:lineRule="auto"/>
                    <w:ind w:right="0"/>
                    <w:jc w:val="center"/>
                    <w:rPr>
                      <w:color w:val="auto"/>
                      <w:szCs w:val="18"/>
                    </w:rPr>
                  </w:pPr>
                  <w:r>
                    <w:rPr>
                      <w:rFonts w:hint="eastAsia"/>
                      <w:color w:val="auto"/>
                      <w:szCs w:val="18"/>
                    </w:rPr>
                    <w:t>71.56</w:t>
                  </w:r>
                </w:p>
              </w:tc>
              <w:tc>
                <w:tcPr>
                  <w:tcW w:w="485" w:type="dxa"/>
                  <w:vAlign w:val="center"/>
                </w:tcPr>
                <w:p w14:paraId="06D8004D">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27905042">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6663B5FD">
                  <w:pPr>
                    <w:pStyle w:val="14"/>
                    <w:spacing w:before="0" w:after="0" w:line="240" w:lineRule="auto"/>
                    <w:ind w:right="0"/>
                    <w:jc w:val="center"/>
                    <w:rPr>
                      <w:color w:val="auto"/>
                      <w:szCs w:val="18"/>
                    </w:rPr>
                  </w:pPr>
                  <w:r>
                    <w:rPr>
                      <w:rFonts w:hint="eastAsia"/>
                      <w:color w:val="auto"/>
                      <w:szCs w:val="18"/>
                    </w:rPr>
                    <w:t>45.56</w:t>
                  </w:r>
                </w:p>
              </w:tc>
              <w:tc>
                <w:tcPr>
                  <w:tcW w:w="506" w:type="dxa"/>
                  <w:vAlign w:val="center"/>
                </w:tcPr>
                <w:p w14:paraId="1A4985BA">
                  <w:pPr>
                    <w:pStyle w:val="14"/>
                    <w:spacing w:before="0" w:after="0" w:line="240" w:lineRule="auto"/>
                    <w:ind w:right="0"/>
                    <w:jc w:val="center"/>
                    <w:rPr>
                      <w:color w:val="auto"/>
                      <w:szCs w:val="18"/>
                    </w:rPr>
                  </w:pPr>
                  <w:r>
                    <w:rPr>
                      <w:rFonts w:hint="eastAsia"/>
                      <w:color w:val="auto"/>
                      <w:szCs w:val="18"/>
                    </w:rPr>
                    <w:t>1</w:t>
                  </w:r>
                </w:p>
              </w:tc>
            </w:tr>
            <w:tr w14:paraId="1630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2562E834">
                  <w:pPr>
                    <w:pStyle w:val="14"/>
                    <w:spacing w:before="0" w:after="0" w:line="240" w:lineRule="auto"/>
                    <w:ind w:right="0"/>
                    <w:jc w:val="center"/>
                    <w:rPr>
                      <w:color w:val="auto"/>
                      <w:sz w:val="21"/>
                      <w:szCs w:val="21"/>
                    </w:rPr>
                  </w:pPr>
                </w:p>
              </w:tc>
              <w:tc>
                <w:tcPr>
                  <w:tcW w:w="463" w:type="dxa"/>
                  <w:vAlign w:val="center"/>
                </w:tcPr>
                <w:p w14:paraId="5E72E5FC">
                  <w:pPr>
                    <w:pStyle w:val="14"/>
                    <w:spacing w:before="0" w:after="0" w:line="240" w:lineRule="auto"/>
                    <w:ind w:right="0"/>
                    <w:jc w:val="center"/>
                    <w:rPr>
                      <w:color w:val="auto"/>
                      <w:sz w:val="21"/>
                      <w:szCs w:val="21"/>
                    </w:rPr>
                  </w:pPr>
                  <w:r>
                    <w:rPr>
                      <w:rFonts w:hint="eastAsia"/>
                      <w:color w:val="auto"/>
                      <w:sz w:val="21"/>
                      <w:szCs w:val="21"/>
                    </w:rPr>
                    <w:t>风机</w:t>
                  </w:r>
                </w:p>
              </w:tc>
              <w:tc>
                <w:tcPr>
                  <w:tcW w:w="396" w:type="dxa"/>
                  <w:vAlign w:val="center"/>
                </w:tcPr>
                <w:p w14:paraId="78EDDF3E">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589A408A">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30AAC114">
                  <w:pPr>
                    <w:pStyle w:val="14"/>
                    <w:spacing w:before="0" w:after="0" w:line="240" w:lineRule="auto"/>
                    <w:ind w:right="0"/>
                    <w:jc w:val="center"/>
                    <w:rPr>
                      <w:color w:val="auto"/>
                      <w:szCs w:val="18"/>
                    </w:rPr>
                  </w:pPr>
                  <w:r>
                    <w:rPr>
                      <w:rFonts w:hint="eastAsia"/>
                      <w:color w:val="auto"/>
                      <w:szCs w:val="18"/>
                    </w:rPr>
                    <w:t>安装消声器</w:t>
                  </w:r>
                </w:p>
              </w:tc>
              <w:tc>
                <w:tcPr>
                  <w:tcW w:w="670" w:type="dxa"/>
                  <w:vAlign w:val="center"/>
                </w:tcPr>
                <w:p w14:paraId="21BDF907">
                  <w:pPr>
                    <w:pStyle w:val="14"/>
                    <w:spacing w:before="0" w:after="0" w:line="240" w:lineRule="auto"/>
                    <w:ind w:right="0"/>
                    <w:jc w:val="center"/>
                    <w:rPr>
                      <w:color w:val="auto"/>
                      <w:szCs w:val="18"/>
                    </w:rPr>
                  </w:pPr>
                  <w:r>
                    <w:rPr>
                      <w:rFonts w:hint="eastAsia"/>
                      <w:color w:val="auto"/>
                      <w:szCs w:val="18"/>
                    </w:rPr>
                    <w:t>51.11</w:t>
                  </w:r>
                </w:p>
              </w:tc>
              <w:tc>
                <w:tcPr>
                  <w:tcW w:w="670" w:type="dxa"/>
                  <w:vAlign w:val="center"/>
                </w:tcPr>
                <w:p w14:paraId="10075671">
                  <w:pPr>
                    <w:pStyle w:val="14"/>
                    <w:spacing w:before="0" w:after="0" w:line="240" w:lineRule="auto"/>
                    <w:ind w:right="0"/>
                    <w:jc w:val="center"/>
                    <w:rPr>
                      <w:color w:val="auto"/>
                      <w:szCs w:val="18"/>
                    </w:rPr>
                  </w:pPr>
                  <w:r>
                    <w:rPr>
                      <w:rFonts w:hint="eastAsia"/>
                      <w:color w:val="auto"/>
                      <w:szCs w:val="18"/>
                    </w:rPr>
                    <w:t>42.38</w:t>
                  </w:r>
                </w:p>
              </w:tc>
              <w:tc>
                <w:tcPr>
                  <w:tcW w:w="471" w:type="dxa"/>
                  <w:vAlign w:val="center"/>
                </w:tcPr>
                <w:p w14:paraId="048BD8D0">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04095A0A">
                  <w:pPr>
                    <w:pStyle w:val="14"/>
                    <w:spacing w:before="0" w:after="0" w:line="240" w:lineRule="auto"/>
                    <w:ind w:right="0"/>
                    <w:jc w:val="center"/>
                    <w:rPr>
                      <w:color w:val="auto"/>
                      <w:szCs w:val="18"/>
                    </w:rPr>
                  </w:pPr>
                  <w:r>
                    <w:rPr>
                      <w:rFonts w:hint="eastAsia"/>
                      <w:color w:val="auto"/>
                      <w:szCs w:val="18"/>
                    </w:rPr>
                    <w:t>3</w:t>
                  </w:r>
                </w:p>
              </w:tc>
              <w:tc>
                <w:tcPr>
                  <w:tcW w:w="772" w:type="dxa"/>
                  <w:vAlign w:val="center"/>
                </w:tcPr>
                <w:p w14:paraId="75CFE721">
                  <w:pPr>
                    <w:pStyle w:val="14"/>
                    <w:spacing w:before="0" w:after="0" w:line="240" w:lineRule="auto"/>
                    <w:ind w:right="0"/>
                    <w:jc w:val="center"/>
                    <w:rPr>
                      <w:color w:val="auto"/>
                      <w:szCs w:val="18"/>
                    </w:rPr>
                  </w:pPr>
                  <w:r>
                    <w:rPr>
                      <w:rFonts w:hint="eastAsia"/>
                      <w:color w:val="auto"/>
                      <w:szCs w:val="18"/>
                    </w:rPr>
                    <w:t>75.45</w:t>
                  </w:r>
                </w:p>
              </w:tc>
              <w:tc>
                <w:tcPr>
                  <w:tcW w:w="485" w:type="dxa"/>
                  <w:vAlign w:val="center"/>
                </w:tcPr>
                <w:p w14:paraId="43E2D15A">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6F8646FA">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0D5DEA7F">
                  <w:pPr>
                    <w:pStyle w:val="14"/>
                    <w:spacing w:before="0" w:after="0" w:line="240" w:lineRule="auto"/>
                    <w:ind w:right="0"/>
                    <w:jc w:val="center"/>
                    <w:rPr>
                      <w:color w:val="auto"/>
                      <w:szCs w:val="18"/>
                    </w:rPr>
                  </w:pPr>
                  <w:r>
                    <w:rPr>
                      <w:rFonts w:hint="eastAsia"/>
                      <w:color w:val="auto"/>
                      <w:szCs w:val="18"/>
                    </w:rPr>
                    <w:t>49.45</w:t>
                  </w:r>
                </w:p>
              </w:tc>
              <w:tc>
                <w:tcPr>
                  <w:tcW w:w="506" w:type="dxa"/>
                  <w:vAlign w:val="center"/>
                </w:tcPr>
                <w:p w14:paraId="66F9BF69">
                  <w:pPr>
                    <w:pStyle w:val="14"/>
                    <w:spacing w:before="0" w:after="0" w:line="240" w:lineRule="auto"/>
                    <w:ind w:right="0"/>
                    <w:jc w:val="center"/>
                    <w:rPr>
                      <w:color w:val="auto"/>
                      <w:szCs w:val="18"/>
                    </w:rPr>
                  </w:pPr>
                  <w:r>
                    <w:rPr>
                      <w:rFonts w:hint="eastAsia"/>
                      <w:color w:val="auto"/>
                      <w:szCs w:val="18"/>
                    </w:rPr>
                    <w:t>1</w:t>
                  </w:r>
                </w:p>
              </w:tc>
            </w:tr>
            <w:bookmarkEnd w:id="79"/>
          </w:tbl>
          <w:p w14:paraId="70A44384">
            <w:pPr>
              <w:adjustRightInd w:val="0"/>
              <w:snapToGrid w:val="0"/>
              <w:ind w:firstLine="1205" w:firstLineChars="500"/>
              <w:rPr>
                <w:b/>
                <w:color w:val="auto"/>
                <w:kern w:val="24"/>
                <w:sz w:val="24"/>
              </w:rPr>
            </w:pPr>
          </w:p>
          <w:p w14:paraId="68BF1C88">
            <w:pPr>
              <w:adjustRightInd w:val="0"/>
              <w:snapToGrid w:val="0"/>
              <w:ind w:firstLine="1205" w:firstLineChars="500"/>
              <w:rPr>
                <w:b/>
                <w:color w:val="auto"/>
                <w:kern w:val="24"/>
                <w:sz w:val="24"/>
              </w:rPr>
            </w:pPr>
            <w:r>
              <w:rPr>
                <w:rFonts w:hint="eastAsia"/>
                <w:b/>
                <w:color w:val="auto"/>
                <w:kern w:val="24"/>
                <w:sz w:val="24"/>
              </w:rPr>
              <w:t>表4-26 四街卫生院工业企业噪声源强调查清单（室内声源）</w:t>
            </w:r>
          </w:p>
          <w:tbl>
            <w:tblPr>
              <w:tblStyle w:val="33"/>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61"/>
              <w:gridCol w:w="396"/>
              <w:gridCol w:w="1107"/>
              <w:gridCol w:w="677"/>
              <w:gridCol w:w="663"/>
              <w:gridCol w:w="663"/>
              <w:gridCol w:w="469"/>
              <w:gridCol w:w="464"/>
              <w:gridCol w:w="762"/>
              <w:gridCol w:w="483"/>
              <w:gridCol w:w="669"/>
              <w:gridCol w:w="717"/>
              <w:gridCol w:w="503"/>
            </w:tblGrid>
            <w:tr w14:paraId="1B47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06B677BC">
                  <w:pPr>
                    <w:pStyle w:val="14"/>
                    <w:spacing w:before="0" w:after="0" w:line="240" w:lineRule="auto"/>
                    <w:ind w:right="0"/>
                    <w:jc w:val="center"/>
                    <w:rPr>
                      <w:color w:val="auto"/>
                      <w:szCs w:val="18"/>
                    </w:rPr>
                  </w:pPr>
                  <w:r>
                    <w:rPr>
                      <w:color w:val="auto"/>
                      <w:szCs w:val="18"/>
                    </w:rPr>
                    <w:t>建筑物名称</w:t>
                  </w:r>
                </w:p>
              </w:tc>
              <w:tc>
                <w:tcPr>
                  <w:tcW w:w="463" w:type="dxa"/>
                  <w:vMerge w:val="restart"/>
                  <w:vAlign w:val="center"/>
                </w:tcPr>
                <w:p w14:paraId="211C111C">
                  <w:pPr>
                    <w:pStyle w:val="14"/>
                    <w:spacing w:before="0" w:after="0" w:line="240" w:lineRule="auto"/>
                    <w:ind w:right="0"/>
                    <w:jc w:val="center"/>
                    <w:rPr>
                      <w:color w:val="auto"/>
                      <w:szCs w:val="18"/>
                    </w:rPr>
                  </w:pPr>
                  <w:r>
                    <w:rPr>
                      <w:color w:val="auto"/>
                      <w:szCs w:val="18"/>
                    </w:rPr>
                    <w:t>声源名称</w:t>
                  </w:r>
                </w:p>
              </w:tc>
              <w:tc>
                <w:tcPr>
                  <w:tcW w:w="396" w:type="dxa"/>
                  <w:vMerge w:val="restart"/>
                  <w:vAlign w:val="center"/>
                </w:tcPr>
                <w:p w14:paraId="4CC92049">
                  <w:pPr>
                    <w:pStyle w:val="14"/>
                    <w:spacing w:before="0" w:after="0" w:line="240" w:lineRule="auto"/>
                    <w:ind w:right="0"/>
                    <w:jc w:val="center"/>
                    <w:rPr>
                      <w:color w:val="auto"/>
                      <w:szCs w:val="18"/>
                    </w:rPr>
                  </w:pPr>
                  <w:r>
                    <w:rPr>
                      <w:color w:val="auto"/>
                      <w:szCs w:val="18"/>
                    </w:rPr>
                    <w:t>型号</w:t>
                  </w:r>
                </w:p>
              </w:tc>
              <w:tc>
                <w:tcPr>
                  <w:tcW w:w="1126" w:type="dxa"/>
                  <w:vAlign w:val="center"/>
                </w:tcPr>
                <w:p w14:paraId="5AE86470">
                  <w:pPr>
                    <w:jc w:val="center"/>
                    <w:rPr>
                      <w:color w:val="auto"/>
                      <w:szCs w:val="21"/>
                    </w:rPr>
                  </w:pPr>
                  <w:r>
                    <w:rPr>
                      <w:rFonts w:hint="eastAsia"/>
                      <w:color w:val="auto"/>
                      <w:szCs w:val="21"/>
                    </w:rPr>
                    <w:t>点声源</w:t>
                  </w:r>
                </w:p>
                <w:p w14:paraId="20620750">
                  <w:pPr>
                    <w:jc w:val="center"/>
                    <w:rPr>
                      <w:color w:val="auto"/>
                      <w:szCs w:val="18"/>
                    </w:rPr>
                  </w:pPr>
                  <w:r>
                    <w:rPr>
                      <w:rFonts w:hint="eastAsia"/>
                      <w:color w:val="auto"/>
                      <w:szCs w:val="21"/>
                    </w:rPr>
                    <w:t>源强</w:t>
                  </w:r>
                </w:p>
              </w:tc>
              <w:tc>
                <w:tcPr>
                  <w:tcW w:w="685" w:type="dxa"/>
                  <w:vMerge w:val="restart"/>
                  <w:vAlign w:val="center"/>
                </w:tcPr>
                <w:p w14:paraId="6BBF4DBE">
                  <w:pPr>
                    <w:pStyle w:val="14"/>
                    <w:spacing w:before="0" w:after="0" w:line="240" w:lineRule="auto"/>
                    <w:ind w:right="0"/>
                    <w:jc w:val="center"/>
                    <w:rPr>
                      <w:color w:val="auto"/>
                      <w:szCs w:val="18"/>
                    </w:rPr>
                  </w:pPr>
                  <w:r>
                    <w:rPr>
                      <w:color w:val="auto"/>
                      <w:szCs w:val="18"/>
                    </w:rPr>
                    <w:t>声源控制措施</w:t>
                  </w:r>
                </w:p>
              </w:tc>
              <w:tc>
                <w:tcPr>
                  <w:tcW w:w="1811" w:type="dxa"/>
                  <w:gridSpan w:val="3"/>
                  <w:vAlign w:val="center"/>
                </w:tcPr>
                <w:p w14:paraId="25166F61">
                  <w:pPr>
                    <w:pStyle w:val="14"/>
                    <w:spacing w:before="0" w:after="0" w:line="240" w:lineRule="auto"/>
                    <w:ind w:right="0"/>
                    <w:jc w:val="center"/>
                    <w:rPr>
                      <w:color w:val="auto"/>
                      <w:szCs w:val="18"/>
                    </w:rPr>
                  </w:pPr>
                  <w:r>
                    <w:rPr>
                      <w:color w:val="auto"/>
                      <w:szCs w:val="18"/>
                    </w:rPr>
                    <w:t>空间相对位置/m</w:t>
                  </w:r>
                </w:p>
              </w:tc>
              <w:tc>
                <w:tcPr>
                  <w:tcW w:w="466" w:type="dxa"/>
                  <w:vMerge w:val="restart"/>
                  <w:vAlign w:val="center"/>
                </w:tcPr>
                <w:p w14:paraId="68BBB1BB">
                  <w:pPr>
                    <w:pStyle w:val="14"/>
                    <w:spacing w:before="0" w:after="0" w:line="240" w:lineRule="auto"/>
                    <w:ind w:right="0"/>
                    <w:jc w:val="center"/>
                    <w:rPr>
                      <w:color w:val="auto"/>
                      <w:szCs w:val="18"/>
                    </w:rPr>
                  </w:pPr>
                  <w:r>
                    <w:rPr>
                      <w:color w:val="auto"/>
                      <w:szCs w:val="18"/>
                    </w:rPr>
                    <w:t>距室内边界距离/m</w:t>
                  </w:r>
                </w:p>
              </w:tc>
              <w:tc>
                <w:tcPr>
                  <w:tcW w:w="772" w:type="dxa"/>
                  <w:vMerge w:val="restart"/>
                  <w:vAlign w:val="center"/>
                </w:tcPr>
                <w:p w14:paraId="039E3671">
                  <w:pPr>
                    <w:pStyle w:val="14"/>
                    <w:spacing w:before="0" w:after="0" w:line="240" w:lineRule="auto"/>
                    <w:ind w:right="0"/>
                    <w:jc w:val="center"/>
                    <w:rPr>
                      <w:color w:val="auto"/>
                      <w:szCs w:val="18"/>
                    </w:rPr>
                  </w:pPr>
                  <w:r>
                    <w:rPr>
                      <w:color w:val="auto"/>
                      <w:szCs w:val="18"/>
                    </w:rPr>
                    <w:t>室内边界声级/dB(A)</w:t>
                  </w:r>
                </w:p>
              </w:tc>
              <w:tc>
                <w:tcPr>
                  <w:tcW w:w="485" w:type="dxa"/>
                  <w:vMerge w:val="restart"/>
                  <w:vAlign w:val="center"/>
                </w:tcPr>
                <w:p w14:paraId="679B48EB">
                  <w:pPr>
                    <w:pStyle w:val="14"/>
                    <w:spacing w:before="0" w:after="0" w:line="240" w:lineRule="auto"/>
                    <w:ind w:right="0"/>
                    <w:jc w:val="center"/>
                    <w:rPr>
                      <w:color w:val="auto"/>
                      <w:szCs w:val="18"/>
                    </w:rPr>
                  </w:pPr>
                  <w:r>
                    <w:rPr>
                      <w:color w:val="auto"/>
                      <w:szCs w:val="18"/>
                    </w:rPr>
                    <w:t>运行时段</w:t>
                  </w:r>
                  <w:r>
                    <w:rPr>
                      <w:color w:val="auto"/>
                      <w:sz w:val="21"/>
                      <w:szCs w:val="21"/>
                    </w:rPr>
                    <w:t>h/d</w:t>
                  </w:r>
                </w:p>
              </w:tc>
              <w:tc>
                <w:tcPr>
                  <w:tcW w:w="676" w:type="dxa"/>
                  <w:vMerge w:val="restart"/>
                  <w:vAlign w:val="center"/>
                </w:tcPr>
                <w:p w14:paraId="4B493E3B">
                  <w:pPr>
                    <w:pStyle w:val="14"/>
                    <w:spacing w:before="0" w:after="0" w:line="240" w:lineRule="auto"/>
                    <w:ind w:right="0"/>
                    <w:jc w:val="center"/>
                    <w:rPr>
                      <w:color w:val="auto"/>
                      <w:szCs w:val="18"/>
                    </w:rPr>
                  </w:pPr>
                  <w:r>
                    <w:rPr>
                      <w:color w:val="auto"/>
                      <w:szCs w:val="18"/>
                    </w:rPr>
                    <w:t>建筑物插入损失/ dB(A)</w:t>
                  </w:r>
                </w:p>
              </w:tc>
              <w:tc>
                <w:tcPr>
                  <w:tcW w:w="1232" w:type="dxa"/>
                  <w:gridSpan w:val="2"/>
                  <w:vAlign w:val="center"/>
                </w:tcPr>
                <w:p w14:paraId="53E535A0">
                  <w:pPr>
                    <w:pStyle w:val="14"/>
                    <w:spacing w:before="0" w:after="0" w:line="240" w:lineRule="auto"/>
                    <w:ind w:right="0"/>
                    <w:jc w:val="center"/>
                    <w:rPr>
                      <w:color w:val="auto"/>
                      <w:szCs w:val="18"/>
                    </w:rPr>
                  </w:pPr>
                  <w:r>
                    <w:rPr>
                      <w:color w:val="auto"/>
                      <w:szCs w:val="18"/>
                    </w:rPr>
                    <w:t>建筑物外噪声</w:t>
                  </w:r>
                </w:p>
              </w:tc>
            </w:tr>
            <w:tr w14:paraId="37FC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481" w:type="dxa"/>
                  <w:vMerge w:val="continue"/>
                  <w:vAlign w:val="center"/>
                </w:tcPr>
                <w:p w14:paraId="0FC8873E">
                  <w:pPr>
                    <w:pStyle w:val="14"/>
                    <w:spacing w:before="0" w:after="0" w:line="240" w:lineRule="auto"/>
                    <w:ind w:right="0"/>
                    <w:jc w:val="center"/>
                    <w:rPr>
                      <w:color w:val="auto"/>
                      <w:szCs w:val="18"/>
                    </w:rPr>
                  </w:pPr>
                </w:p>
              </w:tc>
              <w:tc>
                <w:tcPr>
                  <w:tcW w:w="463" w:type="dxa"/>
                  <w:vMerge w:val="continue"/>
                  <w:vAlign w:val="center"/>
                </w:tcPr>
                <w:p w14:paraId="1AF91B82">
                  <w:pPr>
                    <w:pStyle w:val="14"/>
                    <w:spacing w:before="0" w:after="0" w:line="240" w:lineRule="auto"/>
                    <w:ind w:right="0"/>
                    <w:jc w:val="center"/>
                    <w:rPr>
                      <w:color w:val="auto"/>
                      <w:szCs w:val="18"/>
                    </w:rPr>
                  </w:pPr>
                </w:p>
              </w:tc>
              <w:tc>
                <w:tcPr>
                  <w:tcW w:w="396" w:type="dxa"/>
                  <w:vMerge w:val="continue"/>
                  <w:vAlign w:val="center"/>
                </w:tcPr>
                <w:p w14:paraId="61A116BA">
                  <w:pPr>
                    <w:pStyle w:val="14"/>
                    <w:spacing w:before="0" w:after="0" w:line="240" w:lineRule="auto"/>
                    <w:ind w:right="0"/>
                    <w:jc w:val="center"/>
                    <w:rPr>
                      <w:color w:val="auto"/>
                      <w:szCs w:val="18"/>
                    </w:rPr>
                  </w:pPr>
                </w:p>
              </w:tc>
              <w:tc>
                <w:tcPr>
                  <w:tcW w:w="1126" w:type="dxa"/>
                  <w:vAlign w:val="center"/>
                </w:tcPr>
                <w:p w14:paraId="7BF1C8DD">
                  <w:pPr>
                    <w:jc w:val="center"/>
                    <w:rPr>
                      <w:color w:val="auto"/>
                      <w:szCs w:val="18"/>
                    </w:rPr>
                  </w:pPr>
                  <w:r>
                    <w:rPr>
                      <w:rFonts w:hint="eastAsia"/>
                      <w:color w:val="auto"/>
                      <w:sz w:val="18"/>
                      <w:szCs w:val="18"/>
                    </w:rPr>
                    <w:t>（声压级/距声源距）/(dB(A)/1m)</w:t>
                  </w:r>
                </w:p>
              </w:tc>
              <w:tc>
                <w:tcPr>
                  <w:tcW w:w="685" w:type="dxa"/>
                  <w:vMerge w:val="continue"/>
                  <w:vAlign w:val="center"/>
                </w:tcPr>
                <w:p w14:paraId="05B3CAB0">
                  <w:pPr>
                    <w:pStyle w:val="14"/>
                    <w:spacing w:before="0" w:after="0" w:line="240" w:lineRule="auto"/>
                    <w:ind w:right="0"/>
                    <w:jc w:val="center"/>
                    <w:rPr>
                      <w:color w:val="auto"/>
                      <w:szCs w:val="18"/>
                    </w:rPr>
                  </w:pPr>
                </w:p>
              </w:tc>
              <w:tc>
                <w:tcPr>
                  <w:tcW w:w="670" w:type="dxa"/>
                  <w:vAlign w:val="center"/>
                </w:tcPr>
                <w:p w14:paraId="5D7373EA">
                  <w:pPr>
                    <w:pStyle w:val="14"/>
                    <w:spacing w:before="0" w:after="0" w:line="240" w:lineRule="auto"/>
                    <w:ind w:right="0"/>
                    <w:jc w:val="center"/>
                    <w:rPr>
                      <w:color w:val="auto"/>
                      <w:szCs w:val="18"/>
                    </w:rPr>
                  </w:pPr>
                  <w:r>
                    <w:rPr>
                      <w:color w:val="auto"/>
                      <w:szCs w:val="18"/>
                    </w:rPr>
                    <w:t>X</w:t>
                  </w:r>
                </w:p>
              </w:tc>
              <w:tc>
                <w:tcPr>
                  <w:tcW w:w="670" w:type="dxa"/>
                  <w:vAlign w:val="center"/>
                </w:tcPr>
                <w:p w14:paraId="3132B7C4">
                  <w:pPr>
                    <w:pStyle w:val="14"/>
                    <w:spacing w:before="0" w:after="0" w:line="240" w:lineRule="auto"/>
                    <w:ind w:right="0"/>
                    <w:jc w:val="center"/>
                    <w:rPr>
                      <w:color w:val="auto"/>
                      <w:szCs w:val="18"/>
                    </w:rPr>
                  </w:pPr>
                  <w:r>
                    <w:rPr>
                      <w:color w:val="auto"/>
                      <w:szCs w:val="18"/>
                    </w:rPr>
                    <w:t>Y</w:t>
                  </w:r>
                </w:p>
              </w:tc>
              <w:tc>
                <w:tcPr>
                  <w:tcW w:w="471" w:type="dxa"/>
                  <w:vAlign w:val="center"/>
                </w:tcPr>
                <w:p w14:paraId="01C0B94B">
                  <w:pPr>
                    <w:pStyle w:val="14"/>
                    <w:spacing w:before="0" w:after="0" w:line="240" w:lineRule="auto"/>
                    <w:ind w:right="0"/>
                    <w:jc w:val="center"/>
                    <w:rPr>
                      <w:color w:val="auto"/>
                      <w:szCs w:val="18"/>
                    </w:rPr>
                  </w:pPr>
                  <w:r>
                    <w:rPr>
                      <w:color w:val="auto"/>
                      <w:szCs w:val="18"/>
                    </w:rPr>
                    <w:t>Z</w:t>
                  </w:r>
                </w:p>
              </w:tc>
              <w:tc>
                <w:tcPr>
                  <w:tcW w:w="466" w:type="dxa"/>
                  <w:vMerge w:val="continue"/>
                  <w:vAlign w:val="center"/>
                </w:tcPr>
                <w:p w14:paraId="5991129D">
                  <w:pPr>
                    <w:pStyle w:val="14"/>
                    <w:spacing w:before="0" w:after="0" w:line="240" w:lineRule="auto"/>
                    <w:ind w:right="0"/>
                    <w:jc w:val="center"/>
                    <w:rPr>
                      <w:color w:val="auto"/>
                      <w:szCs w:val="18"/>
                    </w:rPr>
                  </w:pPr>
                </w:p>
              </w:tc>
              <w:tc>
                <w:tcPr>
                  <w:tcW w:w="772" w:type="dxa"/>
                  <w:vMerge w:val="continue"/>
                  <w:vAlign w:val="center"/>
                </w:tcPr>
                <w:p w14:paraId="2D83FCDC">
                  <w:pPr>
                    <w:pStyle w:val="14"/>
                    <w:spacing w:before="0" w:after="0" w:line="240" w:lineRule="auto"/>
                    <w:ind w:right="0"/>
                    <w:jc w:val="center"/>
                    <w:rPr>
                      <w:color w:val="auto"/>
                      <w:szCs w:val="18"/>
                    </w:rPr>
                  </w:pPr>
                </w:p>
              </w:tc>
              <w:tc>
                <w:tcPr>
                  <w:tcW w:w="485" w:type="dxa"/>
                  <w:vMerge w:val="continue"/>
                  <w:vAlign w:val="center"/>
                </w:tcPr>
                <w:p w14:paraId="3B885D03">
                  <w:pPr>
                    <w:pStyle w:val="14"/>
                    <w:spacing w:before="0" w:after="0" w:line="240" w:lineRule="auto"/>
                    <w:ind w:right="0"/>
                    <w:jc w:val="center"/>
                    <w:rPr>
                      <w:color w:val="auto"/>
                      <w:szCs w:val="18"/>
                    </w:rPr>
                  </w:pPr>
                </w:p>
              </w:tc>
              <w:tc>
                <w:tcPr>
                  <w:tcW w:w="676" w:type="dxa"/>
                  <w:vMerge w:val="continue"/>
                  <w:vAlign w:val="center"/>
                </w:tcPr>
                <w:p w14:paraId="796514CD">
                  <w:pPr>
                    <w:pStyle w:val="14"/>
                    <w:spacing w:before="0" w:after="0" w:line="240" w:lineRule="auto"/>
                    <w:ind w:right="0"/>
                    <w:jc w:val="center"/>
                    <w:rPr>
                      <w:color w:val="auto"/>
                      <w:szCs w:val="18"/>
                    </w:rPr>
                  </w:pPr>
                </w:p>
              </w:tc>
              <w:tc>
                <w:tcPr>
                  <w:tcW w:w="726" w:type="dxa"/>
                  <w:vAlign w:val="center"/>
                </w:tcPr>
                <w:p w14:paraId="35DBFF13">
                  <w:pPr>
                    <w:pStyle w:val="14"/>
                    <w:spacing w:before="0" w:after="0" w:line="240" w:lineRule="auto"/>
                    <w:ind w:right="0"/>
                    <w:jc w:val="center"/>
                    <w:rPr>
                      <w:color w:val="auto"/>
                      <w:szCs w:val="18"/>
                    </w:rPr>
                  </w:pPr>
                  <w:r>
                    <w:rPr>
                      <w:color w:val="auto"/>
                      <w:szCs w:val="18"/>
                    </w:rPr>
                    <w:t>声压级/dB(A)</w:t>
                  </w:r>
                </w:p>
              </w:tc>
              <w:tc>
                <w:tcPr>
                  <w:tcW w:w="506" w:type="dxa"/>
                  <w:vAlign w:val="center"/>
                </w:tcPr>
                <w:p w14:paraId="53D54675">
                  <w:pPr>
                    <w:pStyle w:val="14"/>
                    <w:spacing w:before="0" w:after="0" w:line="240" w:lineRule="auto"/>
                    <w:ind w:right="0"/>
                    <w:jc w:val="center"/>
                    <w:rPr>
                      <w:color w:val="auto"/>
                      <w:szCs w:val="18"/>
                    </w:rPr>
                  </w:pPr>
                  <w:r>
                    <w:rPr>
                      <w:color w:val="auto"/>
                      <w:szCs w:val="18"/>
                    </w:rPr>
                    <w:t>建筑物外距离</w:t>
                  </w:r>
                  <w:r>
                    <w:rPr>
                      <w:rFonts w:hint="eastAsia"/>
                      <w:color w:val="auto"/>
                      <w:szCs w:val="18"/>
                    </w:rPr>
                    <w:t>/m</w:t>
                  </w:r>
                </w:p>
              </w:tc>
            </w:tr>
            <w:tr w14:paraId="0FC3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7747C35B">
                  <w:pPr>
                    <w:pStyle w:val="14"/>
                    <w:spacing w:before="0" w:after="0" w:line="240" w:lineRule="auto"/>
                    <w:ind w:right="0"/>
                    <w:jc w:val="center"/>
                    <w:rPr>
                      <w:color w:val="auto"/>
                      <w:sz w:val="21"/>
                      <w:szCs w:val="21"/>
                    </w:rPr>
                  </w:pPr>
                  <w:r>
                    <w:rPr>
                      <w:rFonts w:hint="eastAsia"/>
                      <w:color w:val="auto"/>
                      <w:sz w:val="21"/>
                      <w:szCs w:val="21"/>
                    </w:rPr>
                    <w:t>污水站</w:t>
                  </w:r>
                </w:p>
              </w:tc>
              <w:tc>
                <w:tcPr>
                  <w:tcW w:w="463" w:type="dxa"/>
                  <w:vAlign w:val="center"/>
                </w:tcPr>
                <w:p w14:paraId="171E6EF3">
                  <w:pPr>
                    <w:pStyle w:val="14"/>
                    <w:spacing w:before="0" w:after="0" w:line="240" w:lineRule="auto"/>
                    <w:ind w:right="0"/>
                    <w:jc w:val="center"/>
                    <w:rPr>
                      <w:color w:val="auto"/>
                      <w:sz w:val="21"/>
                      <w:szCs w:val="21"/>
                    </w:rPr>
                  </w:pPr>
                  <w:r>
                    <w:rPr>
                      <w:rFonts w:hint="eastAsia"/>
                      <w:color w:val="auto"/>
                      <w:sz w:val="21"/>
                      <w:szCs w:val="21"/>
                    </w:rPr>
                    <w:t>1#水泵</w:t>
                  </w:r>
                </w:p>
              </w:tc>
              <w:tc>
                <w:tcPr>
                  <w:tcW w:w="396" w:type="dxa"/>
                  <w:vAlign w:val="center"/>
                </w:tcPr>
                <w:p w14:paraId="0593218B">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787A8CFC">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107FA84B">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0C680BC2">
                  <w:pPr>
                    <w:pStyle w:val="14"/>
                    <w:spacing w:before="0" w:after="0" w:line="240" w:lineRule="auto"/>
                    <w:ind w:right="0"/>
                    <w:jc w:val="center"/>
                    <w:rPr>
                      <w:color w:val="auto"/>
                      <w:szCs w:val="18"/>
                    </w:rPr>
                  </w:pPr>
                  <w:r>
                    <w:rPr>
                      <w:rFonts w:hint="eastAsia"/>
                      <w:color w:val="auto"/>
                      <w:szCs w:val="18"/>
                    </w:rPr>
                    <w:t>61.29</w:t>
                  </w:r>
                </w:p>
              </w:tc>
              <w:tc>
                <w:tcPr>
                  <w:tcW w:w="670" w:type="dxa"/>
                  <w:vAlign w:val="center"/>
                </w:tcPr>
                <w:p w14:paraId="0E97C209">
                  <w:pPr>
                    <w:pStyle w:val="14"/>
                    <w:spacing w:before="0" w:after="0" w:line="240" w:lineRule="auto"/>
                    <w:ind w:right="0"/>
                    <w:jc w:val="center"/>
                    <w:rPr>
                      <w:color w:val="auto"/>
                      <w:szCs w:val="18"/>
                    </w:rPr>
                  </w:pPr>
                  <w:r>
                    <w:rPr>
                      <w:rFonts w:hint="eastAsia"/>
                      <w:color w:val="auto"/>
                      <w:szCs w:val="18"/>
                    </w:rPr>
                    <w:t>55.61</w:t>
                  </w:r>
                </w:p>
              </w:tc>
              <w:tc>
                <w:tcPr>
                  <w:tcW w:w="471" w:type="dxa"/>
                  <w:vAlign w:val="center"/>
                </w:tcPr>
                <w:p w14:paraId="6EFB7B5B">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40B832B7">
                  <w:pPr>
                    <w:pStyle w:val="14"/>
                    <w:spacing w:before="0" w:after="0" w:line="240" w:lineRule="auto"/>
                    <w:ind w:right="0"/>
                    <w:jc w:val="center"/>
                    <w:rPr>
                      <w:color w:val="auto"/>
                      <w:szCs w:val="18"/>
                    </w:rPr>
                  </w:pPr>
                  <w:r>
                    <w:rPr>
                      <w:rFonts w:hint="eastAsia"/>
                      <w:color w:val="auto"/>
                      <w:szCs w:val="18"/>
                    </w:rPr>
                    <w:t>2</w:t>
                  </w:r>
                </w:p>
              </w:tc>
              <w:tc>
                <w:tcPr>
                  <w:tcW w:w="772" w:type="dxa"/>
                  <w:vAlign w:val="center"/>
                </w:tcPr>
                <w:p w14:paraId="757E7C9B">
                  <w:pPr>
                    <w:pStyle w:val="14"/>
                    <w:spacing w:before="0" w:after="0" w:line="240" w:lineRule="auto"/>
                    <w:ind w:right="0"/>
                    <w:jc w:val="center"/>
                    <w:rPr>
                      <w:color w:val="auto"/>
                      <w:szCs w:val="18"/>
                    </w:rPr>
                  </w:pPr>
                  <w:r>
                    <w:rPr>
                      <w:rFonts w:hint="eastAsia"/>
                      <w:color w:val="auto"/>
                      <w:szCs w:val="18"/>
                    </w:rPr>
                    <w:t>78.98</w:t>
                  </w:r>
                </w:p>
              </w:tc>
              <w:tc>
                <w:tcPr>
                  <w:tcW w:w="485" w:type="dxa"/>
                  <w:vAlign w:val="center"/>
                </w:tcPr>
                <w:p w14:paraId="107F3641">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7B511D79">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71E49E32">
                  <w:pPr>
                    <w:pStyle w:val="14"/>
                    <w:spacing w:before="0" w:after="0" w:line="240" w:lineRule="auto"/>
                    <w:ind w:right="0"/>
                    <w:jc w:val="center"/>
                    <w:rPr>
                      <w:color w:val="auto"/>
                      <w:szCs w:val="18"/>
                    </w:rPr>
                  </w:pPr>
                  <w:r>
                    <w:rPr>
                      <w:rFonts w:hint="eastAsia"/>
                      <w:color w:val="auto"/>
                      <w:szCs w:val="18"/>
                    </w:rPr>
                    <w:t>52.98</w:t>
                  </w:r>
                </w:p>
              </w:tc>
              <w:tc>
                <w:tcPr>
                  <w:tcW w:w="506" w:type="dxa"/>
                  <w:vAlign w:val="center"/>
                </w:tcPr>
                <w:p w14:paraId="6A95CC16">
                  <w:pPr>
                    <w:pStyle w:val="14"/>
                    <w:spacing w:before="0" w:after="0" w:line="240" w:lineRule="auto"/>
                    <w:ind w:right="0"/>
                    <w:jc w:val="center"/>
                    <w:rPr>
                      <w:color w:val="auto"/>
                      <w:szCs w:val="18"/>
                    </w:rPr>
                  </w:pPr>
                  <w:r>
                    <w:rPr>
                      <w:rFonts w:hint="eastAsia"/>
                      <w:color w:val="auto"/>
                      <w:szCs w:val="18"/>
                    </w:rPr>
                    <w:t>1</w:t>
                  </w:r>
                </w:p>
              </w:tc>
            </w:tr>
            <w:tr w14:paraId="27D8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56251BF9">
                  <w:pPr>
                    <w:pStyle w:val="14"/>
                    <w:spacing w:before="0" w:after="0" w:line="240" w:lineRule="auto"/>
                    <w:ind w:right="0"/>
                    <w:jc w:val="center"/>
                    <w:rPr>
                      <w:color w:val="auto"/>
                      <w:sz w:val="21"/>
                      <w:szCs w:val="21"/>
                    </w:rPr>
                  </w:pPr>
                </w:p>
              </w:tc>
              <w:tc>
                <w:tcPr>
                  <w:tcW w:w="463" w:type="dxa"/>
                  <w:vAlign w:val="center"/>
                </w:tcPr>
                <w:p w14:paraId="68AF09A1">
                  <w:pPr>
                    <w:pStyle w:val="14"/>
                    <w:spacing w:before="0" w:after="0" w:line="240" w:lineRule="auto"/>
                    <w:ind w:right="0"/>
                    <w:jc w:val="center"/>
                    <w:rPr>
                      <w:color w:val="auto"/>
                      <w:sz w:val="21"/>
                      <w:szCs w:val="21"/>
                    </w:rPr>
                  </w:pPr>
                  <w:r>
                    <w:rPr>
                      <w:rFonts w:hint="eastAsia"/>
                      <w:color w:val="auto"/>
                      <w:sz w:val="21"/>
                      <w:szCs w:val="21"/>
                    </w:rPr>
                    <w:t>2#水泵</w:t>
                  </w:r>
                </w:p>
              </w:tc>
              <w:tc>
                <w:tcPr>
                  <w:tcW w:w="396" w:type="dxa"/>
                  <w:vAlign w:val="center"/>
                </w:tcPr>
                <w:p w14:paraId="1E114E17">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18ED91B7">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6CFBC649">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11F2D030">
                  <w:pPr>
                    <w:pStyle w:val="14"/>
                    <w:spacing w:before="0" w:after="0" w:line="240" w:lineRule="auto"/>
                    <w:ind w:right="0"/>
                    <w:jc w:val="center"/>
                    <w:rPr>
                      <w:color w:val="auto"/>
                      <w:szCs w:val="18"/>
                    </w:rPr>
                  </w:pPr>
                  <w:r>
                    <w:rPr>
                      <w:rFonts w:hint="eastAsia"/>
                      <w:color w:val="auto"/>
                      <w:szCs w:val="18"/>
                    </w:rPr>
                    <w:t>58.88</w:t>
                  </w:r>
                </w:p>
              </w:tc>
              <w:tc>
                <w:tcPr>
                  <w:tcW w:w="670" w:type="dxa"/>
                  <w:vAlign w:val="center"/>
                </w:tcPr>
                <w:p w14:paraId="2B298A0B">
                  <w:pPr>
                    <w:pStyle w:val="14"/>
                    <w:spacing w:before="0" w:after="0" w:line="240" w:lineRule="auto"/>
                    <w:ind w:right="0"/>
                    <w:jc w:val="center"/>
                    <w:rPr>
                      <w:color w:val="auto"/>
                      <w:szCs w:val="18"/>
                    </w:rPr>
                  </w:pPr>
                  <w:r>
                    <w:rPr>
                      <w:rFonts w:hint="eastAsia"/>
                      <w:color w:val="auto"/>
                      <w:szCs w:val="18"/>
                    </w:rPr>
                    <w:t>53.91</w:t>
                  </w:r>
                </w:p>
              </w:tc>
              <w:tc>
                <w:tcPr>
                  <w:tcW w:w="471" w:type="dxa"/>
                  <w:vAlign w:val="center"/>
                </w:tcPr>
                <w:p w14:paraId="73A1A235">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1AD8BFC5">
                  <w:pPr>
                    <w:pStyle w:val="14"/>
                    <w:spacing w:before="0" w:after="0" w:line="240" w:lineRule="auto"/>
                    <w:ind w:right="0"/>
                    <w:jc w:val="center"/>
                    <w:rPr>
                      <w:color w:val="auto"/>
                      <w:szCs w:val="18"/>
                    </w:rPr>
                  </w:pPr>
                  <w:r>
                    <w:rPr>
                      <w:rFonts w:hint="eastAsia"/>
                      <w:color w:val="auto"/>
                      <w:szCs w:val="18"/>
                    </w:rPr>
                    <w:t>2.5</w:t>
                  </w:r>
                </w:p>
              </w:tc>
              <w:tc>
                <w:tcPr>
                  <w:tcW w:w="772" w:type="dxa"/>
                  <w:vAlign w:val="center"/>
                </w:tcPr>
                <w:p w14:paraId="0841AD6E">
                  <w:pPr>
                    <w:pStyle w:val="14"/>
                    <w:spacing w:before="0" w:after="0" w:line="240" w:lineRule="auto"/>
                    <w:ind w:right="0"/>
                    <w:jc w:val="center"/>
                    <w:rPr>
                      <w:color w:val="auto"/>
                      <w:szCs w:val="18"/>
                    </w:rPr>
                  </w:pPr>
                  <w:r>
                    <w:rPr>
                      <w:rFonts w:hint="eastAsia"/>
                      <w:color w:val="auto"/>
                      <w:szCs w:val="18"/>
                    </w:rPr>
                    <w:t>77.04</w:t>
                  </w:r>
                </w:p>
              </w:tc>
              <w:tc>
                <w:tcPr>
                  <w:tcW w:w="485" w:type="dxa"/>
                  <w:vAlign w:val="center"/>
                </w:tcPr>
                <w:p w14:paraId="5AA705AA">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54912725">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5F978EDB">
                  <w:pPr>
                    <w:pStyle w:val="14"/>
                    <w:spacing w:before="0" w:after="0" w:line="240" w:lineRule="auto"/>
                    <w:ind w:right="0"/>
                    <w:jc w:val="center"/>
                    <w:rPr>
                      <w:color w:val="auto"/>
                      <w:szCs w:val="18"/>
                    </w:rPr>
                  </w:pPr>
                  <w:r>
                    <w:rPr>
                      <w:rFonts w:hint="eastAsia"/>
                      <w:color w:val="auto"/>
                      <w:szCs w:val="18"/>
                    </w:rPr>
                    <w:t>51.04</w:t>
                  </w:r>
                </w:p>
              </w:tc>
              <w:tc>
                <w:tcPr>
                  <w:tcW w:w="506" w:type="dxa"/>
                  <w:vAlign w:val="center"/>
                </w:tcPr>
                <w:p w14:paraId="54504E49">
                  <w:pPr>
                    <w:pStyle w:val="14"/>
                    <w:spacing w:before="0" w:after="0" w:line="240" w:lineRule="auto"/>
                    <w:ind w:right="0"/>
                    <w:jc w:val="center"/>
                    <w:rPr>
                      <w:color w:val="auto"/>
                      <w:szCs w:val="18"/>
                    </w:rPr>
                  </w:pPr>
                  <w:r>
                    <w:rPr>
                      <w:rFonts w:hint="eastAsia"/>
                      <w:color w:val="auto"/>
                      <w:szCs w:val="18"/>
                    </w:rPr>
                    <w:t>1</w:t>
                  </w:r>
                </w:p>
              </w:tc>
            </w:tr>
            <w:tr w14:paraId="20E5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29895928">
                  <w:pPr>
                    <w:pStyle w:val="14"/>
                    <w:spacing w:before="0" w:after="0" w:line="240" w:lineRule="auto"/>
                    <w:ind w:right="0"/>
                    <w:jc w:val="center"/>
                    <w:rPr>
                      <w:color w:val="auto"/>
                      <w:sz w:val="21"/>
                      <w:szCs w:val="21"/>
                    </w:rPr>
                  </w:pPr>
                </w:p>
              </w:tc>
              <w:tc>
                <w:tcPr>
                  <w:tcW w:w="463" w:type="dxa"/>
                  <w:vAlign w:val="center"/>
                </w:tcPr>
                <w:p w14:paraId="152E1579">
                  <w:pPr>
                    <w:pStyle w:val="14"/>
                    <w:spacing w:before="0" w:after="0" w:line="240" w:lineRule="auto"/>
                    <w:ind w:right="0"/>
                    <w:jc w:val="center"/>
                    <w:rPr>
                      <w:color w:val="auto"/>
                      <w:sz w:val="21"/>
                      <w:szCs w:val="21"/>
                    </w:rPr>
                  </w:pPr>
                  <w:r>
                    <w:rPr>
                      <w:rFonts w:hint="eastAsia"/>
                      <w:color w:val="auto"/>
                      <w:sz w:val="21"/>
                      <w:szCs w:val="21"/>
                    </w:rPr>
                    <w:t>风机</w:t>
                  </w:r>
                </w:p>
              </w:tc>
              <w:tc>
                <w:tcPr>
                  <w:tcW w:w="396" w:type="dxa"/>
                  <w:vAlign w:val="center"/>
                </w:tcPr>
                <w:p w14:paraId="23FA7071">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59B85C57">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10BB65C7">
                  <w:pPr>
                    <w:pStyle w:val="14"/>
                    <w:spacing w:before="0" w:after="0" w:line="240" w:lineRule="auto"/>
                    <w:ind w:right="0"/>
                    <w:jc w:val="center"/>
                    <w:rPr>
                      <w:color w:val="auto"/>
                      <w:szCs w:val="18"/>
                    </w:rPr>
                  </w:pPr>
                  <w:r>
                    <w:rPr>
                      <w:rFonts w:hint="eastAsia"/>
                      <w:color w:val="auto"/>
                      <w:szCs w:val="18"/>
                    </w:rPr>
                    <w:t>安装消声器</w:t>
                  </w:r>
                </w:p>
              </w:tc>
              <w:tc>
                <w:tcPr>
                  <w:tcW w:w="670" w:type="dxa"/>
                  <w:vAlign w:val="center"/>
                </w:tcPr>
                <w:p w14:paraId="003C338D">
                  <w:pPr>
                    <w:pStyle w:val="14"/>
                    <w:spacing w:before="0" w:after="0" w:line="240" w:lineRule="auto"/>
                    <w:ind w:right="0"/>
                    <w:jc w:val="center"/>
                    <w:rPr>
                      <w:color w:val="auto"/>
                      <w:szCs w:val="18"/>
                    </w:rPr>
                  </w:pPr>
                  <w:r>
                    <w:rPr>
                      <w:rFonts w:hint="eastAsia"/>
                      <w:color w:val="auto"/>
                      <w:szCs w:val="18"/>
                    </w:rPr>
                    <w:t>60.81</w:t>
                  </w:r>
                </w:p>
              </w:tc>
              <w:tc>
                <w:tcPr>
                  <w:tcW w:w="670" w:type="dxa"/>
                  <w:vAlign w:val="center"/>
                </w:tcPr>
                <w:p w14:paraId="20925ACD">
                  <w:pPr>
                    <w:pStyle w:val="14"/>
                    <w:spacing w:before="0" w:after="0" w:line="240" w:lineRule="auto"/>
                    <w:ind w:right="0"/>
                    <w:jc w:val="center"/>
                    <w:rPr>
                      <w:color w:val="auto"/>
                      <w:szCs w:val="18"/>
                    </w:rPr>
                  </w:pPr>
                  <w:r>
                    <w:rPr>
                      <w:rFonts w:hint="eastAsia"/>
                      <w:color w:val="auto"/>
                      <w:szCs w:val="18"/>
                    </w:rPr>
                    <w:t>54.23</w:t>
                  </w:r>
                </w:p>
              </w:tc>
              <w:tc>
                <w:tcPr>
                  <w:tcW w:w="471" w:type="dxa"/>
                  <w:vAlign w:val="center"/>
                </w:tcPr>
                <w:p w14:paraId="29B23541">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34B1CB1E">
                  <w:pPr>
                    <w:pStyle w:val="14"/>
                    <w:spacing w:before="0" w:after="0" w:line="240" w:lineRule="auto"/>
                    <w:ind w:right="0"/>
                    <w:jc w:val="center"/>
                    <w:rPr>
                      <w:color w:val="auto"/>
                      <w:szCs w:val="18"/>
                    </w:rPr>
                  </w:pPr>
                  <w:r>
                    <w:rPr>
                      <w:rFonts w:hint="eastAsia"/>
                      <w:color w:val="auto"/>
                      <w:szCs w:val="18"/>
                    </w:rPr>
                    <w:t>2.8</w:t>
                  </w:r>
                </w:p>
              </w:tc>
              <w:tc>
                <w:tcPr>
                  <w:tcW w:w="772" w:type="dxa"/>
                  <w:vAlign w:val="center"/>
                </w:tcPr>
                <w:p w14:paraId="23CA02D6">
                  <w:pPr>
                    <w:pStyle w:val="14"/>
                    <w:spacing w:before="0" w:after="0" w:line="240" w:lineRule="auto"/>
                    <w:ind w:right="0"/>
                    <w:jc w:val="center"/>
                    <w:rPr>
                      <w:color w:val="auto"/>
                      <w:szCs w:val="18"/>
                    </w:rPr>
                  </w:pPr>
                  <w:r>
                    <w:rPr>
                      <w:rFonts w:hint="eastAsia"/>
                      <w:color w:val="auto"/>
                      <w:szCs w:val="18"/>
                    </w:rPr>
                    <w:t>76.05</w:t>
                  </w:r>
                </w:p>
              </w:tc>
              <w:tc>
                <w:tcPr>
                  <w:tcW w:w="485" w:type="dxa"/>
                  <w:vAlign w:val="center"/>
                </w:tcPr>
                <w:p w14:paraId="17DB836B">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5B4D51C6">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4046F1B8">
                  <w:pPr>
                    <w:pStyle w:val="14"/>
                    <w:spacing w:before="0" w:after="0" w:line="240" w:lineRule="auto"/>
                    <w:ind w:right="0"/>
                    <w:jc w:val="center"/>
                    <w:rPr>
                      <w:color w:val="auto"/>
                      <w:szCs w:val="18"/>
                    </w:rPr>
                  </w:pPr>
                  <w:r>
                    <w:rPr>
                      <w:rFonts w:hint="eastAsia"/>
                      <w:color w:val="auto"/>
                      <w:szCs w:val="18"/>
                    </w:rPr>
                    <w:t>50.05</w:t>
                  </w:r>
                </w:p>
              </w:tc>
              <w:tc>
                <w:tcPr>
                  <w:tcW w:w="506" w:type="dxa"/>
                  <w:vAlign w:val="center"/>
                </w:tcPr>
                <w:p w14:paraId="7CB4030C">
                  <w:pPr>
                    <w:pStyle w:val="14"/>
                    <w:spacing w:before="0" w:after="0" w:line="240" w:lineRule="auto"/>
                    <w:ind w:right="0"/>
                    <w:jc w:val="center"/>
                    <w:rPr>
                      <w:color w:val="auto"/>
                      <w:szCs w:val="18"/>
                    </w:rPr>
                  </w:pPr>
                  <w:r>
                    <w:rPr>
                      <w:rFonts w:hint="eastAsia"/>
                      <w:color w:val="auto"/>
                      <w:szCs w:val="18"/>
                    </w:rPr>
                    <w:t>1</w:t>
                  </w:r>
                </w:p>
              </w:tc>
            </w:tr>
          </w:tbl>
          <w:p w14:paraId="43A24656">
            <w:pPr>
              <w:adjustRightInd w:val="0"/>
              <w:snapToGrid w:val="0"/>
              <w:jc w:val="center"/>
              <w:rPr>
                <w:rFonts w:hint="eastAsia"/>
                <w:b/>
                <w:color w:val="auto"/>
                <w:kern w:val="24"/>
                <w:sz w:val="24"/>
              </w:rPr>
            </w:pPr>
          </w:p>
          <w:p w14:paraId="58B911D8">
            <w:pPr>
              <w:adjustRightInd w:val="0"/>
              <w:snapToGrid w:val="0"/>
              <w:jc w:val="center"/>
              <w:rPr>
                <w:rFonts w:hint="eastAsia"/>
                <w:b/>
                <w:color w:val="auto"/>
                <w:kern w:val="24"/>
                <w:sz w:val="24"/>
              </w:rPr>
            </w:pPr>
          </w:p>
          <w:p w14:paraId="6FEDCEE1">
            <w:pPr>
              <w:adjustRightInd w:val="0"/>
              <w:snapToGrid w:val="0"/>
              <w:jc w:val="center"/>
              <w:rPr>
                <w:rFonts w:hint="eastAsia"/>
                <w:b/>
                <w:color w:val="auto"/>
                <w:kern w:val="24"/>
                <w:sz w:val="24"/>
              </w:rPr>
            </w:pPr>
          </w:p>
          <w:p w14:paraId="3BC62C68">
            <w:pPr>
              <w:adjustRightInd w:val="0"/>
              <w:snapToGrid w:val="0"/>
              <w:jc w:val="center"/>
              <w:rPr>
                <w:rFonts w:hint="eastAsia"/>
                <w:b/>
                <w:color w:val="auto"/>
                <w:kern w:val="24"/>
                <w:sz w:val="24"/>
              </w:rPr>
            </w:pPr>
          </w:p>
          <w:p w14:paraId="43FBDC71">
            <w:pPr>
              <w:adjustRightInd w:val="0"/>
              <w:snapToGrid w:val="0"/>
              <w:jc w:val="center"/>
              <w:rPr>
                <w:rFonts w:hint="eastAsia"/>
                <w:b/>
                <w:color w:val="auto"/>
                <w:kern w:val="24"/>
                <w:sz w:val="24"/>
              </w:rPr>
            </w:pPr>
          </w:p>
          <w:p w14:paraId="57796386">
            <w:pPr>
              <w:adjustRightInd w:val="0"/>
              <w:snapToGrid w:val="0"/>
              <w:jc w:val="center"/>
              <w:rPr>
                <w:rFonts w:hint="eastAsia"/>
                <w:b/>
                <w:color w:val="auto"/>
                <w:kern w:val="24"/>
                <w:sz w:val="24"/>
              </w:rPr>
            </w:pPr>
          </w:p>
          <w:p w14:paraId="5071085D">
            <w:pPr>
              <w:adjustRightInd w:val="0"/>
              <w:snapToGrid w:val="0"/>
              <w:jc w:val="center"/>
              <w:rPr>
                <w:rFonts w:hint="eastAsia"/>
                <w:b/>
                <w:color w:val="auto"/>
                <w:kern w:val="24"/>
                <w:sz w:val="24"/>
              </w:rPr>
            </w:pPr>
          </w:p>
          <w:p w14:paraId="6A4A8A06">
            <w:pPr>
              <w:adjustRightInd w:val="0"/>
              <w:snapToGrid w:val="0"/>
              <w:jc w:val="center"/>
              <w:rPr>
                <w:rFonts w:hint="eastAsia"/>
                <w:b/>
                <w:color w:val="auto"/>
                <w:kern w:val="24"/>
                <w:sz w:val="24"/>
              </w:rPr>
            </w:pPr>
          </w:p>
          <w:p w14:paraId="0C4962F2">
            <w:pPr>
              <w:adjustRightInd w:val="0"/>
              <w:snapToGrid w:val="0"/>
              <w:jc w:val="center"/>
              <w:rPr>
                <w:rFonts w:hint="eastAsia"/>
                <w:b/>
                <w:color w:val="auto"/>
                <w:kern w:val="24"/>
                <w:sz w:val="24"/>
              </w:rPr>
            </w:pPr>
          </w:p>
          <w:p w14:paraId="0ED8B969">
            <w:pPr>
              <w:adjustRightInd w:val="0"/>
              <w:snapToGrid w:val="0"/>
              <w:jc w:val="center"/>
              <w:rPr>
                <w:rFonts w:hint="eastAsia"/>
                <w:b/>
                <w:color w:val="auto"/>
                <w:kern w:val="24"/>
                <w:sz w:val="24"/>
              </w:rPr>
            </w:pPr>
          </w:p>
          <w:p w14:paraId="0CCBDDBF">
            <w:pPr>
              <w:adjustRightInd w:val="0"/>
              <w:snapToGrid w:val="0"/>
              <w:jc w:val="center"/>
              <w:rPr>
                <w:rFonts w:hint="eastAsia"/>
                <w:b/>
                <w:color w:val="auto"/>
                <w:kern w:val="24"/>
                <w:sz w:val="24"/>
              </w:rPr>
            </w:pPr>
          </w:p>
          <w:p w14:paraId="2B6C7EB0">
            <w:pPr>
              <w:adjustRightInd w:val="0"/>
              <w:snapToGrid w:val="0"/>
              <w:jc w:val="center"/>
              <w:rPr>
                <w:b/>
                <w:color w:val="auto"/>
                <w:kern w:val="24"/>
                <w:sz w:val="24"/>
              </w:rPr>
            </w:pPr>
            <w:r>
              <w:rPr>
                <w:rFonts w:hint="eastAsia"/>
                <w:b/>
                <w:color w:val="auto"/>
                <w:kern w:val="24"/>
                <w:sz w:val="24"/>
              </w:rPr>
              <w:t>表4-27 九龙卫生院工业企业噪声源强调查清单（室内声源）</w:t>
            </w:r>
          </w:p>
          <w:tbl>
            <w:tblPr>
              <w:tblStyle w:val="33"/>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61"/>
              <w:gridCol w:w="396"/>
              <w:gridCol w:w="1107"/>
              <w:gridCol w:w="677"/>
              <w:gridCol w:w="663"/>
              <w:gridCol w:w="663"/>
              <w:gridCol w:w="469"/>
              <w:gridCol w:w="464"/>
              <w:gridCol w:w="762"/>
              <w:gridCol w:w="483"/>
              <w:gridCol w:w="669"/>
              <w:gridCol w:w="717"/>
              <w:gridCol w:w="503"/>
            </w:tblGrid>
            <w:tr w14:paraId="26AF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7C44DD3B">
                  <w:pPr>
                    <w:pStyle w:val="14"/>
                    <w:spacing w:before="0" w:after="0" w:line="240" w:lineRule="auto"/>
                    <w:ind w:right="0"/>
                    <w:jc w:val="center"/>
                    <w:rPr>
                      <w:color w:val="auto"/>
                      <w:szCs w:val="18"/>
                    </w:rPr>
                  </w:pPr>
                  <w:r>
                    <w:rPr>
                      <w:color w:val="auto"/>
                      <w:szCs w:val="18"/>
                    </w:rPr>
                    <w:t>建筑物名称</w:t>
                  </w:r>
                </w:p>
              </w:tc>
              <w:tc>
                <w:tcPr>
                  <w:tcW w:w="463" w:type="dxa"/>
                  <w:vMerge w:val="restart"/>
                  <w:vAlign w:val="center"/>
                </w:tcPr>
                <w:p w14:paraId="78E82295">
                  <w:pPr>
                    <w:pStyle w:val="14"/>
                    <w:spacing w:before="0" w:after="0" w:line="240" w:lineRule="auto"/>
                    <w:ind w:right="0"/>
                    <w:jc w:val="center"/>
                    <w:rPr>
                      <w:color w:val="auto"/>
                      <w:szCs w:val="18"/>
                    </w:rPr>
                  </w:pPr>
                  <w:r>
                    <w:rPr>
                      <w:color w:val="auto"/>
                      <w:szCs w:val="18"/>
                    </w:rPr>
                    <w:t>声源名称</w:t>
                  </w:r>
                </w:p>
              </w:tc>
              <w:tc>
                <w:tcPr>
                  <w:tcW w:w="396" w:type="dxa"/>
                  <w:vMerge w:val="restart"/>
                  <w:vAlign w:val="center"/>
                </w:tcPr>
                <w:p w14:paraId="7C839B99">
                  <w:pPr>
                    <w:pStyle w:val="14"/>
                    <w:spacing w:before="0" w:after="0" w:line="240" w:lineRule="auto"/>
                    <w:ind w:right="0"/>
                    <w:jc w:val="center"/>
                    <w:rPr>
                      <w:color w:val="auto"/>
                      <w:szCs w:val="18"/>
                    </w:rPr>
                  </w:pPr>
                  <w:r>
                    <w:rPr>
                      <w:color w:val="auto"/>
                      <w:szCs w:val="18"/>
                    </w:rPr>
                    <w:t>型号</w:t>
                  </w:r>
                </w:p>
              </w:tc>
              <w:tc>
                <w:tcPr>
                  <w:tcW w:w="1126" w:type="dxa"/>
                  <w:vAlign w:val="center"/>
                </w:tcPr>
                <w:p w14:paraId="5FF524F5">
                  <w:pPr>
                    <w:jc w:val="center"/>
                    <w:rPr>
                      <w:color w:val="auto"/>
                      <w:szCs w:val="21"/>
                    </w:rPr>
                  </w:pPr>
                  <w:r>
                    <w:rPr>
                      <w:rFonts w:hint="eastAsia"/>
                      <w:color w:val="auto"/>
                      <w:szCs w:val="21"/>
                    </w:rPr>
                    <w:t>点声源</w:t>
                  </w:r>
                </w:p>
                <w:p w14:paraId="5A97A5E4">
                  <w:pPr>
                    <w:jc w:val="center"/>
                    <w:rPr>
                      <w:color w:val="auto"/>
                      <w:szCs w:val="18"/>
                    </w:rPr>
                  </w:pPr>
                  <w:r>
                    <w:rPr>
                      <w:rFonts w:hint="eastAsia"/>
                      <w:color w:val="auto"/>
                      <w:szCs w:val="21"/>
                    </w:rPr>
                    <w:t>源强</w:t>
                  </w:r>
                </w:p>
              </w:tc>
              <w:tc>
                <w:tcPr>
                  <w:tcW w:w="685" w:type="dxa"/>
                  <w:vMerge w:val="restart"/>
                  <w:vAlign w:val="center"/>
                </w:tcPr>
                <w:p w14:paraId="06C40255">
                  <w:pPr>
                    <w:pStyle w:val="14"/>
                    <w:spacing w:before="0" w:after="0" w:line="240" w:lineRule="auto"/>
                    <w:ind w:right="0"/>
                    <w:jc w:val="center"/>
                    <w:rPr>
                      <w:color w:val="auto"/>
                      <w:szCs w:val="18"/>
                    </w:rPr>
                  </w:pPr>
                  <w:r>
                    <w:rPr>
                      <w:color w:val="auto"/>
                      <w:szCs w:val="18"/>
                    </w:rPr>
                    <w:t>声源控制措施</w:t>
                  </w:r>
                </w:p>
              </w:tc>
              <w:tc>
                <w:tcPr>
                  <w:tcW w:w="1811" w:type="dxa"/>
                  <w:gridSpan w:val="3"/>
                  <w:vAlign w:val="center"/>
                </w:tcPr>
                <w:p w14:paraId="289A3CF0">
                  <w:pPr>
                    <w:pStyle w:val="14"/>
                    <w:spacing w:before="0" w:after="0" w:line="240" w:lineRule="auto"/>
                    <w:ind w:right="0"/>
                    <w:jc w:val="center"/>
                    <w:rPr>
                      <w:color w:val="auto"/>
                      <w:szCs w:val="18"/>
                    </w:rPr>
                  </w:pPr>
                  <w:r>
                    <w:rPr>
                      <w:color w:val="auto"/>
                      <w:szCs w:val="18"/>
                    </w:rPr>
                    <w:t>空间相对位置/m</w:t>
                  </w:r>
                </w:p>
              </w:tc>
              <w:tc>
                <w:tcPr>
                  <w:tcW w:w="466" w:type="dxa"/>
                  <w:vMerge w:val="restart"/>
                  <w:vAlign w:val="center"/>
                </w:tcPr>
                <w:p w14:paraId="402096A8">
                  <w:pPr>
                    <w:pStyle w:val="14"/>
                    <w:spacing w:before="0" w:after="0" w:line="240" w:lineRule="auto"/>
                    <w:ind w:right="0"/>
                    <w:jc w:val="center"/>
                    <w:rPr>
                      <w:color w:val="auto"/>
                      <w:szCs w:val="18"/>
                    </w:rPr>
                  </w:pPr>
                  <w:r>
                    <w:rPr>
                      <w:color w:val="auto"/>
                      <w:szCs w:val="18"/>
                    </w:rPr>
                    <w:t>距室内边界距离/m</w:t>
                  </w:r>
                </w:p>
              </w:tc>
              <w:tc>
                <w:tcPr>
                  <w:tcW w:w="772" w:type="dxa"/>
                  <w:vMerge w:val="restart"/>
                  <w:vAlign w:val="center"/>
                </w:tcPr>
                <w:p w14:paraId="3D409235">
                  <w:pPr>
                    <w:pStyle w:val="14"/>
                    <w:spacing w:before="0" w:after="0" w:line="240" w:lineRule="auto"/>
                    <w:ind w:right="0"/>
                    <w:jc w:val="center"/>
                    <w:rPr>
                      <w:color w:val="auto"/>
                      <w:szCs w:val="18"/>
                    </w:rPr>
                  </w:pPr>
                  <w:r>
                    <w:rPr>
                      <w:color w:val="auto"/>
                      <w:szCs w:val="18"/>
                    </w:rPr>
                    <w:t>室内边界声级/dB(A)</w:t>
                  </w:r>
                </w:p>
              </w:tc>
              <w:tc>
                <w:tcPr>
                  <w:tcW w:w="485" w:type="dxa"/>
                  <w:vMerge w:val="restart"/>
                  <w:vAlign w:val="center"/>
                </w:tcPr>
                <w:p w14:paraId="7135D9A9">
                  <w:pPr>
                    <w:pStyle w:val="14"/>
                    <w:spacing w:before="0" w:after="0" w:line="240" w:lineRule="auto"/>
                    <w:ind w:right="0"/>
                    <w:jc w:val="center"/>
                    <w:rPr>
                      <w:color w:val="auto"/>
                      <w:szCs w:val="18"/>
                    </w:rPr>
                  </w:pPr>
                  <w:r>
                    <w:rPr>
                      <w:color w:val="auto"/>
                      <w:szCs w:val="18"/>
                    </w:rPr>
                    <w:t>运行时段</w:t>
                  </w:r>
                  <w:r>
                    <w:rPr>
                      <w:color w:val="auto"/>
                      <w:sz w:val="21"/>
                      <w:szCs w:val="21"/>
                    </w:rPr>
                    <w:t>h/d</w:t>
                  </w:r>
                </w:p>
              </w:tc>
              <w:tc>
                <w:tcPr>
                  <w:tcW w:w="676" w:type="dxa"/>
                  <w:vMerge w:val="restart"/>
                  <w:vAlign w:val="center"/>
                </w:tcPr>
                <w:p w14:paraId="39EC2381">
                  <w:pPr>
                    <w:pStyle w:val="14"/>
                    <w:spacing w:before="0" w:after="0" w:line="240" w:lineRule="auto"/>
                    <w:ind w:right="0"/>
                    <w:jc w:val="center"/>
                    <w:rPr>
                      <w:color w:val="auto"/>
                      <w:szCs w:val="18"/>
                    </w:rPr>
                  </w:pPr>
                  <w:r>
                    <w:rPr>
                      <w:color w:val="auto"/>
                      <w:szCs w:val="18"/>
                    </w:rPr>
                    <w:t>建筑物插入损失/ dB(A)</w:t>
                  </w:r>
                </w:p>
              </w:tc>
              <w:tc>
                <w:tcPr>
                  <w:tcW w:w="1232" w:type="dxa"/>
                  <w:gridSpan w:val="2"/>
                  <w:vAlign w:val="center"/>
                </w:tcPr>
                <w:p w14:paraId="331AD020">
                  <w:pPr>
                    <w:pStyle w:val="14"/>
                    <w:spacing w:before="0" w:after="0" w:line="240" w:lineRule="auto"/>
                    <w:ind w:right="0"/>
                    <w:jc w:val="center"/>
                    <w:rPr>
                      <w:color w:val="auto"/>
                      <w:szCs w:val="18"/>
                    </w:rPr>
                  </w:pPr>
                  <w:r>
                    <w:rPr>
                      <w:color w:val="auto"/>
                      <w:szCs w:val="18"/>
                    </w:rPr>
                    <w:t>建筑物外噪声</w:t>
                  </w:r>
                </w:p>
              </w:tc>
            </w:tr>
            <w:tr w14:paraId="252C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481" w:type="dxa"/>
                  <w:vMerge w:val="continue"/>
                  <w:vAlign w:val="center"/>
                </w:tcPr>
                <w:p w14:paraId="279DAAB1">
                  <w:pPr>
                    <w:pStyle w:val="14"/>
                    <w:spacing w:before="0" w:after="0" w:line="240" w:lineRule="auto"/>
                    <w:ind w:right="0"/>
                    <w:jc w:val="center"/>
                    <w:rPr>
                      <w:color w:val="auto"/>
                      <w:szCs w:val="18"/>
                    </w:rPr>
                  </w:pPr>
                </w:p>
              </w:tc>
              <w:tc>
                <w:tcPr>
                  <w:tcW w:w="463" w:type="dxa"/>
                  <w:vMerge w:val="continue"/>
                  <w:vAlign w:val="center"/>
                </w:tcPr>
                <w:p w14:paraId="66AA1DB8">
                  <w:pPr>
                    <w:pStyle w:val="14"/>
                    <w:spacing w:before="0" w:after="0" w:line="240" w:lineRule="auto"/>
                    <w:ind w:right="0"/>
                    <w:jc w:val="center"/>
                    <w:rPr>
                      <w:color w:val="auto"/>
                      <w:szCs w:val="18"/>
                    </w:rPr>
                  </w:pPr>
                </w:p>
              </w:tc>
              <w:tc>
                <w:tcPr>
                  <w:tcW w:w="396" w:type="dxa"/>
                  <w:vMerge w:val="continue"/>
                  <w:vAlign w:val="center"/>
                </w:tcPr>
                <w:p w14:paraId="2742F862">
                  <w:pPr>
                    <w:pStyle w:val="14"/>
                    <w:spacing w:before="0" w:after="0" w:line="240" w:lineRule="auto"/>
                    <w:ind w:right="0"/>
                    <w:jc w:val="center"/>
                    <w:rPr>
                      <w:color w:val="auto"/>
                      <w:szCs w:val="18"/>
                    </w:rPr>
                  </w:pPr>
                </w:p>
              </w:tc>
              <w:tc>
                <w:tcPr>
                  <w:tcW w:w="1126" w:type="dxa"/>
                  <w:vAlign w:val="center"/>
                </w:tcPr>
                <w:p w14:paraId="4F3F8797">
                  <w:pPr>
                    <w:jc w:val="center"/>
                    <w:rPr>
                      <w:color w:val="auto"/>
                      <w:szCs w:val="18"/>
                    </w:rPr>
                  </w:pPr>
                  <w:r>
                    <w:rPr>
                      <w:rFonts w:hint="eastAsia"/>
                      <w:color w:val="auto"/>
                      <w:sz w:val="18"/>
                      <w:szCs w:val="18"/>
                    </w:rPr>
                    <w:t>（声压级/距声源距）/(dB(A)/1m)</w:t>
                  </w:r>
                </w:p>
              </w:tc>
              <w:tc>
                <w:tcPr>
                  <w:tcW w:w="685" w:type="dxa"/>
                  <w:vMerge w:val="continue"/>
                  <w:vAlign w:val="center"/>
                </w:tcPr>
                <w:p w14:paraId="53418A57">
                  <w:pPr>
                    <w:pStyle w:val="14"/>
                    <w:spacing w:before="0" w:after="0" w:line="240" w:lineRule="auto"/>
                    <w:ind w:right="0"/>
                    <w:jc w:val="center"/>
                    <w:rPr>
                      <w:color w:val="auto"/>
                      <w:szCs w:val="18"/>
                    </w:rPr>
                  </w:pPr>
                </w:p>
              </w:tc>
              <w:tc>
                <w:tcPr>
                  <w:tcW w:w="670" w:type="dxa"/>
                  <w:vAlign w:val="center"/>
                </w:tcPr>
                <w:p w14:paraId="14650752">
                  <w:pPr>
                    <w:pStyle w:val="14"/>
                    <w:spacing w:before="0" w:after="0" w:line="240" w:lineRule="auto"/>
                    <w:ind w:right="0"/>
                    <w:jc w:val="center"/>
                    <w:rPr>
                      <w:color w:val="auto"/>
                      <w:szCs w:val="18"/>
                    </w:rPr>
                  </w:pPr>
                  <w:r>
                    <w:rPr>
                      <w:color w:val="auto"/>
                      <w:szCs w:val="18"/>
                    </w:rPr>
                    <w:t>X</w:t>
                  </w:r>
                </w:p>
              </w:tc>
              <w:tc>
                <w:tcPr>
                  <w:tcW w:w="670" w:type="dxa"/>
                  <w:vAlign w:val="center"/>
                </w:tcPr>
                <w:p w14:paraId="02D694DB">
                  <w:pPr>
                    <w:pStyle w:val="14"/>
                    <w:spacing w:before="0" w:after="0" w:line="240" w:lineRule="auto"/>
                    <w:ind w:right="0"/>
                    <w:jc w:val="center"/>
                    <w:rPr>
                      <w:color w:val="auto"/>
                      <w:szCs w:val="18"/>
                    </w:rPr>
                  </w:pPr>
                  <w:r>
                    <w:rPr>
                      <w:color w:val="auto"/>
                      <w:szCs w:val="18"/>
                    </w:rPr>
                    <w:t>Y</w:t>
                  </w:r>
                </w:p>
              </w:tc>
              <w:tc>
                <w:tcPr>
                  <w:tcW w:w="471" w:type="dxa"/>
                  <w:vAlign w:val="center"/>
                </w:tcPr>
                <w:p w14:paraId="7D1954A5">
                  <w:pPr>
                    <w:pStyle w:val="14"/>
                    <w:spacing w:before="0" w:after="0" w:line="240" w:lineRule="auto"/>
                    <w:ind w:right="0"/>
                    <w:jc w:val="center"/>
                    <w:rPr>
                      <w:color w:val="auto"/>
                      <w:szCs w:val="18"/>
                    </w:rPr>
                  </w:pPr>
                  <w:r>
                    <w:rPr>
                      <w:color w:val="auto"/>
                      <w:szCs w:val="18"/>
                    </w:rPr>
                    <w:t>Z</w:t>
                  </w:r>
                </w:p>
              </w:tc>
              <w:tc>
                <w:tcPr>
                  <w:tcW w:w="466" w:type="dxa"/>
                  <w:vMerge w:val="continue"/>
                  <w:vAlign w:val="center"/>
                </w:tcPr>
                <w:p w14:paraId="4FD13BE6">
                  <w:pPr>
                    <w:pStyle w:val="14"/>
                    <w:spacing w:before="0" w:after="0" w:line="240" w:lineRule="auto"/>
                    <w:ind w:right="0"/>
                    <w:jc w:val="center"/>
                    <w:rPr>
                      <w:color w:val="auto"/>
                      <w:szCs w:val="18"/>
                    </w:rPr>
                  </w:pPr>
                </w:p>
              </w:tc>
              <w:tc>
                <w:tcPr>
                  <w:tcW w:w="772" w:type="dxa"/>
                  <w:vMerge w:val="continue"/>
                  <w:vAlign w:val="center"/>
                </w:tcPr>
                <w:p w14:paraId="28F3BDFF">
                  <w:pPr>
                    <w:pStyle w:val="14"/>
                    <w:spacing w:before="0" w:after="0" w:line="240" w:lineRule="auto"/>
                    <w:ind w:right="0"/>
                    <w:jc w:val="center"/>
                    <w:rPr>
                      <w:color w:val="auto"/>
                      <w:szCs w:val="18"/>
                    </w:rPr>
                  </w:pPr>
                </w:p>
              </w:tc>
              <w:tc>
                <w:tcPr>
                  <w:tcW w:w="485" w:type="dxa"/>
                  <w:vMerge w:val="continue"/>
                  <w:vAlign w:val="center"/>
                </w:tcPr>
                <w:p w14:paraId="29CCB881">
                  <w:pPr>
                    <w:pStyle w:val="14"/>
                    <w:spacing w:before="0" w:after="0" w:line="240" w:lineRule="auto"/>
                    <w:ind w:right="0"/>
                    <w:jc w:val="center"/>
                    <w:rPr>
                      <w:color w:val="auto"/>
                      <w:szCs w:val="18"/>
                    </w:rPr>
                  </w:pPr>
                </w:p>
              </w:tc>
              <w:tc>
                <w:tcPr>
                  <w:tcW w:w="676" w:type="dxa"/>
                  <w:vMerge w:val="continue"/>
                  <w:vAlign w:val="center"/>
                </w:tcPr>
                <w:p w14:paraId="2DCEF0AD">
                  <w:pPr>
                    <w:pStyle w:val="14"/>
                    <w:spacing w:before="0" w:after="0" w:line="240" w:lineRule="auto"/>
                    <w:ind w:right="0"/>
                    <w:jc w:val="center"/>
                    <w:rPr>
                      <w:color w:val="auto"/>
                      <w:szCs w:val="18"/>
                    </w:rPr>
                  </w:pPr>
                </w:p>
              </w:tc>
              <w:tc>
                <w:tcPr>
                  <w:tcW w:w="726" w:type="dxa"/>
                  <w:vAlign w:val="center"/>
                </w:tcPr>
                <w:p w14:paraId="76F3DF15">
                  <w:pPr>
                    <w:pStyle w:val="14"/>
                    <w:spacing w:before="0" w:after="0" w:line="240" w:lineRule="auto"/>
                    <w:ind w:right="0"/>
                    <w:jc w:val="center"/>
                    <w:rPr>
                      <w:color w:val="auto"/>
                      <w:szCs w:val="18"/>
                    </w:rPr>
                  </w:pPr>
                  <w:r>
                    <w:rPr>
                      <w:color w:val="auto"/>
                      <w:szCs w:val="18"/>
                    </w:rPr>
                    <w:t>声压级/dB(A)</w:t>
                  </w:r>
                </w:p>
              </w:tc>
              <w:tc>
                <w:tcPr>
                  <w:tcW w:w="506" w:type="dxa"/>
                  <w:vAlign w:val="center"/>
                </w:tcPr>
                <w:p w14:paraId="04C2185A">
                  <w:pPr>
                    <w:pStyle w:val="14"/>
                    <w:spacing w:before="0" w:after="0" w:line="240" w:lineRule="auto"/>
                    <w:ind w:right="0"/>
                    <w:jc w:val="center"/>
                    <w:rPr>
                      <w:color w:val="auto"/>
                      <w:szCs w:val="18"/>
                    </w:rPr>
                  </w:pPr>
                  <w:r>
                    <w:rPr>
                      <w:color w:val="auto"/>
                      <w:szCs w:val="18"/>
                    </w:rPr>
                    <w:t>建筑物外距离</w:t>
                  </w:r>
                  <w:r>
                    <w:rPr>
                      <w:rFonts w:hint="eastAsia"/>
                      <w:color w:val="auto"/>
                      <w:szCs w:val="18"/>
                    </w:rPr>
                    <w:t>/m</w:t>
                  </w:r>
                </w:p>
              </w:tc>
            </w:tr>
            <w:tr w14:paraId="2F55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45D6BD09">
                  <w:pPr>
                    <w:pStyle w:val="14"/>
                    <w:spacing w:before="0" w:after="0" w:line="240" w:lineRule="auto"/>
                    <w:ind w:right="0"/>
                    <w:jc w:val="center"/>
                    <w:rPr>
                      <w:color w:val="auto"/>
                      <w:sz w:val="21"/>
                      <w:szCs w:val="21"/>
                    </w:rPr>
                  </w:pPr>
                  <w:r>
                    <w:rPr>
                      <w:rFonts w:hint="eastAsia"/>
                      <w:color w:val="auto"/>
                      <w:sz w:val="21"/>
                      <w:szCs w:val="21"/>
                    </w:rPr>
                    <w:t>污水站</w:t>
                  </w:r>
                </w:p>
              </w:tc>
              <w:tc>
                <w:tcPr>
                  <w:tcW w:w="463" w:type="dxa"/>
                  <w:vAlign w:val="center"/>
                </w:tcPr>
                <w:p w14:paraId="5A1EED0B">
                  <w:pPr>
                    <w:pStyle w:val="14"/>
                    <w:spacing w:before="0" w:after="0" w:line="240" w:lineRule="auto"/>
                    <w:ind w:right="0"/>
                    <w:jc w:val="center"/>
                    <w:rPr>
                      <w:color w:val="auto"/>
                      <w:sz w:val="21"/>
                      <w:szCs w:val="21"/>
                    </w:rPr>
                  </w:pPr>
                  <w:r>
                    <w:rPr>
                      <w:rFonts w:hint="eastAsia"/>
                      <w:color w:val="auto"/>
                      <w:sz w:val="21"/>
                      <w:szCs w:val="21"/>
                    </w:rPr>
                    <w:t>1#水泵</w:t>
                  </w:r>
                </w:p>
              </w:tc>
              <w:tc>
                <w:tcPr>
                  <w:tcW w:w="396" w:type="dxa"/>
                  <w:vAlign w:val="center"/>
                </w:tcPr>
                <w:p w14:paraId="6F78929D">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7F9D8625">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5930360C">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299646E6">
                  <w:pPr>
                    <w:pStyle w:val="14"/>
                    <w:spacing w:before="0" w:after="0" w:line="240" w:lineRule="auto"/>
                    <w:ind w:right="0"/>
                    <w:jc w:val="center"/>
                    <w:rPr>
                      <w:color w:val="auto"/>
                      <w:szCs w:val="18"/>
                    </w:rPr>
                  </w:pPr>
                  <w:r>
                    <w:rPr>
                      <w:rFonts w:hint="eastAsia"/>
                      <w:color w:val="auto"/>
                      <w:szCs w:val="18"/>
                    </w:rPr>
                    <w:t>11.6</w:t>
                  </w:r>
                </w:p>
              </w:tc>
              <w:tc>
                <w:tcPr>
                  <w:tcW w:w="670" w:type="dxa"/>
                  <w:vAlign w:val="center"/>
                </w:tcPr>
                <w:p w14:paraId="052AA58C">
                  <w:pPr>
                    <w:pStyle w:val="14"/>
                    <w:spacing w:before="0" w:after="0" w:line="240" w:lineRule="auto"/>
                    <w:ind w:right="0"/>
                    <w:jc w:val="center"/>
                    <w:rPr>
                      <w:color w:val="auto"/>
                      <w:szCs w:val="18"/>
                    </w:rPr>
                  </w:pPr>
                  <w:r>
                    <w:rPr>
                      <w:rFonts w:hint="eastAsia"/>
                      <w:color w:val="auto"/>
                      <w:szCs w:val="18"/>
                    </w:rPr>
                    <w:t>54.85</w:t>
                  </w:r>
                </w:p>
              </w:tc>
              <w:tc>
                <w:tcPr>
                  <w:tcW w:w="471" w:type="dxa"/>
                  <w:vAlign w:val="center"/>
                </w:tcPr>
                <w:p w14:paraId="501DA3FB">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1C28AFE6">
                  <w:pPr>
                    <w:pStyle w:val="14"/>
                    <w:spacing w:before="0" w:after="0" w:line="240" w:lineRule="auto"/>
                    <w:ind w:right="0"/>
                    <w:jc w:val="center"/>
                    <w:rPr>
                      <w:color w:val="auto"/>
                      <w:szCs w:val="18"/>
                    </w:rPr>
                  </w:pPr>
                  <w:r>
                    <w:rPr>
                      <w:rFonts w:hint="eastAsia"/>
                      <w:color w:val="auto"/>
                      <w:szCs w:val="18"/>
                    </w:rPr>
                    <w:t>3.8</w:t>
                  </w:r>
                </w:p>
              </w:tc>
              <w:tc>
                <w:tcPr>
                  <w:tcW w:w="772" w:type="dxa"/>
                  <w:vAlign w:val="center"/>
                </w:tcPr>
                <w:p w14:paraId="5FF0CA9E">
                  <w:pPr>
                    <w:pStyle w:val="14"/>
                    <w:spacing w:before="0" w:after="0" w:line="240" w:lineRule="auto"/>
                    <w:ind w:right="0"/>
                    <w:jc w:val="center"/>
                    <w:rPr>
                      <w:color w:val="auto"/>
                      <w:szCs w:val="18"/>
                    </w:rPr>
                  </w:pPr>
                  <w:r>
                    <w:rPr>
                      <w:rFonts w:hint="eastAsia"/>
                      <w:color w:val="auto"/>
                      <w:szCs w:val="18"/>
                    </w:rPr>
                    <w:t>73.40</w:t>
                  </w:r>
                </w:p>
              </w:tc>
              <w:tc>
                <w:tcPr>
                  <w:tcW w:w="485" w:type="dxa"/>
                  <w:vAlign w:val="center"/>
                </w:tcPr>
                <w:p w14:paraId="3399F4DA">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345326CA">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7503D3D1">
                  <w:pPr>
                    <w:pStyle w:val="14"/>
                    <w:spacing w:before="0" w:after="0" w:line="240" w:lineRule="auto"/>
                    <w:ind w:right="0"/>
                    <w:jc w:val="center"/>
                    <w:rPr>
                      <w:color w:val="auto"/>
                      <w:szCs w:val="18"/>
                    </w:rPr>
                  </w:pPr>
                  <w:r>
                    <w:rPr>
                      <w:rFonts w:hint="eastAsia"/>
                      <w:color w:val="auto"/>
                      <w:szCs w:val="18"/>
                    </w:rPr>
                    <w:t>47.4</w:t>
                  </w:r>
                </w:p>
              </w:tc>
              <w:tc>
                <w:tcPr>
                  <w:tcW w:w="506" w:type="dxa"/>
                  <w:vAlign w:val="center"/>
                </w:tcPr>
                <w:p w14:paraId="2EE20139">
                  <w:pPr>
                    <w:pStyle w:val="14"/>
                    <w:spacing w:before="0" w:after="0" w:line="240" w:lineRule="auto"/>
                    <w:ind w:right="0"/>
                    <w:jc w:val="center"/>
                    <w:rPr>
                      <w:color w:val="auto"/>
                      <w:szCs w:val="18"/>
                    </w:rPr>
                  </w:pPr>
                  <w:r>
                    <w:rPr>
                      <w:rFonts w:hint="eastAsia"/>
                      <w:color w:val="auto"/>
                      <w:szCs w:val="18"/>
                    </w:rPr>
                    <w:t>1</w:t>
                  </w:r>
                </w:p>
              </w:tc>
            </w:tr>
            <w:tr w14:paraId="3771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048510DA">
                  <w:pPr>
                    <w:pStyle w:val="14"/>
                    <w:spacing w:before="0" w:after="0" w:line="240" w:lineRule="auto"/>
                    <w:ind w:right="0"/>
                    <w:jc w:val="center"/>
                    <w:rPr>
                      <w:color w:val="auto"/>
                      <w:sz w:val="21"/>
                      <w:szCs w:val="21"/>
                    </w:rPr>
                  </w:pPr>
                </w:p>
              </w:tc>
              <w:tc>
                <w:tcPr>
                  <w:tcW w:w="463" w:type="dxa"/>
                  <w:vAlign w:val="center"/>
                </w:tcPr>
                <w:p w14:paraId="7FE42108">
                  <w:pPr>
                    <w:pStyle w:val="14"/>
                    <w:spacing w:before="0" w:after="0" w:line="240" w:lineRule="auto"/>
                    <w:ind w:right="0"/>
                    <w:jc w:val="center"/>
                    <w:rPr>
                      <w:color w:val="auto"/>
                      <w:sz w:val="21"/>
                      <w:szCs w:val="21"/>
                    </w:rPr>
                  </w:pPr>
                  <w:r>
                    <w:rPr>
                      <w:rFonts w:hint="eastAsia"/>
                      <w:color w:val="auto"/>
                      <w:sz w:val="21"/>
                      <w:szCs w:val="21"/>
                    </w:rPr>
                    <w:t>2#水泵</w:t>
                  </w:r>
                </w:p>
              </w:tc>
              <w:tc>
                <w:tcPr>
                  <w:tcW w:w="396" w:type="dxa"/>
                  <w:vAlign w:val="center"/>
                </w:tcPr>
                <w:p w14:paraId="6DD425B1">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7EB6E5D1">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499B8021">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6D8F5FE8">
                  <w:pPr>
                    <w:pStyle w:val="14"/>
                    <w:spacing w:before="0" w:after="0" w:line="240" w:lineRule="auto"/>
                    <w:ind w:right="0"/>
                    <w:jc w:val="center"/>
                    <w:rPr>
                      <w:color w:val="auto"/>
                      <w:szCs w:val="18"/>
                    </w:rPr>
                  </w:pPr>
                  <w:r>
                    <w:rPr>
                      <w:rFonts w:hint="eastAsia"/>
                      <w:color w:val="auto"/>
                      <w:szCs w:val="18"/>
                    </w:rPr>
                    <w:t>13.78</w:t>
                  </w:r>
                </w:p>
              </w:tc>
              <w:tc>
                <w:tcPr>
                  <w:tcW w:w="670" w:type="dxa"/>
                  <w:vAlign w:val="center"/>
                </w:tcPr>
                <w:p w14:paraId="305F3308">
                  <w:pPr>
                    <w:pStyle w:val="14"/>
                    <w:spacing w:before="0" w:after="0" w:line="240" w:lineRule="auto"/>
                    <w:ind w:right="0"/>
                    <w:jc w:val="center"/>
                    <w:rPr>
                      <w:color w:val="auto"/>
                      <w:szCs w:val="18"/>
                    </w:rPr>
                  </w:pPr>
                  <w:r>
                    <w:rPr>
                      <w:rFonts w:hint="eastAsia"/>
                      <w:color w:val="auto"/>
                      <w:szCs w:val="18"/>
                    </w:rPr>
                    <w:t>54.28</w:t>
                  </w:r>
                </w:p>
              </w:tc>
              <w:tc>
                <w:tcPr>
                  <w:tcW w:w="471" w:type="dxa"/>
                  <w:vAlign w:val="center"/>
                </w:tcPr>
                <w:p w14:paraId="4F35752D">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50DD0CD3">
                  <w:pPr>
                    <w:pStyle w:val="14"/>
                    <w:spacing w:before="0" w:after="0" w:line="240" w:lineRule="auto"/>
                    <w:ind w:right="0"/>
                    <w:jc w:val="center"/>
                    <w:rPr>
                      <w:color w:val="auto"/>
                      <w:szCs w:val="18"/>
                    </w:rPr>
                  </w:pPr>
                  <w:r>
                    <w:rPr>
                      <w:rFonts w:hint="eastAsia"/>
                      <w:color w:val="auto"/>
                      <w:szCs w:val="18"/>
                    </w:rPr>
                    <w:t>4</w:t>
                  </w:r>
                </w:p>
              </w:tc>
              <w:tc>
                <w:tcPr>
                  <w:tcW w:w="772" w:type="dxa"/>
                  <w:vAlign w:val="center"/>
                </w:tcPr>
                <w:p w14:paraId="4B41CD73">
                  <w:pPr>
                    <w:pStyle w:val="14"/>
                    <w:spacing w:before="0" w:after="0" w:line="240" w:lineRule="auto"/>
                    <w:ind w:right="0"/>
                    <w:jc w:val="center"/>
                    <w:rPr>
                      <w:color w:val="auto"/>
                      <w:szCs w:val="18"/>
                    </w:rPr>
                  </w:pPr>
                  <w:r>
                    <w:rPr>
                      <w:rFonts w:hint="eastAsia"/>
                      <w:color w:val="auto"/>
                      <w:szCs w:val="18"/>
                    </w:rPr>
                    <w:t>72.96</w:t>
                  </w:r>
                </w:p>
              </w:tc>
              <w:tc>
                <w:tcPr>
                  <w:tcW w:w="485" w:type="dxa"/>
                  <w:vAlign w:val="center"/>
                </w:tcPr>
                <w:p w14:paraId="3673839A">
                  <w:pPr>
                    <w:pStyle w:val="14"/>
                    <w:spacing w:before="0" w:after="0" w:line="240" w:lineRule="auto"/>
                    <w:ind w:right="0"/>
                    <w:jc w:val="center"/>
                    <w:rPr>
                      <w:color w:val="auto"/>
                      <w:szCs w:val="18"/>
                    </w:rPr>
                  </w:pPr>
                </w:p>
              </w:tc>
              <w:tc>
                <w:tcPr>
                  <w:tcW w:w="676" w:type="dxa"/>
                  <w:vAlign w:val="center"/>
                </w:tcPr>
                <w:p w14:paraId="088C8816">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124D5F01">
                  <w:pPr>
                    <w:pStyle w:val="14"/>
                    <w:spacing w:before="0" w:after="0" w:line="240" w:lineRule="auto"/>
                    <w:ind w:right="0"/>
                    <w:jc w:val="center"/>
                    <w:rPr>
                      <w:color w:val="auto"/>
                      <w:szCs w:val="18"/>
                    </w:rPr>
                  </w:pPr>
                  <w:r>
                    <w:rPr>
                      <w:rFonts w:hint="eastAsia"/>
                      <w:color w:val="auto"/>
                      <w:szCs w:val="18"/>
                    </w:rPr>
                    <w:t>46.96</w:t>
                  </w:r>
                </w:p>
              </w:tc>
              <w:tc>
                <w:tcPr>
                  <w:tcW w:w="506" w:type="dxa"/>
                  <w:vAlign w:val="center"/>
                </w:tcPr>
                <w:p w14:paraId="3D4266E1">
                  <w:pPr>
                    <w:pStyle w:val="14"/>
                    <w:spacing w:before="0" w:after="0" w:line="240" w:lineRule="auto"/>
                    <w:ind w:right="0"/>
                    <w:jc w:val="center"/>
                    <w:rPr>
                      <w:color w:val="auto"/>
                      <w:szCs w:val="18"/>
                    </w:rPr>
                  </w:pPr>
                  <w:r>
                    <w:rPr>
                      <w:rFonts w:hint="eastAsia"/>
                      <w:color w:val="auto"/>
                      <w:szCs w:val="18"/>
                    </w:rPr>
                    <w:t>1</w:t>
                  </w:r>
                </w:p>
              </w:tc>
            </w:tr>
            <w:tr w14:paraId="2865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1DBE9A09">
                  <w:pPr>
                    <w:pStyle w:val="14"/>
                    <w:spacing w:before="0" w:after="0" w:line="240" w:lineRule="auto"/>
                    <w:ind w:right="0"/>
                    <w:jc w:val="center"/>
                    <w:rPr>
                      <w:color w:val="auto"/>
                      <w:sz w:val="21"/>
                      <w:szCs w:val="21"/>
                    </w:rPr>
                  </w:pPr>
                </w:p>
              </w:tc>
              <w:tc>
                <w:tcPr>
                  <w:tcW w:w="463" w:type="dxa"/>
                  <w:vAlign w:val="center"/>
                </w:tcPr>
                <w:p w14:paraId="3427FEF9">
                  <w:pPr>
                    <w:pStyle w:val="14"/>
                    <w:spacing w:before="0" w:after="0" w:line="240" w:lineRule="auto"/>
                    <w:ind w:right="0"/>
                    <w:jc w:val="center"/>
                    <w:rPr>
                      <w:color w:val="auto"/>
                      <w:sz w:val="21"/>
                      <w:szCs w:val="21"/>
                    </w:rPr>
                  </w:pPr>
                  <w:r>
                    <w:rPr>
                      <w:rFonts w:hint="eastAsia"/>
                      <w:color w:val="auto"/>
                      <w:sz w:val="21"/>
                      <w:szCs w:val="21"/>
                    </w:rPr>
                    <w:t>风机</w:t>
                  </w:r>
                </w:p>
              </w:tc>
              <w:tc>
                <w:tcPr>
                  <w:tcW w:w="396" w:type="dxa"/>
                  <w:vAlign w:val="center"/>
                </w:tcPr>
                <w:p w14:paraId="7D6D56AB">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66A2D182">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0F4C5DF1">
                  <w:pPr>
                    <w:pStyle w:val="14"/>
                    <w:spacing w:before="0" w:after="0" w:line="240" w:lineRule="auto"/>
                    <w:ind w:right="0"/>
                    <w:jc w:val="center"/>
                    <w:rPr>
                      <w:color w:val="auto"/>
                      <w:szCs w:val="18"/>
                    </w:rPr>
                  </w:pPr>
                  <w:r>
                    <w:rPr>
                      <w:rFonts w:hint="eastAsia"/>
                      <w:color w:val="auto"/>
                      <w:szCs w:val="18"/>
                    </w:rPr>
                    <w:t>安装消声器</w:t>
                  </w:r>
                </w:p>
              </w:tc>
              <w:tc>
                <w:tcPr>
                  <w:tcW w:w="670" w:type="dxa"/>
                  <w:vAlign w:val="center"/>
                </w:tcPr>
                <w:p w14:paraId="7FBCA7BC">
                  <w:pPr>
                    <w:pStyle w:val="14"/>
                    <w:spacing w:before="0" w:after="0" w:line="240" w:lineRule="auto"/>
                    <w:ind w:right="0"/>
                    <w:jc w:val="center"/>
                    <w:rPr>
                      <w:color w:val="auto"/>
                      <w:szCs w:val="18"/>
                    </w:rPr>
                  </w:pPr>
                  <w:r>
                    <w:rPr>
                      <w:rFonts w:hint="eastAsia"/>
                      <w:color w:val="auto"/>
                      <w:szCs w:val="18"/>
                    </w:rPr>
                    <w:t>13.59</w:t>
                  </w:r>
                </w:p>
              </w:tc>
              <w:tc>
                <w:tcPr>
                  <w:tcW w:w="670" w:type="dxa"/>
                  <w:vAlign w:val="center"/>
                </w:tcPr>
                <w:p w14:paraId="037BD88D">
                  <w:pPr>
                    <w:pStyle w:val="14"/>
                    <w:spacing w:before="0" w:after="0" w:line="240" w:lineRule="auto"/>
                    <w:ind w:right="0"/>
                    <w:jc w:val="center"/>
                    <w:rPr>
                      <w:color w:val="auto"/>
                      <w:szCs w:val="18"/>
                    </w:rPr>
                  </w:pPr>
                  <w:r>
                    <w:rPr>
                      <w:rFonts w:hint="eastAsia"/>
                      <w:color w:val="auto"/>
                      <w:szCs w:val="18"/>
                    </w:rPr>
                    <w:t>52.22</w:t>
                  </w:r>
                </w:p>
              </w:tc>
              <w:tc>
                <w:tcPr>
                  <w:tcW w:w="471" w:type="dxa"/>
                  <w:vAlign w:val="center"/>
                </w:tcPr>
                <w:p w14:paraId="412F5970">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5086EAB7">
                  <w:pPr>
                    <w:pStyle w:val="14"/>
                    <w:spacing w:before="0" w:after="0" w:line="240" w:lineRule="auto"/>
                    <w:ind w:right="0"/>
                    <w:jc w:val="center"/>
                    <w:rPr>
                      <w:color w:val="auto"/>
                      <w:szCs w:val="18"/>
                    </w:rPr>
                  </w:pPr>
                  <w:r>
                    <w:rPr>
                      <w:rFonts w:hint="eastAsia"/>
                      <w:color w:val="auto"/>
                      <w:szCs w:val="18"/>
                    </w:rPr>
                    <w:t>3.5</w:t>
                  </w:r>
                </w:p>
              </w:tc>
              <w:tc>
                <w:tcPr>
                  <w:tcW w:w="772" w:type="dxa"/>
                  <w:vAlign w:val="center"/>
                </w:tcPr>
                <w:p w14:paraId="62E73DD4">
                  <w:pPr>
                    <w:pStyle w:val="14"/>
                    <w:spacing w:before="0" w:after="0" w:line="240" w:lineRule="auto"/>
                    <w:ind w:right="0"/>
                    <w:jc w:val="center"/>
                    <w:rPr>
                      <w:color w:val="auto"/>
                      <w:szCs w:val="18"/>
                    </w:rPr>
                  </w:pPr>
                  <w:r>
                    <w:rPr>
                      <w:rFonts w:hint="eastAsia"/>
                      <w:color w:val="auto"/>
                      <w:szCs w:val="18"/>
                    </w:rPr>
                    <w:t>74.12</w:t>
                  </w:r>
                </w:p>
              </w:tc>
              <w:tc>
                <w:tcPr>
                  <w:tcW w:w="485" w:type="dxa"/>
                  <w:vAlign w:val="center"/>
                </w:tcPr>
                <w:p w14:paraId="5C3BD591">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7E7CF68F">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1B0BD8D1">
                  <w:pPr>
                    <w:pStyle w:val="14"/>
                    <w:spacing w:before="0" w:after="0" w:line="240" w:lineRule="auto"/>
                    <w:ind w:right="0"/>
                    <w:jc w:val="center"/>
                    <w:rPr>
                      <w:color w:val="auto"/>
                      <w:szCs w:val="18"/>
                    </w:rPr>
                  </w:pPr>
                  <w:r>
                    <w:rPr>
                      <w:rFonts w:hint="eastAsia"/>
                      <w:color w:val="auto"/>
                      <w:szCs w:val="18"/>
                    </w:rPr>
                    <w:t>48.12</w:t>
                  </w:r>
                </w:p>
              </w:tc>
              <w:tc>
                <w:tcPr>
                  <w:tcW w:w="506" w:type="dxa"/>
                  <w:vAlign w:val="center"/>
                </w:tcPr>
                <w:p w14:paraId="30898FFC">
                  <w:pPr>
                    <w:pStyle w:val="14"/>
                    <w:spacing w:before="0" w:after="0" w:line="240" w:lineRule="auto"/>
                    <w:ind w:right="0"/>
                    <w:jc w:val="center"/>
                    <w:rPr>
                      <w:color w:val="auto"/>
                      <w:szCs w:val="18"/>
                    </w:rPr>
                  </w:pPr>
                  <w:r>
                    <w:rPr>
                      <w:rFonts w:hint="eastAsia"/>
                      <w:color w:val="auto"/>
                      <w:szCs w:val="18"/>
                    </w:rPr>
                    <w:t>1</w:t>
                  </w:r>
                </w:p>
              </w:tc>
            </w:tr>
          </w:tbl>
          <w:p w14:paraId="5A6CA2A1">
            <w:pPr>
              <w:adjustRightInd w:val="0"/>
              <w:snapToGrid w:val="0"/>
              <w:ind w:firstLine="1205" w:firstLineChars="500"/>
              <w:rPr>
                <w:b/>
                <w:color w:val="auto"/>
                <w:kern w:val="24"/>
                <w:sz w:val="24"/>
              </w:rPr>
            </w:pPr>
          </w:p>
          <w:p w14:paraId="14A7D8E7">
            <w:pPr>
              <w:adjustRightInd w:val="0"/>
              <w:snapToGrid w:val="0"/>
              <w:ind w:firstLine="1205" w:firstLineChars="500"/>
              <w:rPr>
                <w:b/>
                <w:color w:val="auto"/>
                <w:kern w:val="24"/>
                <w:sz w:val="24"/>
              </w:rPr>
            </w:pPr>
            <w:r>
              <w:rPr>
                <w:rFonts w:hint="eastAsia"/>
                <w:b/>
                <w:color w:val="auto"/>
                <w:kern w:val="24"/>
                <w:sz w:val="24"/>
              </w:rPr>
              <w:t>表4-28   杨广卫生院工业企业噪声源强调查清单（室内声源）</w:t>
            </w:r>
          </w:p>
          <w:tbl>
            <w:tblPr>
              <w:tblStyle w:val="33"/>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61"/>
              <w:gridCol w:w="396"/>
              <w:gridCol w:w="1107"/>
              <w:gridCol w:w="677"/>
              <w:gridCol w:w="663"/>
              <w:gridCol w:w="663"/>
              <w:gridCol w:w="469"/>
              <w:gridCol w:w="464"/>
              <w:gridCol w:w="762"/>
              <w:gridCol w:w="483"/>
              <w:gridCol w:w="669"/>
              <w:gridCol w:w="717"/>
              <w:gridCol w:w="503"/>
            </w:tblGrid>
            <w:tr w14:paraId="56C2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0638C44D">
                  <w:pPr>
                    <w:pStyle w:val="14"/>
                    <w:spacing w:before="0" w:after="0" w:line="240" w:lineRule="auto"/>
                    <w:ind w:right="0"/>
                    <w:jc w:val="center"/>
                    <w:rPr>
                      <w:color w:val="auto"/>
                      <w:szCs w:val="18"/>
                    </w:rPr>
                  </w:pPr>
                  <w:r>
                    <w:rPr>
                      <w:color w:val="auto"/>
                      <w:szCs w:val="18"/>
                    </w:rPr>
                    <w:t>建筑物名称</w:t>
                  </w:r>
                </w:p>
              </w:tc>
              <w:tc>
                <w:tcPr>
                  <w:tcW w:w="463" w:type="dxa"/>
                  <w:vMerge w:val="restart"/>
                  <w:vAlign w:val="center"/>
                </w:tcPr>
                <w:p w14:paraId="4ACF8228">
                  <w:pPr>
                    <w:pStyle w:val="14"/>
                    <w:spacing w:before="0" w:after="0" w:line="240" w:lineRule="auto"/>
                    <w:ind w:right="0"/>
                    <w:jc w:val="center"/>
                    <w:rPr>
                      <w:color w:val="auto"/>
                      <w:szCs w:val="18"/>
                    </w:rPr>
                  </w:pPr>
                  <w:r>
                    <w:rPr>
                      <w:color w:val="auto"/>
                      <w:szCs w:val="18"/>
                    </w:rPr>
                    <w:t>声源名称</w:t>
                  </w:r>
                </w:p>
              </w:tc>
              <w:tc>
                <w:tcPr>
                  <w:tcW w:w="396" w:type="dxa"/>
                  <w:vMerge w:val="restart"/>
                  <w:vAlign w:val="center"/>
                </w:tcPr>
                <w:p w14:paraId="15C11D9D">
                  <w:pPr>
                    <w:pStyle w:val="14"/>
                    <w:spacing w:before="0" w:after="0" w:line="240" w:lineRule="auto"/>
                    <w:ind w:right="0"/>
                    <w:jc w:val="center"/>
                    <w:rPr>
                      <w:color w:val="auto"/>
                      <w:szCs w:val="18"/>
                    </w:rPr>
                  </w:pPr>
                  <w:r>
                    <w:rPr>
                      <w:color w:val="auto"/>
                      <w:szCs w:val="18"/>
                    </w:rPr>
                    <w:t>型号</w:t>
                  </w:r>
                </w:p>
              </w:tc>
              <w:tc>
                <w:tcPr>
                  <w:tcW w:w="1126" w:type="dxa"/>
                  <w:vAlign w:val="center"/>
                </w:tcPr>
                <w:p w14:paraId="2C99C4C9">
                  <w:pPr>
                    <w:jc w:val="center"/>
                    <w:rPr>
                      <w:color w:val="auto"/>
                      <w:szCs w:val="21"/>
                    </w:rPr>
                  </w:pPr>
                  <w:r>
                    <w:rPr>
                      <w:rFonts w:hint="eastAsia"/>
                      <w:color w:val="auto"/>
                      <w:szCs w:val="21"/>
                    </w:rPr>
                    <w:t>点声源</w:t>
                  </w:r>
                </w:p>
                <w:p w14:paraId="221F2811">
                  <w:pPr>
                    <w:jc w:val="center"/>
                    <w:rPr>
                      <w:color w:val="auto"/>
                      <w:szCs w:val="18"/>
                    </w:rPr>
                  </w:pPr>
                  <w:r>
                    <w:rPr>
                      <w:rFonts w:hint="eastAsia"/>
                      <w:color w:val="auto"/>
                      <w:szCs w:val="21"/>
                    </w:rPr>
                    <w:t>源强</w:t>
                  </w:r>
                </w:p>
              </w:tc>
              <w:tc>
                <w:tcPr>
                  <w:tcW w:w="685" w:type="dxa"/>
                  <w:vMerge w:val="restart"/>
                  <w:vAlign w:val="center"/>
                </w:tcPr>
                <w:p w14:paraId="2050CDDF">
                  <w:pPr>
                    <w:pStyle w:val="14"/>
                    <w:spacing w:before="0" w:after="0" w:line="240" w:lineRule="auto"/>
                    <w:ind w:right="0"/>
                    <w:jc w:val="center"/>
                    <w:rPr>
                      <w:color w:val="auto"/>
                      <w:szCs w:val="18"/>
                    </w:rPr>
                  </w:pPr>
                  <w:r>
                    <w:rPr>
                      <w:color w:val="auto"/>
                      <w:szCs w:val="18"/>
                    </w:rPr>
                    <w:t>声源控制措施</w:t>
                  </w:r>
                </w:p>
              </w:tc>
              <w:tc>
                <w:tcPr>
                  <w:tcW w:w="1811" w:type="dxa"/>
                  <w:gridSpan w:val="3"/>
                  <w:vAlign w:val="center"/>
                </w:tcPr>
                <w:p w14:paraId="56F6B89B">
                  <w:pPr>
                    <w:pStyle w:val="14"/>
                    <w:spacing w:before="0" w:after="0" w:line="240" w:lineRule="auto"/>
                    <w:ind w:right="0"/>
                    <w:jc w:val="center"/>
                    <w:rPr>
                      <w:color w:val="auto"/>
                      <w:szCs w:val="18"/>
                    </w:rPr>
                  </w:pPr>
                  <w:r>
                    <w:rPr>
                      <w:color w:val="auto"/>
                      <w:szCs w:val="18"/>
                    </w:rPr>
                    <w:t>空间相对位置/m</w:t>
                  </w:r>
                </w:p>
              </w:tc>
              <w:tc>
                <w:tcPr>
                  <w:tcW w:w="466" w:type="dxa"/>
                  <w:vMerge w:val="restart"/>
                  <w:vAlign w:val="center"/>
                </w:tcPr>
                <w:p w14:paraId="5214EEEB">
                  <w:pPr>
                    <w:pStyle w:val="14"/>
                    <w:spacing w:before="0" w:after="0" w:line="240" w:lineRule="auto"/>
                    <w:ind w:right="0"/>
                    <w:jc w:val="center"/>
                    <w:rPr>
                      <w:color w:val="auto"/>
                      <w:szCs w:val="18"/>
                    </w:rPr>
                  </w:pPr>
                  <w:r>
                    <w:rPr>
                      <w:color w:val="auto"/>
                      <w:szCs w:val="18"/>
                    </w:rPr>
                    <w:t>距室内边界距离/m</w:t>
                  </w:r>
                </w:p>
              </w:tc>
              <w:tc>
                <w:tcPr>
                  <w:tcW w:w="772" w:type="dxa"/>
                  <w:vMerge w:val="restart"/>
                  <w:vAlign w:val="center"/>
                </w:tcPr>
                <w:p w14:paraId="081E9AB2">
                  <w:pPr>
                    <w:pStyle w:val="14"/>
                    <w:spacing w:before="0" w:after="0" w:line="240" w:lineRule="auto"/>
                    <w:ind w:right="0"/>
                    <w:jc w:val="center"/>
                    <w:rPr>
                      <w:color w:val="auto"/>
                      <w:szCs w:val="18"/>
                    </w:rPr>
                  </w:pPr>
                  <w:r>
                    <w:rPr>
                      <w:color w:val="auto"/>
                      <w:szCs w:val="18"/>
                    </w:rPr>
                    <w:t>室内边界声级/dB(A)</w:t>
                  </w:r>
                </w:p>
              </w:tc>
              <w:tc>
                <w:tcPr>
                  <w:tcW w:w="485" w:type="dxa"/>
                  <w:vMerge w:val="restart"/>
                  <w:vAlign w:val="center"/>
                </w:tcPr>
                <w:p w14:paraId="192152AB">
                  <w:pPr>
                    <w:pStyle w:val="14"/>
                    <w:spacing w:before="0" w:after="0" w:line="240" w:lineRule="auto"/>
                    <w:ind w:right="0"/>
                    <w:jc w:val="center"/>
                    <w:rPr>
                      <w:color w:val="auto"/>
                      <w:szCs w:val="18"/>
                    </w:rPr>
                  </w:pPr>
                  <w:r>
                    <w:rPr>
                      <w:color w:val="auto"/>
                      <w:szCs w:val="18"/>
                    </w:rPr>
                    <w:t>运行时段</w:t>
                  </w:r>
                  <w:r>
                    <w:rPr>
                      <w:color w:val="auto"/>
                      <w:sz w:val="21"/>
                      <w:szCs w:val="21"/>
                    </w:rPr>
                    <w:t>h/d</w:t>
                  </w:r>
                </w:p>
              </w:tc>
              <w:tc>
                <w:tcPr>
                  <w:tcW w:w="676" w:type="dxa"/>
                  <w:vMerge w:val="restart"/>
                  <w:vAlign w:val="center"/>
                </w:tcPr>
                <w:p w14:paraId="2E6D1FD9">
                  <w:pPr>
                    <w:pStyle w:val="14"/>
                    <w:spacing w:before="0" w:after="0" w:line="240" w:lineRule="auto"/>
                    <w:ind w:right="0"/>
                    <w:jc w:val="center"/>
                    <w:rPr>
                      <w:color w:val="auto"/>
                      <w:szCs w:val="18"/>
                    </w:rPr>
                  </w:pPr>
                  <w:r>
                    <w:rPr>
                      <w:color w:val="auto"/>
                      <w:szCs w:val="18"/>
                    </w:rPr>
                    <w:t>建筑物插入损失/ dB(A)</w:t>
                  </w:r>
                </w:p>
              </w:tc>
              <w:tc>
                <w:tcPr>
                  <w:tcW w:w="1232" w:type="dxa"/>
                  <w:gridSpan w:val="2"/>
                  <w:vAlign w:val="center"/>
                </w:tcPr>
                <w:p w14:paraId="2B6B8460">
                  <w:pPr>
                    <w:pStyle w:val="14"/>
                    <w:spacing w:before="0" w:after="0" w:line="240" w:lineRule="auto"/>
                    <w:ind w:right="0"/>
                    <w:jc w:val="center"/>
                    <w:rPr>
                      <w:color w:val="auto"/>
                      <w:szCs w:val="18"/>
                    </w:rPr>
                  </w:pPr>
                  <w:r>
                    <w:rPr>
                      <w:color w:val="auto"/>
                      <w:szCs w:val="18"/>
                    </w:rPr>
                    <w:t>建筑物外噪声</w:t>
                  </w:r>
                </w:p>
              </w:tc>
            </w:tr>
            <w:tr w14:paraId="35FD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481" w:type="dxa"/>
                  <w:vMerge w:val="continue"/>
                  <w:vAlign w:val="center"/>
                </w:tcPr>
                <w:p w14:paraId="717ABDAB">
                  <w:pPr>
                    <w:pStyle w:val="14"/>
                    <w:spacing w:before="0" w:after="0" w:line="240" w:lineRule="auto"/>
                    <w:ind w:right="0"/>
                    <w:jc w:val="center"/>
                    <w:rPr>
                      <w:color w:val="auto"/>
                      <w:szCs w:val="18"/>
                    </w:rPr>
                  </w:pPr>
                </w:p>
              </w:tc>
              <w:tc>
                <w:tcPr>
                  <w:tcW w:w="463" w:type="dxa"/>
                  <w:vMerge w:val="continue"/>
                  <w:vAlign w:val="center"/>
                </w:tcPr>
                <w:p w14:paraId="0CCB44AE">
                  <w:pPr>
                    <w:pStyle w:val="14"/>
                    <w:spacing w:before="0" w:after="0" w:line="240" w:lineRule="auto"/>
                    <w:ind w:right="0"/>
                    <w:jc w:val="center"/>
                    <w:rPr>
                      <w:color w:val="auto"/>
                      <w:szCs w:val="18"/>
                    </w:rPr>
                  </w:pPr>
                </w:p>
              </w:tc>
              <w:tc>
                <w:tcPr>
                  <w:tcW w:w="396" w:type="dxa"/>
                  <w:vMerge w:val="continue"/>
                  <w:vAlign w:val="center"/>
                </w:tcPr>
                <w:p w14:paraId="6D168EEA">
                  <w:pPr>
                    <w:pStyle w:val="14"/>
                    <w:spacing w:before="0" w:after="0" w:line="240" w:lineRule="auto"/>
                    <w:ind w:right="0"/>
                    <w:jc w:val="center"/>
                    <w:rPr>
                      <w:color w:val="auto"/>
                      <w:szCs w:val="18"/>
                    </w:rPr>
                  </w:pPr>
                </w:p>
              </w:tc>
              <w:tc>
                <w:tcPr>
                  <w:tcW w:w="1126" w:type="dxa"/>
                  <w:vAlign w:val="center"/>
                </w:tcPr>
                <w:p w14:paraId="1575A0B2">
                  <w:pPr>
                    <w:jc w:val="center"/>
                    <w:rPr>
                      <w:color w:val="auto"/>
                      <w:szCs w:val="18"/>
                    </w:rPr>
                  </w:pPr>
                  <w:r>
                    <w:rPr>
                      <w:rFonts w:hint="eastAsia"/>
                      <w:color w:val="auto"/>
                      <w:sz w:val="18"/>
                      <w:szCs w:val="18"/>
                    </w:rPr>
                    <w:t>（声压级/距声源距）/(dB(A)/1m)</w:t>
                  </w:r>
                </w:p>
              </w:tc>
              <w:tc>
                <w:tcPr>
                  <w:tcW w:w="685" w:type="dxa"/>
                  <w:vMerge w:val="continue"/>
                  <w:vAlign w:val="center"/>
                </w:tcPr>
                <w:p w14:paraId="5CA27F8A">
                  <w:pPr>
                    <w:pStyle w:val="14"/>
                    <w:spacing w:before="0" w:after="0" w:line="240" w:lineRule="auto"/>
                    <w:ind w:right="0"/>
                    <w:jc w:val="center"/>
                    <w:rPr>
                      <w:color w:val="auto"/>
                      <w:szCs w:val="18"/>
                    </w:rPr>
                  </w:pPr>
                </w:p>
              </w:tc>
              <w:tc>
                <w:tcPr>
                  <w:tcW w:w="670" w:type="dxa"/>
                  <w:vAlign w:val="center"/>
                </w:tcPr>
                <w:p w14:paraId="6103B7C8">
                  <w:pPr>
                    <w:pStyle w:val="14"/>
                    <w:spacing w:before="0" w:after="0" w:line="240" w:lineRule="auto"/>
                    <w:ind w:right="0"/>
                    <w:jc w:val="center"/>
                    <w:rPr>
                      <w:color w:val="auto"/>
                      <w:szCs w:val="18"/>
                    </w:rPr>
                  </w:pPr>
                  <w:r>
                    <w:rPr>
                      <w:color w:val="auto"/>
                      <w:szCs w:val="18"/>
                    </w:rPr>
                    <w:t>X</w:t>
                  </w:r>
                </w:p>
              </w:tc>
              <w:tc>
                <w:tcPr>
                  <w:tcW w:w="670" w:type="dxa"/>
                  <w:vAlign w:val="center"/>
                </w:tcPr>
                <w:p w14:paraId="66AE6E03">
                  <w:pPr>
                    <w:pStyle w:val="14"/>
                    <w:spacing w:before="0" w:after="0" w:line="240" w:lineRule="auto"/>
                    <w:ind w:right="0"/>
                    <w:jc w:val="center"/>
                    <w:rPr>
                      <w:color w:val="auto"/>
                      <w:szCs w:val="18"/>
                    </w:rPr>
                  </w:pPr>
                  <w:r>
                    <w:rPr>
                      <w:color w:val="auto"/>
                      <w:szCs w:val="18"/>
                    </w:rPr>
                    <w:t>Y</w:t>
                  </w:r>
                </w:p>
              </w:tc>
              <w:tc>
                <w:tcPr>
                  <w:tcW w:w="471" w:type="dxa"/>
                  <w:vAlign w:val="center"/>
                </w:tcPr>
                <w:p w14:paraId="4CBF5AAE">
                  <w:pPr>
                    <w:pStyle w:val="14"/>
                    <w:spacing w:before="0" w:after="0" w:line="240" w:lineRule="auto"/>
                    <w:ind w:right="0"/>
                    <w:jc w:val="center"/>
                    <w:rPr>
                      <w:color w:val="auto"/>
                      <w:szCs w:val="18"/>
                    </w:rPr>
                  </w:pPr>
                  <w:r>
                    <w:rPr>
                      <w:color w:val="auto"/>
                      <w:szCs w:val="18"/>
                    </w:rPr>
                    <w:t>Z</w:t>
                  </w:r>
                </w:p>
              </w:tc>
              <w:tc>
                <w:tcPr>
                  <w:tcW w:w="466" w:type="dxa"/>
                  <w:vMerge w:val="continue"/>
                  <w:vAlign w:val="center"/>
                </w:tcPr>
                <w:p w14:paraId="6406AD22">
                  <w:pPr>
                    <w:pStyle w:val="14"/>
                    <w:spacing w:before="0" w:after="0" w:line="240" w:lineRule="auto"/>
                    <w:ind w:right="0"/>
                    <w:jc w:val="center"/>
                    <w:rPr>
                      <w:color w:val="auto"/>
                      <w:szCs w:val="18"/>
                    </w:rPr>
                  </w:pPr>
                </w:p>
              </w:tc>
              <w:tc>
                <w:tcPr>
                  <w:tcW w:w="772" w:type="dxa"/>
                  <w:vMerge w:val="continue"/>
                  <w:vAlign w:val="center"/>
                </w:tcPr>
                <w:p w14:paraId="6F2CEF14">
                  <w:pPr>
                    <w:pStyle w:val="14"/>
                    <w:spacing w:before="0" w:after="0" w:line="240" w:lineRule="auto"/>
                    <w:ind w:right="0"/>
                    <w:jc w:val="center"/>
                    <w:rPr>
                      <w:color w:val="auto"/>
                      <w:szCs w:val="18"/>
                    </w:rPr>
                  </w:pPr>
                </w:p>
              </w:tc>
              <w:tc>
                <w:tcPr>
                  <w:tcW w:w="485" w:type="dxa"/>
                  <w:vMerge w:val="continue"/>
                  <w:vAlign w:val="center"/>
                </w:tcPr>
                <w:p w14:paraId="29DCCA87">
                  <w:pPr>
                    <w:pStyle w:val="14"/>
                    <w:spacing w:before="0" w:after="0" w:line="240" w:lineRule="auto"/>
                    <w:ind w:right="0"/>
                    <w:jc w:val="center"/>
                    <w:rPr>
                      <w:color w:val="auto"/>
                      <w:szCs w:val="18"/>
                    </w:rPr>
                  </w:pPr>
                </w:p>
              </w:tc>
              <w:tc>
                <w:tcPr>
                  <w:tcW w:w="676" w:type="dxa"/>
                  <w:vMerge w:val="continue"/>
                  <w:vAlign w:val="center"/>
                </w:tcPr>
                <w:p w14:paraId="1652650D">
                  <w:pPr>
                    <w:pStyle w:val="14"/>
                    <w:spacing w:before="0" w:after="0" w:line="240" w:lineRule="auto"/>
                    <w:ind w:right="0"/>
                    <w:jc w:val="center"/>
                    <w:rPr>
                      <w:color w:val="auto"/>
                      <w:szCs w:val="18"/>
                    </w:rPr>
                  </w:pPr>
                </w:p>
              </w:tc>
              <w:tc>
                <w:tcPr>
                  <w:tcW w:w="726" w:type="dxa"/>
                  <w:vAlign w:val="center"/>
                </w:tcPr>
                <w:p w14:paraId="71FB6C8D">
                  <w:pPr>
                    <w:pStyle w:val="14"/>
                    <w:spacing w:before="0" w:after="0" w:line="240" w:lineRule="auto"/>
                    <w:ind w:right="0"/>
                    <w:jc w:val="center"/>
                    <w:rPr>
                      <w:color w:val="auto"/>
                      <w:szCs w:val="18"/>
                    </w:rPr>
                  </w:pPr>
                  <w:r>
                    <w:rPr>
                      <w:color w:val="auto"/>
                      <w:szCs w:val="18"/>
                    </w:rPr>
                    <w:t>声压级/dB(A)</w:t>
                  </w:r>
                </w:p>
              </w:tc>
              <w:tc>
                <w:tcPr>
                  <w:tcW w:w="506" w:type="dxa"/>
                  <w:vAlign w:val="center"/>
                </w:tcPr>
                <w:p w14:paraId="55804C57">
                  <w:pPr>
                    <w:pStyle w:val="14"/>
                    <w:spacing w:before="0" w:after="0" w:line="240" w:lineRule="auto"/>
                    <w:ind w:right="0"/>
                    <w:jc w:val="center"/>
                    <w:rPr>
                      <w:color w:val="auto"/>
                      <w:szCs w:val="18"/>
                    </w:rPr>
                  </w:pPr>
                  <w:r>
                    <w:rPr>
                      <w:color w:val="auto"/>
                      <w:szCs w:val="18"/>
                    </w:rPr>
                    <w:t>建筑物外距离</w:t>
                  </w:r>
                  <w:r>
                    <w:rPr>
                      <w:rFonts w:hint="eastAsia"/>
                      <w:color w:val="auto"/>
                      <w:szCs w:val="18"/>
                    </w:rPr>
                    <w:t>/m</w:t>
                  </w:r>
                </w:p>
              </w:tc>
            </w:tr>
            <w:tr w14:paraId="265C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5B36F141">
                  <w:pPr>
                    <w:pStyle w:val="14"/>
                    <w:spacing w:before="0" w:after="0" w:line="240" w:lineRule="auto"/>
                    <w:ind w:right="0"/>
                    <w:jc w:val="center"/>
                    <w:rPr>
                      <w:color w:val="auto"/>
                      <w:sz w:val="21"/>
                      <w:szCs w:val="21"/>
                    </w:rPr>
                  </w:pPr>
                  <w:r>
                    <w:rPr>
                      <w:rFonts w:hint="eastAsia"/>
                      <w:color w:val="auto"/>
                      <w:sz w:val="21"/>
                      <w:szCs w:val="21"/>
                    </w:rPr>
                    <w:t>污水站</w:t>
                  </w:r>
                </w:p>
              </w:tc>
              <w:tc>
                <w:tcPr>
                  <w:tcW w:w="463" w:type="dxa"/>
                  <w:vAlign w:val="center"/>
                </w:tcPr>
                <w:p w14:paraId="65D23263">
                  <w:pPr>
                    <w:pStyle w:val="14"/>
                    <w:spacing w:before="0" w:after="0" w:line="240" w:lineRule="auto"/>
                    <w:ind w:right="0"/>
                    <w:jc w:val="center"/>
                    <w:rPr>
                      <w:color w:val="auto"/>
                      <w:sz w:val="21"/>
                      <w:szCs w:val="21"/>
                    </w:rPr>
                  </w:pPr>
                  <w:r>
                    <w:rPr>
                      <w:rFonts w:hint="eastAsia"/>
                      <w:color w:val="auto"/>
                      <w:sz w:val="21"/>
                      <w:szCs w:val="21"/>
                    </w:rPr>
                    <w:t>1#水泵</w:t>
                  </w:r>
                </w:p>
              </w:tc>
              <w:tc>
                <w:tcPr>
                  <w:tcW w:w="396" w:type="dxa"/>
                  <w:vAlign w:val="center"/>
                </w:tcPr>
                <w:p w14:paraId="4BE3EFC2">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0271BF9F">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60D0D794">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46EB3809">
                  <w:pPr>
                    <w:pStyle w:val="14"/>
                    <w:spacing w:before="0" w:after="0" w:line="240" w:lineRule="auto"/>
                    <w:ind w:right="0"/>
                    <w:jc w:val="center"/>
                    <w:rPr>
                      <w:color w:val="auto"/>
                      <w:szCs w:val="18"/>
                    </w:rPr>
                  </w:pPr>
                  <w:r>
                    <w:rPr>
                      <w:rFonts w:hint="eastAsia"/>
                      <w:color w:val="auto"/>
                      <w:szCs w:val="18"/>
                    </w:rPr>
                    <w:t>5.49</w:t>
                  </w:r>
                </w:p>
              </w:tc>
              <w:tc>
                <w:tcPr>
                  <w:tcW w:w="670" w:type="dxa"/>
                  <w:vAlign w:val="center"/>
                </w:tcPr>
                <w:p w14:paraId="48D197FF">
                  <w:pPr>
                    <w:pStyle w:val="14"/>
                    <w:spacing w:before="0" w:after="0" w:line="240" w:lineRule="auto"/>
                    <w:ind w:right="0"/>
                    <w:jc w:val="center"/>
                    <w:rPr>
                      <w:color w:val="auto"/>
                      <w:szCs w:val="18"/>
                    </w:rPr>
                  </w:pPr>
                  <w:r>
                    <w:rPr>
                      <w:rFonts w:hint="eastAsia"/>
                      <w:color w:val="auto"/>
                      <w:szCs w:val="18"/>
                    </w:rPr>
                    <w:t>35.71</w:t>
                  </w:r>
                </w:p>
              </w:tc>
              <w:tc>
                <w:tcPr>
                  <w:tcW w:w="471" w:type="dxa"/>
                  <w:vAlign w:val="center"/>
                </w:tcPr>
                <w:p w14:paraId="2BC0EC9A">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2341970E">
                  <w:pPr>
                    <w:pStyle w:val="14"/>
                    <w:spacing w:before="0" w:after="0" w:line="240" w:lineRule="auto"/>
                    <w:ind w:right="0"/>
                    <w:jc w:val="center"/>
                    <w:rPr>
                      <w:color w:val="auto"/>
                      <w:szCs w:val="18"/>
                    </w:rPr>
                  </w:pPr>
                  <w:r>
                    <w:rPr>
                      <w:rFonts w:hint="eastAsia"/>
                      <w:color w:val="auto"/>
                      <w:szCs w:val="18"/>
                    </w:rPr>
                    <w:t>2.5</w:t>
                  </w:r>
                </w:p>
              </w:tc>
              <w:tc>
                <w:tcPr>
                  <w:tcW w:w="772" w:type="dxa"/>
                  <w:vAlign w:val="center"/>
                </w:tcPr>
                <w:p w14:paraId="264CB606">
                  <w:pPr>
                    <w:pStyle w:val="14"/>
                    <w:spacing w:before="0" w:after="0" w:line="240" w:lineRule="auto"/>
                    <w:ind w:right="0"/>
                    <w:jc w:val="center"/>
                    <w:rPr>
                      <w:color w:val="auto"/>
                      <w:szCs w:val="18"/>
                    </w:rPr>
                  </w:pPr>
                  <w:r>
                    <w:rPr>
                      <w:rFonts w:hint="eastAsia"/>
                      <w:color w:val="auto"/>
                      <w:szCs w:val="18"/>
                    </w:rPr>
                    <w:t>77.04</w:t>
                  </w:r>
                </w:p>
              </w:tc>
              <w:tc>
                <w:tcPr>
                  <w:tcW w:w="485" w:type="dxa"/>
                  <w:vAlign w:val="center"/>
                </w:tcPr>
                <w:p w14:paraId="67EFD806">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773F41D5">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50CD788C">
                  <w:pPr>
                    <w:pStyle w:val="14"/>
                    <w:spacing w:before="0" w:after="0" w:line="240" w:lineRule="auto"/>
                    <w:ind w:right="0"/>
                    <w:jc w:val="center"/>
                    <w:rPr>
                      <w:color w:val="auto"/>
                      <w:szCs w:val="18"/>
                    </w:rPr>
                  </w:pPr>
                  <w:r>
                    <w:rPr>
                      <w:rFonts w:hint="eastAsia"/>
                      <w:color w:val="auto"/>
                      <w:szCs w:val="18"/>
                    </w:rPr>
                    <w:t>51.04</w:t>
                  </w:r>
                </w:p>
              </w:tc>
              <w:tc>
                <w:tcPr>
                  <w:tcW w:w="506" w:type="dxa"/>
                  <w:vAlign w:val="center"/>
                </w:tcPr>
                <w:p w14:paraId="7596698C">
                  <w:pPr>
                    <w:pStyle w:val="14"/>
                    <w:spacing w:before="0" w:after="0" w:line="240" w:lineRule="auto"/>
                    <w:ind w:right="0"/>
                    <w:jc w:val="center"/>
                    <w:rPr>
                      <w:color w:val="auto"/>
                      <w:szCs w:val="18"/>
                    </w:rPr>
                  </w:pPr>
                  <w:r>
                    <w:rPr>
                      <w:rFonts w:hint="eastAsia"/>
                      <w:color w:val="auto"/>
                      <w:szCs w:val="18"/>
                    </w:rPr>
                    <w:t>1</w:t>
                  </w:r>
                </w:p>
              </w:tc>
            </w:tr>
            <w:tr w14:paraId="4678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382FAD02">
                  <w:pPr>
                    <w:pStyle w:val="14"/>
                    <w:spacing w:before="0" w:after="0" w:line="240" w:lineRule="auto"/>
                    <w:ind w:right="0"/>
                    <w:jc w:val="center"/>
                    <w:rPr>
                      <w:color w:val="auto"/>
                      <w:sz w:val="21"/>
                      <w:szCs w:val="21"/>
                    </w:rPr>
                  </w:pPr>
                </w:p>
              </w:tc>
              <w:tc>
                <w:tcPr>
                  <w:tcW w:w="463" w:type="dxa"/>
                  <w:vAlign w:val="center"/>
                </w:tcPr>
                <w:p w14:paraId="180D0A95">
                  <w:pPr>
                    <w:pStyle w:val="14"/>
                    <w:spacing w:before="0" w:after="0" w:line="240" w:lineRule="auto"/>
                    <w:ind w:right="0"/>
                    <w:jc w:val="center"/>
                    <w:rPr>
                      <w:color w:val="auto"/>
                      <w:sz w:val="21"/>
                      <w:szCs w:val="21"/>
                    </w:rPr>
                  </w:pPr>
                  <w:r>
                    <w:rPr>
                      <w:rFonts w:hint="eastAsia"/>
                      <w:color w:val="auto"/>
                      <w:sz w:val="21"/>
                      <w:szCs w:val="21"/>
                    </w:rPr>
                    <w:t>2#水泵</w:t>
                  </w:r>
                </w:p>
              </w:tc>
              <w:tc>
                <w:tcPr>
                  <w:tcW w:w="396" w:type="dxa"/>
                  <w:vAlign w:val="center"/>
                </w:tcPr>
                <w:p w14:paraId="475BBC56">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255510A7">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4B6C8F3D">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1EBFF652">
                  <w:pPr>
                    <w:pStyle w:val="14"/>
                    <w:spacing w:before="0" w:after="0" w:line="240" w:lineRule="auto"/>
                    <w:ind w:right="0"/>
                    <w:jc w:val="center"/>
                    <w:rPr>
                      <w:color w:val="auto"/>
                      <w:szCs w:val="18"/>
                    </w:rPr>
                  </w:pPr>
                  <w:r>
                    <w:rPr>
                      <w:rFonts w:hint="eastAsia"/>
                      <w:color w:val="auto"/>
                      <w:szCs w:val="18"/>
                    </w:rPr>
                    <w:t>7.92</w:t>
                  </w:r>
                </w:p>
              </w:tc>
              <w:tc>
                <w:tcPr>
                  <w:tcW w:w="670" w:type="dxa"/>
                  <w:vAlign w:val="center"/>
                </w:tcPr>
                <w:p w14:paraId="4559757D">
                  <w:pPr>
                    <w:pStyle w:val="14"/>
                    <w:spacing w:before="0" w:after="0" w:line="240" w:lineRule="auto"/>
                    <w:ind w:right="0"/>
                    <w:jc w:val="center"/>
                    <w:rPr>
                      <w:color w:val="auto"/>
                      <w:szCs w:val="18"/>
                    </w:rPr>
                  </w:pPr>
                  <w:r>
                    <w:rPr>
                      <w:rFonts w:hint="eastAsia"/>
                      <w:color w:val="auto"/>
                      <w:szCs w:val="18"/>
                    </w:rPr>
                    <w:t>36.28</w:t>
                  </w:r>
                </w:p>
              </w:tc>
              <w:tc>
                <w:tcPr>
                  <w:tcW w:w="471" w:type="dxa"/>
                  <w:vAlign w:val="center"/>
                </w:tcPr>
                <w:p w14:paraId="13FD241D">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715F2EFE">
                  <w:pPr>
                    <w:pStyle w:val="14"/>
                    <w:spacing w:before="0" w:after="0" w:line="240" w:lineRule="auto"/>
                    <w:ind w:right="0"/>
                    <w:jc w:val="center"/>
                    <w:rPr>
                      <w:color w:val="auto"/>
                      <w:szCs w:val="18"/>
                    </w:rPr>
                  </w:pPr>
                  <w:r>
                    <w:rPr>
                      <w:rFonts w:hint="eastAsia"/>
                      <w:color w:val="auto"/>
                      <w:szCs w:val="18"/>
                    </w:rPr>
                    <w:t>3</w:t>
                  </w:r>
                </w:p>
              </w:tc>
              <w:tc>
                <w:tcPr>
                  <w:tcW w:w="772" w:type="dxa"/>
                  <w:vAlign w:val="center"/>
                </w:tcPr>
                <w:p w14:paraId="6B9ACAE5">
                  <w:pPr>
                    <w:pStyle w:val="14"/>
                    <w:spacing w:before="0" w:after="0" w:line="240" w:lineRule="auto"/>
                    <w:ind w:right="0"/>
                    <w:jc w:val="center"/>
                    <w:rPr>
                      <w:color w:val="auto"/>
                      <w:szCs w:val="18"/>
                    </w:rPr>
                  </w:pPr>
                  <w:r>
                    <w:rPr>
                      <w:rFonts w:hint="eastAsia"/>
                      <w:color w:val="auto"/>
                      <w:szCs w:val="18"/>
                    </w:rPr>
                    <w:t>75.46</w:t>
                  </w:r>
                </w:p>
              </w:tc>
              <w:tc>
                <w:tcPr>
                  <w:tcW w:w="485" w:type="dxa"/>
                  <w:vAlign w:val="center"/>
                </w:tcPr>
                <w:p w14:paraId="2C66A083">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78289C06">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48F69B99">
                  <w:pPr>
                    <w:pStyle w:val="14"/>
                    <w:spacing w:before="0" w:after="0" w:line="240" w:lineRule="auto"/>
                    <w:ind w:right="0"/>
                    <w:jc w:val="center"/>
                    <w:rPr>
                      <w:color w:val="auto"/>
                      <w:szCs w:val="18"/>
                    </w:rPr>
                  </w:pPr>
                  <w:r>
                    <w:rPr>
                      <w:rFonts w:hint="eastAsia"/>
                      <w:color w:val="auto"/>
                      <w:szCs w:val="18"/>
                    </w:rPr>
                    <w:t>49.46</w:t>
                  </w:r>
                </w:p>
              </w:tc>
              <w:tc>
                <w:tcPr>
                  <w:tcW w:w="506" w:type="dxa"/>
                  <w:vAlign w:val="center"/>
                </w:tcPr>
                <w:p w14:paraId="37BC1B84">
                  <w:pPr>
                    <w:pStyle w:val="14"/>
                    <w:spacing w:before="0" w:after="0" w:line="240" w:lineRule="auto"/>
                    <w:ind w:right="0"/>
                    <w:jc w:val="center"/>
                    <w:rPr>
                      <w:color w:val="auto"/>
                      <w:szCs w:val="18"/>
                    </w:rPr>
                  </w:pPr>
                  <w:r>
                    <w:rPr>
                      <w:rFonts w:hint="eastAsia"/>
                      <w:color w:val="auto"/>
                      <w:szCs w:val="18"/>
                    </w:rPr>
                    <w:t>1</w:t>
                  </w:r>
                </w:p>
              </w:tc>
            </w:tr>
            <w:tr w14:paraId="3736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1658043D">
                  <w:pPr>
                    <w:pStyle w:val="14"/>
                    <w:spacing w:before="0" w:after="0" w:line="240" w:lineRule="auto"/>
                    <w:ind w:right="0"/>
                    <w:jc w:val="center"/>
                    <w:rPr>
                      <w:color w:val="auto"/>
                      <w:sz w:val="21"/>
                      <w:szCs w:val="21"/>
                    </w:rPr>
                  </w:pPr>
                </w:p>
              </w:tc>
              <w:tc>
                <w:tcPr>
                  <w:tcW w:w="463" w:type="dxa"/>
                  <w:vAlign w:val="center"/>
                </w:tcPr>
                <w:p w14:paraId="49A7597F">
                  <w:pPr>
                    <w:pStyle w:val="14"/>
                    <w:spacing w:before="0" w:after="0" w:line="240" w:lineRule="auto"/>
                    <w:ind w:right="0"/>
                    <w:jc w:val="center"/>
                    <w:rPr>
                      <w:color w:val="auto"/>
                      <w:sz w:val="21"/>
                      <w:szCs w:val="21"/>
                    </w:rPr>
                  </w:pPr>
                  <w:r>
                    <w:rPr>
                      <w:rFonts w:hint="eastAsia"/>
                      <w:color w:val="auto"/>
                      <w:sz w:val="21"/>
                      <w:szCs w:val="21"/>
                    </w:rPr>
                    <w:t>风机</w:t>
                  </w:r>
                </w:p>
              </w:tc>
              <w:tc>
                <w:tcPr>
                  <w:tcW w:w="396" w:type="dxa"/>
                  <w:vAlign w:val="center"/>
                </w:tcPr>
                <w:p w14:paraId="342145F6">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7B85CCA0">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5708034B">
                  <w:pPr>
                    <w:pStyle w:val="14"/>
                    <w:spacing w:before="0" w:after="0" w:line="240" w:lineRule="auto"/>
                    <w:ind w:right="0"/>
                    <w:jc w:val="center"/>
                    <w:rPr>
                      <w:color w:val="auto"/>
                      <w:szCs w:val="18"/>
                    </w:rPr>
                  </w:pPr>
                  <w:r>
                    <w:rPr>
                      <w:rFonts w:hint="eastAsia"/>
                      <w:color w:val="auto"/>
                      <w:szCs w:val="18"/>
                    </w:rPr>
                    <w:t>安装消声器</w:t>
                  </w:r>
                </w:p>
              </w:tc>
              <w:tc>
                <w:tcPr>
                  <w:tcW w:w="670" w:type="dxa"/>
                  <w:vAlign w:val="center"/>
                </w:tcPr>
                <w:p w14:paraId="6973471C">
                  <w:pPr>
                    <w:pStyle w:val="14"/>
                    <w:spacing w:before="0" w:after="0" w:line="240" w:lineRule="auto"/>
                    <w:ind w:right="0"/>
                    <w:jc w:val="center"/>
                    <w:rPr>
                      <w:color w:val="auto"/>
                      <w:szCs w:val="18"/>
                    </w:rPr>
                  </w:pPr>
                  <w:r>
                    <w:rPr>
                      <w:rFonts w:hint="eastAsia"/>
                      <w:color w:val="auto"/>
                      <w:szCs w:val="18"/>
                    </w:rPr>
                    <w:t>8.30</w:t>
                  </w:r>
                </w:p>
              </w:tc>
              <w:tc>
                <w:tcPr>
                  <w:tcW w:w="670" w:type="dxa"/>
                  <w:vAlign w:val="center"/>
                </w:tcPr>
                <w:p w14:paraId="067BE879">
                  <w:pPr>
                    <w:pStyle w:val="14"/>
                    <w:spacing w:before="0" w:after="0" w:line="240" w:lineRule="auto"/>
                    <w:ind w:right="0"/>
                    <w:jc w:val="center"/>
                    <w:rPr>
                      <w:color w:val="auto"/>
                      <w:szCs w:val="18"/>
                    </w:rPr>
                  </w:pPr>
                  <w:r>
                    <w:rPr>
                      <w:rFonts w:hint="eastAsia"/>
                      <w:color w:val="auto"/>
                      <w:szCs w:val="18"/>
                    </w:rPr>
                    <w:t>32.34</w:t>
                  </w:r>
                </w:p>
              </w:tc>
              <w:tc>
                <w:tcPr>
                  <w:tcW w:w="471" w:type="dxa"/>
                  <w:vAlign w:val="center"/>
                </w:tcPr>
                <w:p w14:paraId="5A9221A1">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3320F5C1">
                  <w:pPr>
                    <w:pStyle w:val="14"/>
                    <w:spacing w:before="0" w:after="0" w:line="240" w:lineRule="auto"/>
                    <w:ind w:right="0"/>
                    <w:jc w:val="center"/>
                    <w:rPr>
                      <w:color w:val="auto"/>
                      <w:szCs w:val="18"/>
                    </w:rPr>
                  </w:pPr>
                  <w:r>
                    <w:rPr>
                      <w:rFonts w:hint="eastAsia"/>
                      <w:color w:val="auto"/>
                      <w:szCs w:val="18"/>
                    </w:rPr>
                    <w:t>2.8</w:t>
                  </w:r>
                </w:p>
              </w:tc>
              <w:tc>
                <w:tcPr>
                  <w:tcW w:w="772" w:type="dxa"/>
                  <w:vAlign w:val="center"/>
                </w:tcPr>
                <w:p w14:paraId="1280C5E8">
                  <w:pPr>
                    <w:pStyle w:val="14"/>
                    <w:spacing w:before="0" w:after="0" w:line="240" w:lineRule="auto"/>
                    <w:ind w:right="0"/>
                    <w:jc w:val="center"/>
                    <w:rPr>
                      <w:color w:val="auto"/>
                      <w:szCs w:val="18"/>
                    </w:rPr>
                  </w:pPr>
                  <w:r>
                    <w:rPr>
                      <w:rFonts w:hint="eastAsia"/>
                      <w:color w:val="auto"/>
                      <w:szCs w:val="18"/>
                    </w:rPr>
                    <w:t>76.06</w:t>
                  </w:r>
                </w:p>
              </w:tc>
              <w:tc>
                <w:tcPr>
                  <w:tcW w:w="485" w:type="dxa"/>
                  <w:vAlign w:val="center"/>
                </w:tcPr>
                <w:p w14:paraId="7135121F">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1C051BFC">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0B0F5B9B">
                  <w:pPr>
                    <w:pStyle w:val="14"/>
                    <w:spacing w:before="0" w:after="0" w:line="240" w:lineRule="auto"/>
                    <w:ind w:right="0"/>
                    <w:jc w:val="center"/>
                    <w:rPr>
                      <w:color w:val="auto"/>
                      <w:szCs w:val="18"/>
                    </w:rPr>
                  </w:pPr>
                  <w:r>
                    <w:rPr>
                      <w:rFonts w:hint="eastAsia"/>
                      <w:color w:val="auto"/>
                      <w:szCs w:val="18"/>
                    </w:rPr>
                    <w:t>50.06</w:t>
                  </w:r>
                </w:p>
              </w:tc>
              <w:tc>
                <w:tcPr>
                  <w:tcW w:w="506" w:type="dxa"/>
                  <w:vAlign w:val="center"/>
                </w:tcPr>
                <w:p w14:paraId="673A009B">
                  <w:pPr>
                    <w:pStyle w:val="14"/>
                    <w:spacing w:before="0" w:after="0" w:line="240" w:lineRule="auto"/>
                    <w:ind w:right="0"/>
                    <w:jc w:val="center"/>
                    <w:rPr>
                      <w:color w:val="auto"/>
                      <w:szCs w:val="18"/>
                    </w:rPr>
                  </w:pPr>
                  <w:r>
                    <w:rPr>
                      <w:rFonts w:hint="eastAsia"/>
                      <w:color w:val="auto"/>
                      <w:szCs w:val="18"/>
                    </w:rPr>
                    <w:t>1</w:t>
                  </w:r>
                </w:p>
              </w:tc>
            </w:tr>
          </w:tbl>
          <w:p w14:paraId="30FA841E">
            <w:pPr>
              <w:pStyle w:val="14"/>
              <w:widowControl w:val="0"/>
              <w:snapToGrid/>
              <w:spacing w:after="0" w:line="360" w:lineRule="auto"/>
              <w:ind w:right="0" w:firstLine="482"/>
              <w:rPr>
                <w:color w:val="auto"/>
                <w:kern w:val="2"/>
                <w:sz w:val="24"/>
                <w:szCs w:val="22"/>
              </w:rPr>
            </w:pPr>
            <w:r>
              <w:rPr>
                <w:color w:val="auto"/>
                <w:kern w:val="2"/>
                <w:sz w:val="24"/>
                <w:szCs w:val="22"/>
              </w:rPr>
              <w:t>（3）厂界噪声排放达标情况</w:t>
            </w:r>
          </w:p>
          <w:p w14:paraId="15AB2DDF">
            <w:pPr>
              <w:pStyle w:val="14"/>
              <w:widowControl w:val="0"/>
              <w:snapToGrid/>
              <w:spacing w:after="0" w:line="360" w:lineRule="auto"/>
              <w:ind w:right="0" w:firstLine="482"/>
              <w:rPr>
                <w:color w:val="auto"/>
                <w:sz w:val="24"/>
              </w:rPr>
            </w:pPr>
            <w:r>
              <w:rPr>
                <w:color w:val="auto"/>
                <w:sz w:val="24"/>
              </w:rPr>
              <w:t>本次声环境影响评价使用“噪声环境评价系统（OnlineV4）”软件进行预测，计算得出项目主要噪声源厂界贡献值。</w:t>
            </w:r>
            <w:r>
              <w:rPr>
                <w:rFonts w:hint="eastAsia"/>
                <w:color w:val="auto"/>
                <w:sz w:val="24"/>
              </w:rPr>
              <w:t>该系统是根据《环境影响评价技术导则声环境》（HJ2.4-2021）构建，基于GIS的三维噪声影响评价系统。软件综合考虑预测区域内所有声源、遮蔽物、气象要素等在声传播过程的综合效应，最终给出符合导则的计算结果。</w:t>
            </w:r>
          </w:p>
          <w:p w14:paraId="630B759D">
            <w:pPr>
              <w:pStyle w:val="14"/>
              <w:widowControl w:val="0"/>
              <w:snapToGrid/>
              <w:spacing w:after="0" w:line="360" w:lineRule="auto"/>
              <w:ind w:right="0" w:firstLine="482"/>
              <w:rPr>
                <w:color w:val="auto"/>
                <w:sz w:val="24"/>
              </w:rPr>
            </w:pPr>
            <w:r>
              <w:rPr>
                <w:rFonts w:hint="eastAsia" w:ascii="宋体" w:hAnsi="宋体" w:cs="宋体"/>
                <w:color w:val="auto"/>
                <w:sz w:val="24"/>
              </w:rPr>
              <w:t>1）纳古卫生院厂界噪声达标情况</w:t>
            </w:r>
          </w:p>
          <w:p w14:paraId="49ABEB51">
            <w:pPr>
              <w:pStyle w:val="32"/>
              <w:ind w:firstLine="0" w:firstLineChars="0"/>
              <w:jc w:val="center"/>
              <w:rPr>
                <w:color w:val="auto"/>
              </w:rPr>
            </w:pPr>
            <w:r>
              <w:rPr>
                <w:color w:val="auto"/>
              </w:rPr>
              <w:drawing>
                <wp:inline distT="0" distB="0" distL="0" distR="0">
                  <wp:extent cx="4657725" cy="3324225"/>
                  <wp:effectExtent l="0" t="0" r="0" b="0"/>
                  <wp:docPr id="1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657725" cy="3324225"/>
                          </a:xfrm>
                          <a:prstGeom prst="rect">
                            <a:avLst/>
                          </a:prstGeom>
                          <a:noFill/>
                          <a:ln>
                            <a:noFill/>
                          </a:ln>
                        </pic:spPr>
                      </pic:pic>
                    </a:graphicData>
                  </a:graphic>
                </wp:inline>
              </w:drawing>
            </w:r>
            <w:r>
              <w:rPr>
                <w:color w:val="auto"/>
              </w:rPr>
              <mc:AlternateContent>
                <mc:Choice Requires="wps">
                  <w:drawing>
                    <wp:anchor distT="0" distB="0" distL="114300" distR="114300" simplePos="0" relativeHeight="251662336" behindDoc="0" locked="0" layoutInCell="1" allowOverlap="1">
                      <wp:simplePos x="0" y="0"/>
                      <wp:positionH relativeFrom="column">
                        <wp:posOffset>1056005</wp:posOffset>
                      </wp:positionH>
                      <wp:positionV relativeFrom="paragraph">
                        <wp:posOffset>314960</wp:posOffset>
                      </wp:positionV>
                      <wp:extent cx="2771775" cy="3905250"/>
                      <wp:effectExtent l="0" t="3175" r="2540" b="0"/>
                      <wp:wrapNone/>
                      <wp:docPr id="1330920540" name="任意多边形 18"/>
                      <wp:cNvGraphicFramePr/>
                      <a:graphic xmlns:a="http://schemas.openxmlformats.org/drawingml/2006/main">
                        <a:graphicData uri="http://schemas.microsoft.com/office/word/2010/wordprocessingShape">
                          <wps:wsp>
                            <wps:cNvSpPr>
                              <a:spLocks noChangeArrowheads="1"/>
                            </wps:cNvSpPr>
                            <wps:spPr bwMode="auto">
                              <a:xfrm>
                                <a:off x="0" y="0"/>
                                <a:ext cx="2771775" cy="3905250"/>
                              </a:xfrm>
                              <a:custGeom>
                                <a:avLst/>
                                <a:gdLst>
                                  <a:gd name="T0" fmla="*/ 4155 w 4365"/>
                                  <a:gd name="T1" fmla="*/ 1380 h 6150"/>
                                  <a:gd name="T2" fmla="*/ 4365 w 4365"/>
                                  <a:gd name="T3" fmla="*/ 1890 h 6150"/>
                                  <a:gd name="T4" fmla="*/ 4200 w 4365"/>
                                  <a:gd name="T5" fmla="*/ 2130 h 6150"/>
                                  <a:gd name="T6" fmla="*/ 3855 w 4365"/>
                                  <a:gd name="T7" fmla="*/ 2280 h 6150"/>
                                  <a:gd name="T8" fmla="*/ 3495 w 4365"/>
                                  <a:gd name="T9" fmla="*/ 2715 h 6150"/>
                                  <a:gd name="T10" fmla="*/ 3150 w 4365"/>
                                  <a:gd name="T11" fmla="*/ 2670 h 6150"/>
                                  <a:gd name="T12" fmla="*/ 3000 w 4365"/>
                                  <a:gd name="T13" fmla="*/ 2775 h 6150"/>
                                  <a:gd name="T14" fmla="*/ 2865 w 4365"/>
                                  <a:gd name="T15" fmla="*/ 2700 h 6150"/>
                                  <a:gd name="T16" fmla="*/ 2535 w 4365"/>
                                  <a:gd name="T17" fmla="*/ 2940 h 6150"/>
                                  <a:gd name="T18" fmla="*/ 2640 w 4365"/>
                                  <a:gd name="T19" fmla="*/ 3120 h 6150"/>
                                  <a:gd name="T20" fmla="*/ 2520 w 4365"/>
                                  <a:gd name="T21" fmla="*/ 3300 h 6150"/>
                                  <a:gd name="T22" fmla="*/ 2550 w 4365"/>
                                  <a:gd name="T23" fmla="*/ 3525 h 6150"/>
                                  <a:gd name="T24" fmla="*/ 2475 w 4365"/>
                                  <a:gd name="T25" fmla="*/ 3705 h 6150"/>
                                  <a:gd name="T26" fmla="*/ 2565 w 4365"/>
                                  <a:gd name="T27" fmla="*/ 3930 h 6150"/>
                                  <a:gd name="T28" fmla="*/ 2520 w 4365"/>
                                  <a:gd name="T29" fmla="*/ 4155 h 6150"/>
                                  <a:gd name="T30" fmla="*/ 2700 w 4365"/>
                                  <a:gd name="T31" fmla="*/ 4350 h 6150"/>
                                  <a:gd name="T32" fmla="*/ 2505 w 4365"/>
                                  <a:gd name="T33" fmla="*/ 4545 h 6150"/>
                                  <a:gd name="T34" fmla="*/ 2535 w 4365"/>
                                  <a:gd name="T35" fmla="*/ 5415 h 6150"/>
                                  <a:gd name="T36" fmla="*/ 3135 w 4365"/>
                                  <a:gd name="T37" fmla="*/ 5850 h 6150"/>
                                  <a:gd name="T38" fmla="*/ 3285 w 4365"/>
                                  <a:gd name="T39" fmla="*/ 6150 h 6150"/>
                                  <a:gd name="T40" fmla="*/ 2970 w 4365"/>
                                  <a:gd name="T41" fmla="*/ 5880 h 6150"/>
                                  <a:gd name="T42" fmla="*/ 2295 w 4365"/>
                                  <a:gd name="T43" fmla="*/ 5565 h 6150"/>
                                  <a:gd name="T44" fmla="*/ 1875 w 4365"/>
                                  <a:gd name="T45" fmla="*/ 4815 h 6150"/>
                                  <a:gd name="T46" fmla="*/ 1155 w 4365"/>
                                  <a:gd name="T47" fmla="*/ 4155 h 6150"/>
                                  <a:gd name="T48" fmla="*/ 585 w 4365"/>
                                  <a:gd name="T49" fmla="*/ 3675 h 6150"/>
                                  <a:gd name="T50" fmla="*/ 390 w 4365"/>
                                  <a:gd name="T51" fmla="*/ 3015 h 6150"/>
                                  <a:gd name="T52" fmla="*/ 15 w 4365"/>
                                  <a:gd name="T53" fmla="*/ 2400 h 6150"/>
                                  <a:gd name="T54" fmla="*/ 45 w 4365"/>
                                  <a:gd name="T55" fmla="*/ 1950 h 6150"/>
                                  <a:gd name="T56" fmla="*/ 120 w 4365"/>
                                  <a:gd name="T57" fmla="*/ 1800 h 6150"/>
                                  <a:gd name="T58" fmla="*/ 0 w 4365"/>
                                  <a:gd name="T59" fmla="*/ 1710 h 6150"/>
                                  <a:gd name="T60" fmla="*/ 15 w 4365"/>
                                  <a:gd name="T61" fmla="*/ 1515 h 6150"/>
                                  <a:gd name="T62" fmla="*/ 300 w 4365"/>
                                  <a:gd name="T63" fmla="*/ 1485 h 6150"/>
                                  <a:gd name="T64" fmla="*/ 540 w 4365"/>
                                  <a:gd name="T65" fmla="*/ 945 h 6150"/>
                                  <a:gd name="T66" fmla="*/ 465 w 4365"/>
                                  <a:gd name="T67" fmla="*/ 795 h 6150"/>
                                  <a:gd name="T68" fmla="*/ 240 w 4365"/>
                                  <a:gd name="T69" fmla="*/ 285 h 6150"/>
                                  <a:gd name="T70" fmla="*/ 285 w 4365"/>
                                  <a:gd name="T71" fmla="*/ 0 h 6150"/>
                                  <a:gd name="T72" fmla="*/ 1020 w 4365"/>
                                  <a:gd name="T73" fmla="*/ 675 h 6150"/>
                                  <a:gd name="T74" fmla="*/ 885 w 4365"/>
                                  <a:gd name="T75" fmla="*/ 945 h 6150"/>
                                  <a:gd name="T76" fmla="*/ 1260 w 4365"/>
                                  <a:gd name="T77" fmla="*/ 1350 h 6150"/>
                                  <a:gd name="T78" fmla="*/ 1545 w 4365"/>
                                  <a:gd name="T79" fmla="*/ 1500 h 6150"/>
                                  <a:gd name="T80" fmla="*/ 1740 w 4365"/>
                                  <a:gd name="T81" fmla="*/ 1650 h 6150"/>
                                  <a:gd name="T82" fmla="*/ 2325 w 4365"/>
                                  <a:gd name="T83" fmla="*/ 1785 h 6150"/>
                                  <a:gd name="T84" fmla="*/ 3330 w 4365"/>
                                  <a:gd name="T85" fmla="*/ 1635 h 6150"/>
                                  <a:gd name="T86" fmla="*/ 3675 w 4365"/>
                                  <a:gd name="T87" fmla="*/ 1590 h 6150"/>
                                  <a:gd name="T88" fmla="*/ 4155 w 4365"/>
                                  <a:gd name="T89" fmla="*/ 1380 h 6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65" h="6150">
                                    <a:moveTo>
                                      <a:pt x="4155" y="1380"/>
                                    </a:moveTo>
                                    <a:lnTo>
                                      <a:pt x="4365" y="1890"/>
                                    </a:lnTo>
                                    <a:lnTo>
                                      <a:pt x="4200" y="2130"/>
                                    </a:lnTo>
                                    <a:lnTo>
                                      <a:pt x="3855" y="2280"/>
                                    </a:lnTo>
                                    <a:lnTo>
                                      <a:pt x="3495" y="2715"/>
                                    </a:lnTo>
                                    <a:lnTo>
                                      <a:pt x="3150" y="2670"/>
                                    </a:lnTo>
                                    <a:lnTo>
                                      <a:pt x="3000" y="2775"/>
                                    </a:lnTo>
                                    <a:lnTo>
                                      <a:pt x="2865" y="2700"/>
                                    </a:lnTo>
                                    <a:lnTo>
                                      <a:pt x="2535" y="2940"/>
                                    </a:lnTo>
                                    <a:lnTo>
                                      <a:pt x="2640" y="3120"/>
                                    </a:lnTo>
                                    <a:lnTo>
                                      <a:pt x="2520" y="3300"/>
                                    </a:lnTo>
                                    <a:lnTo>
                                      <a:pt x="2550" y="3525"/>
                                    </a:lnTo>
                                    <a:lnTo>
                                      <a:pt x="2475" y="3705"/>
                                    </a:lnTo>
                                    <a:lnTo>
                                      <a:pt x="2565" y="3930"/>
                                    </a:lnTo>
                                    <a:lnTo>
                                      <a:pt x="2520" y="4155"/>
                                    </a:lnTo>
                                    <a:lnTo>
                                      <a:pt x="2700" y="4350"/>
                                    </a:lnTo>
                                    <a:lnTo>
                                      <a:pt x="2505" y="4545"/>
                                    </a:lnTo>
                                    <a:lnTo>
                                      <a:pt x="2535" y="5415"/>
                                    </a:lnTo>
                                    <a:lnTo>
                                      <a:pt x="3135" y="5850"/>
                                    </a:lnTo>
                                    <a:lnTo>
                                      <a:pt x="3285" y="6150"/>
                                    </a:lnTo>
                                    <a:lnTo>
                                      <a:pt x="2970" y="5880"/>
                                    </a:lnTo>
                                    <a:lnTo>
                                      <a:pt x="2295" y="5565"/>
                                    </a:lnTo>
                                    <a:lnTo>
                                      <a:pt x="1875" y="4815"/>
                                    </a:lnTo>
                                    <a:lnTo>
                                      <a:pt x="1155" y="4155"/>
                                    </a:lnTo>
                                    <a:lnTo>
                                      <a:pt x="585" y="3675"/>
                                    </a:lnTo>
                                    <a:lnTo>
                                      <a:pt x="390" y="3015"/>
                                    </a:lnTo>
                                    <a:lnTo>
                                      <a:pt x="15" y="2400"/>
                                    </a:lnTo>
                                    <a:lnTo>
                                      <a:pt x="45" y="1950"/>
                                    </a:lnTo>
                                    <a:lnTo>
                                      <a:pt x="120" y="1800"/>
                                    </a:lnTo>
                                    <a:lnTo>
                                      <a:pt x="0" y="1710"/>
                                    </a:lnTo>
                                    <a:lnTo>
                                      <a:pt x="15" y="1515"/>
                                    </a:lnTo>
                                    <a:lnTo>
                                      <a:pt x="300" y="1485"/>
                                    </a:lnTo>
                                    <a:lnTo>
                                      <a:pt x="540" y="945"/>
                                    </a:lnTo>
                                    <a:lnTo>
                                      <a:pt x="465" y="795"/>
                                    </a:lnTo>
                                    <a:lnTo>
                                      <a:pt x="240" y="285"/>
                                    </a:lnTo>
                                    <a:lnTo>
                                      <a:pt x="285" y="0"/>
                                    </a:lnTo>
                                    <a:lnTo>
                                      <a:pt x="1020" y="675"/>
                                    </a:lnTo>
                                    <a:lnTo>
                                      <a:pt x="885" y="945"/>
                                    </a:lnTo>
                                    <a:lnTo>
                                      <a:pt x="1260" y="1350"/>
                                    </a:lnTo>
                                    <a:lnTo>
                                      <a:pt x="1545" y="1500"/>
                                    </a:lnTo>
                                    <a:lnTo>
                                      <a:pt x="1740" y="1650"/>
                                    </a:lnTo>
                                    <a:lnTo>
                                      <a:pt x="2325" y="1785"/>
                                    </a:lnTo>
                                    <a:lnTo>
                                      <a:pt x="3330" y="1635"/>
                                    </a:lnTo>
                                    <a:lnTo>
                                      <a:pt x="3675" y="1590"/>
                                    </a:lnTo>
                                    <a:lnTo>
                                      <a:pt x="4155" y="1380"/>
                                    </a:lnTo>
                                    <a:close/>
                                  </a:path>
                                </a:pathLst>
                              </a:custGeom>
                              <a:noFill/>
                              <a:ln>
                                <a:noFill/>
                              </a:ln>
                            </wps:spPr>
                            <wps:bodyPr rot="0" vert="horz" wrap="square" lIns="91440" tIns="45720" rIns="91440" bIns="45720" anchor="t" anchorCtr="0" upright="1">
                              <a:noAutofit/>
                            </wps:bodyPr>
                          </wps:wsp>
                        </a:graphicData>
                      </a:graphic>
                    </wp:anchor>
                  </w:drawing>
                </mc:Choice>
                <mc:Fallback>
                  <w:pict>
                    <v:shape id="任意多边形 18" o:spid="_x0000_s1026" o:spt="100" style="position:absolute;left:0pt;margin-left:83.15pt;margin-top:24.8pt;height:307.5pt;width:218.25pt;z-index:251662336;mso-width-relative:page;mso-height-relative:page;" filled="f" stroked="f" coordsize="4365,6150" o:gfxdata="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Cu7NL41wAAAAoB&#10;AAAPAAAAAAAAAAEAIAAAACIAAABkcnMvZG93bnJldi54bWxQSwECFAAUAAAACACHTuJANLCOaa0H&#10;AAANIgAADgAAAAAAAAABACAAAAAmAQAAZHJzL2Uyb0RvYy54bWxQSwUGAAAAAAYABgBZAQAARQsA&#10;AAAA&#10;" path="m4155,1380l4365,1890,4200,2130,3855,2280,3495,2715,3150,2670,3000,2775,2865,2700,2535,2940,2640,3120,2520,3300,2550,3525,2475,3705,2565,3930,2520,4155,2700,4350,2505,4545,2535,5415,3135,5850,3285,6150,2970,5880,2295,5565,1875,4815,1155,4155,585,3675,390,3015,15,2400,45,1950,120,1800,0,1710,15,1515,300,1485,540,945,465,795,240,285,285,0,1020,675,885,945,1260,1350,1545,1500,1740,1650,2325,1785,3330,1635,3675,1590,4155,1380xe">
                      <v:path o:connectlocs="2638425,876300;2771775,1200150;2667000,1352550;2447925,1447800;2219325,1724025;2000250,1695450;1905000,1762125;1819275,1714500;1609725,1866900;1676400,1981200;1600200,2095500;1619250,2238375;1571625,2352675;1628775,2495550;1600200,2638425;1714500,2762250;1590675,2886075;1609725,3438525;1990725,3714750;2085975,3905250;1885950,3733800;1457325,3533775;1190625,3057525;733425,2638425;371475,2333625;247650,1914525;9525,1524000;28575,1238250;76200,1143000;0,1085850;9525,962025;190500,942975;342900,600075;295275,504825;152400,180975;180975,0;647700,428625;561975,600075;800100,857250;981075,952500;1104900,1047750;1476375,1133475;2114550,1038225;2333625,1009650;2638425,876300" o:connectangles="0,0,0,0,0,0,0,0,0,0,0,0,0,0,0,0,0,0,0,0,0,0,0,0,0,0,0,0,0,0,0,0,0,0,0,0,0,0,0,0,0,0,0,0,0"/>
                      <v:fill on="f" focussize="0,0"/>
                      <v:stroke on="f"/>
                      <v:imagedata o:title=""/>
                      <o:lock v:ext="edit" aspectratio="f"/>
                    </v:shape>
                  </w:pict>
                </mc:Fallback>
              </mc:AlternateContent>
            </w:r>
            <w:r>
              <w:rPr>
                <w:color w:val="auto"/>
              </w:rPr>
              <mc:AlternateContent>
                <mc:Choice Requires="wps">
                  <w:drawing>
                    <wp:anchor distT="0" distB="0" distL="114300" distR="114300" simplePos="0" relativeHeight="251661312" behindDoc="0" locked="0" layoutInCell="1" allowOverlap="1">
                      <wp:simplePos x="0" y="0"/>
                      <wp:positionH relativeFrom="column">
                        <wp:posOffset>1027430</wp:posOffset>
                      </wp:positionH>
                      <wp:positionV relativeFrom="paragraph">
                        <wp:posOffset>295910</wp:posOffset>
                      </wp:positionV>
                      <wp:extent cx="2790825" cy="3924300"/>
                      <wp:effectExtent l="0" t="3175" r="2540" b="0"/>
                      <wp:wrapNone/>
                      <wp:docPr id="871920666" name="任意多边形 19"/>
                      <wp:cNvGraphicFramePr/>
                      <a:graphic xmlns:a="http://schemas.openxmlformats.org/drawingml/2006/main">
                        <a:graphicData uri="http://schemas.microsoft.com/office/word/2010/wordprocessingShape">
                          <wps:wsp>
                            <wps:cNvSpPr/>
                            <wps:spPr bwMode="auto">
                              <a:xfrm>
                                <a:off x="0" y="0"/>
                                <a:ext cx="2790825" cy="3924300"/>
                              </a:xfrm>
                              <a:custGeom>
                                <a:avLst/>
                                <a:gdLst>
                                  <a:gd name="T0" fmla="*/ 4230 w 4395"/>
                                  <a:gd name="T1" fmla="*/ 1425 h 6180"/>
                                  <a:gd name="T2" fmla="*/ 4395 w 4395"/>
                                  <a:gd name="T3" fmla="*/ 1860 h 6180"/>
                                  <a:gd name="T4" fmla="*/ 4230 w 4395"/>
                                  <a:gd name="T5" fmla="*/ 2055 h 6180"/>
                                  <a:gd name="T6" fmla="*/ 3990 w 4395"/>
                                  <a:gd name="T7" fmla="*/ 2310 h 6180"/>
                                  <a:gd name="T8" fmla="*/ 3525 w 4395"/>
                                  <a:gd name="T9" fmla="*/ 2730 h 6180"/>
                                  <a:gd name="T10" fmla="*/ 3195 w 4395"/>
                                  <a:gd name="T11" fmla="*/ 2730 h 6180"/>
                                  <a:gd name="T12" fmla="*/ 3060 w 4395"/>
                                  <a:gd name="T13" fmla="*/ 2850 h 6180"/>
                                  <a:gd name="T14" fmla="*/ 2910 w 4395"/>
                                  <a:gd name="T15" fmla="*/ 2760 h 6180"/>
                                  <a:gd name="T16" fmla="*/ 2535 w 4395"/>
                                  <a:gd name="T17" fmla="*/ 3015 h 6180"/>
                                  <a:gd name="T18" fmla="*/ 2745 w 4395"/>
                                  <a:gd name="T19" fmla="*/ 3105 h 6180"/>
                                  <a:gd name="T20" fmla="*/ 2730 w 4395"/>
                                  <a:gd name="T21" fmla="*/ 3450 h 6180"/>
                                  <a:gd name="T22" fmla="*/ 2535 w 4395"/>
                                  <a:gd name="T23" fmla="*/ 3840 h 6180"/>
                                  <a:gd name="T24" fmla="*/ 2610 w 4395"/>
                                  <a:gd name="T25" fmla="*/ 4050 h 6180"/>
                                  <a:gd name="T26" fmla="*/ 2610 w 4395"/>
                                  <a:gd name="T27" fmla="*/ 4230 h 6180"/>
                                  <a:gd name="T28" fmla="*/ 2760 w 4395"/>
                                  <a:gd name="T29" fmla="*/ 4380 h 6180"/>
                                  <a:gd name="T30" fmla="*/ 2535 w 4395"/>
                                  <a:gd name="T31" fmla="*/ 4590 h 6180"/>
                                  <a:gd name="T32" fmla="*/ 2610 w 4395"/>
                                  <a:gd name="T33" fmla="*/ 5415 h 6180"/>
                                  <a:gd name="T34" fmla="*/ 3315 w 4395"/>
                                  <a:gd name="T35" fmla="*/ 6030 h 6180"/>
                                  <a:gd name="T36" fmla="*/ 3315 w 4395"/>
                                  <a:gd name="T37" fmla="*/ 6180 h 6180"/>
                                  <a:gd name="T38" fmla="*/ 3030 w 4395"/>
                                  <a:gd name="T39" fmla="*/ 5910 h 6180"/>
                                  <a:gd name="T40" fmla="*/ 2460 w 4395"/>
                                  <a:gd name="T41" fmla="*/ 5595 h 6180"/>
                                  <a:gd name="T42" fmla="*/ 1935 w 4395"/>
                                  <a:gd name="T43" fmla="*/ 4845 h 6180"/>
                                  <a:gd name="T44" fmla="*/ 1155 w 4395"/>
                                  <a:gd name="T45" fmla="*/ 4170 h 6180"/>
                                  <a:gd name="T46" fmla="*/ 660 w 4395"/>
                                  <a:gd name="T47" fmla="*/ 3735 h 6180"/>
                                  <a:gd name="T48" fmla="*/ 420 w 4395"/>
                                  <a:gd name="T49" fmla="*/ 3015 h 6180"/>
                                  <a:gd name="T50" fmla="*/ 90 w 4395"/>
                                  <a:gd name="T51" fmla="*/ 2445 h 6180"/>
                                  <a:gd name="T52" fmla="*/ 135 w 4395"/>
                                  <a:gd name="T53" fmla="*/ 1980 h 6180"/>
                                  <a:gd name="T54" fmla="*/ 150 w 4395"/>
                                  <a:gd name="T55" fmla="*/ 1860 h 6180"/>
                                  <a:gd name="T56" fmla="*/ 0 w 4395"/>
                                  <a:gd name="T57" fmla="*/ 1770 h 6180"/>
                                  <a:gd name="T58" fmla="*/ 30 w 4395"/>
                                  <a:gd name="T59" fmla="*/ 1590 h 6180"/>
                                  <a:gd name="T60" fmla="*/ 375 w 4395"/>
                                  <a:gd name="T61" fmla="*/ 1500 h 6180"/>
                                  <a:gd name="T62" fmla="*/ 585 w 4395"/>
                                  <a:gd name="T63" fmla="*/ 1050 h 6180"/>
                                  <a:gd name="T64" fmla="*/ 495 w 4395"/>
                                  <a:gd name="T65" fmla="*/ 900 h 6180"/>
                                  <a:gd name="T66" fmla="*/ 435 w 4395"/>
                                  <a:gd name="T67" fmla="*/ 690 h 6180"/>
                                  <a:gd name="T68" fmla="*/ 300 w 4395"/>
                                  <a:gd name="T69" fmla="*/ 240 h 6180"/>
                                  <a:gd name="T70" fmla="*/ 330 w 4395"/>
                                  <a:gd name="T71" fmla="*/ 0 h 6180"/>
                                  <a:gd name="T72" fmla="*/ 1080 w 4395"/>
                                  <a:gd name="T73" fmla="*/ 705 h 6180"/>
                                  <a:gd name="T74" fmla="*/ 930 w 4395"/>
                                  <a:gd name="T75" fmla="*/ 870 h 6180"/>
                                  <a:gd name="T76" fmla="*/ 1305 w 4395"/>
                                  <a:gd name="T77" fmla="*/ 1395 h 6180"/>
                                  <a:gd name="T78" fmla="*/ 1635 w 4395"/>
                                  <a:gd name="T79" fmla="*/ 1515 h 6180"/>
                                  <a:gd name="T80" fmla="*/ 1650 w 4395"/>
                                  <a:gd name="T81" fmla="*/ 1680 h 6180"/>
                                  <a:gd name="T82" fmla="*/ 2160 w 4395"/>
                                  <a:gd name="T83" fmla="*/ 1800 h 6180"/>
                                  <a:gd name="T84" fmla="*/ 2970 w 4395"/>
                                  <a:gd name="T85" fmla="*/ 1710 h 6180"/>
                                  <a:gd name="T86" fmla="*/ 3720 w 4395"/>
                                  <a:gd name="T87" fmla="*/ 1650 h 6180"/>
                                  <a:gd name="T88" fmla="*/ 4140 w 4395"/>
                                  <a:gd name="T89" fmla="*/ 1440 h 6180"/>
                                  <a:gd name="T90" fmla="*/ 4125 w 4395"/>
                                  <a:gd name="T91" fmla="*/ 1470 h 6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95" h="6180">
                                    <a:moveTo>
                                      <a:pt x="4230" y="1425"/>
                                    </a:moveTo>
                                    <a:lnTo>
                                      <a:pt x="4395" y="1860"/>
                                    </a:lnTo>
                                    <a:lnTo>
                                      <a:pt x="4230" y="2055"/>
                                    </a:lnTo>
                                    <a:lnTo>
                                      <a:pt x="3990" y="2310"/>
                                    </a:lnTo>
                                    <a:lnTo>
                                      <a:pt x="3525" y="2730"/>
                                    </a:lnTo>
                                    <a:lnTo>
                                      <a:pt x="3195" y="2730"/>
                                    </a:lnTo>
                                    <a:lnTo>
                                      <a:pt x="3060" y="2850"/>
                                    </a:lnTo>
                                    <a:lnTo>
                                      <a:pt x="2910" y="2760"/>
                                    </a:lnTo>
                                    <a:lnTo>
                                      <a:pt x="2535" y="3015"/>
                                    </a:lnTo>
                                    <a:lnTo>
                                      <a:pt x="2745" y="3105"/>
                                    </a:lnTo>
                                    <a:lnTo>
                                      <a:pt x="2730" y="3450"/>
                                    </a:lnTo>
                                    <a:lnTo>
                                      <a:pt x="2535" y="3840"/>
                                    </a:lnTo>
                                    <a:lnTo>
                                      <a:pt x="2610" y="4050"/>
                                    </a:lnTo>
                                    <a:lnTo>
                                      <a:pt x="2610" y="4230"/>
                                    </a:lnTo>
                                    <a:lnTo>
                                      <a:pt x="2760" y="4380"/>
                                    </a:lnTo>
                                    <a:lnTo>
                                      <a:pt x="2535" y="4590"/>
                                    </a:lnTo>
                                    <a:lnTo>
                                      <a:pt x="2610" y="5415"/>
                                    </a:lnTo>
                                    <a:lnTo>
                                      <a:pt x="3315" y="6030"/>
                                    </a:lnTo>
                                    <a:lnTo>
                                      <a:pt x="3315" y="6180"/>
                                    </a:lnTo>
                                    <a:lnTo>
                                      <a:pt x="3030" y="5910"/>
                                    </a:lnTo>
                                    <a:lnTo>
                                      <a:pt x="2460" y="5595"/>
                                    </a:lnTo>
                                    <a:lnTo>
                                      <a:pt x="1935" y="4845"/>
                                    </a:lnTo>
                                    <a:lnTo>
                                      <a:pt x="1155" y="4170"/>
                                    </a:lnTo>
                                    <a:lnTo>
                                      <a:pt x="660" y="3735"/>
                                    </a:lnTo>
                                    <a:lnTo>
                                      <a:pt x="420" y="3015"/>
                                    </a:lnTo>
                                    <a:lnTo>
                                      <a:pt x="90" y="2445"/>
                                    </a:lnTo>
                                    <a:lnTo>
                                      <a:pt x="135" y="1980"/>
                                    </a:lnTo>
                                    <a:lnTo>
                                      <a:pt x="150" y="1860"/>
                                    </a:lnTo>
                                    <a:lnTo>
                                      <a:pt x="0" y="1770"/>
                                    </a:lnTo>
                                    <a:lnTo>
                                      <a:pt x="30" y="1590"/>
                                    </a:lnTo>
                                    <a:lnTo>
                                      <a:pt x="375" y="1500"/>
                                    </a:lnTo>
                                    <a:lnTo>
                                      <a:pt x="585" y="1050"/>
                                    </a:lnTo>
                                    <a:lnTo>
                                      <a:pt x="495" y="900"/>
                                    </a:lnTo>
                                    <a:lnTo>
                                      <a:pt x="435" y="690"/>
                                    </a:lnTo>
                                    <a:lnTo>
                                      <a:pt x="300" y="240"/>
                                    </a:lnTo>
                                    <a:lnTo>
                                      <a:pt x="330" y="0"/>
                                    </a:lnTo>
                                    <a:lnTo>
                                      <a:pt x="1080" y="705"/>
                                    </a:lnTo>
                                    <a:lnTo>
                                      <a:pt x="930" y="870"/>
                                    </a:lnTo>
                                    <a:lnTo>
                                      <a:pt x="1305" y="1395"/>
                                    </a:lnTo>
                                    <a:lnTo>
                                      <a:pt x="1635" y="1515"/>
                                    </a:lnTo>
                                    <a:lnTo>
                                      <a:pt x="1650" y="1680"/>
                                    </a:lnTo>
                                    <a:lnTo>
                                      <a:pt x="2160" y="1800"/>
                                    </a:lnTo>
                                    <a:lnTo>
                                      <a:pt x="2970" y="1710"/>
                                    </a:lnTo>
                                    <a:lnTo>
                                      <a:pt x="3720" y="1650"/>
                                    </a:lnTo>
                                    <a:lnTo>
                                      <a:pt x="4140" y="1440"/>
                                    </a:lnTo>
                                    <a:lnTo>
                                      <a:pt x="4125" y="1470"/>
                                    </a:lnTo>
                                  </a:path>
                                </a:pathLst>
                              </a:custGeom>
                              <a:noFill/>
                              <a:ln>
                                <a:noFill/>
                              </a:ln>
                            </wps:spPr>
                            <wps:bodyPr rot="0" vert="horz" wrap="square" lIns="91440" tIns="45720" rIns="91440" bIns="45720" anchor="t" anchorCtr="0" upright="1">
                              <a:noAutofit/>
                            </wps:bodyPr>
                          </wps:wsp>
                        </a:graphicData>
                      </a:graphic>
                    </wp:anchor>
                  </w:drawing>
                </mc:Choice>
                <mc:Fallback>
                  <w:pict>
                    <v:shape id="任意多边形 19" o:spid="_x0000_s1026" o:spt="100" style="position:absolute;left:0pt;margin-left:80.9pt;margin-top:23.3pt;height:309pt;width:219.75pt;z-index:251661312;mso-width-relative:page;mso-height-relative:page;" filled="f" stroked="f" coordsize="4395,6180" o:gfxdata="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3Q7c/NcAAAAKAQAADwAAAAAAAAABACAAAAAiAAAAZHJzL2Rvd25yZXYueG1sUEsBAhQA&#10;FAAAAAgAh07iQCWOJGCEBwAAeyIAAA4AAAAAAAAAAQAgAAAAJgEAAGRycy9lMm9Eb2MueG1sUEsF&#10;BgAAAAAGAAYAWQEAABwLAAAAAA==&#10;" path="m4230,1425l4395,1860,4230,2055,3990,2310,3525,2730,3195,2730,3060,2850,2910,2760,2535,3015,2745,3105,2730,3450,2535,3840,2610,4050,2610,4230,2760,4380,2535,4590,2610,5415,3315,6030,3315,6180,3030,5910,2460,5595,1935,4845,1155,4170,660,3735,420,3015,90,2445,135,1980,150,1860,0,1770,30,1590,375,1500,585,1050,495,900,435,690,300,240,330,0,1080,705,930,870,1305,1395,1635,1515,1650,1680,2160,1800,2970,1710,3720,1650,4140,1440,4125,1470e">
                      <v:path o:connectlocs="2686050,904875;2790825,1181100;2686050,1304925;2533650,1466850;2238375,1733550;2028825,1733550;1943100,1809750;1847850,1752600;1609725,1914525;1743075,1971675;1733550,2190750;1609725,2438400;1657350,2571750;1657350,2686050;1752600,2781300;1609725,2914650;1657350,3438525;2105025,3829050;2105025,3924300;1924050,3752850;1562100,3552825;1228725,3076575;733425,2647950;419100,2371725;266700,1914525;57150,1552575;85725,1257300;95250,1181100;0,1123950;19050,1009650;238125,952500;371475,666750;314325,571500;276225,438150;190500,152400;209550,0;685800,447675;590550,552450;828675,885825;1038225,962025;1047750,1066800;1371600,1143000;1885950,1085850;2362200,1047750;2628900,914400;2619375,933450" o:connectangles="0,0,0,0,0,0,0,0,0,0,0,0,0,0,0,0,0,0,0,0,0,0,0,0,0,0,0,0,0,0,0,0,0,0,0,0,0,0,0,0,0,0,0,0,0,0"/>
                      <v:fill on="f" focussize="0,0"/>
                      <v:stroke on="f"/>
                      <v:imagedata o:title=""/>
                      <o:lock v:ext="edit" aspectratio="f"/>
                    </v:shape>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column">
                        <wp:posOffset>998855</wp:posOffset>
                      </wp:positionH>
                      <wp:positionV relativeFrom="paragraph">
                        <wp:posOffset>343535</wp:posOffset>
                      </wp:positionV>
                      <wp:extent cx="2838450" cy="3914775"/>
                      <wp:effectExtent l="0" t="3175" r="2540" b="0"/>
                      <wp:wrapNone/>
                      <wp:docPr id="31881859" name="任意多边形 20"/>
                      <wp:cNvGraphicFramePr/>
                      <a:graphic xmlns:a="http://schemas.openxmlformats.org/drawingml/2006/main">
                        <a:graphicData uri="http://schemas.microsoft.com/office/word/2010/wordprocessingShape">
                          <wps:wsp>
                            <wps:cNvSpPr>
                              <a:spLocks noChangeArrowheads="1"/>
                            </wps:cNvSpPr>
                            <wps:spPr bwMode="auto">
                              <a:xfrm>
                                <a:off x="0" y="0"/>
                                <a:ext cx="2838450" cy="3914775"/>
                              </a:xfrm>
                              <a:custGeom>
                                <a:avLst/>
                                <a:gdLst>
                                  <a:gd name="T0" fmla="*/ 4245 w 4470"/>
                                  <a:gd name="T1" fmla="*/ 1335 h 6165"/>
                                  <a:gd name="T2" fmla="*/ 4470 w 4470"/>
                                  <a:gd name="T3" fmla="*/ 1815 h 6165"/>
                                  <a:gd name="T4" fmla="*/ 4290 w 4470"/>
                                  <a:gd name="T5" fmla="*/ 2085 h 6165"/>
                                  <a:gd name="T6" fmla="*/ 3975 w 4470"/>
                                  <a:gd name="T7" fmla="*/ 2235 h 6165"/>
                                  <a:gd name="T8" fmla="*/ 3570 w 4470"/>
                                  <a:gd name="T9" fmla="*/ 2640 h 6165"/>
                                  <a:gd name="T10" fmla="*/ 3225 w 4470"/>
                                  <a:gd name="T11" fmla="*/ 2610 h 6165"/>
                                  <a:gd name="T12" fmla="*/ 3090 w 4470"/>
                                  <a:gd name="T13" fmla="*/ 2730 h 6165"/>
                                  <a:gd name="T14" fmla="*/ 2925 w 4470"/>
                                  <a:gd name="T15" fmla="*/ 2700 h 6165"/>
                                  <a:gd name="T16" fmla="*/ 2670 w 4470"/>
                                  <a:gd name="T17" fmla="*/ 2910 h 6165"/>
                                  <a:gd name="T18" fmla="*/ 2760 w 4470"/>
                                  <a:gd name="T19" fmla="*/ 3030 h 6165"/>
                                  <a:gd name="T20" fmla="*/ 2445 w 4470"/>
                                  <a:gd name="T21" fmla="*/ 3810 h 6165"/>
                                  <a:gd name="T22" fmla="*/ 2700 w 4470"/>
                                  <a:gd name="T23" fmla="*/ 3915 h 6165"/>
                                  <a:gd name="T24" fmla="*/ 2610 w 4470"/>
                                  <a:gd name="T25" fmla="*/ 4200 h 6165"/>
                                  <a:gd name="T26" fmla="*/ 2805 w 4470"/>
                                  <a:gd name="T27" fmla="*/ 4290 h 6165"/>
                                  <a:gd name="T28" fmla="*/ 2580 w 4470"/>
                                  <a:gd name="T29" fmla="*/ 4455 h 6165"/>
                                  <a:gd name="T30" fmla="*/ 2610 w 4470"/>
                                  <a:gd name="T31" fmla="*/ 5265 h 6165"/>
                                  <a:gd name="T32" fmla="*/ 2685 w 4470"/>
                                  <a:gd name="T33" fmla="*/ 5445 h 6165"/>
                                  <a:gd name="T34" fmla="*/ 2955 w 4470"/>
                                  <a:gd name="T35" fmla="*/ 5610 h 6165"/>
                                  <a:gd name="T36" fmla="*/ 3300 w 4470"/>
                                  <a:gd name="T37" fmla="*/ 5940 h 6165"/>
                                  <a:gd name="T38" fmla="*/ 3315 w 4470"/>
                                  <a:gd name="T39" fmla="*/ 6165 h 6165"/>
                                  <a:gd name="T40" fmla="*/ 3045 w 4470"/>
                                  <a:gd name="T41" fmla="*/ 5805 h 6165"/>
                                  <a:gd name="T42" fmla="*/ 2475 w 4470"/>
                                  <a:gd name="T43" fmla="*/ 5520 h 6165"/>
                                  <a:gd name="T44" fmla="*/ 1965 w 4470"/>
                                  <a:gd name="T45" fmla="*/ 4755 h 6165"/>
                                  <a:gd name="T46" fmla="*/ 1290 w 4470"/>
                                  <a:gd name="T47" fmla="*/ 4095 h 6165"/>
                                  <a:gd name="T48" fmla="*/ 720 w 4470"/>
                                  <a:gd name="T49" fmla="*/ 3660 h 6165"/>
                                  <a:gd name="T50" fmla="*/ 525 w 4470"/>
                                  <a:gd name="T51" fmla="*/ 3060 h 6165"/>
                                  <a:gd name="T52" fmla="*/ 165 w 4470"/>
                                  <a:gd name="T53" fmla="*/ 2385 h 6165"/>
                                  <a:gd name="T54" fmla="*/ 105 w 4470"/>
                                  <a:gd name="T55" fmla="*/ 1920 h 6165"/>
                                  <a:gd name="T56" fmla="*/ 180 w 4470"/>
                                  <a:gd name="T57" fmla="*/ 1770 h 6165"/>
                                  <a:gd name="T58" fmla="*/ 75 w 4470"/>
                                  <a:gd name="T59" fmla="*/ 1620 h 6165"/>
                                  <a:gd name="T60" fmla="*/ 0 w 4470"/>
                                  <a:gd name="T61" fmla="*/ 1500 h 6165"/>
                                  <a:gd name="T62" fmla="*/ 390 w 4470"/>
                                  <a:gd name="T63" fmla="*/ 1350 h 6165"/>
                                  <a:gd name="T64" fmla="*/ 645 w 4470"/>
                                  <a:gd name="T65" fmla="*/ 975 h 6165"/>
                                  <a:gd name="T66" fmla="*/ 540 w 4470"/>
                                  <a:gd name="T67" fmla="*/ 780 h 6165"/>
                                  <a:gd name="T68" fmla="*/ 330 w 4470"/>
                                  <a:gd name="T69" fmla="*/ 165 h 6165"/>
                                  <a:gd name="T70" fmla="*/ 375 w 4470"/>
                                  <a:gd name="T71" fmla="*/ 0 h 6165"/>
                                  <a:gd name="T72" fmla="*/ 1125 w 4470"/>
                                  <a:gd name="T73" fmla="*/ 600 h 6165"/>
                                  <a:gd name="T74" fmla="*/ 930 w 4470"/>
                                  <a:gd name="T75" fmla="*/ 900 h 6165"/>
                                  <a:gd name="T76" fmla="*/ 1380 w 4470"/>
                                  <a:gd name="T77" fmla="*/ 1305 h 6165"/>
                                  <a:gd name="T78" fmla="*/ 1620 w 4470"/>
                                  <a:gd name="T79" fmla="*/ 1395 h 6165"/>
                                  <a:gd name="T80" fmla="*/ 1800 w 4470"/>
                                  <a:gd name="T81" fmla="*/ 1665 h 6165"/>
                                  <a:gd name="T82" fmla="*/ 2325 w 4470"/>
                                  <a:gd name="T83" fmla="*/ 1710 h 6165"/>
                                  <a:gd name="T84" fmla="*/ 3465 w 4470"/>
                                  <a:gd name="T85" fmla="*/ 1590 h 6165"/>
                                  <a:gd name="T86" fmla="*/ 4245 w 4470"/>
                                  <a:gd name="T87" fmla="*/ 1335 h 6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70" h="6165">
                                    <a:moveTo>
                                      <a:pt x="4245" y="1335"/>
                                    </a:moveTo>
                                    <a:lnTo>
                                      <a:pt x="4470" y="1815"/>
                                    </a:lnTo>
                                    <a:lnTo>
                                      <a:pt x="4290" y="2085"/>
                                    </a:lnTo>
                                    <a:lnTo>
                                      <a:pt x="3975" y="2235"/>
                                    </a:lnTo>
                                    <a:lnTo>
                                      <a:pt x="3570" y="2640"/>
                                    </a:lnTo>
                                    <a:lnTo>
                                      <a:pt x="3225" y="2610"/>
                                    </a:lnTo>
                                    <a:lnTo>
                                      <a:pt x="3090" y="2730"/>
                                    </a:lnTo>
                                    <a:lnTo>
                                      <a:pt x="2925" y="2700"/>
                                    </a:lnTo>
                                    <a:lnTo>
                                      <a:pt x="2670" y="2910"/>
                                    </a:lnTo>
                                    <a:lnTo>
                                      <a:pt x="2760" y="3030"/>
                                    </a:lnTo>
                                    <a:lnTo>
                                      <a:pt x="2445" y="3810"/>
                                    </a:lnTo>
                                    <a:lnTo>
                                      <a:pt x="2700" y="3915"/>
                                    </a:lnTo>
                                    <a:lnTo>
                                      <a:pt x="2610" y="4200"/>
                                    </a:lnTo>
                                    <a:lnTo>
                                      <a:pt x="2805" y="4290"/>
                                    </a:lnTo>
                                    <a:lnTo>
                                      <a:pt x="2580" y="4455"/>
                                    </a:lnTo>
                                    <a:lnTo>
                                      <a:pt x="2610" y="5265"/>
                                    </a:lnTo>
                                    <a:lnTo>
                                      <a:pt x="2685" y="5445"/>
                                    </a:lnTo>
                                    <a:lnTo>
                                      <a:pt x="2955" y="5610"/>
                                    </a:lnTo>
                                    <a:lnTo>
                                      <a:pt x="3300" y="5940"/>
                                    </a:lnTo>
                                    <a:lnTo>
                                      <a:pt x="3315" y="6165"/>
                                    </a:lnTo>
                                    <a:lnTo>
                                      <a:pt x="3045" y="5805"/>
                                    </a:lnTo>
                                    <a:lnTo>
                                      <a:pt x="2475" y="5520"/>
                                    </a:lnTo>
                                    <a:lnTo>
                                      <a:pt x="1965" y="4755"/>
                                    </a:lnTo>
                                    <a:lnTo>
                                      <a:pt x="1290" y="4095"/>
                                    </a:lnTo>
                                    <a:lnTo>
                                      <a:pt x="720" y="3660"/>
                                    </a:lnTo>
                                    <a:lnTo>
                                      <a:pt x="525" y="3060"/>
                                    </a:lnTo>
                                    <a:lnTo>
                                      <a:pt x="165" y="2385"/>
                                    </a:lnTo>
                                    <a:lnTo>
                                      <a:pt x="105" y="1920"/>
                                    </a:lnTo>
                                    <a:lnTo>
                                      <a:pt x="180" y="1770"/>
                                    </a:lnTo>
                                    <a:lnTo>
                                      <a:pt x="75" y="1620"/>
                                    </a:lnTo>
                                    <a:lnTo>
                                      <a:pt x="0" y="1500"/>
                                    </a:lnTo>
                                    <a:lnTo>
                                      <a:pt x="390" y="1350"/>
                                    </a:lnTo>
                                    <a:lnTo>
                                      <a:pt x="645" y="975"/>
                                    </a:lnTo>
                                    <a:lnTo>
                                      <a:pt x="540" y="780"/>
                                    </a:lnTo>
                                    <a:lnTo>
                                      <a:pt x="330" y="165"/>
                                    </a:lnTo>
                                    <a:lnTo>
                                      <a:pt x="375" y="0"/>
                                    </a:lnTo>
                                    <a:lnTo>
                                      <a:pt x="1125" y="600"/>
                                    </a:lnTo>
                                    <a:lnTo>
                                      <a:pt x="930" y="900"/>
                                    </a:lnTo>
                                    <a:lnTo>
                                      <a:pt x="1380" y="1305"/>
                                    </a:lnTo>
                                    <a:lnTo>
                                      <a:pt x="1620" y="1395"/>
                                    </a:lnTo>
                                    <a:lnTo>
                                      <a:pt x="1800" y="1665"/>
                                    </a:lnTo>
                                    <a:lnTo>
                                      <a:pt x="2325" y="1710"/>
                                    </a:lnTo>
                                    <a:lnTo>
                                      <a:pt x="3465" y="1590"/>
                                    </a:lnTo>
                                    <a:lnTo>
                                      <a:pt x="4245" y="1335"/>
                                    </a:lnTo>
                                    <a:close/>
                                  </a:path>
                                </a:pathLst>
                              </a:custGeom>
                              <a:noFill/>
                              <a:ln>
                                <a:noFill/>
                              </a:ln>
                            </wps:spPr>
                            <wps:bodyPr rot="0" vert="horz" wrap="square" lIns="91440" tIns="45720" rIns="91440" bIns="45720" anchor="t" anchorCtr="0" upright="1">
                              <a:noAutofit/>
                            </wps:bodyPr>
                          </wps:wsp>
                        </a:graphicData>
                      </a:graphic>
                    </wp:anchor>
                  </w:drawing>
                </mc:Choice>
                <mc:Fallback>
                  <w:pict>
                    <v:shape id="任意多边形 20" o:spid="_x0000_s1026" o:spt="100" style="position:absolute;left:0pt;margin-left:78.65pt;margin-top:27.05pt;height:308.25pt;width:223.5pt;z-index:251660288;mso-width-relative:page;mso-height-relative:page;" filled="f" stroked="f" coordsize="4470,6165" o:gfxdata="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" path="m4245,1335l4470,1815,4290,2085,3975,2235,3570,2640,3225,2610,3090,2730,2925,2700,2670,2910,2760,3030,2445,3810,2700,3915,2610,4200,2805,4290,2580,4455,2610,5265,2685,5445,2955,5610,3300,5940,3315,6165,3045,5805,2475,5520,1965,4755,1290,4095,720,3660,525,3060,165,2385,105,1920,180,1770,75,1620,0,1500,390,1350,645,975,540,780,330,165,375,0,1125,600,930,900,1380,1305,1620,1395,1800,1665,2325,1710,3465,1590,4245,1335xe">
                      <v:path o:connectlocs="2695575,847725;2838450,1152525;2724150,1323975;2524125,1419225;2266950,1676400;2047875,1657350;1962150,1733550;1857375,1714500;1695450,1847850;1752600,1924050;1552575,2419350;1714500,2486025;1657350,2667000;1781175,2724150;1638300,2828925;1657350,3343275;1704975,3457575;1876425,3562350;2095500,3771900;2105025,3914775;1933575,3686175;1571625,3505200;1247775,3019425;819150,2600325;457200,2324100;333375,1943100;104775,1514475;66675,1219200;114300,1123950;47625,1028700;0,952500;247650,857250;409575,619125;342900,495300;209550,104775;238125,0;714375,381000;590550,571500;876300,828675;1028700,885825;1143000,1057275;1476375,1085850;2200275,1009650;2695575,847725" o:connectangles="0,0,0,0,0,0,0,0,0,0,0,0,0,0,0,0,0,0,0,0,0,0,0,0,0,0,0,0,0,0,0,0,0,0,0,0,0,0,0,0,0,0,0,0"/>
                      <v:fill on="f" focussize="0,0"/>
                      <v:stroke on="f"/>
                      <v:imagedata o:title=""/>
                      <o:lock v:ext="edit" aspectratio="f"/>
                    </v:shape>
                  </w:pict>
                </mc:Fallback>
              </mc:AlternateContent>
            </w:r>
          </w:p>
          <w:p w14:paraId="636F4FC0">
            <w:pPr>
              <w:pStyle w:val="31"/>
              <w:spacing w:before="0" w:after="0" w:line="360" w:lineRule="auto"/>
              <w:ind w:right="0" w:firstLine="0" w:firstLineChars="0"/>
              <w:jc w:val="center"/>
              <w:rPr>
                <w:b/>
                <w:bCs/>
                <w:color w:val="auto"/>
                <w:sz w:val="24"/>
                <w:szCs w:val="24"/>
              </w:rPr>
            </w:pPr>
            <w:r>
              <w:rPr>
                <w:b/>
                <w:bCs/>
                <w:color w:val="auto"/>
                <w:sz w:val="24"/>
                <w:szCs w:val="24"/>
              </w:rPr>
              <w:t>图4-</w:t>
            </w:r>
            <w:r>
              <w:rPr>
                <w:rFonts w:hint="eastAsia"/>
                <w:b/>
                <w:bCs/>
                <w:color w:val="auto"/>
                <w:sz w:val="24"/>
                <w:szCs w:val="24"/>
              </w:rPr>
              <w:t>2</w:t>
            </w:r>
            <w:r>
              <w:rPr>
                <w:b/>
                <w:bCs/>
                <w:color w:val="auto"/>
                <w:sz w:val="24"/>
                <w:szCs w:val="24"/>
              </w:rPr>
              <w:t>项目</w:t>
            </w:r>
            <w:r>
              <w:rPr>
                <w:rFonts w:hint="eastAsia"/>
                <w:b/>
                <w:bCs/>
                <w:color w:val="auto"/>
                <w:sz w:val="24"/>
                <w:szCs w:val="24"/>
              </w:rPr>
              <w:t>（纳古卫生院）</w:t>
            </w:r>
            <w:r>
              <w:rPr>
                <w:b/>
                <w:bCs/>
                <w:color w:val="auto"/>
                <w:sz w:val="24"/>
                <w:szCs w:val="24"/>
              </w:rPr>
              <w:t>厂界噪声贡献值预测结果图</w:t>
            </w:r>
          </w:p>
          <w:p w14:paraId="405363F9">
            <w:pPr>
              <w:snapToGrid w:val="0"/>
              <w:spacing w:line="360" w:lineRule="auto"/>
              <w:ind w:firstLine="480" w:firstLineChars="200"/>
              <w:rPr>
                <w:color w:val="auto"/>
                <w:sz w:val="24"/>
              </w:rPr>
            </w:pPr>
            <w:r>
              <w:rPr>
                <w:color w:val="auto"/>
                <w:sz w:val="24"/>
              </w:rPr>
              <w:t>通过预测模型计算，项目</w:t>
            </w:r>
            <w:r>
              <w:rPr>
                <w:rFonts w:hint="eastAsia"/>
                <w:color w:val="auto"/>
                <w:sz w:val="24"/>
              </w:rPr>
              <w:t>纳古卫生院</w:t>
            </w:r>
            <w:r>
              <w:rPr>
                <w:color w:val="auto"/>
                <w:sz w:val="24"/>
              </w:rPr>
              <w:t>厂界噪声的最大值预测结果与达标分析见表4-</w:t>
            </w:r>
            <w:r>
              <w:rPr>
                <w:rFonts w:hint="eastAsia"/>
                <w:color w:val="auto"/>
                <w:sz w:val="24"/>
              </w:rPr>
              <w:t>29</w:t>
            </w:r>
            <w:r>
              <w:rPr>
                <w:color w:val="auto"/>
                <w:sz w:val="24"/>
              </w:rPr>
              <w:t>。</w:t>
            </w:r>
          </w:p>
          <w:p w14:paraId="11FD81DE">
            <w:pPr>
              <w:adjustRightInd w:val="0"/>
              <w:snapToGrid w:val="0"/>
              <w:jc w:val="center"/>
              <w:rPr>
                <w:rFonts w:hint="eastAsia"/>
                <w:b/>
                <w:bCs/>
                <w:color w:val="auto"/>
                <w:kern w:val="0"/>
                <w:sz w:val="24"/>
              </w:rPr>
            </w:pPr>
          </w:p>
          <w:p w14:paraId="66A9F9E4">
            <w:pPr>
              <w:adjustRightInd w:val="0"/>
              <w:snapToGrid w:val="0"/>
              <w:jc w:val="center"/>
              <w:rPr>
                <w:rFonts w:hint="eastAsia"/>
                <w:b/>
                <w:bCs/>
                <w:color w:val="auto"/>
                <w:kern w:val="0"/>
                <w:sz w:val="24"/>
              </w:rPr>
            </w:pPr>
          </w:p>
          <w:p w14:paraId="243399A7">
            <w:pPr>
              <w:adjustRightInd w:val="0"/>
              <w:snapToGrid w:val="0"/>
              <w:jc w:val="center"/>
              <w:rPr>
                <w:rFonts w:hint="eastAsia"/>
                <w:b/>
                <w:bCs/>
                <w:color w:val="auto"/>
                <w:kern w:val="0"/>
                <w:sz w:val="24"/>
              </w:rPr>
            </w:pPr>
          </w:p>
          <w:p w14:paraId="62651A83">
            <w:pPr>
              <w:adjustRightInd w:val="0"/>
              <w:snapToGrid w:val="0"/>
              <w:jc w:val="center"/>
              <w:rPr>
                <w:rFonts w:hint="eastAsia"/>
                <w:b/>
                <w:bCs/>
                <w:color w:val="auto"/>
                <w:kern w:val="0"/>
                <w:sz w:val="24"/>
              </w:rPr>
            </w:pPr>
          </w:p>
          <w:p w14:paraId="5C56D094">
            <w:pPr>
              <w:adjustRightInd w:val="0"/>
              <w:snapToGrid w:val="0"/>
              <w:jc w:val="center"/>
              <w:rPr>
                <w:rFonts w:hint="eastAsia"/>
                <w:b/>
                <w:bCs/>
                <w:color w:val="auto"/>
                <w:kern w:val="0"/>
                <w:sz w:val="24"/>
              </w:rPr>
            </w:pPr>
          </w:p>
          <w:p w14:paraId="57B61940">
            <w:pPr>
              <w:adjustRightInd w:val="0"/>
              <w:snapToGrid w:val="0"/>
              <w:jc w:val="center"/>
              <w:rPr>
                <w:rFonts w:hint="eastAsia"/>
                <w:b/>
                <w:bCs/>
                <w:color w:val="auto"/>
                <w:kern w:val="0"/>
                <w:sz w:val="24"/>
              </w:rPr>
            </w:pPr>
          </w:p>
          <w:p w14:paraId="2C316279">
            <w:pPr>
              <w:adjustRightInd w:val="0"/>
              <w:snapToGrid w:val="0"/>
              <w:jc w:val="center"/>
              <w:rPr>
                <w:rFonts w:hint="eastAsia"/>
                <w:b/>
                <w:bCs/>
                <w:color w:val="auto"/>
                <w:kern w:val="0"/>
                <w:sz w:val="24"/>
              </w:rPr>
            </w:pPr>
          </w:p>
          <w:p w14:paraId="1AAC30C6">
            <w:pPr>
              <w:adjustRightInd w:val="0"/>
              <w:snapToGrid w:val="0"/>
              <w:jc w:val="center"/>
              <w:rPr>
                <w:rFonts w:hint="eastAsia"/>
                <w:b/>
                <w:bCs/>
                <w:color w:val="auto"/>
                <w:kern w:val="0"/>
                <w:sz w:val="24"/>
              </w:rPr>
            </w:pPr>
          </w:p>
          <w:p w14:paraId="0AC3C335">
            <w:pPr>
              <w:adjustRightInd w:val="0"/>
              <w:snapToGrid w:val="0"/>
              <w:jc w:val="center"/>
              <w:rPr>
                <w:rFonts w:hint="eastAsia"/>
                <w:b/>
                <w:bCs/>
                <w:color w:val="auto"/>
                <w:kern w:val="0"/>
                <w:sz w:val="24"/>
              </w:rPr>
            </w:pPr>
          </w:p>
          <w:p w14:paraId="2CAC62AE">
            <w:pPr>
              <w:adjustRightInd w:val="0"/>
              <w:snapToGrid w:val="0"/>
              <w:jc w:val="center"/>
              <w:rPr>
                <w:rFonts w:hint="eastAsia"/>
                <w:b/>
                <w:bCs/>
                <w:color w:val="auto"/>
                <w:kern w:val="0"/>
                <w:sz w:val="24"/>
              </w:rPr>
            </w:pPr>
          </w:p>
          <w:p w14:paraId="48383B27">
            <w:pPr>
              <w:adjustRightInd w:val="0"/>
              <w:snapToGrid w:val="0"/>
              <w:jc w:val="center"/>
              <w:rPr>
                <w:rFonts w:hint="eastAsia"/>
                <w:b/>
                <w:bCs/>
                <w:color w:val="auto"/>
                <w:kern w:val="0"/>
                <w:sz w:val="24"/>
              </w:rPr>
            </w:pPr>
          </w:p>
          <w:p w14:paraId="706A482E">
            <w:pPr>
              <w:adjustRightInd w:val="0"/>
              <w:snapToGrid w:val="0"/>
              <w:jc w:val="center"/>
              <w:rPr>
                <w:rFonts w:hint="eastAsia"/>
                <w:b/>
                <w:bCs/>
                <w:color w:val="auto"/>
                <w:kern w:val="0"/>
                <w:sz w:val="24"/>
              </w:rPr>
            </w:pPr>
          </w:p>
          <w:p w14:paraId="55A8A405">
            <w:pPr>
              <w:adjustRightInd w:val="0"/>
              <w:snapToGrid w:val="0"/>
              <w:jc w:val="center"/>
              <w:rPr>
                <w:rFonts w:hint="eastAsia"/>
                <w:b/>
                <w:bCs/>
                <w:color w:val="auto"/>
                <w:kern w:val="0"/>
                <w:sz w:val="24"/>
              </w:rPr>
            </w:pPr>
          </w:p>
          <w:p w14:paraId="7862476D">
            <w:pPr>
              <w:adjustRightInd w:val="0"/>
              <w:snapToGrid w:val="0"/>
              <w:jc w:val="center"/>
              <w:rPr>
                <w:rFonts w:hint="eastAsia"/>
                <w:b/>
                <w:bCs/>
                <w:color w:val="auto"/>
                <w:kern w:val="0"/>
                <w:sz w:val="24"/>
              </w:rPr>
            </w:pPr>
          </w:p>
          <w:p w14:paraId="10BE5F2F">
            <w:pPr>
              <w:adjustRightInd w:val="0"/>
              <w:snapToGrid w:val="0"/>
              <w:jc w:val="center"/>
              <w:rPr>
                <w:rFonts w:hint="eastAsia"/>
                <w:b/>
                <w:bCs/>
                <w:color w:val="auto"/>
                <w:kern w:val="0"/>
                <w:sz w:val="24"/>
              </w:rPr>
            </w:pPr>
          </w:p>
          <w:p w14:paraId="48B7C600">
            <w:pPr>
              <w:adjustRightInd w:val="0"/>
              <w:snapToGrid w:val="0"/>
              <w:jc w:val="center"/>
              <w:rPr>
                <w:rFonts w:hint="eastAsia"/>
                <w:b/>
                <w:bCs/>
                <w:color w:val="auto"/>
                <w:kern w:val="0"/>
                <w:sz w:val="24"/>
              </w:rPr>
            </w:pPr>
          </w:p>
          <w:p w14:paraId="50C5A915">
            <w:pPr>
              <w:adjustRightInd w:val="0"/>
              <w:snapToGrid w:val="0"/>
              <w:jc w:val="center"/>
              <w:rPr>
                <w:rFonts w:hint="eastAsia"/>
                <w:b/>
                <w:bCs/>
                <w:color w:val="auto"/>
                <w:kern w:val="0"/>
                <w:sz w:val="24"/>
              </w:rPr>
            </w:pPr>
          </w:p>
          <w:p w14:paraId="080A2960">
            <w:pPr>
              <w:adjustRightInd w:val="0"/>
              <w:snapToGrid w:val="0"/>
              <w:jc w:val="center"/>
              <w:rPr>
                <w:rFonts w:hint="eastAsia"/>
                <w:b/>
                <w:bCs/>
                <w:color w:val="auto"/>
                <w:kern w:val="0"/>
                <w:sz w:val="24"/>
              </w:rPr>
            </w:pPr>
          </w:p>
          <w:p w14:paraId="5738A863">
            <w:pPr>
              <w:adjustRightInd w:val="0"/>
              <w:snapToGrid w:val="0"/>
              <w:jc w:val="center"/>
              <w:rPr>
                <w:rFonts w:hint="eastAsia"/>
                <w:b/>
                <w:bCs/>
                <w:color w:val="auto"/>
                <w:kern w:val="0"/>
                <w:sz w:val="24"/>
              </w:rPr>
            </w:pPr>
          </w:p>
          <w:p w14:paraId="3DBB71A7">
            <w:pPr>
              <w:adjustRightInd w:val="0"/>
              <w:snapToGrid w:val="0"/>
              <w:jc w:val="center"/>
              <w:rPr>
                <w:rFonts w:hint="eastAsia"/>
                <w:b/>
                <w:bCs/>
                <w:color w:val="auto"/>
                <w:kern w:val="0"/>
                <w:sz w:val="24"/>
              </w:rPr>
            </w:pPr>
          </w:p>
          <w:p w14:paraId="5A2F1E86">
            <w:pPr>
              <w:adjustRightInd w:val="0"/>
              <w:snapToGrid w:val="0"/>
              <w:jc w:val="center"/>
              <w:rPr>
                <w:b/>
                <w:bCs/>
                <w:color w:val="auto"/>
                <w:kern w:val="0"/>
                <w:sz w:val="24"/>
              </w:rPr>
            </w:pPr>
            <w:r>
              <w:rPr>
                <w:rFonts w:hint="eastAsia"/>
                <w:b/>
                <w:bCs/>
                <w:color w:val="auto"/>
                <w:kern w:val="0"/>
                <w:sz w:val="24"/>
              </w:rPr>
              <w:t>表4-29各噪声源至厂界贡献值一次单位：dB（A）</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95"/>
              <w:gridCol w:w="795"/>
              <w:gridCol w:w="590"/>
              <w:gridCol w:w="675"/>
              <w:gridCol w:w="1247"/>
              <w:gridCol w:w="1018"/>
              <w:gridCol w:w="1003"/>
              <w:gridCol w:w="1060"/>
              <w:gridCol w:w="844"/>
            </w:tblGrid>
            <w:tr w14:paraId="4134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66" w:type="dxa"/>
                  <w:vMerge w:val="restart"/>
                  <w:vAlign w:val="center"/>
                </w:tcPr>
                <w:p w14:paraId="5CB2D711">
                  <w:pPr>
                    <w:pStyle w:val="14"/>
                    <w:adjustRightInd w:val="0"/>
                    <w:spacing w:after="0" w:line="240" w:lineRule="auto"/>
                    <w:jc w:val="center"/>
                    <w:rPr>
                      <w:color w:val="auto"/>
                      <w:sz w:val="21"/>
                      <w:szCs w:val="21"/>
                    </w:rPr>
                  </w:pPr>
                  <w:r>
                    <w:rPr>
                      <w:color w:val="auto"/>
                      <w:sz w:val="21"/>
                      <w:szCs w:val="21"/>
                    </w:rPr>
                    <w:t>预测点</w:t>
                  </w:r>
                </w:p>
              </w:tc>
              <w:tc>
                <w:tcPr>
                  <w:tcW w:w="2196" w:type="dxa"/>
                  <w:gridSpan w:val="3"/>
                  <w:vAlign w:val="center"/>
                </w:tcPr>
                <w:p w14:paraId="53F17F97">
                  <w:pPr>
                    <w:pStyle w:val="14"/>
                    <w:adjustRightInd w:val="0"/>
                    <w:spacing w:after="0" w:line="240" w:lineRule="auto"/>
                    <w:jc w:val="center"/>
                    <w:rPr>
                      <w:color w:val="auto"/>
                      <w:sz w:val="21"/>
                      <w:szCs w:val="21"/>
                    </w:rPr>
                  </w:pPr>
                  <w:r>
                    <w:rPr>
                      <w:color w:val="auto"/>
                      <w:sz w:val="21"/>
                      <w:szCs w:val="21"/>
                    </w:rPr>
                    <w:t>空间相对位置/m</w:t>
                  </w:r>
                </w:p>
              </w:tc>
              <w:tc>
                <w:tcPr>
                  <w:tcW w:w="680" w:type="dxa"/>
                  <w:vMerge w:val="restart"/>
                  <w:vAlign w:val="center"/>
                </w:tcPr>
                <w:p w14:paraId="72B8AA94">
                  <w:pPr>
                    <w:pStyle w:val="14"/>
                    <w:adjustRightInd w:val="0"/>
                    <w:spacing w:after="0" w:line="240" w:lineRule="auto"/>
                    <w:jc w:val="center"/>
                    <w:rPr>
                      <w:color w:val="auto"/>
                      <w:sz w:val="21"/>
                      <w:szCs w:val="21"/>
                    </w:rPr>
                  </w:pPr>
                  <w:r>
                    <w:rPr>
                      <w:color w:val="auto"/>
                      <w:sz w:val="21"/>
                      <w:szCs w:val="21"/>
                    </w:rPr>
                    <w:t>时段</w:t>
                  </w:r>
                </w:p>
              </w:tc>
              <w:tc>
                <w:tcPr>
                  <w:tcW w:w="1263" w:type="dxa"/>
                  <w:vMerge w:val="restart"/>
                  <w:vAlign w:val="center"/>
                </w:tcPr>
                <w:p w14:paraId="3174F118">
                  <w:pPr>
                    <w:pStyle w:val="14"/>
                    <w:adjustRightInd w:val="0"/>
                    <w:spacing w:after="0" w:line="240" w:lineRule="auto"/>
                    <w:jc w:val="center"/>
                    <w:rPr>
                      <w:color w:val="auto"/>
                      <w:sz w:val="21"/>
                      <w:szCs w:val="21"/>
                    </w:rPr>
                  </w:pPr>
                  <w:r>
                    <w:rPr>
                      <w:rFonts w:hint="eastAsia"/>
                      <w:color w:val="auto"/>
                      <w:sz w:val="21"/>
                      <w:szCs w:val="21"/>
                    </w:rPr>
                    <w:t>贡献</w:t>
                  </w:r>
                  <w:r>
                    <w:rPr>
                      <w:color w:val="auto"/>
                      <w:sz w:val="21"/>
                      <w:szCs w:val="21"/>
                    </w:rPr>
                    <w:t>值/dB(A)</w:t>
                  </w:r>
                </w:p>
              </w:tc>
              <w:tc>
                <w:tcPr>
                  <w:tcW w:w="1029" w:type="dxa"/>
                  <w:vMerge w:val="restart"/>
                  <w:vAlign w:val="center"/>
                </w:tcPr>
                <w:p w14:paraId="6E51ECF9">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14" w:type="dxa"/>
                  <w:vMerge w:val="restart"/>
                  <w:vAlign w:val="center"/>
                </w:tcPr>
                <w:p w14:paraId="57FD02B1">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72" w:type="dxa"/>
                  <w:vMerge w:val="restart"/>
                  <w:vAlign w:val="center"/>
                </w:tcPr>
                <w:p w14:paraId="205D326B">
                  <w:pPr>
                    <w:pStyle w:val="14"/>
                    <w:adjustRightInd w:val="0"/>
                    <w:spacing w:after="0" w:line="240" w:lineRule="auto"/>
                    <w:jc w:val="center"/>
                    <w:rPr>
                      <w:color w:val="auto"/>
                      <w:sz w:val="21"/>
                      <w:szCs w:val="21"/>
                    </w:rPr>
                  </w:pPr>
                  <w:r>
                    <w:rPr>
                      <w:color w:val="auto"/>
                      <w:sz w:val="21"/>
                      <w:szCs w:val="21"/>
                    </w:rPr>
                    <w:t>噪声标准值/dB(A)</w:t>
                  </w:r>
                </w:p>
              </w:tc>
              <w:tc>
                <w:tcPr>
                  <w:tcW w:w="852" w:type="dxa"/>
                  <w:vMerge w:val="restart"/>
                  <w:vAlign w:val="center"/>
                </w:tcPr>
                <w:p w14:paraId="3263FED9">
                  <w:pPr>
                    <w:pStyle w:val="14"/>
                    <w:adjustRightInd w:val="0"/>
                    <w:spacing w:after="0" w:line="240" w:lineRule="auto"/>
                    <w:jc w:val="center"/>
                    <w:rPr>
                      <w:color w:val="auto"/>
                      <w:sz w:val="21"/>
                      <w:szCs w:val="21"/>
                    </w:rPr>
                  </w:pPr>
                  <w:r>
                    <w:rPr>
                      <w:color w:val="auto"/>
                      <w:sz w:val="21"/>
                      <w:szCs w:val="21"/>
                    </w:rPr>
                    <w:t>达标情况</w:t>
                  </w:r>
                </w:p>
              </w:tc>
            </w:tr>
            <w:tr w14:paraId="2AF8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1CAC6001">
                  <w:pPr>
                    <w:pStyle w:val="14"/>
                    <w:adjustRightInd w:val="0"/>
                    <w:spacing w:after="0" w:line="240" w:lineRule="auto"/>
                    <w:jc w:val="center"/>
                    <w:rPr>
                      <w:color w:val="auto"/>
                      <w:sz w:val="21"/>
                      <w:szCs w:val="21"/>
                    </w:rPr>
                  </w:pPr>
                </w:p>
              </w:tc>
              <w:tc>
                <w:tcPr>
                  <w:tcW w:w="802" w:type="dxa"/>
                  <w:vAlign w:val="center"/>
                </w:tcPr>
                <w:p w14:paraId="1BEBB5A5">
                  <w:pPr>
                    <w:pStyle w:val="14"/>
                    <w:adjustRightInd w:val="0"/>
                    <w:spacing w:after="0" w:line="240" w:lineRule="auto"/>
                    <w:jc w:val="center"/>
                    <w:rPr>
                      <w:color w:val="auto"/>
                      <w:sz w:val="21"/>
                      <w:szCs w:val="21"/>
                    </w:rPr>
                  </w:pPr>
                  <w:r>
                    <w:rPr>
                      <w:color w:val="auto"/>
                      <w:sz w:val="21"/>
                      <w:szCs w:val="21"/>
                    </w:rPr>
                    <w:t>X</w:t>
                  </w:r>
                </w:p>
              </w:tc>
              <w:tc>
                <w:tcPr>
                  <w:tcW w:w="802" w:type="dxa"/>
                  <w:vAlign w:val="center"/>
                </w:tcPr>
                <w:p w14:paraId="3CA44605">
                  <w:pPr>
                    <w:pStyle w:val="14"/>
                    <w:adjustRightInd w:val="0"/>
                    <w:spacing w:after="0" w:line="240" w:lineRule="auto"/>
                    <w:jc w:val="center"/>
                    <w:rPr>
                      <w:color w:val="auto"/>
                      <w:sz w:val="21"/>
                      <w:szCs w:val="21"/>
                    </w:rPr>
                  </w:pPr>
                  <w:r>
                    <w:rPr>
                      <w:color w:val="auto"/>
                      <w:sz w:val="21"/>
                      <w:szCs w:val="21"/>
                    </w:rPr>
                    <w:t>Y</w:t>
                  </w:r>
                </w:p>
              </w:tc>
              <w:tc>
                <w:tcPr>
                  <w:tcW w:w="592" w:type="dxa"/>
                  <w:vAlign w:val="center"/>
                </w:tcPr>
                <w:p w14:paraId="051F07CF">
                  <w:pPr>
                    <w:pStyle w:val="14"/>
                    <w:adjustRightInd w:val="0"/>
                    <w:spacing w:after="0" w:line="240" w:lineRule="auto"/>
                    <w:jc w:val="center"/>
                    <w:rPr>
                      <w:color w:val="auto"/>
                      <w:sz w:val="21"/>
                      <w:szCs w:val="21"/>
                    </w:rPr>
                  </w:pPr>
                  <w:r>
                    <w:rPr>
                      <w:color w:val="auto"/>
                      <w:sz w:val="21"/>
                      <w:szCs w:val="21"/>
                    </w:rPr>
                    <w:t>Z</w:t>
                  </w:r>
                </w:p>
              </w:tc>
              <w:tc>
                <w:tcPr>
                  <w:tcW w:w="680" w:type="dxa"/>
                  <w:vMerge w:val="continue"/>
                  <w:vAlign w:val="center"/>
                </w:tcPr>
                <w:p w14:paraId="127B4973">
                  <w:pPr>
                    <w:pStyle w:val="14"/>
                    <w:adjustRightInd w:val="0"/>
                    <w:spacing w:after="0" w:line="240" w:lineRule="auto"/>
                    <w:jc w:val="center"/>
                    <w:rPr>
                      <w:color w:val="auto"/>
                      <w:sz w:val="21"/>
                      <w:szCs w:val="21"/>
                    </w:rPr>
                  </w:pPr>
                </w:p>
              </w:tc>
              <w:tc>
                <w:tcPr>
                  <w:tcW w:w="1263" w:type="dxa"/>
                  <w:vMerge w:val="continue"/>
                  <w:vAlign w:val="center"/>
                </w:tcPr>
                <w:p w14:paraId="1EBD6B90">
                  <w:pPr>
                    <w:pStyle w:val="14"/>
                    <w:adjustRightInd w:val="0"/>
                    <w:spacing w:after="0" w:line="240" w:lineRule="auto"/>
                    <w:jc w:val="center"/>
                    <w:rPr>
                      <w:color w:val="auto"/>
                      <w:sz w:val="21"/>
                      <w:szCs w:val="21"/>
                    </w:rPr>
                  </w:pPr>
                </w:p>
              </w:tc>
              <w:tc>
                <w:tcPr>
                  <w:tcW w:w="1029" w:type="dxa"/>
                  <w:vMerge w:val="continue"/>
                  <w:vAlign w:val="center"/>
                </w:tcPr>
                <w:p w14:paraId="63D44249">
                  <w:pPr>
                    <w:pStyle w:val="14"/>
                    <w:adjustRightInd w:val="0"/>
                    <w:spacing w:after="0" w:line="240" w:lineRule="auto"/>
                    <w:jc w:val="center"/>
                    <w:rPr>
                      <w:color w:val="auto"/>
                      <w:sz w:val="21"/>
                      <w:szCs w:val="21"/>
                    </w:rPr>
                  </w:pPr>
                </w:p>
              </w:tc>
              <w:tc>
                <w:tcPr>
                  <w:tcW w:w="1014" w:type="dxa"/>
                  <w:vMerge w:val="continue"/>
                  <w:vAlign w:val="center"/>
                </w:tcPr>
                <w:p w14:paraId="60FFD597">
                  <w:pPr>
                    <w:pStyle w:val="14"/>
                    <w:adjustRightInd w:val="0"/>
                    <w:spacing w:after="0" w:line="240" w:lineRule="auto"/>
                    <w:jc w:val="center"/>
                    <w:rPr>
                      <w:color w:val="auto"/>
                      <w:sz w:val="21"/>
                      <w:szCs w:val="21"/>
                    </w:rPr>
                  </w:pPr>
                </w:p>
              </w:tc>
              <w:tc>
                <w:tcPr>
                  <w:tcW w:w="1072" w:type="dxa"/>
                  <w:vMerge w:val="continue"/>
                  <w:vAlign w:val="center"/>
                </w:tcPr>
                <w:p w14:paraId="51B1F159">
                  <w:pPr>
                    <w:pStyle w:val="14"/>
                    <w:adjustRightInd w:val="0"/>
                    <w:spacing w:after="0" w:line="240" w:lineRule="auto"/>
                    <w:jc w:val="center"/>
                    <w:rPr>
                      <w:color w:val="auto"/>
                      <w:sz w:val="21"/>
                      <w:szCs w:val="21"/>
                    </w:rPr>
                  </w:pPr>
                </w:p>
              </w:tc>
              <w:tc>
                <w:tcPr>
                  <w:tcW w:w="852" w:type="dxa"/>
                  <w:vMerge w:val="continue"/>
                  <w:vAlign w:val="center"/>
                </w:tcPr>
                <w:p w14:paraId="3284C7F6">
                  <w:pPr>
                    <w:pStyle w:val="14"/>
                    <w:adjustRightInd w:val="0"/>
                    <w:spacing w:after="0" w:line="240" w:lineRule="auto"/>
                    <w:jc w:val="center"/>
                    <w:rPr>
                      <w:color w:val="auto"/>
                      <w:sz w:val="21"/>
                      <w:szCs w:val="21"/>
                    </w:rPr>
                  </w:pPr>
                </w:p>
              </w:tc>
            </w:tr>
            <w:tr w14:paraId="1BA7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072620AE">
                  <w:pPr>
                    <w:pStyle w:val="14"/>
                    <w:adjustRightInd w:val="0"/>
                    <w:spacing w:after="0" w:line="240" w:lineRule="auto"/>
                    <w:jc w:val="center"/>
                    <w:rPr>
                      <w:color w:val="auto"/>
                      <w:sz w:val="21"/>
                      <w:szCs w:val="21"/>
                    </w:rPr>
                  </w:pPr>
                  <w:r>
                    <w:rPr>
                      <w:rFonts w:hint="eastAsia"/>
                      <w:color w:val="auto"/>
                      <w:sz w:val="21"/>
                      <w:szCs w:val="21"/>
                    </w:rPr>
                    <w:t>西厂界</w:t>
                  </w:r>
                </w:p>
              </w:tc>
              <w:tc>
                <w:tcPr>
                  <w:tcW w:w="802" w:type="dxa"/>
                  <w:vMerge w:val="restart"/>
                  <w:vAlign w:val="center"/>
                </w:tcPr>
                <w:p w14:paraId="5CC06AA8">
                  <w:pPr>
                    <w:pStyle w:val="14"/>
                    <w:adjustRightInd w:val="0"/>
                    <w:spacing w:after="0" w:line="240" w:lineRule="auto"/>
                    <w:jc w:val="center"/>
                    <w:rPr>
                      <w:color w:val="auto"/>
                      <w:sz w:val="21"/>
                      <w:szCs w:val="21"/>
                    </w:rPr>
                  </w:pPr>
                  <w:r>
                    <w:rPr>
                      <w:rFonts w:hint="eastAsia"/>
                      <w:color w:val="auto"/>
                      <w:sz w:val="21"/>
                      <w:szCs w:val="21"/>
                    </w:rPr>
                    <w:t>25.44</w:t>
                  </w:r>
                </w:p>
              </w:tc>
              <w:tc>
                <w:tcPr>
                  <w:tcW w:w="802" w:type="dxa"/>
                  <w:vMerge w:val="restart"/>
                  <w:vAlign w:val="center"/>
                </w:tcPr>
                <w:p w14:paraId="5CC898C1">
                  <w:pPr>
                    <w:pStyle w:val="14"/>
                    <w:adjustRightInd w:val="0"/>
                    <w:spacing w:after="0" w:line="240" w:lineRule="auto"/>
                    <w:jc w:val="center"/>
                    <w:rPr>
                      <w:color w:val="auto"/>
                      <w:sz w:val="21"/>
                      <w:szCs w:val="21"/>
                    </w:rPr>
                  </w:pPr>
                  <w:r>
                    <w:rPr>
                      <w:rFonts w:hint="eastAsia"/>
                      <w:color w:val="auto"/>
                      <w:sz w:val="21"/>
                      <w:szCs w:val="21"/>
                    </w:rPr>
                    <w:t>41.06</w:t>
                  </w:r>
                </w:p>
              </w:tc>
              <w:tc>
                <w:tcPr>
                  <w:tcW w:w="592" w:type="dxa"/>
                  <w:vMerge w:val="restart"/>
                  <w:vAlign w:val="center"/>
                </w:tcPr>
                <w:p w14:paraId="16990945">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080557CA">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50058AF1">
                  <w:pPr>
                    <w:pStyle w:val="14"/>
                    <w:adjustRightInd w:val="0"/>
                    <w:spacing w:after="0" w:line="240" w:lineRule="auto"/>
                    <w:jc w:val="center"/>
                    <w:rPr>
                      <w:color w:val="auto"/>
                      <w:sz w:val="21"/>
                      <w:szCs w:val="21"/>
                      <w:highlight w:val="cyan"/>
                    </w:rPr>
                  </w:pPr>
                  <w:r>
                    <w:rPr>
                      <w:rFonts w:hint="eastAsia"/>
                      <w:color w:val="auto"/>
                      <w:sz w:val="21"/>
                      <w:szCs w:val="21"/>
                    </w:rPr>
                    <w:t>37.77</w:t>
                  </w:r>
                </w:p>
              </w:tc>
              <w:tc>
                <w:tcPr>
                  <w:tcW w:w="1029" w:type="dxa"/>
                  <w:vAlign w:val="center"/>
                </w:tcPr>
                <w:p w14:paraId="7FB01FFB">
                  <w:pPr>
                    <w:pStyle w:val="14"/>
                    <w:adjustRightInd w:val="0"/>
                    <w:spacing w:after="0" w:line="240" w:lineRule="auto"/>
                    <w:jc w:val="center"/>
                    <w:rPr>
                      <w:color w:val="auto"/>
                      <w:sz w:val="21"/>
                      <w:szCs w:val="21"/>
                    </w:rPr>
                  </w:pPr>
                  <w:r>
                    <w:rPr>
                      <w:rFonts w:hint="eastAsia"/>
                      <w:color w:val="auto"/>
                      <w:sz w:val="21"/>
                      <w:szCs w:val="21"/>
                    </w:rPr>
                    <w:t>51</w:t>
                  </w:r>
                </w:p>
              </w:tc>
              <w:tc>
                <w:tcPr>
                  <w:tcW w:w="1014" w:type="dxa"/>
                  <w:vAlign w:val="center"/>
                </w:tcPr>
                <w:p w14:paraId="22C7D79F">
                  <w:pPr>
                    <w:pStyle w:val="14"/>
                    <w:adjustRightInd w:val="0"/>
                    <w:spacing w:after="0" w:line="240" w:lineRule="auto"/>
                    <w:jc w:val="center"/>
                    <w:rPr>
                      <w:color w:val="auto"/>
                      <w:sz w:val="21"/>
                      <w:szCs w:val="21"/>
                    </w:rPr>
                  </w:pPr>
                  <w:r>
                    <w:rPr>
                      <w:rFonts w:hint="eastAsia"/>
                      <w:color w:val="auto"/>
                      <w:sz w:val="21"/>
                      <w:szCs w:val="21"/>
                    </w:rPr>
                    <w:t>51.2</w:t>
                  </w:r>
                </w:p>
              </w:tc>
              <w:tc>
                <w:tcPr>
                  <w:tcW w:w="1072" w:type="dxa"/>
                  <w:vAlign w:val="center"/>
                </w:tcPr>
                <w:p w14:paraId="67A7B6EA">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28212C24">
                  <w:pPr>
                    <w:pStyle w:val="14"/>
                    <w:adjustRightInd w:val="0"/>
                    <w:spacing w:after="0" w:line="240" w:lineRule="auto"/>
                    <w:jc w:val="center"/>
                    <w:rPr>
                      <w:color w:val="auto"/>
                      <w:sz w:val="21"/>
                      <w:szCs w:val="21"/>
                    </w:rPr>
                  </w:pPr>
                  <w:r>
                    <w:rPr>
                      <w:color w:val="auto"/>
                      <w:sz w:val="21"/>
                      <w:szCs w:val="21"/>
                    </w:rPr>
                    <w:t>达标</w:t>
                  </w:r>
                </w:p>
              </w:tc>
            </w:tr>
            <w:tr w14:paraId="549F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75C086C1">
                  <w:pPr>
                    <w:pStyle w:val="14"/>
                    <w:adjustRightInd w:val="0"/>
                    <w:spacing w:after="0" w:line="240" w:lineRule="auto"/>
                    <w:jc w:val="center"/>
                    <w:rPr>
                      <w:color w:val="auto"/>
                      <w:sz w:val="21"/>
                      <w:szCs w:val="21"/>
                    </w:rPr>
                  </w:pPr>
                </w:p>
              </w:tc>
              <w:tc>
                <w:tcPr>
                  <w:tcW w:w="802" w:type="dxa"/>
                  <w:vMerge w:val="continue"/>
                  <w:vAlign w:val="center"/>
                </w:tcPr>
                <w:p w14:paraId="75FE7F57">
                  <w:pPr>
                    <w:pStyle w:val="14"/>
                    <w:adjustRightInd w:val="0"/>
                    <w:spacing w:after="0" w:line="240" w:lineRule="auto"/>
                    <w:jc w:val="center"/>
                    <w:rPr>
                      <w:color w:val="auto"/>
                      <w:sz w:val="21"/>
                      <w:szCs w:val="21"/>
                    </w:rPr>
                  </w:pPr>
                </w:p>
              </w:tc>
              <w:tc>
                <w:tcPr>
                  <w:tcW w:w="802" w:type="dxa"/>
                  <w:vMerge w:val="continue"/>
                  <w:vAlign w:val="center"/>
                </w:tcPr>
                <w:p w14:paraId="3F6815BB">
                  <w:pPr>
                    <w:pStyle w:val="14"/>
                    <w:adjustRightInd w:val="0"/>
                    <w:spacing w:after="0" w:line="240" w:lineRule="auto"/>
                    <w:jc w:val="center"/>
                    <w:rPr>
                      <w:color w:val="auto"/>
                      <w:sz w:val="21"/>
                      <w:szCs w:val="21"/>
                    </w:rPr>
                  </w:pPr>
                </w:p>
              </w:tc>
              <w:tc>
                <w:tcPr>
                  <w:tcW w:w="592" w:type="dxa"/>
                  <w:vMerge w:val="continue"/>
                  <w:vAlign w:val="center"/>
                </w:tcPr>
                <w:p w14:paraId="17167AC8">
                  <w:pPr>
                    <w:pStyle w:val="14"/>
                    <w:adjustRightInd w:val="0"/>
                    <w:spacing w:after="0" w:line="240" w:lineRule="auto"/>
                    <w:jc w:val="center"/>
                    <w:rPr>
                      <w:color w:val="auto"/>
                      <w:sz w:val="21"/>
                      <w:szCs w:val="21"/>
                    </w:rPr>
                  </w:pPr>
                </w:p>
              </w:tc>
              <w:tc>
                <w:tcPr>
                  <w:tcW w:w="680" w:type="dxa"/>
                  <w:vAlign w:val="center"/>
                </w:tcPr>
                <w:p w14:paraId="547107F2">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0F4ABF16">
                  <w:pPr>
                    <w:pStyle w:val="14"/>
                    <w:adjustRightInd w:val="0"/>
                    <w:spacing w:after="0" w:line="240" w:lineRule="auto"/>
                    <w:jc w:val="center"/>
                    <w:rPr>
                      <w:color w:val="auto"/>
                      <w:sz w:val="21"/>
                      <w:szCs w:val="21"/>
                    </w:rPr>
                  </w:pPr>
                  <w:r>
                    <w:rPr>
                      <w:rFonts w:hint="eastAsia"/>
                      <w:color w:val="auto"/>
                      <w:sz w:val="21"/>
                      <w:szCs w:val="21"/>
                    </w:rPr>
                    <w:t>37.77</w:t>
                  </w:r>
                </w:p>
              </w:tc>
              <w:tc>
                <w:tcPr>
                  <w:tcW w:w="1029" w:type="dxa"/>
                  <w:vAlign w:val="center"/>
                </w:tcPr>
                <w:p w14:paraId="41915F3F">
                  <w:pPr>
                    <w:pStyle w:val="14"/>
                    <w:adjustRightInd w:val="0"/>
                    <w:spacing w:after="0" w:line="240" w:lineRule="auto"/>
                    <w:jc w:val="center"/>
                    <w:rPr>
                      <w:color w:val="auto"/>
                      <w:sz w:val="21"/>
                      <w:szCs w:val="21"/>
                    </w:rPr>
                  </w:pPr>
                  <w:r>
                    <w:rPr>
                      <w:rFonts w:hint="eastAsia"/>
                      <w:color w:val="auto"/>
                      <w:sz w:val="21"/>
                      <w:szCs w:val="21"/>
                    </w:rPr>
                    <w:t>40</w:t>
                  </w:r>
                </w:p>
              </w:tc>
              <w:tc>
                <w:tcPr>
                  <w:tcW w:w="1014" w:type="dxa"/>
                  <w:vAlign w:val="center"/>
                </w:tcPr>
                <w:p w14:paraId="00FFCCD5">
                  <w:pPr>
                    <w:pStyle w:val="14"/>
                    <w:adjustRightInd w:val="0"/>
                    <w:spacing w:after="0" w:line="240" w:lineRule="auto"/>
                    <w:jc w:val="center"/>
                    <w:rPr>
                      <w:color w:val="auto"/>
                      <w:sz w:val="21"/>
                      <w:szCs w:val="21"/>
                    </w:rPr>
                  </w:pPr>
                  <w:r>
                    <w:rPr>
                      <w:rFonts w:hint="eastAsia"/>
                      <w:color w:val="auto"/>
                      <w:sz w:val="21"/>
                      <w:szCs w:val="21"/>
                    </w:rPr>
                    <w:t>42.04</w:t>
                  </w:r>
                </w:p>
              </w:tc>
              <w:tc>
                <w:tcPr>
                  <w:tcW w:w="1072" w:type="dxa"/>
                  <w:vAlign w:val="center"/>
                </w:tcPr>
                <w:p w14:paraId="7061ABCB">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6E086F39">
                  <w:pPr>
                    <w:pStyle w:val="14"/>
                    <w:adjustRightInd w:val="0"/>
                    <w:spacing w:after="0" w:line="240" w:lineRule="auto"/>
                    <w:jc w:val="center"/>
                    <w:rPr>
                      <w:color w:val="auto"/>
                      <w:sz w:val="21"/>
                      <w:szCs w:val="21"/>
                    </w:rPr>
                  </w:pPr>
                  <w:r>
                    <w:rPr>
                      <w:color w:val="auto"/>
                      <w:sz w:val="21"/>
                      <w:szCs w:val="21"/>
                    </w:rPr>
                    <w:t>达标</w:t>
                  </w:r>
                </w:p>
              </w:tc>
            </w:tr>
            <w:tr w14:paraId="1F79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13648D27">
                  <w:pPr>
                    <w:pStyle w:val="14"/>
                    <w:adjustRightInd w:val="0"/>
                    <w:spacing w:after="0" w:line="240" w:lineRule="auto"/>
                    <w:jc w:val="center"/>
                    <w:rPr>
                      <w:color w:val="auto"/>
                      <w:sz w:val="21"/>
                      <w:szCs w:val="21"/>
                    </w:rPr>
                  </w:pPr>
                  <w:r>
                    <w:rPr>
                      <w:rFonts w:hint="eastAsia"/>
                      <w:color w:val="auto"/>
                      <w:sz w:val="21"/>
                      <w:szCs w:val="21"/>
                    </w:rPr>
                    <w:t>东厂界</w:t>
                  </w:r>
                </w:p>
              </w:tc>
              <w:tc>
                <w:tcPr>
                  <w:tcW w:w="802" w:type="dxa"/>
                  <w:vMerge w:val="restart"/>
                  <w:vAlign w:val="center"/>
                </w:tcPr>
                <w:p w14:paraId="1387DC40">
                  <w:pPr>
                    <w:pStyle w:val="14"/>
                    <w:adjustRightInd w:val="0"/>
                    <w:spacing w:after="0" w:line="240" w:lineRule="auto"/>
                    <w:jc w:val="center"/>
                    <w:rPr>
                      <w:color w:val="auto"/>
                      <w:sz w:val="21"/>
                      <w:szCs w:val="21"/>
                    </w:rPr>
                  </w:pPr>
                  <w:r>
                    <w:rPr>
                      <w:rFonts w:hint="eastAsia"/>
                      <w:color w:val="auto"/>
                      <w:sz w:val="21"/>
                      <w:szCs w:val="21"/>
                    </w:rPr>
                    <w:t>53.36</w:t>
                  </w:r>
                </w:p>
              </w:tc>
              <w:tc>
                <w:tcPr>
                  <w:tcW w:w="802" w:type="dxa"/>
                  <w:vMerge w:val="restart"/>
                  <w:vAlign w:val="center"/>
                </w:tcPr>
                <w:p w14:paraId="5E1936E0">
                  <w:pPr>
                    <w:pStyle w:val="14"/>
                    <w:adjustRightInd w:val="0"/>
                    <w:spacing w:after="0" w:line="240" w:lineRule="auto"/>
                    <w:jc w:val="center"/>
                    <w:rPr>
                      <w:color w:val="auto"/>
                      <w:sz w:val="21"/>
                      <w:szCs w:val="21"/>
                    </w:rPr>
                  </w:pPr>
                  <w:r>
                    <w:rPr>
                      <w:rFonts w:hint="eastAsia"/>
                      <w:color w:val="auto"/>
                      <w:sz w:val="21"/>
                      <w:szCs w:val="21"/>
                    </w:rPr>
                    <w:t>68.99</w:t>
                  </w:r>
                </w:p>
              </w:tc>
              <w:tc>
                <w:tcPr>
                  <w:tcW w:w="592" w:type="dxa"/>
                  <w:vMerge w:val="restart"/>
                  <w:vAlign w:val="center"/>
                </w:tcPr>
                <w:p w14:paraId="085B0EFD">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285AAAB2">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39533DA4">
                  <w:pPr>
                    <w:pStyle w:val="14"/>
                    <w:adjustRightInd w:val="0"/>
                    <w:spacing w:after="0" w:line="240" w:lineRule="auto"/>
                    <w:jc w:val="center"/>
                    <w:rPr>
                      <w:color w:val="auto"/>
                      <w:sz w:val="21"/>
                      <w:szCs w:val="21"/>
                    </w:rPr>
                  </w:pPr>
                  <w:r>
                    <w:rPr>
                      <w:rFonts w:hint="eastAsia"/>
                      <w:color w:val="auto"/>
                      <w:sz w:val="21"/>
                      <w:szCs w:val="21"/>
                    </w:rPr>
                    <w:t>36.13</w:t>
                  </w:r>
                </w:p>
              </w:tc>
              <w:tc>
                <w:tcPr>
                  <w:tcW w:w="1029" w:type="dxa"/>
                  <w:vAlign w:val="center"/>
                </w:tcPr>
                <w:p w14:paraId="4970814A">
                  <w:pPr>
                    <w:pStyle w:val="14"/>
                    <w:adjustRightInd w:val="0"/>
                    <w:spacing w:after="0" w:line="240" w:lineRule="auto"/>
                    <w:jc w:val="center"/>
                    <w:rPr>
                      <w:color w:val="auto"/>
                      <w:sz w:val="21"/>
                      <w:szCs w:val="21"/>
                    </w:rPr>
                  </w:pPr>
                  <w:r>
                    <w:rPr>
                      <w:rFonts w:hint="eastAsia"/>
                      <w:color w:val="auto"/>
                      <w:sz w:val="21"/>
                      <w:szCs w:val="21"/>
                    </w:rPr>
                    <w:t>50</w:t>
                  </w:r>
                </w:p>
              </w:tc>
              <w:tc>
                <w:tcPr>
                  <w:tcW w:w="1014" w:type="dxa"/>
                  <w:vAlign w:val="center"/>
                </w:tcPr>
                <w:p w14:paraId="7C1CBD02">
                  <w:pPr>
                    <w:pStyle w:val="14"/>
                    <w:adjustRightInd w:val="0"/>
                    <w:spacing w:after="0" w:line="240" w:lineRule="auto"/>
                    <w:jc w:val="center"/>
                    <w:rPr>
                      <w:color w:val="auto"/>
                      <w:sz w:val="21"/>
                      <w:szCs w:val="21"/>
                    </w:rPr>
                  </w:pPr>
                  <w:r>
                    <w:rPr>
                      <w:rFonts w:hint="eastAsia"/>
                      <w:color w:val="auto"/>
                      <w:sz w:val="21"/>
                      <w:szCs w:val="21"/>
                    </w:rPr>
                    <w:t>50.17</w:t>
                  </w:r>
                </w:p>
              </w:tc>
              <w:tc>
                <w:tcPr>
                  <w:tcW w:w="1072" w:type="dxa"/>
                  <w:vAlign w:val="center"/>
                </w:tcPr>
                <w:p w14:paraId="758C00B7">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17046A96">
                  <w:pPr>
                    <w:pStyle w:val="14"/>
                    <w:adjustRightInd w:val="0"/>
                    <w:spacing w:after="0" w:line="240" w:lineRule="auto"/>
                    <w:jc w:val="center"/>
                    <w:rPr>
                      <w:color w:val="auto"/>
                      <w:sz w:val="21"/>
                      <w:szCs w:val="21"/>
                    </w:rPr>
                  </w:pPr>
                  <w:r>
                    <w:rPr>
                      <w:color w:val="auto"/>
                      <w:sz w:val="21"/>
                      <w:szCs w:val="21"/>
                    </w:rPr>
                    <w:t>达标</w:t>
                  </w:r>
                </w:p>
              </w:tc>
            </w:tr>
            <w:tr w14:paraId="3B25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1E6B6036">
                  <w:pPr>
                    <w:pStyle w:val="14"/>
                    <w:adjustRightInd w:val="0"/>
                    <w:spacing w:after="0" w:line="240" w:lineRule="auto"/>
                    <w:jc w:val="center"/>
                    <w:rPr>
                      <w:color w:val="auto"/>
                      <w:sz w:val="21"/>
                      <w:szCs w:val="21"/>
                    </w:rPr>
                  </w:pPr>
                </w:p>
              </w:tc>
              <w:tc>
                <w:tcPr>
                  <w:tcW w:w="802" w:type="dxa"/>
                  <w:vMerge w:val="continue"/>
                  <w:vAlign w:val="center"/>
                </w:tcPr>
                <w:p w14:paraId="1856B73C">
                  <w:pPr>
                    <w:pStyle w:val="14"/>
                    <w:adjustRightInd w:val="0"/>
                    <w:spacing w:after="0" w:line="240" w:lineRule="auto"/>
                    <w:jc w:val="center"/>
                    <w:rPr>
                      <w:color w:val="auto"/>
                      <w:sz w:val="21"/>
                      <w:szCs w:val="21"/>
                    </w:rPr>
                  </w:pPr>
                </w:p>
              </w:tc>
              <w:tc>
                <w:tcPr>
                  <w:tcW w:w="802" w:type="dxa"/>
                  <w:vMerge w:val="continue"/>
                  <w:vAlign w:val="center"/>
                </w:tcPr>
                <w:p w14:paraId="51C03470">
                  <w:pPr>
                    <w:pStyle w:val="14"/>
                    <w:adjustRightInd w:val="0"/>
                    <w:spacing w:after="0" w:line="240" w:lineRule="auto"/>
                    <w:jc w:val="center"/>
                    <w:rPr>
                      <w:color w:val="auto"/>
                      <w:sz w:val="21"/>
                      <w:szCs w:val="21"/>
                    </w:rPr>
                  </w:pPr>
                </w:p>
              </w:tc>
              <w:tc>
                <w:tcPr>
                  <w:tcW w:w="592" w:type="dxa"/>
                  <w:vMerge w:val="continue"/>
                  <w:vAlign w:val="center"/>
                </w:tcPr>
                <w:p w14:paraId="55A89D01">
                  <w:pPr>
                    <w:pStyle w:val="14"/>
                    <w:adjustRightInd w:val="0"/>
                    <w:spacing w:after="0" w:line="240" w:lineRule="auto"/>
                    <w:jc w:val="center"/>
                    <w:rPr>
                      <w:color w:val="auto"/>
                      <w:sz w:val="21"/>
                      <w:szCs w:val="21"/>
                    </w:rPr>
                  </w:pPr>
                </w:p>
              </w:tc>
              <w:tc>
                <w:tcPr>
                  <w:tcW w:w="680" w:type="dxa"/>
                  <w:vAlign w:val="center"/>
                </w:tcPr>
                <w:p w14:paraId="409C13EB">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3EB4EF12">
                  <w:pPr>
                    <w:pStyle w:val="14"/>
                    <w:adjustRightInd w:val="0"/>
                    <w:spacing w:after="0" w:line="240" w:lineRule="auto"/>
                    <w:jc w:val="center"/>
                    <w:rPr>
                      <w:color w:val="auto"/>
                      <w:sz w:val="21"/>
                      <w:szCs w:val="21"/>
                    </w:rPr>
                  </w:pPr>
                  <w:r>
                    <w:rPr>
                      <w:rFonts w:hint="eastAsia"/>
                      <w:color w:val="auto"/>
                      <w:sz w:val="21"/>
                      <w:szCs w:val="21"/>
                    </w:rPr>
                    <w:t>36.13</w:t>
                  </w:r>
                </w:p>
              </w:tc>
              <w:tc>
                <w:tcPr>
                  <w:tcW w:w="1029" w:type="dxa"/>
                  <w:vAlign w:val="center"/>
                </w:tcPr>
                <w:p w14:paraId="3E445111">
                  <w:pPr>
                    <w:pStyle w:val="14"/>
                    <w:adjustRightInd w:val="0"/>
                    <w:spacing w:after="0" w:line="240" w:lineRule="auto"/>
                    <w:jc w:val="center"/>
                    <w:rPr>
                      <w:color w:val="auto"/>
                      <w:sz w:val="21"/>
                      <w:szCs w:val="21"/>
                    </w:rPr>
                  </w:pPr>
                  <w:r>
                    <w:rPr>
                      <w:rFonts w:hint="eastAsia"/>
                      <w:color w:val="auto"/>
                      <w:sz w:val="21"/>
                      <w:szCs w:val="21"/>
                    </w:rPr>
                    <w:t>39</w:t>
                  </w:r>
                </w:p>
              </w:tc>
              <w:tc>
                <w:tcPr>
                  <w:tcW w:w="1014" w:type="dxa"/>
                  <w:vAlign w:val="center"/>
                </w:tcPr>
                <w:p w14:paraId="5DE6D69C">
                  <w:pPr>
                    <w:pStyle w:val="14"/>
                    <w:adjustRightInd w:val="0"/>
                    <w:spacing w:after="0" w:line="240" w:lineRule="auto"/>
                    <w:jc w:val="center"/>
                    <w:rPr>
                      <w:color w:val="auto"/>
                      <w:sz w:val="21"/>
                      <w:szCs w:val="21"/>
                    </w:rPr>
                  </w:pPr>
                  <w:r>
                    <w:rPr>
                      <w:rFonts w:hint="eastAsia"/>
                      <w:color w:val="auto"/>
                      <w:sz w:val="21"/>
                      <w:szCs w:val="21"/>
                    </w:rPr>
                    <w:t>39</w:t>
                  </w:r>
                </w:p>
              </w:tc>
              <w:tc>
                <w:tcPr>
                  <w:tcW w:w="1072" w:type="dxa"/>
                  <w:vAlign w:val="center"/>
                </w:tcPr>
                <w:p w14:paraId="7BC40BEA">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2B0A09C5">
                  <w:pPr>
                    <w:pStyle w:val="14"/>
                    <w:adjustRightInd w:val="0"/>
                    <w:spacing w:after="0" w:line="240" w:lineRule="auto"/>
                    <w:jc w:val="center"/>
                    <w:rPr>
                      <w:color w:val="auto"/>
                      <w:sz w:val="21"/>
                      <w:szCs w:val="21"/>
                    </w:rPr>
                  </w:pPr>
                  <w:r>
                    <w:rPr>
                      <w:rFonts w:hint="eastAsia"/>
                      <w:color w:val="auto"/>
                      <w:sz w:val="21"/>
                      <w:szCs w:val="21"/>
                    </w:rPr>
                    <w:t>达标</w:t>
                  </w:r>
                </w:p>
              </w:tc>
            </w:tr>
            <w:tr w14:paraId="232B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2958728C">
                  <w:pPr>
                    <w:pStyle w:val="14"/>
                    <w:adjustRightInd w:val="0"/>
                    <w:spacing w:after="0" w:line="240" w:lineRule="auto"/>
                    <w:jc w:val="center"/>
                    <w:rPr>
                      <w:color w:val="auto"/>
                      <w:sz w:val="21"/>
                      <w:szCs w:val="21"/>
                    </w:rPr>
                  </w:pPr>
                  <w:r>
                    <w:rPr>
                      <w:rFonts w:hint="eastAsia"/>
                      <w:color w:val="auto"/>
                      <w:sz w:val="21"/>
                      <w:szCs w:val="21"/>
                    </w:rPr>
                    <w:t>南厂界</w:t>
                  </w:r>
                </w:p>
              </w:tc>
              <w:tc>
                <w:tcPr>
                  <w:tcW w:w="802" w:type="dxa"/>
                  <w:vMerge w:val="restart"/>
                  <w:vAlign w:val="center"/>
                </w:tcPr>
                <w:p w14:paraId="412F351C">
                  <w:pPr>
                    <w:pStyle w:val="14"/>
                    <w:adjustRightInd w:val="0"/>
                    <w:spacing w:after="0" w:line="240" w:lineRule="auto"/>
                    <w:jc w:val="center"/>
                    <w:rPr>
                      <w:color w:val="auto"/>
                      <w:sz w:val="21"/>
                      <w:szCs w:val="21"/>
                    </w:rPr>
                  </w:pPr>
                  <w:r>
                    <w:rPr>
                      <w:rFonts w:hint="eastAsia"/>
                      <w:color w:val="auto"/>
                      <w:sz w:val="21"/>
                      <w:szCs w:val="21"/>
                    </w:rPr>
                    <w:t>53.93</w:t>
                  </w:r>
                </w:p>
              </w:tc>
              <w:tc>
                <w:tcPr>
                  <w:tcW w:w="802" w:type="dxa"/>
                  <w:vMerge w:val="restart"/>
                  <w:vAlign w:val="center"/>
                </w:tcPr>
                <w:p w14:paraId="4B153B41">
                  <w:pPr>
                    <w:pStyle w:val="14"/>
                    <w:adjustRightInd w:val="0"/>
                    <w:spacing w:after="0" w:line="240" w:lineRule="auto"/>
                    <w:jc w:val="center"/>
                    <w:rPr>
                      <w:color w:val="auto"/>
                      <w:sz w:val="21"/>
                      <w:szCs w:val="21"/>
                    </w:rPr>
                  </w:pPr>
                  <w:r>
                    <w:rPr>
                      <w:rFonts w:hint="eastAsia"/>
                      <w:color w:val="auto"/>
                      <w:sz w:val="21"/>
                      <w:szCs w:val="21"/>
                    </w:rPr>
                    <w:t>36.75</w:t>
                  </w:r>
                </w:p>
              </w:tc>
              <w:tc>
                <w:tcPr>
                  <w:tcW w:w="592" w:type="dxa"/>
                  <w:vMerge w:val="restart"/>
                  <w:vAlign w:val="center"/>
                </w:tcPr>
                <w:p w14:paraId="088EFC6A">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70763324">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0194D49B">
                  <w:pPr>
                    <w:pStyle w:val="14"/>
                    <w:adjustRightInd w:val="0"/>
                    <w:spacing w:after="0" w:line="240" w:lineRule="auto"/>
                    <w:jc w:val="center"/>
                    <w:rPr>
                      <w:color w:val="auto"/>
                      <w:sz w:val="21"/>
                      <w:szCs w:val="21"/>
                    </w:rPr>
                  </w:pPr>
                  <w:r>
                    <w:rPr>
                      <w:rFonts w:hint="eastAsia"/>
                      <w:color w:val="auto"/>
                      <w:sz w:val="21"/>
                      <w:szCs w:val="21"/>
                    </w:rPr>
                    <w:t>48.44</w:t>
                  </w:r>
                </w:p>
              </w:tc>
              <w:tc>
                <w:tcPr>
                  <w:tcW w:w="1029" w:type="dxa"/>
                  <w:vAlign w:val="center"/>
                </w:tcPr>
                <w:p w14:paraId="45AD00C5">
                  <w:pPr>
                    <w:pStyle w:val="14"/>
                    <w:adjustRightInd w:val="0"/>
                    <w:spacing w:after="0" w:line="240" w:lineRule="auto"/>
                    <w:jc w:val="center"/>
                    <w:rPr>
                      <w:color w:val="auto"/>
                      <w:sz w:val="21"/>
                      <w:szCs w:val="21"/>
                    </w:rPr>
                  </w:pPr>
                  <w:r>
                    <w:rPr>
                      <w:rFonts w:hint="eastAsia"/>
                      <w:color w:val="auto"/>
                      <w:sz w:val="21"/>
                      <w:szCs w:val="21"/>
                    </w:rPr>
                    <w:t>51</w:t>
                  </w:r>
                </w:p>
              </w:tc>
              <w:tc>
                <w:tcPr>
                  <w:tcW w:w="1014" w:type="dxa"/>
                  <w:vAlign w:val="center"/>
                </w:tcPr>
                <w:p w14:paraId="190363D4">
                  <w:pPr>
                    <w:pStyle w:val="14"/>
                    <w:adjustRightInd w:val="0"/>
                    <w:spacing w:after="0" w:line="240" w:lineRule="auto"/>
                    <w:jc w:val="center"/>
                    <w:rPr>
                      <w:color w:val="auto"/>
                      <w:sz w:val="21"/>
                      <w:szCs w:val="21"/>
                    </w:rPr>
                  </w:pPr>
                  <w:r>
                    <w:rPr>
                      <w:rFonts w:hint="eastAsia"/>
                      <w:color w:val="auto"/>
                      <w:sz w:val="21"/>
                      <w:szCs w:val="21"/>
                    </w:rPr>
                    <w:t>52.92</w:t>
                  </w:r>
                </w:p>
              </w:tc>
              <w:tc>
                <w:tcPr>
                  <w:tcW w:w="1072" w:type="dxa"/>
                  <w:vAlign w:val="center"/>
                </w:tcPr>
                <w:p w14:paraId="32198E4A">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1974714C">
                  <w:pPr>
                    <w:pStyle w:val="14"/>
                    <w:adjustRightInd w:val="0"/>
                    <w:spacing w:after="0" w:line="240" w:lineRule="auto"/>
                    <w:jc w:val="center"/>
                    <w:rPr>
                      <w:color w:val="auto"/>
                      <w:sz w:val="21"/>
                      <w:szCs w:val="21"/>
                    </w:rPr>
                  </w:pPr>
                  <w:r>
                    <w:rPr>
                      <w:color w:val="auto"/>
                      <w:sz w:val="21"/>
                      <w:szCs w:val="21"/>
                    </w:rPr>
                    <w:t>达标</w:t>
                  </w:r>
                </w:p>
              </w:tc>
            </w:tr>
            <w:tr w14:paraId="5599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48259C66">
                  <w:pPr>
                    <w:pStyle w:val="14"/>
                    <w:adjustRightInd w:val="0"/>
                    <w:spacing w:after="0" w:line="240" w:lineRule="auto"/>
                    <w:jc w:val="center"/>
                    <w:rPr>
                      <w:color w:val="auto"/>
                      <w:sz w:val="21"/>
                      <w:szCs w:val="21"/>
                    </w:rPr>
                  </w:pPr>
                </w:p>
              </w:tc>
              <w:tc>
                <w:tcPr>
                  <w:tcW w:w="802" w:type="dxa"/>
                  <w:vMerge w:val="continue"/>
                  <w:vAlign w:val="center"/>
                </w:tcPr>
                <w:p w14:paraId="65EDCB38">
                  <w:pPr>
                    <w:pStyle w:val="14"/>
                    <w:adjustRightInd w:val="0"/>
                    <w:spacing w:after="0" w:line="240" w:lineRule="auto"/>
                    <w:jc w:val="center"/>
                    <w:rPr>
                      <w:color w:val="auto"/>
                      <w:sz w:val="21"/>
                      <w:szCs w:val="21"/>
                    </w:rPr>
                  </w:pPr>
                </w:p>
              </w:tc>
              <w:tc>
                <w:tcPr>
                  <w:tcW w:w="802" w:type="dxa"/>
                  <w:vMerge w:val="continue"/>
                  <w:vAlign w:val="center"/>
                </w:tcPr>
                <w:p w14:paraId="6E9A1F33">
                  <w:pPr>
                    <w:pStyle w:val="14"/>
                    <w:adjustRightInd w:val="0"/>
                    <w:spacing w:after="0" w:line="240" w:lineRule="auto"/>
                    <w:jc w:val="center"/>
                    <w:rPr>
                      <w:color w:val="auto"/>
                      <w:sz w:val="21"/>
                      <w:szCs w:val="21"/>
                    </w:rPr>
                  </w:pPr>
                </w:p>
              </w:tc>
              <w:tc>
                <w:tcPr>
                  <w:tcW w:w="592" w:type="dxa"/>
                  <w:vMerge w:val="continue"/>
                  <w:vAlign w:val="center"/>
                </w:tcPr>
                <w:p w14:paraId="29ABCB09">
                  <w:pPr>
                    <w:pStyle w:val="14"/>
                    <w:adjustRightInd w:val="0"/>
                    <w:spacing w:after="0" w:line="240" w:lineRule="auto"/>
                    <w:jc w:val="center"/>
                    <w:rPr>
                      <w:color w:val="auto"/>
                      <w:sz w:val="21"/>
                      <w:szCs w:val="21"/>
                    </w:rPr>
                  </w:pPr>
                </w:p>
              </w:tc>
              <w:tc>
                <w:tcPr>
                  <w:tcW w:w="680" w:type="dxa"/>
                  <w:vAlign w:val="center"/>
                </w:tcPr>
                <w:p w14:paraId="3E98D423">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080F2194">
                  <w:pPr>
                    <w:pStyle w:val="14"/>
                    <w:adjustRightInd w:val="0"/>
                    <w:spacing w:after="0" w:line="240" w:lineRule="auto"/>
                    <w:jc w:val="center"/>
                    <w:rPr>
                      <w:color w:val="auto"/>
                      <w:sz w:val="21"/>
                      <w:szCs w:val="21"/>
                    </w:rPr>
                  </w:pPr>
                  <w:r>
                    <w:rPr>
                      <w:rFonts w:hint="eastAsia"/>
                      <w:color w:val="auto"/>
                      <w:sz w:val="21"/>
                      <w:szCs w:val="21"/>
                    </w:rPr>
                    <w:t>48.44</w:t>
                  </w:r>
                </w:p>
              </w:tc>
              <w:tc>
                <w:tcPr>
                  <w:tcW w:w="1029" w:type="dxa"/>
                  <w:vAlign w:val="center"/>
                </w:tcPr>
                <w:p w14:paraId="4787DC98">
                  <w:pPr>
                    <w:pStyle w:val="14"/>
                    <w:adjustRightInd w:val="0"/>
                    <w:spacing w:after="0" w:line="240" w:lineRule="auto"/>
                    <w:jc w:val="center"/>
                    <w:rPr>
                      <w:color w:val="auto"/>
                      <w:sz w:val="21"/>
                      <w:szCs w:val="21"/>
                    </w:rPr>
                  </w:pPr>
                  <w:r>
                    <w:rPr>
                      <w:rFonts w:hint="eastAsia"/>
                      <w:color w:val="auto"/>
                      <w:sz w:val="21"/>
                      <w:szCs w:val="21"/>
                    </w:rPr>
                    <w:t>41</w:t>
                  </w:r>
                </w:p>
              </w:tc>
              <w:tc>
                <w:tcPr>
                  <w:tcW w:w="1014" w:type="dxa"/>
                  <w:vAlign w:val="center"/>
                </w:tcPr>
                <w:p w14:paraId="4226850A">
                  <w:pPr>
                    <w:pStyle w:val="14"/>
                    <w:adjustRightInd w:val="0"/>
                    <w:spacing w:after="0" w:line="240" w:lineRule="auto"/>
                    <w:jc w:val="center"/>
                    <w:rPr>
                      <w:color w:val="auto"/>
                      <w:sz w:val="21"/>
                      <w:szCs w:val="21"/>
                    </w:rPr>
                  </w:pPr>
                  <w:r>
                    <w:rPr>
                      <w:rFonts w:hint="eastAsia"/>
                      <w:color w:val="auto"/>
                      <w:sz w:val="21"/>
                      <w:szCs w:val="21"/>
                    </w:rPr>
                    <w:t>49.16</w:t>
                  </w:r>
                </w:p>
              </w:tc>
              <w:tc>
                <w:tcPr>
                  <w:tcW w:w="1072" w:type="dxa"/>
                  <w:vAlign w:val="center"/>
                </w:tcPr>
                <w:p w14:paraId="5ACAB7F5">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2E001E5A">
                  <w:pPr>
                    <w:pStyle w:val="14"/>
                    <w:adjustRightInd w:val="0"/>
                    <w:spacing w:after="0" w:line="240" w:lineRule="auto"/>
                    <w:jc w:val="center"/>
                    <w:rPr>
                      <w:color w:val="auto"/>
                      <w:sz w:val="21"/>
                      <w:szCs w:val="21"/>
                    </w:rPr>
                  </w:pPr>
                  <w:r>
                    <w:rPr>
                      <w:color w:val="auto"/>
                      <w:sz w:val="21"/>
                      <w:szCs w:val="21"/>
                    </w:rPr>
                    <w:t>达标</w:t>
                  </w:r>
                </w:p>
              </w:tc>
            </w:tr>
            <w:tr w14:paraId="5DE6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70B47C75">
                  <w:pPr>
                    <w:pStyle w:val="14"/>
                    <w:adjustRightInd w:val="0"/>
                    <w:spacing w:after="0" w:line="240" w:lineRule="auto"/>
                    <w:jc w:val="center"/>
                    <w:rPr>
                      <w:color w:val="auto"/>
                      <w:sz w:val="21"/>
                      <w:szCs w:val="21"/>
                    </w:rPr>
                  </w:pPr>
                  <w:r>
                    <w:rPr>
                      <w:rFonts w:hint="eastAsia"/>
                      <w:color w:val="auto"/>
                      <w:sz w:val="21"/>
                      <w:szCs w:val="21"/>
                    </w:rPr>
                    <w:t>北厂界</w:t>
                  </w:r>
                </w:p>
              </w:tc>
              <w:tc>
                <w:tcPr>
                  <w:tcW w:w="802" w:type="dxa"/>
                  <w:vMerge w:val="restart"/>
                  <w:vAlign w:val="center"/>
                </w:tcPr>
                <w:p w14:paraId="571798E7">
                  <w:pPr>
                    <w:pStyle w:val="14"/>
                    <w:adjustRightInd w:val="0"/>
                    <w:spacing w:after="0" w:line="240" w:lineRule="auto"/>
                    <w:jc w:val="center"/>
                    <w:rPr>
                      <w:color w:val="auto"/>
                      <w:sz w:val="21"/>
                      <w:szCs w:val="21"/>
                    </w:rPr>
                  </w:pPr>
                  <w:r>
                    <w:rPr>
                      <w:rFonts w:hint="eastAsia"/>
                      <w:color w:val="auto"/>
                      <w:sz w:val="21"/>
                      <w:szCs w:val="21"/>
                    </w:rPr>
                    <w:t>21.69</w:t>
                  </w:r>
                </w:p>
              </w:tc>
              <w:tc>
                <w:tcPr>
                  <w:tcW w:w="802" w:type="dxa"/>
                  <w:vMerge w:val="restart"/>
                  <w:vAlign w:val="center"/>
                </w:tcPr>
                <w:p w14:paraId="3F51AE42">
                  <w:pPr>
                    <w:pStyle w:val="14"/>
                    <w:adjustRightInd w:val="0"/>
                    <w:spacing w:after="0" w:line="240" w:lineRule="auto"/>
                    <w:jc w:val="center"/>
                    <w:rPr>
                      <w:color w:val="auto"/>
                      <w:sz w:val="21"/>
                      <w:szCs w:val="21"/>
                    </w:rPr>
                  </w:pPr>
                  <w:r>
                    <w:rPr>
                      <w:rFonts w:hint="eastAsia"/>
                      <w:color w:val="auto"/>
                      <w:sz w:val="21"/>
                      <w:szCs w:val="21"/>
                    </w:rPr>
                    <w:t>79.10</w:t>
                  </w:r>
                </w:p>
              </w:tc>
              <w:tc>
                <w:tcPr>
                  <w:tcW w:w="592" w:type="dxa"/>
                  <w:vMerge w:val="restart"/>
                  <w:vAlign w:val="center"/>
                </w:tcPr>
                <w:p w14:paraId="3B96F9BC">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29F78062">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1704F656">
                  <w:pPr>
                    <w:pStyle w:val="14"/>
                    <w:adjustRightInd w:val="0"/>
                    <w:spacing w:after="0" w:line="240" w:lineRule="auto"/>
                    <w:jc w:val="center"/>
                    <w:rPr>
                      <w:color w:val="auto"/>
                      <w:sz w:val="21"/>
                      <w:szCs w:val="21"/>
                    </w:rPr>
                  </w:pPr>
                  <w:r>
                    <w:rPr>
                      <w:rFonts w:hint="eastAsia"/>
                      <w:color w:val="auto"/>
                      <w:sz w:val="21"/>
                      <w:szCs w:val="21"/>
                    </w:rPr>
                    <w:t>8.83</w:t>
                  </w:r>
                </w:p>
              </w:tc>
              <w:tc>
                <w:tcPr>
                  <w:tcW w:w="1029" w:type="dxa"/>
                  <w:vAlign w:val="center"/>
                </w:tcPr>
                <w:p w14:paraId="346B06B4">
                  <w:pPr>
                    <w:pStyle w:val="14"/>
                    <w:adjustRightInd w:val="0"/>
                    <w:spacing w:after="0" w:line="240" w:lineRule="auto"/>
                    <w:jc w:val="center"/>
                    <w:rPr>
                      <w:color w:val="auto"/>
                      <w:sz w:val="21"/>
                      <w:szCs w:val="21"/>
                    </w:rPr>
                  </w:pPr>
                  <w:r>
                    <w:rPr>
                      <w:rFonts w:hint="eastAsia"/>
                      <w:color w:val="auto"/>
                      <w:sz w:val="21"/>
                      <w:szCs w:val="21"/>
                    </w:rPr>
                    <w:t>49</w:t>
                  </w:r>
                </w:p>
              </w:tc>
              <w:tc>
                <w:tcPr>
                  <w:tcW w:w="1014" w:type="dxa"/>
                  <w:vAlign w:val="center"/>
                </w:tcPr>
                <w:p w14:paraId="08ECE97B">
                  <w:pPr>
                    <w:pStyle w:val="14"/>
                    <w:adjustRightInd w:val="0"/>
                    <w:spacing w:after="0" w:line="240" w:lineRule="auto"/>
                    <w:jc w:val="center"/>
                    <w:rPr>
                      <w:color w:val="auto"/>
                      <w:sz w:val="21"/>
                      <w:szCs w:val="21"/>
                    </w:rPr>
                  </w:pPr>
                  <w:r>
                    <w:rPr>
                      <w:rFonts w:hint="eastAsia"/>
                      <w:color w:val="auto"/>
                      <w:sz w:val="21"/>
                      <w:szCs w:val="21"/>
                    </w:rPr>
                    <w:t>49</w:t>
                  </w:r>
                </w:p>
              </w:tc>
              <w:tc>
                <w:tcPr>
                  <w:tcW w:w="1072" w:type="dxa"/>
                  <w:vAlign w:val="center"/>
                </w:tcPr>
                <w:p w14:paraId="03C5CF1B">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56A6F3DB">
                  <w:pPr>
                    <w:pStyle w:val="14"/>
                    <w:adjustRightInd w:val="0"/>
                    <w:spacing w:after="0" w:line="240" w:lineRule="auto"/>
                    <w:jc w:val="center"/>
                    <w:rPr>
                      <w:color w:val="auto"/>
                      <w:sz w:val="21"/>
                      <w:szCs w:val="21"/>
                    </w:rPr>
                  </w:pPr>
                  <w:r>
                    <w:rPr>
                      <w:color w:val="auto"/>
                      <w:sz w:val="21"/>
                      <w:szCs w:val="21"/>
                    </w:rPr>
                    <w:t>达标</w:t>
                  </w:r>
                </w:p>
              </w:tc>
            </w:tr>
            <w:tr w14:paraId="36FA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5D065CE5">
                  <w:pPr>
                    <w:pStyle w:val="14"/>
                    <w:adjustRightInd w:val="0"/>
                    <w:spacing w:after="0" w:line="240" w:lineRule="auto"/>
                    <w:jc w:val="center"/>
                    <w:rPr>
                      <w:color w:val="auto"/>
                      <w:sz w:val="21"/>
                      <w:szCs w:val="21"/>
                    </w:rPr>
                  </w:pPr>
                </w:p>
              </w:tc>
              <w:tc>
                <w:tcPr>
                  <w:tcW w:w="802" w:type="dxa"/>
                  <w:vMerge w:val="continue"/>
                  <w:vAlign w:val="center"/>
                </w:tcPr>
                <w:p w14:paraId="58269348">
                  <w:pPr>
                    <w:pStyle w:val="14"/>
                    <w:adjustRightInd w:val="0"/>
                    <w:spacing w:after="0" w:line="240" w:lineRule="auto"/>
                    <w:jc w:val="center"/>
                    <w:rPr>
                      <w:color w:val="auto"/>
                      <w:sz w:val="21"/>
                      <w:szCs w:val="21"/>
                    </w:rPr>
                  </w:pPr>
                </w:p>
              </w:tc>
              <w:tc>
                <w:tcPr>
                  <w:tcW w:w="802" w:type="dxa"/>
                  <w:vMerge w:val="continue"/>
                  <w:vAlign w:val="center"/>
                </w:tcPr>
                <w:p w14:paraId="5AED260B">
                  <w:pPr>
                    <w:pStyle w:val="14"/>
                    <w:adjustRightInd w:val="0"/>
                    <w:spacing w:after="0" w:line="240" w:lineRule="auto"/>
                    <w:jc w:val="center"/>
                    <w:rPr>
                      <w:color w:val="auto"/>
                      <w:sz w:val="21"/>
                      <w:szCs w:val="21"/>
                    </w:rPr>
                  </w:pPr>
                </w:p>
              </w:tc>
              <w:tc>
                <w:tcPr>
                  <w:tcW w:w="592" w:type="dxa"/>
                  <w:vMerge w:val="continue"/>
                  <w:vAlign w:val="center"/>
                </w:tcPr>
                <w:p w14:paraId="56D95B9F">
                  <w:pPr>
                    <w:pStyle w:val="14"/>
                    <w:adjustRightInd w:val="0"/>
                    <w:spacing w:after="0" w:line="240" w:lineRule="auto"/>
                    <w:jc w:val="center"/>
                    <w:rPr>
                      <w:color w:val="auto"/>
                      <w:sz w:val="21"/>
                      <w:szCs w:val="21"/>
                    </w:rPr>
                  </w:pPr>
                </w:p>
              </w:tc>
              <w:tc>
                <w:tcPr>
                  <w:tcW w:w="680" w:type="dxa"/>
                  <w:vAlign w:val="center"/>
                </w:tcPr>
                <w:p w14:paraId="6B9CC49E">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782FC3C7">
                  <w:pPr>
                    <w:pStyle w:val="14"/>
                    <w:adjustRightInd w:val="0"/>
                    <w:spacing w:after="0" w:line="240" w:lineRule="auto"/>
                    <w:jc w:val="center"/>
                    <w:rPr>
                      <w:color w:val="auto"/>
                      <w:sz w:val="21"/>
                      <w:szCs w:val="21"/>
                    </w:rPr>
                  </w:pPr>
                  <w:r>
                    <w:rPr>
                      <w:rFonts w:hint="eastAsia"/>
                      <w:color w:val="auto"/>
                      <w:sz w:val="21"/>
                      <w:szCs w:val="21"/>
                    </w:rPr>
                    <w:t>8.83</w:t>
                  </w:r>
                </w:p>
              </w:tc>
              <w:tc>
                <w:tcPr>
                  <w:tcW w:w="1029" w:type="dxa"/>
                  <w:vAlign w:val="center"/>
                </w:tcPr>
                <w:p w14:paraId="5B76962A">
                  <w:pPr>
                    <w:pStyle w:val="14"/>
                    <w:adjustRightInd w:val="0"/>
                    <w:spacing w:after="0" w:line="240" w:lineRule="auto"/>
                    <w:jc w:val="center"/>
                    <w:rPr>
                      <w:color w:val="auto"/>
                      <w:sz w:val="21"/>
                      <w:szCs w:val="21"/>
                    </w:rPr>
                  </w:pPr>
                  <w:r>
                    <w:rPr>
                      <w:rFonts w:hint="eastAsia"/>
                      <w:color w:val="auto"/>
                      <w:sz w:val="21"/>
                      <w:szCs w:val="21"/>
                    </w:rPr>
                    <w:t>37</w:t>
                  </w:r>
                </w:p>
              </w:tc>
              <w:tc>
                <w:tcPr>
                  <w:tcW w:w="1014" w:type="dxa"/>
                  <w:vAlign w:val="center"/>
                </w:tcPr>
                <w:p w14:paraId="6F6BA03F">
                  <w:pPr>
                    <w:pStyle w:val="14"/>
                    <w:adjustRightInd w:val="0"/>
                    <w:spacing w:after="0" w:line="240" w:lineRule="auto"/>
                    <w:jc w:val="center"/>
                    <w:rPr>
                      <w:color w:val="auto"/>
                      <w:sz w:val="21"/>
                      <w:szCs w:val="21"/>
                    </w:rPr>
                  </w:pPr>
                  <w:r>
                    <w:rPr>
                      <w:rFonts w:hint="eastAsia"/>
                      <w:color w:val="auto"/>
                      <w:sz w:val="21"/>
                      <w:szCs w:val="21"/>
                    </w:rPr>
                    <w:t>37.01</w:t>
                  </w:r>
                </w:p>
              </w:tc>
              <w:tc>
                <w:tcPr>
                  <w:tcW w:w="1072" w:type="dxa"/>
                  <w:vAlign w:val="center"/>
                </w:tcPr>
                <w:p w14:paraId="0EEF8CAC">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16F458A9">
                  <w:pPr>
                    <w:pStyle w:val="14"/>
                    <w:adjustRightInd w:val="0"/>
                    <w:spacing w:after="0" w:line="240" w:lineRule="auto"/>
                    <w:jc w:val="center"/>
                    <w:rPr>
                      <w:color w:val="auto"/>
                      <w:sz w:val="21"/>
                      <w:szCs w:val="21"/>
                    </w:rPr>
                  </w:pPr>
                  <w:r>
                    <w:rPr>
                      <w:color w:val="auto"/>
                      <w:sz w:val="21"/>
                      <w:szCs w:val="21"/>
                    </w:rPr>
                    <w:t>达标</w:t>
                  </w:r>
                </w:p>
              </w:tc>
            </w:tr>
          </w:tbl>
          <w:p w14:paraId="31938D16">
            <w:pPr>
              <w:adjustRightInd w:val="0"/>
              <w:snapToGrid w:val="0"/>
              <w:spacing w:before="120" w:beforeLines="50" w:line="360" w:lineRule="auto"/>
              <w:ind w:firstLine="480" w:firstLineChars="200"/>
              <w:rPr>
                <w:color w:val="auto"/>
                <w:sz w:val="24"/>
              </w:rPr>
            </w:pPr>
            <w:r>
              <w:rPr>
                <w:color w:val="auto"/>
                <w:sz w:val="24"/>
              </w:rPr>
              <w:t>根据表4-</w:t>
            </w:r>
            <w:r>
              <w:rPr>
                <w:rFonts w:hint="eastAsia"/>
                <w:color w:val="auto"/>
                <w:sz w:val="24"/>
              </w:rPr>
              <w:t>29</w:t>
            </w:r>
            <w:r>
              <w:rPr>
                <w:color w:val="auto"/>
                <w:sz w:val="24"/>
              </w:rPr>
              <w:t>可知，本项目产噪设备经采取低噪声设备、</w:t>
            </w:r>
            <w:r>
              <w:rPr>
                <w:rFonts w:hint="eastAsia"/>
                <w:color w:val="auto"/>
                <w:sz w:val="24"/>
              </w:rPr>
              <w:t>水泵</w:t>
            </w:r>
            <w:r>
              <w:rPr>
                <w:color w:val="auto"/>
                <w:sz w:val="24"/>
              </w:rPr>
              <w:t>安装减震垫</w:t>
            </w:r>
            <w:r>
              <w:rPr>
                <w:rFonts w:hint="eastAsia"/>
                <w:color w:val="auto"/>
                <w:sz w:val="24"/>
              </w:rPr>
              <w:t>、风机安装消声器，且布置于地下封闭环境等</w:t>
            </w:r>
            <w:r>
              <w:rPr>
                <w:color w:val="auto"/>
                <w:sz w:val="24"/>
              </w:rPr>
              <w:t>措施，再经几何发散后，项目建成后运营期间厂界噪声</w:t>
            </w:r>
            <w:r>
              <w:rPr>
                <w:rFonts w:hint="eastAsia"/>
                <w:color w:val="auto"/>
                <w:sz w:val="24"/>
              </w:rPr>
              <w:t>预测</w:t>
            </w:r>
            <w:r>
              <w:rPr>
                <w:color w:val="auto"/>
                <w:sz w:val="24"/>
              </w:rPr>
              <w:t>值能达到《工业企业厂界环境噪声排放标准》（GB12348-2008）</w:t>
            </w:r>
            <w:r>
              <w:rPr>
                <w:rFonts w:hint="eastAsia"/>
                <w:color w:val="auto"/>
                <w:sz w:val="24"/>
              </w:rPr>
              <w:t>2</w:t>
            </w:r>
            <w:r>
              <w:rPr>
                <w:color w:val="auto"/>
                <w:sz w:val="24"/>
              </w:rPr>
              <w:t>类标准限值要求。</w:t>
            </w:r>
            <w:r>
              <w:rPr>
                <w:rFonts w:hint="eastAsia"/>
                <w:color w:val="auto"/>
                <w:sz w:val="24"/>
              </w:rPr>
              <w:t>项目最近的敏感点为东侧2</w:t>
            </w:r>
            <w:r>
              <w:rPr>
                <w:color w:val="auto"/>
                <w:sz w:val="24"/>
              </w:rPr>
              <w:t>米</w:t>
            </w:r>
            <w:r>
              <w:rPr>
                <w:rFonts w:hint="eastAsia"/>
                <w:color w:val="auto"/>
                <w:sz w:val="24"/>
              </w:rPr>
              <w:t>处为纳古镇集镇</w:t>
            </w:r>
            <w:r>
              <w:rPr>
                <w:color w:val="auto"/>
                <w:sz w:val="24"/>
              </w:rPr>
              <w:t>声环境保护目标，</w:t>
            </w:r>
            <w:r>
              <w:rPr>
                <w:rFonts w:hint="eastAsia"/>
                <w:color w:val="auto"/>
                <w:sz w:val="24"/>
              </w:rPr>
              <w:t>因此本环评对该保护目标进行了预测，预测结果见表4-30。</w:t>
            </w:r>
          </w:p>
          <w:p w14:paraId="049860B5">
            <w:pPr>
              <w:adjustRightInd w:val="0"/>
              <w:snapToGrid w:val="0"/>
              <w:spacing w:line="360" w:lineRule="auto"/>
              <w:ind w:firstLine="482" w:firstLineChars="200"/>
              <w:jc w:val="center"/>
              <w:rPr>
                <w:b/>
                <w:color w:val="auto"/>
                <w:sz w:val="24"/>
              </w:rPr>
            </w:pPr>
            <w:r>
              <w:rPr>
                <w:b/>
                <w:color w:val="auto"/>
                <w:sz w:val="24"/>
              </w:rPr>
              <w:t>表</w:t>
            </w:r>
            <w:r>
              <w:rPr>
                <w:rFonts w:hint="eastAsia"/>
                <w:b/>
                <w:color w:val="auto"/>
                <w:sz w:val="24"/>
              </w:rPr>
              <w:t>4-30 敏感点</w:t>
            </w:r>
            <w:r>
              <w:rPr>
                <w:b/>
                <w:color w:val="auto"/>
                <w:sz w:val="24"/>
              </w:rPr>
              <w:t>噪声预测结果与达标分析表</w:t>
            </w:r>
          </w:p>
          <w:tbl>
            <w:tblPr>
              <w:tblStyle w:val="33"/>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05"/>
              <w:gridCol w:w="805"/>
              <w:gridCol w:w="592"/>
              <w:gridCol w:w="539"/>
              <w:gridCol w:w="1087"/>
              <w:gridCol w:w="924"/>
              <w:gridCol w:w="1035"/>
              <w:gridCol w:w="1088"/>
              <w:gridCol w:w="640"/>
            </w:tblGrid>
            <w:tr w14:paraId="0533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0" w:type="dxa"/>
                  <w:vMerge w:val="restart"/>
                  <w:vAlign w:val="center"/>
                </w:tcPr>
                <w:p w14:paraId="64C2BFD1">
                  <w:pPr>
                    <w:pStyle w:val="14"/>
                    <w:adjustRightInd w:val="0"/>
                    <w:spacing w:after="0" w:line="240" w:lineRule="auto"/>
                    <w:jc w:val="center"/>
                    <w:rPr>
                      <w:color w:val="auto"/>
                      <w:sz w:val="21"/>
                      <w:szCs w:val="21"/>
                    </w:rPr>
                  </w:pPr>
                  <w:r>
                    <w:rPr>
                      <w:rFonts w:hint="eastAsia"/>
                      <w:color w:val="auto"/>
                      <w:sz w:val="21"/>
                      <w:szCs w:val="21"/>
                    </w:rPr>
                    <w:t>预测点</w:t>
                  </w:r>
                </w:p>
              </w:tc>
              <w:tc>
                <w:tcPr>
                  <w:tcW w:w="2202" w:type="dxa"/>
                  <w:gridSpan w:val="3"/>
                  <w:vAlign w:val="center"/>
                </w:tcPr>
                <w:p w14:paraId="1E459A62">
                  <w:pPr>
                    <w:pStyle w:val="14"/>
                    <w:adjustRightInd w:val="0"/>
                    <w:spacing w:after="0" w:line="240" w:lineRule="auto"/>
                    <w:jc w:val="center"/>
                    <w:rPr>
                      <w:color w:val="auto"/>
                      <w:sz w:val="21"/>
                      <w:szCs w:val="21"/>
                    </w:rPr>
                  </w:pPr>
                  <w:r>
                    <w:rPr>
                      <w:rFonts w:hint="eastAsia"/>
                      <w:color w:val="auto"/>
                      <w:sz w:val="21"/>
                      <w:szCs w:val="21"/>
                    </w:rPr>
                    <w:t>空间相对位置/m</w:t>
                  </w:r>
                </w:p>
              </w:tc>
              <w:tc>
                <w:tcPr>
                  <w:tcW w:w="539" w:type="dxa"/>
                  <w:vMerge w:val="restart"/>
                  <w:vAlign w:val="center"/>
                </w:tcPr>
                <w:p w14:paraId="6F4052D4">
                  <w:pPr>
                    <w:pStyle w:val="14"/>
                    <w:adjustRightInd w:val="0"/>
                    <w:spacing w:after="0" w:line="240" w:lineRule="auto"/>
                    <w:jc w:val="center"/>
                    <w:rPr>
                      <w:color w:val="auto"/>
                      <w:sz w:val="21"/>
                      <w:szCs w:val="21"/>
                    </w:rPr>
                  </w:pPr>
                  <w:r>
                    <w:rPr>
                      <w:rFonts w:hint="eastAsia"/>
                      <w:color w:val="auto"/>
                      <w:sz w:val="21"/>
                      <w:szCs w:val="21"/>
                    </w:rPr>
                    <w:t>时段</w:t>
                  </w:r>
                </w:p>
              </w:tc>
              <w:tc>
                <w:tcPr>
                  <w:tcW w:w="1087" w:type="dxa"/>
                  <w:vMerge w:val="restart"/>
                  <w:vAlign w:val="center"/>
                </w:tcPr>
                <w:p w14:paraId="11B675D2">
                  <w:pPr>
                    <w:pStyle w:val="14"/>
                    <w:adjustRightInd w:val="0"/>
                    <w:spacing w:after="0" w:line="240" w:lineRule="auto"/>
                    <w:jc w:val="center"/>
                    <w:rPr>
                      <w:color w:val="auto"/>
                      <w:sz w:val="21"/>
                      <w:szCs w:val="21"/>
                    </w:rPr>
                  </w:pPr>
                  <w:r>
                    <w:rPr>
                      <w:rFonts w:hint="eastAsia"/>
                      <w:color w:val="auto"/>
                      <w:sz w:val="21"/>
                      <w:szCs w:val="21"/>
                    </w:rPr>
                    <w:t>噪声贡献值/</w:t>
                  </w:r>
                  <w:r>
                    <w:rPr>
                      <w:color w:val="auto"/>
                      <w:sz w:val="21"/>
                      <w:szCs w:val="21"/>
                    </w:rPr>
                    <w:t>dB(A)</w:t>
                  </w:r>
                </w:p>
              </w:tc>
              <w:tc>
                <w:tcPr>
                  <w:tcW w:w="924" w:type="dxa"/>
                  <w:vMerge w:val="restart"/>
                  <w:vAlign w:val="center"/>
                </w:tcPr>
                <w:p w14:paraId="1FD2B4DC">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35" w:type="dxa"/>
                  <w:vMerge w:val="restart"/>
                  <w:vAlign w:val="center"/>
                </w:tcPr>
                <w:p w14:paraId="71711EE8">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88" w:type="dxa"/>
                  <w:vMerge w:val="restart"/>
                  <w:vAlign w:val="center"/>
                </w:tcPr>
                <w:p w14:paraId="1BBB92F5">
                  <w:pPr>
                    <w:pStyle w:val="14"/>
                    <w:adjustRightInd w:val="0"/>
                    <w:spacing w:after="0" w:line="240" w:lineRule="auto"/>
                    <w:jc w:val="center"/>
                    <w:rPr>
                      <w:color w:val="auto"/>
                      <w:sz w:val="21"/>
                      <w:szCs w:val="21"/>
                    </w:rPr>
                  </w:pPr>
                  <w:r>
                    <w:rPr>
                      <w:rFonts w:hint="eastAsia"/>
                      <w:color w:val="auto"/>
                      <w:sz w:val="21"/>
                      <w:szCs w:val="21"/>
                    </w:rPr>
                    <w:t>噪声标准值/</w:t>
                  </w:r>
                  <w:r>
                    <w:rPr>
                      <w:color w:val="auto"/>
                      <w:sz w:val="21"/>
                      <w:szCs w:val="21"/>
                    </w:rPr>
                    <w:t>dB(A)</w:t>
                  </w:r>
                </w:p>
              </w:tc>
              <w:tc>
                <w:tcPr>
                  <w:tcW w:w="640" w:type="dxa"/>
                  <w:vMerge w:val="restart"/>
                  <w:vAlign w:val="center"/>
                </w:tcPr>
                <w:p w14:paraId="06019168">
                  <w:pPr>
                    <w:pStyle w:val="14"/>
                    <w:adjustRightInd w:val="0"/>
                    <w:spacing w:after="0" w:line="240" w:lineRule="auto"/>
                    <w:jc w:val="center"/>
                    <w:rPr>
                      <w:color w:val="auto"/>
                      <w:sz w:val="21"/>
                      <w:szCs w:val="21"/>
                    </w:rPr>
                  </w:pPr>
                  <w:r>
                    <w:rPr>
                      <w:rFonts w:hint="eastAsia"/>
                      <w:color w:val="auto"/>
                      <w:sz w:val="21"/>
                      <w:szCs w:val="21"/>
                    </w:rPr>
                    <w:t>达标情况</w:t>
                  </w:r>
                </w:p>
              </w:tc>
            </w:tr>
            <w:tr w14:paraId="61A0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00" w:type="dxa"/>
                  <w:vMerge w:val="continue"/>
                  <w:vAlign w:val="center"/>
                </w:tcPr>
                <w:p w14:paraId="34E87A3F">
                  <w:pPr>
                    <w:pStyle w:val="14"/>
                    <w:adjustRightInd w:val="0"/>
                    <w:spacing w:after="0" w:line="240" w:lineRule="auto"/>
                    <w:jc w:val="center"/>
                    <w:rPr>
                      <w:color w:val="auto"/>
                      <w:sz w:val="21"/>
                      <w:szCs w:val="21"/>
                    </w:rPr>
                  </w:pPr>
                </w:p>
              </w:tc>
              <w:tc>
                <w:tcPr>
                  <w:tcW w:w="805" w:type="dxa"/>
                  <w:vAlign w:val="center"/>
                </w:tcPr>
                <w:p w14:paraId="55A68845">
                  <w:pPr>
                    <w:pStyle w:val="14"/>
                    <w:adjustRightInd w:val="0"/>
                    <w:spacing w:after="0" w:line="240" w:lineRule="auto"/>
                    <w:jc w:val="center"/>
                    <w:rPr>
                      <w:color w:val="auto"/>
                      <w:sz w:val="21"/>
                      <w:szCs w:val="21"/>
                    </w:rPr>
                  </w:pPr>
                  <w:r>
                    <w:rPr>
                      <w:rFonts w:hint="eastAsia"/>
                      <w:color w:val="auto"/>
                      <w:sz w:val="21"/>
                      <w:szCs w:val="21"/>
                    </w:rPr>
                    <w:t>X</w:t>
                  </w:r>
                </w:p>
              </w:tc>
              <w:tc>
                <w:tcPr>
                  <w:tcW w:w="805" w:type="dxa"/>
                  <w:vAlign w:val="center"/>
                </w:tcPr>
                <w:p w14:paraId="70C6A08C">
                  <w:pPr>
                    <w:pStyle w:val="14"/>
                    <w:adjustRightInd w:val="0"/>
                    <w:spacing w:after="0" w:line="240" w:lineRule="auto"/>
                    <w:jc w:val="center"/>
                    <w:rPr>
                      <w:color w:val="auto"/>
                      <w:sz w:val="21"/>
                      <w:szCs w:val="21"/>
                    </w:rPr>
                  </w:pPr>
                  <w:r>
                    <w:rPr>
                      <w:rFonts w:hint="eastAsia"/>
                      <w:color w:val="auto"/>
                      <w:sz w:val="21"/>
                      <w:szCs w:val="21"/>
                    </w:rPr>
                    <w:t>Y</w:t>
                  </w:r>
                </w:p>
              </w:tc>
              <w:tc>
                <w:tcPr>
                  <w:tcW w:w="592" w:type="dxa"/>
                  <w:vAlign w:val="center"/>
                </w:tcPr>
                <w:p w14:paraId="0F0A00C4">
                  <w:pPr>
                    <w:pStyle w:val="14"/>
                    <w:adjustRightInd w:val="0"/>
                    <w:spacing w:after="0" w:line="240" w:lineRule="auto"/>
                    <w:jc w:val="center"/>
                    <w:rPr>
                      <w:color w:val="auto"/>
                      <w:sz w:val="21"/>
                      <w:szCs w:val="21"/>
                    </w:rPr>
                  </w:pPr>
                  <w:r>
                    <w:rPr>
                      <w:rFonts w:hint="eastAsia"/>
                      <w:color w:val="auto"/>
                      <w:sz w:val="21"/>
                      <w:szCs w:val="21"/>
                    </w:rPr>
                    <w:t>Z</w:t>
                  </w:r>
                </w:p>
              </w:tc>
              <w:tc>
                <w:tcPr>
                  <w:tcW w:w="539" w:type="dxa"/>
                  <w:vMerge w:val="continue"/>
                  <w:vAlign w:val="center"/>
                </w:tcPr>
                <w:p w14:paraId="0DCC13E2">
                  <w:pPr>
                    <w:pStyle w:val="14"/>
                    <w:adjustRightInd w:val="0"/>
                    <w:spacing w:after="0" w:line="240" w:lineRule="auto"/>
                    <w:jc w:val="center"/>
                    <w:rPr>
                      <w:color w:val="auto"/>
                      <w:sz w:val="21"/>
                      <w:szCs w:val="21"/>
                    </w:rPr>
                  </w:pPr>
                </w:p>
              </w:tc>
              <w:tc>
                <w:tcPr>
                  <w:tcW w:w="1087" w:type="dxa"/>
                  <w:vMerge w:val="continue"/>
                  <w:vAlign w:val="center"/>
                </w:tcPr>
                <w:p w14:paraId="69236CD0">
                  <w:pPr>
                    <w:pStyle w:val="14"/>
                    <w:adjustRightInd w:val="0"/>
                    <w:spacing w:after="0" w:line="240" w:lineRule="auto"/>
                    <w:jc w:val="center"/>
                    <w:rPr>
                      <w:color w:val="auto"/>
                      <w:sz w:val="21"/>
                      <w:szCs w:val="21"/>
                    </w:rPr>
                  </w:pPr>
                </w:p>
              </w:tc>
              <w:tc>
                <w:tcPr>
                  <w:tcW w:w="924" w:type="dxa"/>
                  <w:vMerge w:val="continue"/>
                  <w:vAlign w:val="center"/>
                </w:tcPr>
                <w:p w14:paraId="0F124BBF">
                  <w:pPr>
                    <w:pStyle w:val="14"/>
                    <w:adjustRightInd w:val="0"/>
                    <w:spacing w:after="0" w:line="240" w:lineRule="auto"/>
                    <w:jc w:val="center"/>
                    <w:rPr>
                      <w:color w:val="auto"/>
                      <w:sz w:val="21"/>
                      <w:szCs w:val="21"/>
                    </w:rPr>
                  </w:pPr>
                </w:p>
              </w:tc>
              <w:tc>
                <w:tcPr>
                  <w:tcW w:w="1035" w:type="dxa"/>
                  <w:vMerge w:val="continue"/>
                  <w:vAlign w:val="center"/>
                </w:tcPr>
                <w:p w14:paraId="4BF08C3E">
                  <w:pPr>
                    <w:pStyle w:val="14"/>
                    <w:adjustRightInd w:val="0"/>
                    <w:spacing w:after="0" w:line="240" w:lineRule="auto"/>
                    <w:jc w:val="center"/>
                    <w:rPr>
                      <w:color w:val="auto"/>
                      <w:sz w:val="21"/>
                      <w:szCs w:val="21"/>
                    </w:rPr>
                  </w:pPr>
                </w:p>
              </w:tc>
              <w:tc>
                <w:tcPr>
                  <w:tcW w:w="1088" w:type="dxa"/>
                  <w:vMerge w:val="continue"/>
                  <w:vAlign w:val="center"/>
                </w:tcPr>
                <w:p w14:paraId="664106A8">
                  <w:pPr>
                    <w:pStyle w:val="14"/>
                    <w:adjustRightInd w:val="0"/>
                    <w:spacing w:after="0" w:line="240" w:lineRule="auto"/>
                    <w:jc w:val="center"/>
                    <w:rPr>
                      <w:color w:val="auto"/>
                      <w:sz w:val="21"/>
                      <w:szCs w:val="21"/>
                    </w:rPr>
                  </w:pPr>
                </w:p>
              </w:tc>
              <w:tc>
                <w:tcPr>
                  <w:tcW w:w="640" w:type="dxa"/>
                  <w:vMerge w:val="continue"/>
                  <w:vAlign w:val="center"/>
                </w:tcPr>
                <w:p w14:paraId="67A93697">
                  <w:pPr>
                    <w:pStyle w:val="14"/>
                    <w:adjustRightInd w:val="0"/>
                    <w:spacing w:after="0" w:line="240" w:lineRule="auto"/>
                    <w:jc w:val="center"/>
                    <w:rPr>
                      <w:color w:val="auto"/>
                      <w:sz w:val="21"/>
                      <w:szCs w:val="21"/>
                    </w:rPr>
                  </w:pPr>
                </w:p>
              </w:tc>
            </w:tr>
            <w:tr w14:paraId="3169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0" w:type="dxa"/>
                  <w:vMerge w:val="restart"/>
                  <w:vAlign w:val="center"/>
                </w:tcPr>
                <w:p w14:paraId="5B6C3673">
                  <w:pPr>
                    <w:pStyle w:val="14"/>
                    <w:adjustRightInd w:val="0"/>
                    <w:spacing w:after="0" w:line="240" w:lineRule="auto"/>
                    <w:jc w:val="center"/>
                    <w:rPr>
                      <w:color w:val="auto"/>
                      <w:sz w:val="21"/>
                      <w:szCs w:val="21"/>
                    </w:rPr>
                  </w:pPr>
                  <w:r>
                    <w:rPr>
                      <w:rFonts w:hint="eastAsia"/>
                      <w:color w:val="auto"/>
                      <w:sz w:val="21"/>
                      <w:szCs w:val="21"/>
                    </w:rPr>
                    <w:t>纳古镇</w:t>
                  </w:r>
                </w:p>
              </w:tc>
              <w:tc>
                <w:tcPr>
                  <w:tcW w:w="805" w:type="dxa"/>
                  <w:vMerge w:val="restart"/>
                  <w:vAlign w:val="center"/>
                </w:tcPr>
                <w:p w14:paraId="6171B09E">
                  <w:pPr>
                    <w:pStyle w:val="14"/>
                    <w:adjustRightInd w:val="0"/>
                    <w:spacing w:after="0" w:line="240" w:lineRule="auto"/>
                    <w:jc w:val="center"/>
                    <w:rPr>
                      <w:color w:val="auto"/>
                      <w:sz w:val="21"/>
                      <w:szCs w:val="21"/>
                    </w:rPr>
                  </w:pPr>
                  <w:r>
                    <w:rPr>
                      <w:rFonts w:hint="eastAsia"/>
                      <w:color w:val="auto"/>
                      <w:sz w:val="21"/>
                      <w:szCs w:val="21"/>
                    </w:rPr>
                    <w:t>29.17</w:t>
                  </w:r>
                </w:p>
              </w:tc>
              <w:tc>
                <w:tcPr>
                  <w:tcW w:w="805" w:type="dxa"/>
                  <w:vMerge w:val="restart"/>
                  <w:vAlign w:val="center"/>
                </w:tcPr>
                <w:p w14:paraId="61918B3E">
                  <w:pPr>
                    <w:pStyle w:val="14"/>
                    <w:adjustRightInd w:val="0"/>
                    <w:spacing w:after="0" w:line="240" w:lineRule="auto"/>
                    <w:jc w:val="center"/>
                    <w:rPr>
                      <w:color w:val="auto"/>
                      <w:sz w:val="21"/>
                      <w:szCs w:val="21"/>
                    </w:rPr>
                  </w:pPr>
                  <w:r>
                    <w:rPr>
                      <w:rFonts w:hint="eastAsia"/>
                      <w:color w:val="auto"/>
                      <w:sz w:val="21"/>
                      <w:szCs w:val="21"/>
                    </w:rPr>
                    <w:t>91.15</w:t>
                  </w:r>
                </w:p>
              </w:tc>
              <w:tc>
                <w:tcPr>
                  <w:tcW w:w="592" w:type="dxa"/>
                  <w:vMerge w:val="restart"/>
                  <w:vAlign w:val="center"/>
                </w:tcPr>
                <w:p w14:paraId="2797AE4E">
                  <w:pPr>
                    <w:pStyle w:val="14"/>
                    <w:adjustRightInd w:val="0"/>
                    <w:spacing w:after="0" w:line="240" w:lineRule="auto"/>
                    <w:jc w:val="center"/>
                    <w:rPr>
                      <w:color w:val="auto"/>
                      <w:sz w:val="21"/>
                      <w:szCs w:val="21"/>
                    </w:rPr>
                  </w:pPr>
                  <w:r>
                    <w:rPr>
                      <w:rFonts w:hint="eastAsia"/>
                      <w:color w:val="auto"/>
                      <w:sz w:val="21"/>
                      <w:szCs w:val="21"/>
                    </w:rPr>
                    <w:t>1.2</w:t>
                  </w:r>
                </w:p>
              </w:tc>
              <w:tc>
                <w:tcPr>
                  <w:tcW w:w="539" w:type="dxa"/>
                  <w:vAlign w:val="center"/>
                </w:tcPr>
                <w:p w14:paraId="0106A594">
                  <w:pPr>
                    <w:pStyle w:val="14"/>
                    <w:adjustRightInd w:val="0"/>
                    <w:spacing w:after="0" w:line="240" w:lineRule="auto"/>
                    <w:jc w:val="center"/>
                    <w:rPr>
                      <w:color w:val="auto"/>
                      <w:sz w:val="21"/>
                      <w:szCs w:val="21"/>
                    </w:rPr>
                  </w:pPr>
                  <w:r>
                    <w:rPr>
                      <w:color w:val="auto"/>
                      <w:sz w:val="21"/>
                      <w:szCs w:val="21"/>
                    </w:rPr>
                    <w:t>昼间</w:t>
                  </w:r>
                </w:p>
              </w:tc>
              <w:tc>
                <w:tcPr>
                  <w:tcW w:w="1087" w:type="dxa"/>
                  <w:vAlign w:val="center"/>
                </w:tcPr>
                <w:p w14:paraId="770ADDED">
                  <w:pPr>
                    <w:pStyle w:val="14"/>
                    <w:adjustRightInd w:val="0"/>
                    <w:spacing w:after="0" w:line="240" w:lineRule="auto"/>
                    <w:jc w:val="center"/>
                    <w:rPr>
                      <w:color w:val="auto"/>
                      <w:sz w:val="21"/>
                      <w:szCs w:val="21"/>
                    </w:rPr>
                  </w:pPr>
                  <w:r>
                    <w:rPr>
                      <w:rFonts w:hint="eastAsia"/>
                      <w:color w:val="auto"/>
                      <w:sz w:val="21"/>
                      <w:szCs w:val="21"/>
                    </w:rPr>
                    <w:t>13.18</w:t>
                  </w:r>
                </w:p>
              </w:tc>
              <w:tc>
                <w:tcPr>
                  <w:tcW w:w="924" w:type="dxa"/>
                  <w:vAlign w:val="center"/>
                </w:tcPr>
                <w:p w14:paraId="76F0D205">
                  <w:pPr>
                    <w:pStyle w:val="14"/>
                    <w:adjustRightInd w:val="0"/>
                    <w:spacing w:after="0" w:line="240" w:lineRule="auto"/>
                    <w:jc w:val="center"/>
                    <w:rPr>
                      <w:color w:val="auto"/>
                      <w:sz w:val="21"/>
                      <w:szCs w:val="21"/>
                    </w:rPr>
                  </w:pPr>
                  <w:r>
                    <w:rPr>
                      <w:rFonts w:hint="eastAsia"/>
                      <w:color w:val="auto"/>
                      <w:sz w:val="21"/>
                      <w:szCs w:val="21"/>
                    </w:rPr>
                    <w:t>56</w:t>
                  </w:r>
                </w:p>
              </w:tc>
              <w:tc>
                <w:tcPr>
                  <w:tcW w:w="1035" w:type="dxa"/>
                  <w:vAlign w:val="center"/>
                </w:tcPr>
                <w:p w14:paraId="0FB5F80A">
                  <w:pPr>
                    <w:pStyle w:val="14"/>
                    <w:adjustRightInd w:val="0"/>
                    <w:spacing w:after="0" w:line="240" w:lineRule="auto"/>
                    <w:jc w:val="center"/>
                    <w:rPr>
                      <w:color w:val="auto"/>
                      <w:sz w:val="21"/>
                      <w:szCs w:val="21"/>
                    </w:rPr>
                  </w:pPr>
                  <w:r>
                    <w:rPr>
                      <w:rFonts w:hint="eastAsia"/>
                      <w:color w:val="auto"/>
                      <w:sz w:val="21"/>
                      <w:szCs w:val="21"/>
                    </w:rPr>
                    <w:t>56</w:t>
                  </w:r>
                </w:p>
              </w:tc>
              <w:tc>
                <w:tcPr>
                  <w:tcW w:w="1088" w:type="dxa"/>
                  <w:vAlign w:val="center"/>
                </w:tcPr>
                <w:p w14:paraId="52F9529A">
                  <w:pPr>
                    <w:pStyle w:val="14"/>
                    <w:adjustRightInd w:val="0"/>
                    <w:spacing w:after="0" w:line="240" w:lineRule="auto"/>
                    <w:jc w:val="center"/>
                    <w:rPr>
                      <w:color w:val="auto"/>
                      <w:sz w:val="21"/>
                      <w:szCs w:val="21"/>
                    </w:rPr>
                  </w:pPr>
                  <w:r>
                    <w:rPr>
                      <w:rFonts w:hint="eastAsia"/>
                      <w:color w:val="auto"/>
                      <w:sz w:val="21"/>
                      <w:szCs w:val="21"/>
                    </w:rPr>
                    <w:t>60</w:t>
                  </w:r>
                </w:p>
              </w:tc>
              <w:tc>
                <w:tcPr>
                  <w:tcW w:w="640" w:type="dxa"/>
                  <w:vAlign w:val="center"/>
                </w:tcPr>
                <w:p w14:paraId="41E2B5E9">
                  <w:pPr>
                    <w:pStyle w:val="14"/>
                    <w:adjustRightInd w:val="0"/>
                    <w:spacing w:after="0" w:line="240" w:lineRule="auto"/>
                    <w:jc w:val="center"/>
                    <w:rPr>
                      <w:color w:val="auto"/>
                      <w:sz w:val="21"/>
                      <w:szCs w:val="21"/>
                    </w:rPr>
                  </w:pPr>
                  <w:r>
                    <w:rPr>
                      <w:color w:val="auto"/>
                      <w:sz w:val="21"/>
                      <w:szCs w:val="21"/>
                    </w:rPr>
                    <w:t>达标</w:t>
                  </w:r>
                </w:p>
              </w:tc>
            </w:tr>
            <w:tr w14:paraId="5783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0" w:type="dxa"/>
                  <w:vMerge w:val="continue"/>
                  <w:vAlign w:val="center"/>
                </w:tcPr>
                <w:p w14:paraId="399CE76D">
                  <w:pPr>
                    <w:pStyle w:val="14"/>
                    <w:adjustRightInd w:val="0"/>
                    <w:spacing w:after="0" w:line="240" w:lineRule="auto"/>
                    <w:jc w:val="center"/>
                    <w:rPr>
                      <w:color w:val="auto"/>
                      <w:sz w:val="21"/>
                      <w:szCs w:val="21"/>
                    </w:rPr>
                  </w:pPr>
                </w:p>
              </w:tc>
              <w:tc>
                <w:tcPr>
                  <w:tcW w:w="805" w:type="dxa"/>
                  <w:vMerge w:val="continue"/>
                  <w:vAlign w:val="center"/>
                </w:tcPr>
                <w:p w14:paraId="53670575">
                  <w:pPr>
                    <w:pStyle w:val="14"/>
                    <w:adjustRightInd w:val="0"/>
                    <w:spacing w:after="0" w:line="240" w:lineRule="auto"/>
                    <w:jc w:val="center"/>
                    <w:rPr>
                      <w:color w:val="auto"/>
                      <w:sz w:val="21"/>
                      <w:szCs w:val="21"/>
                    </w:rPr>
                  </w:pPr>
                </w:p>
              </w:tc>
              <w:tc>
                <w:tcPr>
                  <w:tcW w:w="805" w:type="dxa"/>
                  <w:vMerge w:val="continue"/>
                  <w:vAlign w:val="center"/>
                </w:tcPr>
                <w:p w14:paraId="32493092">
                  <w:pPr>
                    <w:pStyle w:val="14"/>
                    <w:adjustRightInd w:val="0"/>
                    <w:spacing w:after="0" w:line="240" w:lineRule="auto"/>
                    <w:jc w:val="center"/>
                    <w:rPr>
                      <w:color w:val="auto"/>
                      <w:sz w:val="21"/>
                      <w:szCs w:val="21"/>
                    </w:rPr>
                  </w:pPr>
                </w:p>
              </w:tc>
              <w:tc>
                <w:tcPr>
                  <w:tcW w:w="592" w:type="dxa"/>
                  <w:vMerge w:val="continue"/>
                  <w:vAlign w:val="center"/>
                </w:tcPr>
                <w:p w14:paraId="3CD92D6D">
                  <w:pPr>
                    <w:pStyle w:val="14"/>
                    <w:adjustRightInd w:val="0"/>
                    <w:spacing w:after="0" w:line="240" w:lineRule="auto"/>
                    <w:jc w:val="center"/>
                    <w:rPr>
                      <w:color w:val="auto"/>
                      <w:sz w:val="21"/>
                      <w:szCs w:val="21"/>
                    </w:rPr>
                  </w:pPr>
                </w:p>
              </w:tc>
              <w:tc>
                <w:tcPr>
                  <w:tcW w:w="539" w:type="dxa"/>
                  <w:vAlign w:val="center"/>
                </w:tcPr>
                <w:p w14:paraId="72B08703">
                  <w:pPr>
                    <w:pStyle w:val="14"/>
                    <w:adjustRightInd w:val="0"/>
                    <w:spacing w:after="0" w:line="240" w:lineRule="auto"/>
                    <w:jc w:val="center"/>
                    <w:rPr>
                      <w:color w:val="auto"/>
                      <w:sz w:val="21"/>
                      <w:szCs w:val="21"/>
                    </w:rPr>
                  </w:pPr>
                  <w:r>
                    <w:rPr>
                      <w:rFonts w:hint="eastAsia"/>
                      <w:color w:val="auto"/>
                      <w:sz w:val="21"/>
                      <w:szCs w:val="21"/>
                    </w:rPr>
                    <w:t>夜间</w:t>
                  </w:r>
                </w:p>
              </w:tc>
              <w:tc>
                <w:tcPr>
                  <w:tcW w:w="1087" w:type="dxa"/>
                  <w:vAlign w:val="center"/>
                </w:tcPr>
                <w:p w14:paraId="793864D0">
                  <w:pPr>
                    <w:pStyle w:val="14"/>
                    <w:adjustRightInd w:val="0"/>
                    <w:spacing w:after="0" w:line="240" w:lineRule="auto"/>
                    <w:jc w:val="center"/>
                    <w:rPr>
                      <w:color w:val="auto"/>
                      <w:sz w:val="21"/>
                      <w:szCs w:val="21"/>
                    </w:rPr>
                  </w:pPr>
                  <w:r>
                    <w:rPr>
                      <w:rFonts w:hint="eastAsia"/>
                      <w:color w:val="auto"/>
                      <w:sz w:val="21"/>
                      <w:szCs w:val="21"/>
                    </w:rPr>
                    <w:t>13.18</w:t>
                  </w:r>
                </w:p>
              </w:tc>
              <w:tc>
                <w:tcPr>
                  <w:tcW w:w="924" w:type="dxa"/>
                  <w:vAlign w:val="center"/>
                </w:tcPr>
                <w:p w14:paraId="038080F8">
                  <w:pPr>
                    <w:pStyle w:val="14"/>
                    <w:adjustRightInd w:val="0"/>
                    <w:spacing w:after="0" w:line="240" w:lineRule="auto"/>
                    <w:jc w:val="center"/>
                    <w:rPr>
                      <w:color w:val="auto"/>
                      <w:sz w:val="21"/>
                      <w:szCs w:val="21"/>
                    </w:rPr>
                  </w:pPr>
                  <w:r>
                    <w:rPr>
                      <w:rFonts w:hint="eastAsia"/>
                      <w:color w:val="auto"/>
                      <w:sz w:val="21"/>
                      <w:szCs w:val="21"/>
                    </w:rPr>
                    <w:t>48</w:t>
                  </w:r>
                </w:p>
              </w:tc>
              <w:tc>
                <w:tcPr>
                  <w:tcW w:w="1035" w:type="dxa"/>
                  <w:vAlign w:val="center"/>
                </w:tcPr>
                <w:p w14:paraId="73E051E1">
                  <w:pPr>
                    <w:pStyle w:val="14"/>
                    <w:adjustRightInd w:val="0"/>
                    <w:spacing w:after="0" w:line="240" w:lineRule="auto"/>
                    <w:jc w:val="center"/>
                    <w:rPr>
                      <w:color w:val="auto"/>
                      <w:sz w:val="21"/>
                      <w:szCs w:val="21"/>
                    </w:rPr>
                  </w:pPr>
                  <w:r>
                    <w:rPr>
                      <w:rFonts w:hint="eastAsia"/>
                      <w:color w:val="auto"/>
                      <w:sz w:val="21"/>
                      <w:szCs w:val="21"/>
                    </w:rPr>
                    <w:t>48</w:t>
                  </w:r>
                </w:p>
              </w:tc>
              <w:tc>
                <w:tcPr>
                  <w:tcW w:w="1088" w:type="dxa"/>
                  <w:vAlign w:val="center"/>
                </w:tcPr>
                <w:p w14:paraId="7FB20FE2">
                  <w:pPr>
                    <w:pStyle w:val="14"/>
                    <w:adjustRightInd w:val="0"/>
                    <w:spacing w:after="0" w:line="240" w:lineRule="auto"/>
                    <w:jc w:val="center"/>
                    <w:rPr>
                      <w:color w:val="auto"/>
                      <w:sz w:val="21"/>
                      <w:szCs w:val="21"/>
                    </w:rPr>
                  </w:pPr>
                  <w:r>
                    <w:rPr>
                      <w:rFonts w:hint="eastAsia"/>
                      <w:color w:val="auto"/>
                      <w:sz w:val="21"/>
                      <w:szCs w:val="21"/>
                    </w:rPr>
                    <w:t>50</w:t>
                  </w:r>
                </w:p>
              </w:tc>
              <w:tc>
                <w:tcPr>
                  <w:tcW w:w="640" w:type="dxa"/>
                  <w:vAlign w:val="center"/>
                </w:tcPr>
                <w:p w14:paraId="6D1847B6">
                  <w:pPr>
                    <w:pStyle w:val="14"/>
                    <w:adjustRightInd w:val="0"/>
                    <w:spacing w:after="0" w:line="240" w:lineRule="auto"/>
                    <w:jc w:val="center"/>
                    <w:rPr>
                      <w:color w:val="auto"/>
                      <w:sz w:val="21"/>
                      <w:szCs w:val="21"/>
                    </w:rPr>
                  </w:pPr>
                  <w:r>
                    <w:rPr>
                      <w:color w:val="auto"/>
                      <w:sz w:val="21"/>
                      <w:szCs w:val="21"/>
                    </w:rPr>
                    <w:t>达标</w:t>
                  </w:r>
                </w:p>
              </w:tc>
            </w:tr>
          </w:tbl>
          <w:p w14:paraId="7DF2E70E">
            <w:pPr>
              <w:adjustRightInd w:val="0"/>
              <w:snapToGrid w:val="0"/>
              <w:spacing w:before="120" w:beforeLines="50" w:line="360" w:lineRule="auto"/>
              <w:ind w:firstLine="480" w:firstLineChars="200"/>
              <w:rPr>
                <w:color w:val="auto"/>
                <w:sz w:val="24"/>
              </w:rPr>
            </w:pPr>
            <w:r>
              <w:rPr>
                <w:color w:val="auto"/>
                <w:sz w:val="24"/>
              </w:rPr>
              <w:t>从表</w:t>
            </w:r>
            <w:r>
              <w:rPr>
                <w:rFonts w:hint="eastAsia"/>
                <w:color w:val="auto"/>
                <w:sz w:val="24"/>
              </w:rPr>
              <w:t>4-28</w:t>
            </w:r>
            <w:r>
              <w:rPr>
                <w:color w:val="auto"/>
                <w:sz w:val="24"/>
              </w:rPr>
              <w:t>可以看出，当</w:t>
            </w:r>
            <w:r>
              <w:rPr>
                <w:rFonts w:hint="eastAsia"/>
                <w:color w:val="auto"/>
                <w:sz w:val="24"/>
              </w:rPr>
              <w:t>项目设备正常</w:t>
            </w:r>
            <w:r>
              <w:rPr>
                <w:color w:val="auto"/>
                <w:sz w:val="24"/>
              </w:rPr>
              <w:t>工作时，</w:t>
            </w:r>
            <w:r>
              <w:rPr>
                <w:rFonts w:hint="eastAsia"/>
                <w:color w:val="auto"/>
                <w:sz w:val="24"/>
              </w:rPr>
              <w:t>项目噪声对纳古镇的</w:t>
            </w:r>
            <w:r>
              <w:rPr>
                <w:color w:val="auto"/>
                <w:sz w:val="24"/>
              </w:rPr>
              <w:t>噪声</w:t>
            </w:r>
            <w:r>
              <w:rPr>
                <w:rFonts w:hint="eastAsia"/>
                <w:color w:val="auto"/>
                <w:sz w:val="24"/>
              </w:rPr>
              <w:t>预测结果</w:t>
            </w:r>
            <w:r>
              <w:rPr>
                <w:color w:val="auto"/>
                <w:sz w:val="24"/>
              </w:rPr>
              <w:t>均能达到</w:t>
            </w:r>
            <w:r>
              <w:rPr>
                <w:bCs/>
                <w:color w:val="auto"/>
                <w:sz w:val="24"/>
              </w:rPr>
              <w:t>《声环境质量标准》（GB3096-2008）</w:t>
            </w:r>
            <w:r>
              <w:rPr>
                <w:rFonts w:hint="eastAsia"/>
                <w:bCs/>
                <w:color w:val="auto"/>
                <w:sz w:val="24"/>
              </w:rPr>
              <w:t>2</w:t>
            </w:r>
            <w:r>
              <w:rPr>
                <w:bCs/>
                <w:color w:val="auto"/>
                <w:sz w:val="24"/>
              </w:rPr>
              <w:t>类区标准要求。</w:t>
            </w:r>
            <w:r>
              <w:rPr>
                <w:color w:val="auto"/>
                <w:sz w:val="24"/>
              </w:rPr>
              <w:t>故项目建设运营对周边保护目标声环境影响不大。</w:t>
            </w:r>
          </w:p>
          <w:p w14:paraId="6A96F1EE">
            <w:pPr>
              <w:snapToGrid w:val="0"/>
              <w:spacing w:line="360" w:lineRule="auto"/>
              <w:ind w:firstLine="480" w:firstLineChars="200"/>
              <w:rPr>
                <w:color w:val="auto"/>
                <w:sz w:val="24"/>
              </w:rPr>
            </w:pPr>
            <w:r>
              <w:rPr>
                <w:color w:val="auto"/>
                <w:sz w:val="24"/>
              </w:rPr>
              <w:t>为进一步减少项目设备噪声对周围环境的影响，环评要求噪声防治应采取以下对策措施：</w:t>
            </w:r>
          </w:p>
          <w:p w14:paraId="3BCC1C64">
            <w:pPr>
              <w:snapToGrid w:val="0"/>
              <w:spacing w:line="360" w:lineRule="auto"/>
              <w:ind w:firstLine="480" w:firstLineChars="200"/>
              <w:rPr>
                <w:rFonts w:hint="eastAsia" w:ascii="宋体" w:hAnsi="宋体"/>
                <w:color w:val="auto"/>
                <w:sz w:val="24"/>
              </w:rPr>
            </w:pPr>
            <w:r>
              <w:rPr>
                <w:rFonts w:ascii="宋体" w:hAnsi="宋体"/>
                <w:color w:val="auto"/>
                <w:sz w:val="24"/>
              </w:rPr>
              <w:t>①合理安排设备安放位置，尽可能利用距离进行声级衰减；</w:t>
            </w:r>
          </w:p>
          <w:p w14:paraId="2069F582">
            <w:pPr>
              <w:snapToGrid w:val="0"/>
              <w:spacing w:line="360" w:lineRule="auto"/>
              <w:ind w:firstLine="480" w:firstLineChars="200"/>
              <w:rPr>
                <w:rFonts w:hint="eastAsia" w:ascii="宋体" w:hAnsi="宋体"/>
                <w:color w:val="auto"/>
                <w:sz w:val="24"/>
              </w:rPr>
            </w:pPr>
            <w:r>
              <w:rPr>
                <w:rFonts w:ascii="宋体" w:hAnsi="宋体"/>
                <w:color w:val="auto"/>
                <w:sz w:val="24"/>
              </w:rPr>
              <w:t>②选用低噪声设备，高噪声设备必须安装在加有减振垫的隔振基础上，同时设备之间保持间距，避免噪声叠加影响。</w:t>
            </w:r>
          </w:p>
          <w:p w14:paraId="1BFC3327">
            <w:pPr>
              <w:snapToGrid w:val="0"/>
              <w:spacing w:line="360" w:lineRule="auto"/>
              <w:ind w:firstLine="480" w:firstLineChars="200"/>
              <w:rPr>
                <w:color w:val="auto"/>
                <w:sz w:val="24"/>
              </w:rPr>
            </w:pPr>
            <w:r>
              <w:rPr>
                <w:color w:val="auto"/>
                <w:sz w:val="24"/>
              </w:rPr>
              <w:t>经采取上述措施后进一步减小本项目噪声对周围环境的影响。</w:t>
            </w:r>
          </w:p>
          <w:p w14:paraId="3543181D">
            <w:pPr>
              <w:pStyle w:val="14"/>
              <w:widowControl w:val="0"/>
              <w:snapToGrid/>
              <w:spacing w:after="0" w:line="360" w:lineRule="auto"/>
              <w:ind w:right="0" w:firstLine="482"/>
              <w:rPr>
                <w:rFonts w:hint="eastAsia" w:ascii="宋体" w:hAnsi="宋体" w:cs="宋体"/>
                <w:color w:val="auto"/>
                <w:sz w:val="24"/>
              </w:rPr>
            </w:pPr>
            <w:r>
              <w:rPr>
                <w:rFonts w:hint="eastAsia" w:ascii="宋体" w:hAnsi="宋体"/>
                <w:color w:val="auto"/>
                <w:sz w:val="24"/>
              </w:rPr>
              <w:t>2）</w:t>
            </w:r>
            <w:r>
              <w:rPr>
                <w:rFonts w:hint="eastAsia" w:ascii="宋体" w:hAnsi="宋体" w:cs="宋体"/>
                <w:color w:val="auto"/>
                <w:sz w:val="24"/>
              </w:rPr>
              <w:t>四街卫生院厂界噪声达标情况</w:t>
            </w:r>
          </w:p>
          <w:p w14:paraId="6A00EC2C">
            <w:pPr>
              <w:pStyle w:val="31"/>
              <w:spacing w:before="0" w:after="0" w:line="360" w:lineRule="auto"/>
              <w:ind w:right="0" w:firstLine="0" w:firstLineChars="0"/>
              <w:jc w:val="center"/>
              <w:rPr>
                <w:b/>
                <w:bCs/>
                <w:color w:val="auto"/>
                <w:sz w:val="24"/>
                <w:szCs w:val="24"/>
              </w:rPr>
            </w:pPr>
            <w:r>
              <w:rPr>
                <w:color w:val="auto"/>
              </w:rPr>
              <w:drawing>
                <wp:inline distT="0" distB="0" distL="0" distR="0">
                  <wp:extent cx="4981575" cy="3333750"/>
                  <wp:effectExtent l="0" t="0" r="0" b="0"/>
                  <wp:docPr id="1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981575" cy="3333750"/>
                          </a:xfrm>
                          <a:prstGeom prst="rect">
                            <a:avLst/>
                          </a:prstGeom>
                          <a:noFill/>
                          <a:ln>
                            <a:noFill/>
                          </a:ln>
                        </pic:spPr>
                      </pic:pic>
                    </a:graphicData>
                  </a:graphic>
                </wp:inline>
              </w:drawing>
            </w:r>
          </w:p>
          <w:p w14:paraId="40713371">
            <w:pPr>
              <w:pStyle w:val="31"/>
              <w:spacing w:before="0" w:after="0" w:line="360" w:lineRule="auto"/>
              <w:ind w:right="0" w:firstLine="0" w:firstLineChars="0"/>
              <w:jc w:val="center"/>
              <w:rPr>
                <w:b/>
                <w:bCs/>
                <w:color w:val="auto"/>
                <w:sz w:val="24"/>
                <w:szCs w:val="24"/>
              </w:rPr>
            </w:pPr>
            <w:r>
              <w:rPr>
                <w:b/>
                <w:bCs/>
                <w:color w:val="auto"/>
                <w:sz w:val="24"/>
                <w:szCs w:val="24"/>
              </w:rPr>
              <w:t>图4-</w:t>
            </w:r>
            <w:r>
              <w:rPr>
                <w:rFonts w:hint="eastAsia"/>
                <w:b/>
                <w:bCs/>
                <w:color w:val="auto"/>
                <w:sz w:val="24"/>
                <w:szCs w:val="24"/>
              </w:rPr>
              <w:t>3</w:t>
            </w:r>
            <w:r>
              <w:rPr>
                <w:b/>
                <w:bCs/>
                <w:color w:val="auto"/>
                <w:sz w:val="24"/>
                <w:szCs w:val="24"/>
              </w:rPr>
              <w:t>项目</w:t>
            </w:r>
            <w:r>
              <w:rPr>
                <w:rFonts w:hint="eastAsia"/>
                <w:b/>
                <w:bCs/>
                <w:color w:val="auto"/>
                <w:sz w:val="24"/>
                <w:szCs w:val="24"/>
              </w:rPr>
              <w:t>（四街卫生院）</w:t>
            </w:r>
            <w:r>
              <w:rPr>
                <w:b/>
                <w:bCs/>
                <w:color w:val="auto"/>
                <w:sz w:val="24"/>
                <w:szCs w:val="24"/>
              </w:rPr>
              <w:t>厂界噪声贡献值预测结果图</w:t>
            </w:r>
          </w:p>
          <w:p w14:paraId="51CF5FA0">
            <w:pPr>
              <w:snapToGrid w:val="0"/>
              <w:spacing w:line="360" w:lineRule="auto"/>
              <w:ind w:firstLine="480" w:firstLineChars="200"/>
              <w:rPr>
                <w:color w:val="auto"/>
                <w:sz w:val="24"/>
              </w:rPr>
            </w:pPr>
            <w:r>
              <w:rPr>
                <w:color w:val="auto"/>
                <w:sz w:val="24"/>
              </w:rPr>
              <w:t>通过预测模型计算，项目</w:t>
            </w:r>
            <w:r>
              <w:rPr>
                <w:rFonts w:hint="eastAsia"/>
                <w:color w:val="auto"/>
                <w:sz w:val="24"/>
              </w:rPr>
              <w:t>四街卫生院</w:t>
            </w:r>
            <w:r>
              <w:rPr>
                <w:color w:val="auto"/>
                <w:sz w:val="24"/>
              </w:rPr>
              <w:t>厂界噪声的最大值预测结果与达标分析见表4-</w:t>
            </w:r>
            <w:r>
              <w:rPr>
                <w:rFonts w:hint="eastAsia"/>
                <w:color w:val="auto"/>
                <w:sz w:val="24"/>
              </w:rPr>
              <w:t>31</w:t>
            </w:r>
            <w:r>
              <w:rPr>
                <w:color w:val="auto"/>
                <w:sz w:val="24"/>
              </w:rPr>
              <w:t>。</w:t>
            </w:r>
          </w:p>
          <w:p w14:paraId="48E58CC4">
            <w:pPr>
              <w:adjustRightInd w:val="0"/>
              <w:snapToGrid w:val="0"/>
              <w:jc w:val="center"/>
              <w:rPr>
                <w:rFonts w:hint="eastAsia"/>
                <w:b/>
                <w:bCs/>
                <w:color w:val="auto"/>
                <w:kern w:val="0"/>
                <w:sz w:val="24"/>
              </w:rPr>
            </w:pPr>
          </w:p>
          <w:p w14:paraId="328E09F2">
            <w:pPr>
              <w:adjustRightInd w:val="0"/>
              <w:snapToGrid w:val="0"/>
              <w:jc w:val="center"/>
              <w:rPr>
                <w:rFonts w:hint="eastAsia"/>
                <w:b/>
                <w:bCs/>
                <w:color w:val="auto"/>
                <w:kern w:val="0"/>
                <w:sz w:val="24"/>
              </w:rPr>
            </w:pPr>
          </w:p>
          <w:p w14:paraId="5BD42C09">
            <w:pPr>
              <w:adjustRightInd w:val="0"/>
              <w:snapToGrid w:val="0"/>
              <w:jc w:val="center"/>
              <w:rPr>
                <w:rFonts w:hint="eastAsia"/>
                <w:b/>
                <w:bCs/>
                <w:color w:val="auto"/>
                <w:kern w:val="0"/>
                <w:sz w:val="24"/>
              </w:rPr>
            </w:pPr>
          </w:p>
          <w:p w14:paraId="137D158F">
            <w:pPr>
              <w:adjustRightInd w:val="0"/>
              <w:snapToGrid w:val="0"/>
              <w:jc w:val="center"/>
              <w:rPr>
                <w:rFonts w:hint="eastAsia"/>
                <w:b/>
                <w:bCs/>
                <w:color w:val="auto"/>
                <w:kern w:val="0"/>
                <w:sz w:val="24"/>
              </w:rPr>
            </w:pPr>
          </w:p>
          <w:p w14:paraId="24A649B8">
            <w:pPr>
              <w:adjustRightInd w:val="0"/>
              <w:snapToGrid w:val="0"/>
              <w:jc w:val="center"/>
              <w:rPr>
                <w:rFonts w:hint="eastAsia"/>
                <w:b/>
                <w:bCs/>
                <w:color w:val="auto"/>
                <w:kern w:val="0"/>
                <w:sz w:val="24"/>
              </w:rPr>
            </w:pPr>
          </w:p>
          <w:p w14:paraId="5A861114">
            <w:pPr>
              <w:adjustRightInd w:val="0"/>
              <w:snapToGrid w:val="0"/>
              <w:jc w:val="center"/>
              <w:rPr>
                <w:rFonts w:hint="eastAsia"/>
                <w:b/>
                <w:bCs/>
                <w:color w:val="auto"/>
                <w:kern w:val="0"/>
                <w:sz w:val="24"/>
              </w:rPr>
            </w:pPr>
          </w:p>
          <w:p w14:paraId="4103C462">
            <w:pPr>
              <w:adjustRightInd w:val="0"/>
              <w:snapToGrid w:val="0"/>
              <w:jc w:val="center"/>
              <w:rPr>
                <w:rFonts w:hint="eastAsia"/>
                <w:b/>
                <w:bCs/>
                <w:color w:val="auto"/>
                <w:kern w:val="0"/>
                <w:sz w:val="24"/>
              </w:rPr>
            </w:pPr>
          </w:p>
          <w:p w14:paraId="09A940B5">
            <w:pPr>
              <w:adjustRightInd w:val="0"/>
              <w:snapToGrid w:val="0"/>
              <w:jc w:val="center"/>
              <w:rPr>
                <w:rFonts w:hint="eastAsia"/>
                <w:b/>
                <w:bCs/>
                <w:color w:val="auto"/>
                <w:kern w:val="0"/>
                <w:sz w:val="24"/>
              </w:rPr>
            </w:pPr>
          </w:p>
          <w:p w14:paraId="1B945458">
            <w:pPr>
              <w:adjustRightInd w:val="0"/>
              <w:snapToGrid w:val="0"/>
              <w:jc w:val="center"/>
              <w:rPr>
                <w:b/>
                <w:bCs/>
                <w:color w:val="auto"/>
                <w:kern w:val="0"/>
                <w:sz w:val="24"/>
              </w:rPr>
            </w:pPr>
            <w:r>
              <w:rPr>
                <w:rFonts w:hint="eastAsia"/>
                <w:b/>
                <w:bCs/>
                <w:color w:val="auto"/>
                <w:kern w:val="0"/>
                <w:sz w:val="24"/>
              </w:rPr>
              <w:t>表4-31 各噪声源至厂界贡献值一次单位：dB（A）</w:t>
            </w:r>
          </w:p>
          <w:p w14:paraId="247477EE">
            <w:pPr>
              <w:adjustRightInd w:val="0"/>
              <w:snapToGrid w:val="0"/>
              <w:jc w:val="center"/>
              <w:rPr>
                <w:b/>
                <w:bCs/>
                <w:color w:val="auto"/>
                <w:kern w:val="0"/>
                <w:sz w:val="24"/>
              </w:rPr>
            </w:pP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95"/>
              <w:gridCol w:w="898"/>
              <w:gridCol w:w="590"/>
              <w:gridCol w:w="665"/>
              <w:gridCol w:w="1222"/>
              <w:gridCol w:w="1010"/>
              <w:gridCol w:w="996"/>
              <w:gridCol w:w="1049"/>
              <w:gridCol w:w="821"/>
            </w:tblGrid>
            <w:tr w14:paraId="594B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Merge w:val="restart"/>
                  <w:vAlign w:val="center"/>
                </w:tcPr>
                <w:p w14:paraId="2329B5A3">
                  <w:pPr>
                    <w:pStyle w:val="14"/>
                    <w:adjustRightInd w:val="0"/>
                    <w:spacing w:after="0" w:line="240" w:lineRule="auto"/>
                    <w:jc w:val="center"/>
                    <w:rPr>
                      <w:color w:val="auto"/>
                      <w:sz w:val="21"/>
                      <w:szCs w:val="21"/>
                    </w:rPr>
                  </w:pPr>
                  <w:r>
                    <w:rPr>
                      <w:color w:val="auto"/>
                      <w:sz w:val="21"/>
                      <w:szCs w:val="21"/>
                    </w:rPr>
                    <w:t>预测点</w:t>
                  </w:r>
                </w:p>
              </w:tc>
              <w:tc>
                <w:tcPr>
                  <w:tcW w:w="2301" w:type="dxa"/>
                  <w:gridSpan w:val="3"/>
                  <w:vAlign w:val="center"/>
                </w:tcPr>
                <w:p w14:paraId="1229EF55">
                  <w:pPr>
                    <w:pStyle w:val="14"/>
                    <w:adjustRightInd w:val="0"/>
                    <w:spacing w:after="0" w:line="240" w:lineRule="auto"/>
                    <w:jc w:val="center"/>
                    <w:rPr>
                      <w:color w:val="auto"/>
                      <w:sz w:val="21"/>
                      <w:szCs w:val="21"/>
                    </w:rPr>
                  </w:pPr>
                  <w:r>
                    <w:rPr>
                      <w:color w:val="auto"/>
                      <w:sz w:val="21"/>
                      <w:szCs w:val="21"/>
                    </w:rPr>
                    <w:t>空间相对位置/m</w:t>
                  </w:r>
                </w:p>
              </w:tc>
              <w:tc>
                <w:tcPr>
                  <w:tcW w:w="669" w:type="dxa"/>
                  <w:vMerge w:val="restart"/>
                  <w:vAlign w:val="center"/>
                </w:tcPr>
                <w:p w14:paraId="6DCF3D6F">
                  <w:pPr>
                    <w:pStyle w:val="14"/>
                    <w:adjustRightInd w:val="0"/>
                    <w:spacing w:after="0" w:line="240" w:lineRule="auto"/>
                    <w:jc w:val="center"/>
                    <w:rPr>
                      <w:color w:val="auto"/>
                      <w:sz w:val="21"/>
                      <w:szCs w:val="21"/>
                    </w:rPr>
                  </w:pPr>
                  <w:r>
                    <w:rPr>
                      <w:color w:val="auto"/>
                      <w:sz w:val="21"/>
                      <w:szCs w:val="21"/>
                    </w:rPr>
                    <w:t>时段</w:t>
                  </w:r>
                </w:p>
              </w:tc>
              <w:tc>
                <w:tcPr>
                  <w:tcW w:w="1237" w:type="dxa"/>
                  <w:vMerge w:val="restart"/>
                  <w:vAlign w:val="center"/>
                </w:tcPr>
                <w:p w14:paraId="4274B5F3">
                  <w:pPr>
                    <w:pStyle w:val="14"/>
                    <w:adjustRightInd w:val="0"/>
                    <w:spacing w:after="0" w:line="240" w:lineRule="auto"/>
                    <w:jc w:val="center"/>
                    <w:rPr>
                      <w:color w:val="auto"/>
                      <w:sz w:val="21"/>
                      <w:szCs w:val="21"/>
                    </w:rPr>
                  </w:pPr>
                  <w:r>
                    <w:rPr>
                      <w:rFonts w:hint="eastAsia"/>
                      <w:color w:val="auto"/>
                      <w:sz w:val="21"/>
                      <w:szCs w:val="21"/>
                    </w:rPr>
                    <w:t>贡献</w:t>
                  </w:r>
                  <w:r>
                    <w:rPr>
                      <w:color w:val="auto"/>
                      <w:sz w:val="21"/>
                      <w:szCs w:val="21"/>
                    </w:rPr>
                    <w:t>值/dB(A)</w:t>
                  </w:r>
                </w:p>
              </w:tc>
              <w:tc>
                <w:tcPr>
                  <w:tcW w:w="1021" w:type="dxa"/>
                  <w:vMerge w:val="restart"/>
                  <w:vAlign w:val="center"/>
                </w:tcPr>
                <w:p w14:paraId="1274F10A">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07" w:type="dxa"/>
                  <w:vMerge w:val="restart"/>
                  <w:vAlign w:val="center"/>
                </w:tcPr>
                <w:p w14:paraId="2B4FC43B">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61" w:type="dxa"/>
                  <w:vMerge w:val="restart"/>
                  <w:vAlign w:val="center"/>
                </w:tcPr>
                <w:p w14:paraId="2E27DCBB">
                  <w:pPr>
                    <w:pStyle w:val="14"/>
                    <w:adjustRightInd w:val="0"/>
                    <w:spacing w:after="0" w:line="240" w:lineRule="auto"/>
                    <w:jc w:val="center"/>
                    <w:rPr>
                      <w:color w:val="auto"/>
                      <w:sz w:val="21"/>
                      <w:szCs w:val="21"/>
                    </w:rPr>
                  </w:pPr>
                  <w:r>
                    <w:rPr>
                      <w:color w:val="auto"/>
                      <w:sz w:val="21"/>
                      <w:szCs w:val="21"/>
                    </w:rPr>
                    <w:t>噪声标准值/dB(A)</w:t>
                  </w:r>
                </w:p>
              </w:tc>
              <w:tc>
                <w:tcPr>
                  <w:tcW w:w="828" w:type="dxa"/>
                  <w:vMerge w:val="restart"/>
                  <w:vAlign w:val="center"/>
                </w:tcPr>
                <w:p w14:paraId="4A4BCED8">
                  <w:pPr>
                    <w:pStyle w:val="14"/>
                    <w:adjustRightInd w:val="0"/>
                    <w:spacing w:after="0" w:line="240" w:lineRule="auto"/>
                    <w:jc w:val="center"/>
                    <w:rPr>
                      <w:color w:val="auto"/>
                      <w:sz w:val="21"/>
                      <w:szCs w:val="21"/>
                    </w:rPr>
                  </w:pPr>
                  <w:r>
                    <w:rPr>
                      <w:color w:val="auto"/>
                      <w:sz w:val="21"/>
                      <w:szCs w:val="21"/>
                    </w:rPr>
                    <w:t>达标情况</w:t>
                  </w:r>
                </w:p>
              </w:tc>
            </w:tr>
            <w:tr w14:paraId="3D48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continue"/>
                  <w:vAlign w:val="center"/>
                </w:tcPr>
                <w:p w14:paraId="30C9AEDA">
                  <w:pPr>
                    <w:pStyle w:val="14"/>
                    <w:adjustRightInd w:val="0"/>
                    <w:spacing w:after="0" w:line="240" w:lineRule="auto"/>
                    <w:jc w:val="center"/>
                    <w:rPr>
                      <w:color w:val="auto"/>
                      <w:sz w:val="21"/>
                      <w:szCs w:val="21"/>
                    </w:rPr>
                  </w:pPr>
                </w:p>
              </w:tc>
              <w:tc>
                <w:tcPr>
                  <w:tcW w:w="802" w:type="dxa"/>
                  <w:vAlign w:val="center"/>
                </w:tcPr>
                <w:p w14:paraId="4445BEC8">
                  <w:pPr>
                    <w:pStyle w:val="14"/>
                    <w:adjustRightInd w:val="0"/>
                    <w:spacing w:after="0" w:line="240" w:lineRule="auto"/>
                    <w:jc w:val="center"/>
                    <w:rPr>
                      <w:color w:val="auto"/>
                      <w:sz w:val="21"/>
                      <w:szCs w:val="21"/>
                    </w:rPr>
                  </w:pPr>
                  <w:r>
                    <w:rPr>
                      <w:color w:val="auto"/>
                      <w:sz w:val="21"/>
                      <w:szCs w:val="21"/>
                    </w:rPr>
                    <w:t>X</w:t>
                  </w:r>
                </w:p>
              </w:tc>
              <w:tc>
                <w:tcPr>
                  <w:tcW w:w="907" w:type="dxa"/>
                  <w:vAlign w:val="center"/>
                </w:tcPr>
                <w:p w14:paraId="42B4D37A">
                  <w:pPr>
                    <w:pStyle w:val="14"/>
                    <w:adjustRightInd w:val="0"/>
                    <w:spacing w:after="0" w:line="240" w:lineRule="auto"/>
                    <w:jc w:val="center"/>
                    <w:rPr>
                      <w:color w:val="auto"/>
                      <w:sz w:val="21"/>
                      <w:szCs w:val="21"/>
                    </w:rPr>
                  </w:pPr>
                  <w:r>
                    <w:rPr>
                      <w:color w:val="auto"/>
                      <w:sz w:val="21"/>
                      <w:szCs w:val="21"/>
                    </w:rPr>
                    <w:t>Y</w:t>
                  </w:r>
                </w:p>
              </w:tc>
              <w:tc>
                <w:tcPr>
                  <w:tcW w:w="592" w:type="dxa"/>
                  <w:vAlign w:val="center"/>
                </w:tcPr>
                <w:p w14:paraId="2E21BA7A">
                  <w:pPr>
                    <w:pStyle w:val="14"/>
                    <w:adjustRightInd w:val="0"/>
                    <w:spacing w:after="0" w:line="240" w:lineRule="auto"/>
                    <w:jc w:val="center"/>
                    <w:rPr>
                      <w:color w:val="auto"/>
                      <w:sz w:val="21"/>
                      <w:szCs w:val="21"/>
                    </w:rPr>
                  </w:pPr>
                  <w:r>
                    <w:rPr>
                      <w:color w:val="auto"/>
                      <w:sz w:val="21"/>
                      <w:szCs w:val="21"/>
                    </w:rPr>
                    <w:t>Z</w:t>
                  </w:r>
                </w:p>
              </w:tc>
              <w:tc>
                <w:tcPr>
                  <w:tcW w:w="669" w:type="dxa"/>
                  <w:vMerge w:val="continue"/>
                  <w:vAlign w:val="center"/>
                </w:tcPr>
                <w:p w14:paraId="5EFB94EA">
                  <w:pPr>
                    <w:pStyle w:val="14"/>
                    <w:adjustRightInd w:val="0"/>
                    <w:spacing w:after="0" w:line="240" w:lineRule="auto"/>
                    <w:jc w:val="center"/>
                    <w:rPr>
                      <w:color w:val="auto"/>
                      <w:sz w:val="21"/>
                      <w:szCs w:val="21"/>
                    </w:rPr>
                  </w:pPr>
                </w:p>
              </w:tc>
              <w:tc>
                <w:tcPr>
                  <w:tcW w:w="1237" w:type="dxa"/>
                  <w:vMerge w:val="continue"/>
                  <w:vAlign w:val="center"/>
                </w:tcPr>
                <w:p w14:paraId="748CB07E">
                  <w:pPr>
                    <w:pStyle w:val="14"/>
                    <w:adjustRightInd w:val="0"/>
                    <w:spacing w:after="0" w:line="240" w:lineRule="auto"/>
                    <w:jc w:val="center"/>
                    <w:rPr>
                      <w:color w:val="auto"/>
                      <w:sz w:val="21"/>
                      <w:szCs w:val="21"/>
                    </w:rPr>
                  </w:pPr>
                </w:p>
              </w:tc>
              <w:tc>
                <w:tcPr>
                  <w:tcW w:w="1021" w:type="dxa"/>
                  <w:vMerge w:val="continue"/>
                  <w:vAlign w:val="center"/>
                </w:tcPr>
                <w:p w14:paraId="545BC9A8">
                  <w:pPr>
                    <w:pStyle w:val="14"/>
                    <w:adjustRightInd w:val="0"/>
                    <w:spacing w:after="0" w:line="240" w:lineRule="auto"/>
                    <w:jc w:val="center"/>
                    <w:rPr>
                      <w:color w:val="auto"/>
                      <w:sz w:val="21"/>
                      <w:szCs w:val="21"/>
                    </w:rPr>
                  </w:pPr>
                </w:p>
              </w:tc>
              <w:tc>
                <w:tcPr>
                  <w:tcW w:w="1007" w:type="dxa"/>
                  <w:vMerge w:val="continue"/>
                  <w:vAlign w:val="center"/>
                </w:tcPr>
                <w:p w14:paraId="605423D8">
                  <w:pPr>
                    <w:pStyle w:val="14"/>
                    <w:adjustRightInd w:val="0"/>
                    <w:spacing w:after="0" w:line="240" w:lineRule="auto"/>
                    <w:jc w:val="center"/>
                    <w:rPr>
                      <w:color w:val="auto"/>
                      <w:sz w:val="21"/>
                      <w:szCs w:val="21"/>
                    </w:rPr>
                  </w:pPr>
                </w:p>
              </w:tc>
              <w:tc>
                <w:tcPr>
                  <w:tcW w:w="1061" w:type="dxa"/>
                  <w:vMerge w:val="continue"/>
                  <w:vAlign w:val="center"/>
                </w:tcPr>
                <w:p w14:paraId="16F0124D">
                  <w:pPr>
                    <w:pStyle w:val="14"/>
                    <w:adjustRightInd w:val="0"/>
                    <w:spacing w:after="0" w:line="240" w:lineRule="auto"/>
                    <w:jc w:val="center"/>
                    <w:rPr>
                      <w:color w:val="auto"/>
                      <w:sz w:val="21"/>
                      <w:szCs w:val="21"/>
                    </w:rPr>
                  </w:pPr>
                </w:p>
              </w:tc>
              <w:tc>
                <w:tcPr>
                  <w:tcW w:w="828" w:type="dxa"/>
                  <w:vMerge w:val="continue"/>
                  <w:vAlign w:val="center"/>
                </w:tcPr>
                <w:p w14:paraId="12FADEFB">
                  <w:pPr>
                    <w:pStyle w:val="14"/>
                    <w:adjustRightInd w:val="0"/>
                    <w:spacing w:after="0" w:line="240" w:lineRule="auto"/>
                    <w:jc w:val="center"/>
                    <w:rPr>
                      <w:color w:val="auto"/>
                      <w:sz w:val="21"/>
                      <w:szCs w:val="21"/>
                    </w:rPr>
                  </w:pPr>
                </w:p>
              </w:tc>
            </w:tr>
            <w:tr w14:paraId="38DA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14:paraId="3225EED6">
                  <w:pPr>
                    <w:pStyle w:val="14"/>
                    <w:adjustRightInd w:val="0"/>
                    <w:spacing w:after="0" w:line="240" w:lineRule="auto"/>
                    <w:jc w:val="center"/>
                    <w:rPr>
                      <w:color w:val="auto"/>
                      <w:sz w:val="21"/>
                      <w:szCs w:val="21"/>
                    </w:rPr>
                  </w:pPr>
                  <w:r>
                    <w:rPr>
                      <w:rFonts w:hint="eastAsia"/>
                      <w:color w:val="auto"/>
                      <w:sz w:val="21"/>
                      <w:szCs w:val="21"/>
                    </w:rPr>
                    <w:t>西厂界</w:t>
                  </w:r>
                </w:p>
              </w:tc>
              <w:tc>
                <w:tcPr>
                  <w:tcW w:w="802" w:type="dxa"/>
                  <w:vMerge w:val="restart"/>
                  <w:vAlign w:val="center"/>
                </w:tcPr>
                <w:p w14:paraId="74485883">
                  <w:pPr>
                    <w:pStyle w:val="14"/>
                    <w:adjustRightInd w:val="0"/>
                    <w:spacing w:after="0" w:line="240" w:lineRule="auto"/>
                    <w:jc w:val="center"/>
                    <w:rPr>
                      <w:color w:val="auto"/>
                      <w:sz w:val="21"/>
                      <w:szCs w:val="21"/>
                    </w:rPr>
                  </w:pPr>
                  <w:r>
                    <w:rPr>
                      <w:color w:val="auto"/>
                      <w:sz w:val="21"/>
                      <w:szCs w:val="21"/>
                    </w:rPr>
                    <w:t>21.42</w:t>
                  </w:r>
                </w:p>
                <w:p w14:paraId="16789274">
                  <w:pPr>
                    <w:pStyle w:val="14"/>
                    <w:adjustRightInd w:val="0"/>
                    <w:spacing w:after="0" w:line="240" w:lineRule="auto"/>
                    <w:jc w:val="center"/>
                    <w:rPr>
                      <w:color w:val="auto"/>
                      <w:sz w:val="21"/>
                      <w:szCs w:val="21"/>
                    </w:rPr>
                  </w:pPr>
                </w:p>
              </w:tc>
              <w:tc>
                <w:tcPr>
                  <w:tcW w:w="907" w:type="dxa"/>
                  <w:vMerge w:val="restart"/>
                  <w:vAlign w:val="center"/>
                </w:tcPr>
                <w:p w14:paraId="2A971F2B">
                  <w:pPr>
                    <w:pStyle w:val="14"/>
                    <w:adjustRightInd w:val="0"/>
                    <w:spacing w:after="0" w:line="240" w:lineRule="auto"/>
                    <w:jc w:val="center"/>
                    <w:rPr>
                      <w:color w:val="auto"/>
                      <w:sz w:val="21"/>
                      <w:szCs w:val="21"/>
                    </w:rPr>
                  </w:pPr>
                  <w:r>
                    <w:rPr>
                      <w:color w:val="auto"/>
                      <w:sz w:val="21"/>
                      <w:szCs w:val="21"/>
                    </w:rPr>
                    <w:t>60.60</w:t>
                  </w:r>
                </w:p>
                <w:p w14:paraId="029382DA">
                  <w:pPr>
                    <w:pStyle w:val="14"/>
                    <w:adjustRightInd w:val="0"/>
                    <w:spacing w:after="0" w:line="240" w:lineRule="auto"/>
                    <w:jc w:val="center"/>
                    <w:rPr>
                      <w:color w:val="auto"/>
                      <w:sz w:val="21"/>
                      <w:szCs w:val="21"/>
                    </w:rPr>
                  </w:pPr>
                </w:p>
              </w:tc>
              <w:tc>
                <w:tcPr>
                  <w:tcW w:w="592" w:type="dxa"/>
                  <w:vMerge w:val="restart"/>
                  <w:vAlign w:val="center"/>
                </w:tcPr>
                <w:p w14:paraId="700F8A95">
                  <w:pPr>
                    <w:pStyle w:val="14"/>
                    <w:adjustRightInd w:val="0"/>
                    <w:spacing w:after="0" w:line="240" w:lineRule="auto"/>
                    <w:jc w:val="center"/>
                    <w:rPr>
                      <w:color w:val="auto"/>
                      <w:sz w:val="21"/>
                      <w:szCs w:val="21"/>
                    </w:rPr>
                  </w:pPr>
                  <w:r>
                    <w:rPr>
                      <w:rFonts w:hint="eastAsia"/>
                      <w:color w:val="auto"/>
                      <w:sz w:val="21"/>
                      <w:szCs w:val="21"/>
                    </w:rPr>
                    <w:t>1.2</w:t>
                  </w:r>
                </w:p>
              </w:tc>
              <w:tc>
                <w:tcPr>
                  <w:tcW w:w="669" w:type="dxa"/>
                  <w:vAlign w:val="center"/>
                </w:tcPr>
                <w:p w14:paraId="1F446879">
                  <w:pPr>
                    <w:pStyle w:val="14"/>
                    <w:adjustRightInd w:val="0"/>
                    <w:spacing w:after="0" w:line="240" w:lineRule="auto"/>
                    <w:jc w:val="center"/>
                    <w:rPr>
                      <w:color w:val="auto"/>
                      <w:sz w:val="21"/>
                      <w:szCs w:val="21"/>
                    </w:rPr>
                  </w:pPr>
                  <w:r>
                    <w:rPr>
                      <w:color w:val="auto"/>
                      <w:sz w:val="21"/>
                      <w:szCs w:val="21"/>
                    </w:rPr>
                    <w:t>昼间</w:t>
                  </w:r>
                </w:p>
              </w:tc>
              <w:tc>
                <w:tcPr>
                  <w:tcW w:w="1237" w:type="dxa"/>
                  <w:vAlign w:val="center"/>
                </w:tcPr>
                <w:p w14:paraId="1E68BB8E">
                  <w:pPr>
                    <w:pStyle w:val="14"/>
                    <w:adjustRightInd w:val="0"/>
                    <w:spacing w:after="0" w:line="240" w:lineRule="auto"/>
                    <w:jc w:val="center"/>
                    <w:rPr>
                      <w:color w:val="auto"/>
                      <w:sz w:val="21"/>
                      <w:szCs w:val="21"/>
                      <w:highlight w:val="cyan"/>
                    </w:rPr>
                  </w:pPr>
                  <w:r>
                    <w:rPr>
                      <w:rFonts w:hint="eastAsia"/>
                      <w:color w:val="auto"/>
                      <w:sz w:val="21"/>
                      <w:szCs w:val="21"/>
                    </w:rPr>
                    <w:t>17.39</w:t>
                  </w:r>
                </w:p>
              </w:tc>
              <w:tc>
                <w:tcPr>
                  <w:tcW w:w="1021" w:type="dxa"/>
                  <w:vAlign w:val="center"/>
                </w:tcPr>
                <w:p w14:paraId="32F00902">
                  <w:pPr>
                    <w:pStyle w:val="14"/>
                    <w:adjustRightInd w:val="0"/>
                    <w:spacing w:after="0" w:line="240" w:lineRule="auto"/>
                    <w:jc w:val="center"/>
                    <w:rPr>
                      <w:color w:val="auto"/>
                      <w:sz w:val="21"/>
                      <w:szCs w:val="21"/>
                    </w:rPr>
                  </w:pPr>
                  <w:r>
                    <w:rPr>
                      <w:rFonts w:hint="eastAsia"/>
                      <w:color w:val="auto"/>
                      <w:sz w:val="21"/>
                      <w:szCs w:val="21"/>
                    </w:rPr>
                    <w:t>59</w:t>
                  </w:r>
                </w:p>
              </w:tc>
              <w:tc>
                <w:tcPr>
                  <w:tcW w:w="1007" w:type="dxa"/>
                  <w:vAlign w:val="center"/>
                </w:tcPr>
                <w:p w14:paraId="3D966413">
                  <w:pPr>
                    <w:pStyle w:val="14"/>
                    <w:adjustRightInd w:val="0"/>
                    <w:spacing w:after="0" w:line="240" w:lineRule="auto"/>
                    <w:jc w:val="center"/>
                    <w:rPr>
                      <w:color w:val="auto"/>
                      <w:sz w:val="21"/>
                      <w:szCs w:val="21"/>
                    </w:rPr>
                  </w:pPr>
                  <w:r>
                    <w:rPr>
                      <w:rFonts w:hint="eastAsia"/>
                      <w:color w:val="auto"/>
                      <w:sz w:val="21"/>
                      <w:szCs w:val="21"/>
                    </w:rPr>
                    <w:t>59</w:t>
                  </w:r>
                </w:p>
              </w:tc>
              <w:tc>
                <w:tcPr>
                  <w:tcW w:w="1061" w:type="dxa"/>
                  <w:vAlign w:val="center"/>
                </w:tcPr>
                <w:p w14:paraId="4D89F848">
                  <w:pPr>
                    <w:pStyle w:val="14"/>
                    <w:adjustRightInd w:val="0"/>
                    <w:spacing w:after="0" w:line="240" w:lineRule="auto"/>
                    <w:jc w:val="center"/>
                    <w:rPr>
                      <w:color w:val="auto"/>
                      <w:sz w:val="21"/>
                      <w:szCs w:val="21"/>
                    </w:rPr>
                  </w:pPr>
                  <w:r>
                    <w:rPr>
                      <w:rFonts w:hint="eastAsia"/>
                      <w:color w:val="auto"/>
                      <w:sz w:val="21"/>
                      <w:szCs w:val="21"/>
                    </w:rPr>
                    <w:t>70</w:t>
                  </w:r>
                </w:p>
              </w:tc>
              <w:tc>
                <w:tcPr>
                  <w:tcW w:w="828" w:type="dxa"/>
                  <w:vAlign w:val="center"/>
                </w:tcPr>
                <w:p w14:paraId="4106B1A8">
                  <w:pPr>
                    <w:pStyle w:val="14"/>
                    <w:adjustRightInd w:val="0"/>
                    <w:spacing w:after="0" w:line="240" w:lineRule="auto"/>
                    <w:jc w:val="center"/>
                    <w:rPr>
                      <w:color w:val="auto"/>
                      <w:sz w:val="21"/>
                      <w:szCs w:val="21"/>
                    </w:rPr>
                  </w:pPr>
                  <w:r>
                    <w:rPr>
                      <w:color w:val="auto"/>
                      <w:sz w:val="21"/>
                      <w:szCs w:val="21"/>
                    </w:rPr>
                    <w:t>达标</w:t>
                  </w:r>
                </w:p>
              </w:tc>
            </w:tr>
            <w:tr w14:paraId="3ED7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continue"/>
                  <w:vAlign w:val="center"/>
                </w:tcPr>
                <w:p w14:paraId="2935562E">
                  <w:pPr>
                    <w:pStyle w:val="14"/>
                    <w:adjustRightInd w:val="0"/>
                    <w:spacing w:after="0" w:line="240" w:lineRule="auto"/>
                    <w:jc w:val="center"/>
                    <w:rPr>
                      <w:color w:val="auto"/>
                      <w:sz w:val="21"/>
                      <w:szCs w:val="21"/>
                    </w:rPr>
                  </w:pPr>
                </w:p>
              </w:tc>
              <w:tc>
                <w:tcPr>
                  <w:tcW w:w="802" w:type="dxa"/>
                  <w:vMerge w:val="continue"/>
                  <w:vAlign w:val="center"/>
                </w:tcPr>
                <w:p w14:paraId="7E37E398">
                  <w:pPr>
                    <w:pStyle w:val="14"/>
                    <w:adjustRightInd w:val="0"/>
                    <w:spacing w:after="0" w:line="240" w:lineRule="auto"/>
                    <w:jc w:val="center"/>
                    <w:rPr>
                      <w:color w:val="auto"/>
                      <w:sz w:val="21"/>
                      <w:szCs w:val="21"/>
                    </w:rPr>
                  </w:pPr>
                </w:p>
              </w:tc>
              <w:tc>
                <w:tcPr>
                  <w:tcW w:w="907" w:type="dxa"/>
                  <w:vMerge w:val="continue"/>
                  <w:vAlign w:val="center"/>
                </w:tcPr>
                <w:p w14:paraId="412349F6">
                  <w:pPr>
                    <w:pStyle w:val="14"/>
                    <w:adjustRightInd w:val="0"/>
                    <w:spacing w:after="0" w:line="240" w:lineRule="auto"/>
                    <w:jc w:val="center"/>
                    <w:rPr>
                      <w:color w:val="auto"/>
                      <w:sz w:val="21"/>
                      <w:szCs w:val="21"/>
                    </w:rPr>
                  </w:pPr>
                </w:p>
              </w:tc>
              <w:tc>
                <w:tcPr>
                  <w:tcW w:w="592" w:type="dxa"/>
                  <w:vMerge w:val="continue"/>
                  <w:vAlign w:val="center"/>
                </w:tcPr>
                <w:p w14:paraId="01D93312">
                  <w:pPr>
                    <w:pStyle w:val="14"/>
                    <w:adjustRightInd w:val="0"/>
                    <w:spacing w:after="0" w:line="240" w:lineRule="auto"/>
                    <w:jc w:val="center"/>
                    <w:rPr>
                      <w:color w:val="auto"/>
                      <w:sz w:val="21"/>
                      <w:szCs w:val="21"/>
                    </w:rPr>
                  </w:pPr>
                </w:p>
              </w:tc>
              <w:tc>
                <w:tcPr>
                  <w:tcW w:w="669" w:type="dxa"/>
                  <w:vAlign w:val="center"/>
                </w:tcPr>
                <w:p w14:paraId="0488DEB5">
                  <w:pPr>
                    <w:pStyle w:val="14"/>
                    <w:adjustRightInd w:val="0"/>
                    <w:spacing w:after="0" w:line="240" w:lineRule="auto"/>
                    <w:jc w:val="center"/>
                    <w:rPr>
                      <w:color w:val="auto"/>
                      <w:sz w:val="21"/>
                      <w:szCs w:val="21"/>
                    </w:rPr>
                  </w:pPr>
                  <w:r>
                    <w:rPr>
                      <w:rFonts w:hint="eastAsia"/>
                      <w:color w:val="auto"/>
                      <w:sz w:val="21"/>
                      <w:szCs w:val="21"/>
                    </w:rPr>
                    <w:t>夜间</w:t>
                  </w:r>
                </w:p>
              </w:tc>
              <w:tc>
                <w:tcPr>
                  <w:tcW w:w="1237" w:type="dxa"/>
                  <w:vAlign w:val="center"/>
                </w:tcPr>
                <w:p w14:paraId="11D47CD5">
                  <w:pPr>
                    <w:pStyle w:val="14"/>
                    <w:adjustRightInd w:val="0"/>
                    <w:spacing w:after="0" w:line="240" w:lineRule="auto"/>
                    <w:jc w:val="center"/>
                    <w:rPr>
                      <w:color w:val="auto"/>
                      <w:sz w:val="21"/>
                      <w:szCs w:val="21"/>
                    </w:rPr>
                  </w:pPr>
                  <w:r>
                    <w:rPr>
                      <w:rFonts w:hint="eastAsia"/>
                      <w:color w:val="auto"/>
                      <w:sz w:val="21"/>
                      <w:szCs w:val="21"/>
                    </w:rPr>
                    <w:t>17.39</w:t>
                  </w:r>
                </w:p>
              </w:tc>
              <w:tc>
                <w:tcPr>
                  <w:tcW w:w="1021" w:type="dxa"/>
                  <w:vAlign w:val="center"/>
                </w:tcPr>
                <w:p w14:paraId="1FC5AEE5">
                  <w:pPr>
                    <w:pStyle w:val="14"/>
                    <w:adjustRightInd w:val="0"/>
                    <w:spacing w:after="0" w:line="240" w:lineRule="auto"/>
                    <w:jc w:val="center"/>
                    <w:rPr>
                      <w:color w:val="auto"/>
                      <w:sz w:val="21"/>
                      <w:szCs w:val="21"/>
                    </w:rPr>
                  </w:pPr>
                  <w:r>
                    <w:rPr>
                      <w:rFonts w:hint="eastAsia"/>
                      <w:color w:val="auto"/>
                      <w:sz w:val="21"/>
                      <w:szCs w:val="21"/>
                    </w:rPr>
                    <w:t>47</w:t>
                  </w:r>
                </w:p>
              </w:tc>
              <w:tc>
                <w:tcPr>
                  <w:tcW w:w="1007" w:type="dxa"/>
                  <w:vAlign w:val="center"/>
                </w:tcPr>
                <w:p w14:paraId="7DD34245">
                  <w:pPr>
                    <w:pStyle w:val="14"/>
                    <w:adjustRightInd w:val="0"/>
                    <w:spacing w:after="0" w:line="240" w:lineRule="auto"/>
                    <w:jc w:val="center"/>
                    <w:rPr>
                      <w:color w:val="auto"/>
                      <w:sz w:val="21"/>
                      <w:szCs w:val="21"/>
                    </w:rPr>
                  </w:pPr>
                  <w:r>
                    <w:rPr>
                      <w:rFonts w:hint="eastAsia"/>
                      <w:color w:val="auto"/>
                      <w:sz w:val="21"/>
                      <w:szCs w:val="21"/>
                    </w:rPr>
                    <w:t>47</w:t>
                  </w:r>
                </w:p>
              </w:tc>
              <w:tc>
                <w:tcPr>
                  <w:tcW w:w="1061" w:type="dxa"/>
                  <w:vAlign w:val="center"/>
                </w:tcPr>
                <w:p w14:paraId="2CA246AB">
                  <w:pPr>
                    <w:pStyle w:val="14"/>
                    <w:adjustRightInd w:val="0"/>
                    <w:spacing w:after="0" w:line="240" w:lineRule="auto"/>
                    <w:jc w:val="center"/>
                    <w:rPr>
                      <w:color w:val="auto"/>
                      <w:sz w:val="21"/>
                      <w:szCs w:val="21"/>
                    </w:rPr>
                  </w:pPr>
                  <w:r>
                    <w:rPr>
                      <w:rFonts w:hint="eastAsia"/>
                      <w:color w:val="auto"/>
                      <w:sz w:val="21"/>
                      <w:szCs w:val="21"/>
                    </w:rPr>
                    <w:t>55</w:t>
                  </w:r>
                </w:p>
              </w:tc>
              <w:tc>
                <w:tcPr>
                  <w:tcW w:w="828" w:type="dxa"/>
                  <w:vAlign w:val="center"/>
                </w:tcPr>
                <w:p w14:paraId="687DD813">
                  <w:pPr>
                    <w:pStyle w:val="14"/>
                    <w:adjustRightInd w:val="0"/>
                    <w:spacing w:after="0" w:line="240" w:lineRule="auto"/>
                    <w:jc w:val="center"/>
                    <w:rPr>
                      <w:color w:val="auto"/>
                      <w:sz w:val="21"/>
                      <w:szCs w:val="21"/>
                    </w:rPr>
                  </w:pPr>
                  <w:r>
                    <w:rPr>
                      <w:color w:val="auto"/>
                      <w:sz w:val="21"/>
                      <w:szCs w:val="21"/>
                    </w:rPr>
                    <w:t>达标</w:t>
                  </w:r>
                </w:p>
              </w:tc>
            </w:tr>
            <w:tr w14:paraId="065C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14:paraId="612A9A33">
                  <w:pPr>
                    <w:pStyle w:val="14"/>
                    <w:adjustRightInd w:val="0"/>
                    <w:spacing w:after="0" w:line="240" w:lineRule="auto"/>
                    <w:jc w:val="center"/>
                    <w:rPr>
                      <w:color w:val="auto"/>
                      <w:sz w:val="21"/>
                      <w:szCs w:val="21"/>
                    </w:rPr>
                  </w:pPr>
                  <w:r>
                    <w:rPr>
                      <w:rFonts w:hint="eastAsia"/>
                      <w:color w:val="auto"/>
                      <w:sz w:val="21"/>
                      <w:szCs w:val="21"/>
                    </w:rPr>
                    <w:t>东厂界</w:t>
                  </w:r>
                </w:p>
              </w:tc>
              <w:tc>
                <w:tcPr>
                  <w:tcW w:w="802" w:type="dxa"/>
                  <w:vMerge w:val="restart"/>
                  <w:vAlign w:val="center"/>
                </w:tcPr>
                <w:p w14:paraId="3A6A886B">
                  <w:pPr>
                    <w:pStyle w:val="14"/>
                    <w:adjustRightInd w:val="0"/>
                    <w:spacing w:after="0" w:line="240" w:lineRule="auto"/>
                    <w:jc w:val="center"/>
                    <w:rPr>
                      <w:color w:val="auto"/>
                      <w:sz w:val="21"/>
                      <w:szCs w:val="21"/>
                    </w:rPr>
                  </w:pPr>
                  <w:r>
                    <w:rPr>
                      <w:color w:val="auto"/>
                      <w:sz w:val="21"/>
                      <w:szCs w:val="21"/>
                    </w:rPr>
                    <w:t>93.44</w:t>
                  </w:r>
                </w:p>
                <w:p w14:paraId="24004E4F">
                  <w:pPr>
                    <w:pStyle w:val="14"/>
                    <w:adjustRightInd w:val="0"/>
                    <w:spacing w:after="0" w:line="240" w:lineRule="auto"/>
                    <w:jc w:val="center"/>
                    <w:rPr>
                      <w:color w:val="auto"/>
                      <w:sz w:val="21"/>
                      <w:szCs w:val="21"/>
                    </w:rPr>
                  </w:pPr>
                </w:p>
              </w:tc>
              <w:tc>
                <w:tcPr>
                  <w:tcW w:w="907" w:type="dxa"/>
                  <w:vMerge w:val="restart"/>
                  <w:vAlign w:val="center"/>
                </w:tcPr>
                <w:p w14:paraId="3AC8F395">
                  <w:pPr>
                    <w:pStyle w:val="14"/>
                    <w:adjustRightInd w:val="0"/>
                    <w:spacing w:after="0" w:line="240" w:lineRule="auto"/>
                    <w:jc w:val="center"/>
                    <w:rPr>
                      <w:color w:val="auto"/>
                      <w:sz w:val="21"/>
                      <w:szCs w:val="21"/>
                    </w:rPr>
                  </w:pPr>
                  <w:r>
                    <w:rPr>
                      <w:color w:val="auto"/>
                      <w:sz w:val="21"/>
                      <w:szCs w:val="21"/>
                    </w:rPr>
                    <w:t>73.83</w:t>
                  </w:r>
                </w:p>
                <w:p w14:paraId="4A356E86">
                  <w:pPr>
                    <w:pStyle w:val="14"/>
                    <w:adjustRightInd w:val="0"/>
                    <w:spacing w:after="0" w:line="240" w:lineRule="auto"/>
                    <w:jc w:val="center"/>
                    <w:rPr>
                      <w:color w:val="auto"/>
                      <w:sz w:val="21"/>
                      <w:szCs w:val="21"/>
                    </w:rPr>
                  </w:pPr>
                </w:p>
              </w:tc>
              <w:tc>
                <w:tcPr>
                  <w:tcW w:w="592" w:type="dxa"/>
                  <w:vMerge w:val="restart"/>
                  <w:vAlign w:val="center"/>
                </w:tcPr>
                <w:p w14:paraId="7EDDEAE2">
                  <w:pPr>
                    <w:pStyle w:val="14"/>
                    <w:adjustRightInd w:val="0"/>
                    <w:spacing w:after="0" w:line="240" w:lineRule="auto"/>
                    <w:jc w:val="center"/>
                    <w:rPr>
                      <w:color w:val="auto"/>
                      <w:sz w:val="21"/>
                      <w:szCs w:val="21"/>
                    </w:rPr>
                  </w:pPr>
                  <w:r>
                    <w:rPr>
                      <w:rFonts w:hint="eastAsia"/>
                      <w:color w:val="auto"/>
                      <w:sz w:val="21"/>
                      <w:szCs w:val="21"/>
                    </w:rPr>
                    <w:t>1.2</w:t>
                  </w:r>
                </w:p>
              </w:tc>
              <w:tc>
                <w:tcPr>
                  <w:tcW w:w="669" w:type="dxa"/>
                  <w:vAlign w:val="center"/>
                </w:tcPr>
                <w:p w14:paraId="2288E8FF">
                  <w:pPr>
                    <w:pStyle w:val="14"/>
                    <w:adjustRightInd w:val="0"/>
                    <w:spacing w:after="0" w:line="240" w:lineRule="auto"/>
                    <w:jc w:val="center"/>
                    <w:rPr>
                      <w:color w:val="auto"/>
                      <w:sz w:val="21"/>
                      <w:szCs w:val="21"/>
                    </w:rPr>
                  </w:pPr>
                  <w:r>
                    <w:rPr>
                      <w:color w:val="auto"/>
                      <w:sz w:val="21"/>
                      <w:szCs w:val="21"/>
                    </w:rPr>
                    <w:t>昼间</w:t>
                  </w:r>
                </w:p>
              </w:tc>
              <w:tc>
                <w:tcPr>
                  <w:tcW w:w="1237" w:type="dxa"/>
                  <w:vAlign w:val="center"/>
                </w:tcPr>
                <w:p w14:paraId="795F5314">
                  <w:pPr>
                    <w:pStyle w:val="14"/>
                    <w:adjustRightInd w:val="0"/>
                    <w:spacing w:after="0" w:line="240" w:lineRule="auto"/>
                    <w:jc w:val="center"/>
                    <w:rPr>
                      <w:color w:val="auto"/>
                      <w:sz w:val="21"/>
                      <w:szCs w:val="21"/>
                    </w:rPr>
                  </w:pPr>
                  <w:r>
                    <w:rPr>
                      <w:rFonts w:hint="eastAsia"/>
                      <w:color w:val="auto"/>
                      <w:sz w:val="21"/>
                      <w:szCs w:val="21"/>
                    </w:rPr>
                    <w:t>42.94</w:t>
                  </w:r>
                </w:p>
              </w:tc>
              <w:tc>
                <w:tcPr>
                  <w:tcW w:w="1021" w:type="dxa"/>
                  <w:vAlign w:val="center"/>
                </w:tcPr>
                <w:p w14:paraId="59031B4D">
                  <w:pPr>
                    <w:pStyle w:val="14"/>
                    <w:adjustRightInd w:val="0"/>
                    <w:spacing w:after="0" w:line="240" w:lineRule="auto"/>
                    <w:jc w:val="center"/>
                    <w:rPr>
                      <w:color w:val="auto"/>
                      <w:sz w:val="21"/>
                      <w:szCs w:val="21"/>
                    </w:rPr>
                  </w:pPr>
                  <w:r>
                    <w:rPr>
                      <w:rFonts w:hint="eastAsia"/>
                      <w:color w:val="auto"/>
                      <w:sz w:val="21"/>
                      <w:szCs w:val="21"/>
                    </w:rPr>
                    <w:t>51</w:t>
                  </w:r>
                </w:p>
              </w:tc>
              <w:tc>
                <w:tcPr>
                  <w:tcW w:w="1007" w:type="dxa"/>
                  <w:vAlign w:val="center"/>
                </w:tcPr>
                <w:p w14:paraId="673B4EAF">
                  <w:pPr>
                    <w:pStyle w:val="14"/>
                    <w:adjustRightInd w:val="0"/>
                    <w:spacing w:after="0" w:line="240" w:lineRule="auto"/>
                    <w:jc w:val="center"/>
                    <w:rPr>
                      <w:color w:val="auto"/>
                      <w:sz w:val="21"/>
                      <w:szCs w:val="21"/>
                    </w:rPr>
                  </w:pPr>
                  <w:r>
                    <w:rPr>
                      <w:rFonts w:hint="eastAsia"/>
                      <w:color w:val="auto"/>
                      <w:sz w:val="21"/>
                      <w:szCs w:val="21"/>
                    </w:rPr>
                    <w:t>51.63</w:t>
                  </w:r>
                </w:p>
              </w:tc>
              <w:tc>
                <w:tcPr>
                  <w:tcW w:w="1061" w:type="dxa"/>
                  <w:vAlign w:val="center"/>
                </w:tcPr>
                <w:p w14:paraId="6946771F">
                  <w:pPr>
                    <w:pStyle w:val="14"/>
                    <w:adjustRightInd w:val="0"/>
                    <w:spacing w:after="0" w:line="240" w:lineRule="auto"/>
                    <w:jc w:val="center"/>
                    <w:rPr>
                      <w:color w:val="auto"/>
                      <w:sz w:val="21"/>
                      <w:szCs w:val="21"/>
                    </w:rPr>
                  </w:pPr>
                  <w:r>
                    <w:rPr>
                      <w:rFonts w:hint="eastAsia"/>
                      <w:color w:val="auto"/>
                      <w:sz w:val="21"/>
                      <w:szCs w:val="21"/>
                    </w:rPr>
                    <w:t>60</w:t>
                  </w:r>
                </w:p>
              </w:tc>
              <w:tc>
                <w:tcPr>
                  <w:tcW w:w="828" w:type="dxa"/>
                  <w:vAlign w:val="center"/>
                </w:tcPr>
                <w:p w14:paraId="4F54E183">
                  <w:pPr>
                    <w:pStyle w:val="14"/>
                    <w:adjustRightInd w:val="0"/>
                    <w:spacing w:after="0" w:line="240" w:lineRule="auto"/>
                    <w:jc w:val="center"/>
                    <w:rPr>
                      <w:color w:val="auto"/>
                      <w:sz w:val="21"/>
                      <w:szCs w:val="21"/>
                    </w:rPr>
                  </w:pPr>
                  <w:r>
                    <w:rPr>
                      <w:color w:val="auto"/>
                      <w:sz w:val="21"/>
                      <w:szCs w:val="21"/>
                    </w:rPr>
                    <w:t>达标</w:t>
                  </w:r>
                </w:p>
              </w:tc>
            </w:tr>
            <w:tr w14:paraId="2948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continue"/>
                  <w:vAlign w:val="center"/>
                </w:tcPr>
                <w:p w14:paraId="1CD36FC7">
                  <w:pPr>
                    <w:pStyle w:val="14"/>
                    <w:adjustRightInd w:val="0"/>
                    <w:spacing w:after="0" w:line="240" w:lineRule="auto"/>
                    <w:jc w:val="center"/>
                    <w:rPr>
                      <w:color w:val="auto"/>
                      <w:sz w:val="21"/>
                      <w:szCs w:val="21"/>
                    </w:rPr>
                  </w:pPr>
                </w:p>
              </w:tc>
              <w:tc>
                <w:tcPr>
                  <w:tcW w:w="802" w:type="dxa"/>
                  <w:vMerge w:val="continue"/>
                  <w:vAlign w:val="center"/>
                </w:tcPr>
                <w:p w14:paraId="7673F8C3">
                  <w:pPr>
                    <w:pStyle w:val="14"/>
                    <w:adjustRightInd w:val="0"/>
                    <w:spacing w:after="0" w:line="240" w:lineRule="auto"/>
                    <w:jc w:val="center"/>
                    <w:rPr>
                      <w:color w:val="auto"/>
                      <w:sz w:val="21"/>
                      <w:szCs w:val="21"/>
                    </w:rPr>
                  </w:pPr>
                </w:p>
              </w:tc>
              <w:tc>
                <w:tcPr>
                  <w:tcW w:w="907" w:type="dxa"/>
                  <w:vMerge w:val="continue"/>
                  <w:vAlign w:val="center"/>
                </w:tcPr>
                <w:p w14:paraId="5A1B3804">
                  <w:pPr>
                    <w:pStyle w:val="14"/>
                    <w:adjustRightInd w:val="0"/>
                    <w:spacing w:after="0" w:line="240" w:lineRule="auto"/>
                    <w:jc w:val="center"/>
                    <w:rPr>
                      <w:color w:val="auto"/>
                      <w:sz w:val="21"/>
                      <w:szCs w:val="21"/>
                    </w:rPr>
                  </w:pPr>
                </w:p>
              </w:tc>
              <w:tc>
                <w:tcPr>
                  <w:tcW w:w="592" w:type="dxa"/>
                  <w:vMerge w:val="continue"/>
                  <w:vAlign w:val="center"/>
                </w:tcPr>
                <w:p w14:paraId="6140CFF0">
                  <w:pPr>
                    <w:pStyle w:val="14"/>
                    <w:adjustRightInd w:val="0"/>
                    <w:spacing w:after="0" w:line="240" w:lineRule="auto"/>
                    <w:jc w:val="center"/>
                    <w:rPr>
                      <w:color w:val="auto"/>
                      <w:sz w:val="21"/>
                      <w:szCs w:val="21"/>
                    </w:rPr>
                  </w:pPr>
                </w:p>
              </w:tc>
              <w:tc>
                <w:tcPr>
                  <w:tcW w:w="669" w:type="dxa"/>
                  <w:vAlign w:val="center"/>
                </w:tcPr>
                <w:p w14:paraId="0E7605E7">
                  <w:pPr>
                    <w:pStyle w:val="14"/>
                    <w:adjustRightInd w:val="0"/>
                    <w:spacing w:after="0" w:line="240" w:lineRule="auto"/>
                    <w:jc w:val="center"/>
                    <w:rPr>
                      <w:color w:val="auto"/>
                      <w:sz w:val="21"/>
                      <w:szCs w:val="21"/>
                    </w:rPr>
                  </w:pPr>
                  <w:r>
                    <w:rPr>
                      <w:rFonts w:hint="eastAsia"/>
                      <w:color w:val="auto"/>
                      <w:sz w:val="21"/>
                      <w:szCs w:val="21"/>
                    </w:rPr>
                    <w:t>夜间</w:t>
                  </w:r>
                </w:p>
              </w:tc>
              <w:tc>
                <w:tcPr>
                  <w:tcW w:w="1237" w:type="dxa"/>
                  <w:vAlign w:val="center"/>
                </w:tcPr>
                <w:p w14:paraId="60CD2EFB">
                  <w:pPr>
                    <w:pStyle w:val="14"/>
                    <w:adjustRightInd w:val="0"/>
                    <w:spacing w:after="0" w:line="240" w:lineRule="auto"/>
                    <w:jc w:val="center"/>
                    <w:rPr>
                      <w:color w:val="auto"/>
                      <w:sz w:val="21"/>
                      <w:szCs w:val="21"/>
                    </w:rPr>
                  </w:pPr>
                  <w:r>
                    <w:rPr>
                      <w:rFonts w:hint="eastAsia"/>
                      <w:color w:val="auto"/>
                      <w:sz w:val="21"/>
                      <w:szCs w:val="21"/>
                    </w:rPr>
                    <w:t>42.94</w:t>
                  </w:r>
                </w:p>
              </w:tc>
              <w:tc>
                <w:tcPr>
                  <w:tcW w:w="1021" w:type="dxa"/>
                  <w:vAlign w:val="center"/>
                </w:tcPr>
                <w:p w14:paraId="3A9038A3">
                  <w:pPr>
                    <w:pStyle w:val="14"/>
                    <w:adjustRightInd w:val="0"/>
                    <w:spacing w:after="0" w:line="240" w:lineRule="auto"/>
                    <w:jc w:val="center"/>
                    <w:rPr>
                      <w:color w:val="auto"/>
                      <w:sz w:val="21"/>
                      <w:szCs w:val="21"/>
                    </w:rPr>
                  </w:pPr>
                  <w:r>
                    <w:rPr>
                      <w:rFonts w:hint="eastAsia"/>
                      <w:color w:val="auto"/>
                      <w:sz w:val="21"/>
                      <w:szCs w:val="21"/>
                    </w:rPr>
                    <w:t>41</w:t>
                  </w:r>
                </w:p>
              </w:tc>
              <w:tc>
                <w:tcPr>
                  <w:tcW w:w="1007" w:type="dxa"/>
                  <w:vAlign w:val="center"/>
                </w:tcPr>
                <w:p w14:paraId="49D99CCE">
                  <w:pPr>
                    <w:pStyle w:val="14"/>
                    <w:adjustRightInd w:val="0"/>
                    <w:spacing w:after="0" w:line="240" w:lineRule="auto"/>
                    <w:jc w:val="center"/>
                    <w:rPr>
                      <w:color w:val="auto"/>
                      <w:sz w:val="21"/>
                      <w:szCs w:val="21"/>
                    </w:rPr>
                  </w:pPr>
                  <w:r>
                    <w:rPr>
                      <w:rFonts w:hint="eastAsia"/>
                      <w:color w:val="auto"/>
                      <w:sz w:val="21"/>
                      <w:szCs w:val="21"/>
                    </w:rPr>
                    <w:t>45.09</w:t>
                  </w:r>
                </w:p>
              </w:tc>
              <w:tc>
                <w:tcPr>
                  <w:tcW w:w="1061" w:type="dxa"/>
                  <w:vAlign w:val="center"/>
                </w:tcPr>
                <w:p w14:paraId="3C6171A3">
                  <w:pPr>
                    <w:pStyle w:val="14"/>
                    <w:adjustRightInd w:val="0"/>
                    <w:spacing w:after="0" w:line="240" w:lineRule="auto"/>
                    <w:jc w:val="center"/>
                    <w:rPr>
                      <w:color w:val="auto"/>
                      <w:sz w:val="21"/>
                      <w:szCs w:val="21"/>
                    </w:rPr>
                  </w:pPr>
                  <w:r>
                    <w:rPr>
                      <w:rFonts w:hint="eastAsia"/>
                      <w:color w:val="auto"/>
                      <w:sz w:val="21"/>
                      <w:szCs w:val="21"/>
                    </w:rPr>
                    <w:t>50</w:t>
                  </w:r>
                </w:p>
              </w:tc>
              <w:tc>
                <w:tcPr>
                  <w:tcW w:w="828" w:type="dxa"/>
                  <w:vAlign w:val="center"/>
                </w:tcPr>
                <w:p w14:paraId="01515C26">
                  <w:pPr>
                    <w:pStyle w:val="14"/>
                    <w:adjustRightInd w:val="0"/>
                    <w:spacing w:after="0" w:line="240" w:lineRule="auto"/>
                    <w:jc w:val="center"/>
                    <w:rPr>
                      <w:color w:val="auto"/>
                      <w:sz w:val="21"/>
                      <w:szCs w:val="21"/>
                    </w:rPr>
                  </w:pPr>
                  <w:r>
                    <w:rPr>
                      <w:rFonts w:hint="eastAsia"/>
                      <w:color w:val="auto"/>
                      <w:sz w:val="21"/>
                      <w:szCs w:val="21"/>
                    </w:rPr>
                    <w:t>达标</w:t>
                  </w:r>
                </w:p>
              </w:tc>
            </w:tr>
            <w:tr w14:paraId="463F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14:paraId="6BE48E0E">
                  <w:pPr>
                    <w:pStyle w:val="14"/>
                    <w:adjustRightInd w:val="0"/>
                    <w:spacing w:after="0" w:line="240" w:lineRule="auto"/>
                    <w:jc w:val="center"/>
                    <w:rPr>
                      <w:color w:val="auto"/>
                      <w:sz w:val="21"/>
                      <w:szCs w:val="21"/>
                    </w:rPr>
                  </w:pPr>
                  <w:r>
                    <w:rPr>
                      <w:rFonts w:hint="eastAsia"/>
                      <w:color w:val="auto"/>
                      <w:sz w:val="21"/>
                      <w:szCs w:val="21"/>
                    </w:rPr>
                    <w:t>南厂界</w:t>
                  </w:r>
                </w:p>
              </w:tc>
              <w:tc>
                <w:tcPr>
                  <w:tcW w:w="802" w:type="dxa"/>
                  <w:vMerge w:val="restart"/>
                  <w:vAlign w:val="center"/>
                </w:tcPr>
                <w:p w14:paraId="3A2AB146">
                  <w:pPr>
                    <w:pStyle w:val="14"/>
                    <w:adjustRightInd w:val="0"/>
                    <w:spacing w:after="0" w:line="240" w:lineRule="auto"/>
                    <w:jc w:val="center"/>
                    <w:rPr>
                      <w:color w:val="auto"/>
                      <w:sz w:val="21"/>
                      <w:szCs w:val="21"/>
                    </w:rPr>
                  </w:pPr>
                  <w:r>
                    <w:rPr>
                      <w:color w:val="auto"/>
                      <w:sz w:val="21"/>
                      <w:szCs w:val="21"/>
                    </w:rPr>
                    <w:t>77.51</w:t>
                  </w:r>
                </w:p>
                <w:p w14:paraId="12DFA82B">
                  <w:pPr>
                    <w:pStyle w:val="14"/>
                    <w:adjustRightInd w:val="0"/>
                    <w:spacing w:after="0" w:line="240" w:lineRule="auto"/>
                    <w:jc w:val="center"/>
                    <w:rPr>
                      <w:color w:val="auto"/>
                      <w:sz w:val="21"/>
                      <w:szCs w:val="21"/>
                    </w:rPr>
                  </w:pPr>
                </w:p>
              </w:tc>
              <w:tc>
                <w:tcPr>
                  <w:tcW w:w="907" w:type="dxa"/>
                  <w:vMerge w:val="restart"/>
                  <w:vAlign w:val="center"/>
                </w:tcPr>
                <w:p w14:paraId="29433604">
                  <w:pPr>
                    <w:pStyle w:val="14"/>
                    <w:adjustRightInd w:val="0"/>
                    <w:spacing w:after="0" w:line="240" w:lineRule="auto"/>
                    <w:jc w:val="center"/>
                    <w:rPr>
                      <w:color w:val="auto"/>
                      <w:sz w:val="21"/>
                      <w:szCs w:val="21"/>
                    </w:rPr>
                  </w:pPr>
                  <w:r>
                    <w:rPr>
                      <w:color w:val="auto"/>
                      <w:sz w:val="21"/>
                      <w:szCs w:val="21"/>
                    </w:rPr>
                    <w:t>32.61</w:t>
                  </w:r>
                </w:p>
                <w:p w14:paraId="127BFA5E">
                  <w:pPr>
                    <w:pStyle w:val="14"/>
                    <w:adjustRightInd w:val="0"/>
                    <w:spacing w:after="0" w:line="240" w:lineRule="auto"/>
                    <w:jc w:val="center"/>
                    <w:rPr>
                      <w:color w:val="auto"/>
                      <w:sz w:val="21"/>
                      <w:szCs w:val="21"/>
                    </w:rPr>
                  </w:pPr>
                </w:p>
              </w:tc>
              <w:tc>
                <w:tcPr>
                  <w:tcW w:w="592" w:type="dxa"/>
                  <w:vMerge w:val="restart"/>
                  <w:vAlign w:val="center"/>
                </w:tcPr>
                <w:p w14:paraId="3940A37E">
                  <w:pPr>
                    <w:pStyle w:val="14"/>
                    <w:adjustRightInd w:val="0"/>
                    <w:spacing w:after="0" w:line="240" w:lineRule="auto"/>
                    <w:jc w:val="center"/>
                    <w:rPr>
                      <w:color w:val="auto"/>
                      <w:sz w:val="21"/>
                      <w:szCs w:val="21"/>
                    </w:rPr>
                  </w:pPr>
                  <w:r>
                    <w:rPr>
                      <w:rFonts w:hint="eastAsia"/>
                      <w:color w:val="auto"/>
                      <w:sz w:val="21"/>
                      <w:szCs w:val="21"/>
                    </w:rPr>
                    <w:t>1.2</w:t>
                  </w:r>
                </w:p>
              </w:tc>
              <w:tc>
                <w:tcPr>
                  <w:tcW w:w="669" w:type="dxa"/>
                  <w:vAlign w:val="center"/>
                </w:tcPr>
                <w:p w14:paraId="7FCCED37">
                  <w:pPr>
                    <w:pStyle w:val="14"/>
                    <w:adjustRightInd w:val="0"/>
                    <w:spacing w:after="0" w:line="240" w:lineRule="auto"/>
                    <w:jc w:val="center"/>
                    <w:rPr>
                      <w:color w:val="auto"/>
                      <w:sz w:val="21"/>
                      <w:szCs w:val="21"/>
                    </w:rPr>
                  </w:pPr>
                  <w:r>
                    <w:rPr>
                      <w:color w:val="auto"/>
                      <w:sz w:val="21"/>
                      <w:szCs w:val="21"/>
                    </w:rPr>
                    <w:t>昼间</w:t>
                  </w:r>
                </w:p>
              </w:tc>
              <w:tc>
                <w:tcPr>
                  <w:tcW w:w="1237" w:type="dxa"/>
                  <w:vAlign w:val="center"/>
                </w:tcPr>
                <w:p w14:paraId="73B54C04">
                  <w:pPr>
                    <w:pStyle w:val="14"/>
                    <w:adjustRightInd w:val="0"/>
                    <w:spacing w:after="0" w:line="240" w:lineRule="auto"/>
                    <w:jc w:val="center"/>
                    <w:rPr>
                      <w:color w:val="auto"/>
                      <w:sz w:val="21"/>
                      <w:szCs w:val="21"/>
                    </w:rPr>
                  </w:pPr>
                  <w:r>
                    <w:rPr>
                      <w:rFonts w:hint="eastAsia"/>
                      <w:color w:val="auto"/>
                      <w:sz w:val="21"/>
                      <w:szCs w:val="21"/>
                    </w:rPr>
                    <w:t>44.82</w:t>
                  </w:r>
                </w:p>
              </w:tc>
              <w:tc>
                <w:tcPr>
                  <w:tcW w:w="1021" w:type="dxa"/>
                  <w:vAlign w:val="center"/>
                </w:tcPr>
                <w:p w14:paraId="0D322B2B">
                  <w:pPr>
                    <w:pStyle w:val="14"/>
                    <w:adjustRightInd w:val="0"/>
                    <w:spacing w:after="0" w:line="240" w:lineRule="auto"/>
                    <w:jc w:val="center"/>
                    <w:rPr>
                      <w:color w:val="auto"/>
                      <w:sz w:val="21"/>
                      <w:szCs w:val="21"/>
                    </w:rPr>
                  </w:pPr>
                  <w:r>
                    <w:rPr>
                      <w:rFonts w:hint="eastAsia"/>
                      <w:color w:val="auto"/>
                      <w:sz w:val="21"/>
                      <w:szCs w:val="21"/>
                    </w:rPr>
                    <w:t>52</w:t>
                  </w:r>
                </w:p>
              </w:tc>
              <w:tc>
                <w:tcPr>
                  <w:tcW w:w="1007" w:type="dxa"/>
                  <w:vAlign w:val="center"/>
                </w:tcPr>
                <w:p w14:paraId="58AED1E2">
                  <w:pPr>
                    <w:pStyle w:val="14"/>
                    <w:adjustRightInd w:val="0"/>
                    <w:spacing w:after="0" w:line="240" w:lineRule="auto"/>
                    <w:jc w:val="center"/>
                    <w:rPr>
                      <w:color w:val="auto"/>
                      <w:sz w:val="21"/>
                      <w:szCs w:val="21"/>
                    </w:rPr>
                  </w:pPr>
                  <w:r>
                    <w:rPr>
                      <w:rFonts w:hint="eastAsia"/>
                      <w:color w:val="auto"/>
                      <w:sz w:val="21"/>
                      <w:szCs w:val="21"/>
                    </w:rPr>
                    <w:t>52.76</w:t>
                  </w:r>
                </w:p>
              </w:tc>
              <w:tc>
                <w:tcPr>
                  <w:tcW w:w="1061" w:type="dxa"/>
                  <w:vAlign w:val="center"/>
                </w:tcPr>
                <w:p w14:paraId="45B6ACF5">
                  <w:pPr>
                    <w:pStyle w:val="14"/>
                    <w:adjustRightInd w:val="0"/>
                    <w:spacing w:after="0" w:line="240" w:lineRule="auto"/>
                    <w:jc w:val="center"/>
                    <w:rPr>
                      <w:color w:val="auto"/>
                      <w:sz w:val="21"/>
                      <w:szCs w:val="21"/>
                    </w:rPr>
                  </w:pPr>
                  <w:r>
                    <w:rPr>
                      <w:rFonts w:hint="eastAsia"/>
                      <w:color w:val="auto"/>
                      <w:sz w:val="21"/>
                      <w:szCs w:val="21"/>
                    </w:rPr>
                    <w:t>60</w:t>
                  </w:r>
                </w:p>
              </w:tc>
              <w:tc>
                <w:tcPr>
                  <w:tcW w:w="828" w:type="dxa"/>
                  <w:vAlign w:val="center"/>
                </w:tcPr>
                <w:p w14:paraId="0C161563">
                  <w:pPr>
                    <w:pStyle w:val="14"/>
                    <w:adjustRightInd w:val="0"/>
                    <w:spacing w:after="0" w:line="240" w:lineRule="auto"/>
                    <w:jc w:val="center"/>
                    <w:rPr>
                      <w:color w:val="auto"/>
                      <w:sz w:val="21"/>
                      <w:szCs w:val="21"/>
                    </w:rPr>
                  </w:pPr>
                  <w:r>
                    <w:rPr>
                      <w:color w:val="auto"/>
                      <w:sz w:val="21"/>
                      <w:szCs w:val="21"/>
                    </w:rPr>
                    <w:t>达标</w:t>
                  </w:r>
                </w:p>
              </w:tc>
            </w:tr>
            <w:tr w14:paraId="3772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continue"/>
                  <w:vAlign w:val="center"/>
                </w:tcPr>
                <w:p w14:paraId="03234202">
                  <w:pPr>
                    <w:pStyle w:val="14"/>
                    <w:adjustRightInd w:val="0"/>
                    <w:spacing w:after="0" w:line="240" w:lineRule="auto"/>
                    <w:jc w:val="center"/>
                    <w:rPr>
                      <w:color w:val="auto"/>
                      <w:sz w:val="21"/>
                      <w:szCs w:val="21"/>
                    </w:rPr>
                  </w:pPr>
                </w:p>
              </w:tc>
              <w:tc>
                <w:tcPr>
                  <w:tcW w:w="802" w:type="dxa"/>
                  <w:vMerge w:val="continue"/>
                  <w:vAlign w:val="center"/>
                </w:tcPr>
                <w:p w14:paraId="7AA7F2EE">
                  <w:pPr>
                    <w:pStyle w:val="14"/>
                    <w:adjustRightInd w:val="0"/>
                    <w:spacing w:after="0" w:line="240" w:lineRule="auto"/>
                    <w:jc w:val="center"/>
                    <w:rPr>
                      <w:color w:val="auto"/>
                      <w:sz w:val="21"/>
                      <w:szCs w:val="21"/>
                    </w:rPr>
                  </w:pPr>
                </w:p>
              </w:tc>
              <w:tc>
                <w:tcPr>
                  <w:tcW w:w="907" w:type="dxa"/>
                  <w:vMerge w:val="continue"/>
                  <w:vAlign w:val="center"/>
                </w:tcPr>
                <w:p w14:paraId="181F9B1D">
                  <w:pPr>
                    <w:pStyle w:val="14"/>
                    <w:adjustRightInd w:val="0"/>
                    <w:spacing w:after="0" w:line="240" w:lineRule="auto"/>
                    <w:jc w:val="center"/>
                    <w:rPr>
                      <w:color w:val="auto"/>
                      <w:sz w:val="21"/>
                      <w:szCs w:val="21"/>
                    </w:rPr>
                  </w:pPr>
                </w:p>
              </w:tc>
              <w:tc>
                <w:tcPr>
                  <w:tcW w:w="592" w:type="dxa"/>
                  <w:vMerge w:val="continue"/>
                  <w:vAlign w:val="center"/>
                </w:tcPr>
                <w:p w14:paraId="0F8E5B50">
                  <w:pPr>
                    <w:pStyle w:val="14"/>
                    <w:adjustRightInd w:val="0"/>
                    <w:spacing w:after="0" w:line="240" w:lineRule="auto"/>
                    <w:jc w:val="center"/>
                    <w:rPr>
                      <w:color w:val="auto"/>
                      <w:sz w:val="21"/>
                      <w:szCs w:val="21"/>
                    </w:rPr>
                  </w:pPr>
                </w:p>
              </w:tc>
              <w:tc>
                <w:tcPr>
                  <w:tcW w:w="669" w:type="dxa"/>
                  <w:vAlign w:val="center"/>
                </w:tcPr>
                <w:p w14:paraId="6351D33E">
                  <w:pPr>
                    <w:pStyle w:val="14"/>
                    <w:adjustRightInd w:val="0"/>
                    <w:spacing w:after="0" w:line="240" w:lineRule="auto"/>
                    <w:jc w:val="center"/>
                    <w:rPr>
                      <w:color w:val="auto"/>
                      <w:sz w:val="21"/>
                      <w:szCs w:val="21"/>
                    </w:rPr>
                  </w:pPr>
                  <w:r>
                    <w:rPr>
                      <w:rFonts w:hint="eastAsia"/>
                      <w:color w:val="auto"/>
                      <w:sz w:val="21"/>
                      <w:szCs w:val="21"/>
                    </w:rPr>
                    <w:t>夜间</w:t>
                  </w:r>
                </w:p>
              </w:tc>
              <w:tc>
                <w:tcPr>
                  <w:tcW w:w="1237" w:type="dxa"/>
                  <w:vAlign w:val="center"/>
                </w:tcPr>
                <w:p w14:paraId="5521E0CA">
                  <w:pPr>
                    <w:pStyle w:val="14"/>
                    <w:adjustRightInd w:val="0"/>
                    <w:spacing w:after="0" w:line="240" w:lineRule="auto"/>
                    <w:jc w:val="center"/>
                    <w:rPr>
                      <w:color w:val="auto"/>
                      <w:sz w:val="21"/>
                      <w:szCs w:val="21"/>
                    </w:rPr>
                  </w:pPr>
                  <w:r>
                    <w:rPr>
                      <w:rFonts w:hint="eastAsia"/>
                      <w:color w:val="auto"/>
                      <w:sz w:val="21"/>
                      <w:szCs w:val="21"/>
                    </w:rPr>
                    <w:t>44.82</w:t>
                  </w:r>
                </w:p>
              </w:tc>
              <w:tc>
                <w:tcPr>
                  <w:tcW w:w="1021" w:type="dxa"/>
                  <w:vAlign w:val="center"/>
                </w:tcPr>
                <w:p w14:paraId="0FB99B79">
                  <w:pPr>
                    <w:pStyle w:val="14"/>
                    <w:adjustRightInd w:val="0"/>
                    <w:spacing w:after="0" w:line="240" w:lineRule="auto"/>
                    <w:jc w:val="center"/>
                    <w:rPr>
                      <w:color w:val="auto"/>
                      <w:sz w:val="21"/>
                      <w:szCs w:val="21"/>
                    </w:rPr>
                  </w:pPr>
                  <w:r>
                    <w:rPr>
                      <w:rFonts w:hint="eastAsia"/>
                      <w:color w:val="auto"/>
                      <w:sz w:val="21"/>
                      <w:szCs w:val="21"/>
                    </w:rPr>
                    <w:t>43</w:t>
                  </w:r>
                </w:p>
              </w:tc>
              <w:tc>
                <w:tcPr>
                  <w:tcW w:w="1007" w:type="dxa"/>
                  <w:vAlign w:val="center"/>
                </w:tcPr>
                <w:p w14:paraId="5E8E2E9F">
                  <w:pPr>
                    <w:pStyle w:val="14"/>
                    <w:adjustRightInd w:val="0"/>
                    <w:spacing w:after="0" w:line="240" w:lineRule="auto"/>
                    <w:jc w:val="center"/>
                    <w:rPr>
                      <w:color w:val="auto"/>
                      <w:sz w:val="21"/>
                      <w:szCs w:val="21"/>
                    </w:rPr>
                  </w:pPr>
                  <w:r>
                    <w:rPr>
                      <w:rFonts w:hint="eastAsia"/>
                      <w:color w:val="auto"/>
                      <w:sz w:val="21"/>
                      <w:szCs w:val="21"/>
                    </w:rPr>
                    <w:t>47.02</w:t>
                  </w:r>
                </w:p>
              </w:tc>
              <w:tc>
                <w:tcPr>
                  <w:tcW w:w="1061" w:type="dxa"/>
                  <w:vAlign w:val="center"/>
                </w:tcPr>
                <w:p w14:paraId="0F9F7669">
                  <w:pPr>
                    <w:pStyle w:val="14"/>
                    <w:adjustRightInd w:val="0"/>
                    <w:spacing w:after="0" w:line="240" w:lineRule="auto"/>
                    <w:jc w:val="center"/>
                    <w:rPr>
                      <w:color w:val="auto"/>
                      <w:sz w:val="21"/>
                      <w:szCs w:val="21"/>
                    </w:rPr>
                  </w:pPr>
                  <w:r>
                    <w:rPr>
                      <w:rFonts w:hint="eastAsia"/>
                      <w:color w:val="auto"/>
                      <w:sz w:val="21"/>
                      <w:szCs w:val="21"/>
                    </w:rPr>
                    <w:t>50</w:t>
                  </w:r>
                </w:p>
              </w:tc>
              <w:tc>
                <w:tcPr>
                  <w:tcW w:w="828" w:type="dxa"/>
                  <w:vAlign w:val="center"/>
                </w:tcPr>
                <w:p w14:paraId="738E5C27">
                  <w:pPr>
                    <w:pStyle w:val="14"/>
                    <w:adjustRightInd w:val="0"/>
                    <w:spacing w:after="0" w:line="240" w:lineRule="auto"/>
                    <w:jc w:val="center"/>
                    <w:rPr>
                      <w:color w:val="auto"/>
                      <w:sz w:val="21"/>
                      <w:szCs w:val="21"/>
                    </w:rPr>
                  </w:pPr>
                  <w:r>
                    <w:rPr>
                      <w:color w:val="auto"/>
                      <w:sz w:val="21"/>
                      <w:szCs w:val="21"/>
                    </w:rPr>
                    <w:t>达标</w:t>
                  </w:r>
                </w:p>
              </w:tc>
            </w:tr>
            <w:tr w14:paraId="751A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14:paraId="35DB2081">
                  <w:pPr>
                    <w:pStyle w:val="14"/>
                    <w:adjustRightInd w:val="0"/>
                    <w:spacing w:after="0" w:line="240" w:lineRule="auto"/>
                    <w:jc w:val="center"/>
                    <w:rPr>
                      <w:color w:val="auto"/>
                      <w:sz w:val="21"/>
                      <w:szCs w:val="21"/>
                    </w:rPr>
                  </w:pPr>
                  <w:r>
                    <w:rPr>
                      <w:rFonts w:hint="eastAsia"/>
                      <w:color w:val="auto"/>
                      <w:sz w:val="21"/>
                      <w:szCs w:val="21"/>
                    </w:rPr>
                    <w:t>北厂界</w:t>
                  </w:r>
                </w:p>
              </w:tc>
              <w:tc>
                <w:tcPr>
                  <w:tcW w:w="802" w:type="dxa"/>
                  <w:vMerge w:val="restart"/>
                  <w:vAlign w:val="center"/>
                </w:tcPr>
                <w:p w14:paraId="327ABF0B">
                  <w:pPr>
                    <w:pStyle w:val="14"/>
                    <w:adjustRightInd w:val="0"/>
                    <w:spacing w:after="0" w:line="240" w:lineRule="auto"/>
                    <w:jc w:val="center"/>
                    <w:rPr>
                      <w:color w:val="auto"/>
                      <w:sz w:val="21"/>
                      <w:szCs w:val="21"/>
                    </w:rPr>
                  </w:pPr>
                  <w:r>
                    <w:rPr>
                      <w:color w:val="auto"/>
                      <w:sz w:val="21"/>
                      <w:szCs w:val="21"/>
                    </w:rPr>
                    <w:t>45.78</w:t>
                  </w:r>
                </w:p>
              </w:tc>
              <w:tc>
                <w:tcPr>
                  <w:tcW w:w="907" w:type="dxa"/>
                  <w:vMerge w:val="restart"/>
                  <w:vAlign w:val="center"/>
                </w:tcPr>
                <w:p w14:paraId="29FFDC18">
                  <w:pPr>
                    <w:pStyle w:val="14"/>
                    <w:adjustRightInd w:val="0"/>
                    <w:spacing w:after="0" w:line="240" w:lineRule="auto"/>
                    <w:jc w:val="center"/>
                    <w:rPr>
                      <w:color w:val="auto"/>
                      <w:sz w:val="21"/>
                      <w:szCs w:val="21"/>
                    </w:rPr>
                  </w:pPr>
                  <w:r>
                    <w:rPr>
                      <w:color w:val="auto"/>
                      <w:sz w:val="21"/>
                      <w:szCs w:val="21"/>
                    </w:rPr>
                    <w:t>103.93</w:t>
                  </w:r>
                </w:p>
              </w:tc>
              <w:tc>
                <w:tcPr>
                  <w:tcW w:w="592" w:type="dxa"/>
                  <w:vMerge w:val="restart"/>
                  <w:vAlign w:val="center"/>
                </w:tcPr>
                <w:p w14:paraId="57AB490D">
                  <w:pPr>
                    <w:pStyle w:val="14"/>
                    <w:adjustRightInd w:val="0"/>
                    <w:spacing w:after="0" w:line="240" w:lineRule="auto"/>
                    <w:jc w:val="center"/>
                    <w:rPr>
                      <w:color w:val="auto"/>
                      <w:sz w:val="21"/>
                      <w:szCs w:val="21"/>
                    </w:rPr>
                  </w:pPr>
                  <w:r>
                    <w:rPr>
                      <w:rFonts w:hint="eastAsia"/>
                      <w:color w:val="auto"/>
                      <w:sz w:val="21"/>
                      <w:szCs w:val="21"/>
                    </w:rPr>
                    <w:t>1.2</w:t>
                  </w:r>
                </w:p>
              </w:tc>
              <w:tc>
                <w:tcPr>
                  <w:tcW w:w="669" w:type="dxa"/>
                  <w:vAlign w:val="center"/>
                </w:tcPr>
                <w:p w14:paraId="611E6ABC">
                  <w:pPr>
                    <w:pStyle w:val="14"/>
                    <w:adjustRightInd w:val="0"/>
                    <w:spacing w:after="0" w:line="240" w:lineRule="auto"/>
                    <w:jc w:val="center"/>
                    <w:rPr>
                      <w:color w:val="auto"/>
                      <w:sz w:val="21"/>
                      <w:szCs w:val="21"/>
                    </w:rPr>
                  </w:pPr>
                  <w:r>
                    <w:rPr>
                      <w:color w:val="auto"/>
                      <w:sz w:val="21"/>
                      <w:szCs w:val="21"/>
                    </w:rPr>
                    <w:t>昼间</w:t>
                  </w:r>
                </w:p>
              </w:tc>
              <w:tc>
                <w:tcPr>
                  <w:tcW w:w="1237" w:type="dxa"/>
                  <w:vAlign w:val="center"/>
                </w:tcPr>
                <w:p w14:paraId="66F1A787">
                  <w:pPr>
                    <w:pStyle w:val="14"/>
                    <w:adjustRightInd w:val="0"/>
                    <w:spacing w:after="0" w:line="240" w:lineRule="auto"/>
                    <w:jc w:val="center"/>
                    <w:rPr>
                      <w:color w:val="auto"/>
                      <w:sz w:val="21"/>
                      <w:szCs w:val="21"/>
                    </w:rPr>
                  </w:pPr>
                  <w:r>
                    <w:rPr>
                      <w:rFonts w:hint="eastAsia"/>
                      <w:color w:val="auto"/>
                      <w:sz w:val="21"/>
                      <w:szCs w:val="21"/>
                    </w:rPr>
                    <w:t>38.51</w:t>
                  </w:r>
                </w:p>
              </w:tc>
              <w:tc>
                <w:tcPr>
                  <w:tcW w:w="1021" w:type="dxa"/>
                  <w:vAlign w:val="center"/>
                </w:tcPr>
                <w:p w14:paraId="5FB4E233">
                  <w:pPr>
                    <w:pStyle w:val="14"/>
                    <w:adjustRightInd w:val="0"/>
                    <w:spacing w:after="0" w:line="240" w:lineRule="auto"/>
                    <w:jc w:val="center"/>
                    <w:rPr>
                      <w:color w:val="auto"/>
                      <w:sz w:val="21"/>
                      <w:szCs w:val="21"/>
                    </w:rPr>
                  </w:pPr>
                  <w:r>
                    <w:rPr>
                      <w:rFonts w:hint="eastAsia"/>
                      <w:color w:val="auto"/>
                      <w:sz w:val="21"/>
                      <w:szCs w:val="21"/>
                    </w:rPr>
                    <w:t>54</w:t>
                  </w:r>
                </w:p>
              </w:tc>
              <w:tc>
                <w:tcPr>
                  <w:tcW w:w="1007" w:type="dxa"/>
                  <w:vAlign w:val="center"/>
                </w:tcPr>
                <w:p w14:paraId="3956978B">
                  <w:pPr>
                    <w:pStyle w:val="14"/>
                    <w:adjustRightInd w:val="0"/>
                    <w:spacing w:after="0" w:line="240" w:lineRule="auto"/>
                    <w:jc w:val="center"/>
                    <w:rPr>
                      <w:color w:val="auto"/>
                      <w:sz w:val="21"/>
                      <w:szCs w:val="21"/>
                    </w:rPr>
                  </w:pPr>
                  <w:r>
                    <w:rPr>
                      <w:rFonts w:hint="eastAsia"/>
                      <w:color w:val="auto"/>
                      <w:sz w:val="21"/>
                      <w:szCs w:val="21"/>
                    </w:rPr>
                    <w:t>54.12</w:t>
                  </w:r>
                </w:p>
              </w:tc>
              <w:tc>
                <w:tcPr>
                  <w:tcW w:w="1061" w:type="dxa"/>
                  <w:vAlign w:val="center"/>
                </w:tcPr>
                <w:p w14:paraId="4A00813E">
                  <w:pPr>
                    <w:pStyle w:val="14"/>
                    <w:adjustRightInd w:val="0"/>
                    <w:spacing w:after="0" w:line="240" w:lineRule="auto"/>
                    <w:jc w:val="center"/>
                    <w:rPr>
                      <w:color w:val="auto"/>
                      <w:sz w:val="21"/>
                      <w:szCs w:val="21"/>
                    </w:rPr>
                  </w:pPr>
                  <w:r>
                    <w:rPr>
                      <w:rFonts w:hint="eastAsia"/>
                      <w:color w:val="auto"/>
                      <w:sz w:val="21"/>
                      <w:szCs w:val="21"/>
                    </w:rPr>
                    <w:t>60</w:t>
                  </w:r>
                </w:p>
              </w:tc>
              <w:tc>
                <w:tcPr>
                  <w:tcW w:w="828" w:type="dxa"/>
                  <w:vAlign w:val="center"/>
                </w:tcPr>
                <w:p w14:paraId="106B07E2">
                  <w:pPr>
                    <w:pStyle w:val="14"/>
                    <w:adjustRightInd w:val="0"/>
                    <w:spacing w:after="0" w:line="240" w:lineRule="auto"/>
                    <w:jc w:val="center"/>
                    <w:rPr>
                      <w:color w:val="auto"/>
                      <w:sz w:val="21"/>
                      <w:szCs w:val="21"/>
                    </w:rPr>
                  </w:pPr>
                  <w:r>
                    <w:rPr>
                      <w:color w:val="auto"/>
                      <w:sz w:val="21"/>
                      <w:szCs w:val="21"/>
                    </w:rPr>
                    <w:t>达标</w:t>
                  </w:r>
                </w:p>
              </w:tc>
            </w:tr>
            <w:tr w14:paraId="1EE0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continue"/>
                  <w:vAlign w:val="center"/>
                </w:tcPr>
                <w:p w14:paraId="092B4462">
                  <w:pPr>
                    <w:pStyle w:val="14"/>
                    <w:adjustRightInd w:val="0"/>
                    <w:spacing w:after="0" w:line="240" w:lineRule="auto"/>
                    <w:jc w:val="center"/>
                    <w:rPr>
                      <w:color w:val="auto"/>
                      <w:sz w:val="21"/>
                      <w:szCs w:val="21"/>
                    </w:rPr>
                  </w:pPr>
                </w:p>
              </w:tc>
              <w:tc>
                <w:tcPr>
                  <w:tcW w:w="802" w:type="dxa"/>
                  <w:vMerge w:val="continue"/>
                  <w:vAlign w:val="center"/>
                </w:tcPr>
                <w:p w14:paraId="5BEB2C0E">
                  <w:pPr>
                    <w:pStyle w:val="14"/>
                    <w:adjustRightInd w:val="0"/>
                    <w:spacing w:after="0" w:line="240" w:lineRule="auto"/>
                    <w:jc w:val="center"/>
                    <w:rPr>
                      <w:color w:val="auto"/>
                      <w:sz w:val="21"/>
                      <w:szCs w:val="21"/>
                    </w:rPr>
                  </w:pPr>
                </w:p>
              </w:tc>
              <w:tc>
                <w:tcPr>
                  <w:tcW w:w="907" w:type="dxa"/>
                  <w:vMerge w:val="continue"/>
                  <w:vAlign w:val="center"/>
                </w:tcPr>
                <w:p w14:paraId="680607B9">
                  <w:pPr>
                    <w:pStyle w:val="14"/>
                    <w:adjustRightInd w:val="0"/>
                    <w:spacing w:after="0" w:line="240" w:lineRule="auto"/>
                    <w:jc w:val="center"/>
                    <w:rPr>
                      <w:color w:val="auto"/>
                      <w:sz w:val="21"/>
                      <w:szCs w:val="21"/>
                    </w:rPr>
                  </w:pPr>
                </w:p>
              </w:tc>
              <w:tc>
                <w:tcPr>
                  <w:tcW w:w="592" w:type="dxa"/>
                  <w:vMerge w:val="continue"/>
                  <w:vAlign w:val="center"/>
                </w:tcPr>
                <w:p w14:paraId="4A6340F6">
                  <w:pPr>
                    <w:pStyle w:val="14"/>
                    <w:adjustRightInd w:val="0"/>
                    <w:spacing w:after="0" w:line="240" w:lineRule="auto"/>
                    <w:jc w:val="center"/>
                    <w:rPr>
                      <w:color w:val="auto"/>
                      <w:sz w:val="21"/>
                      <w:szCs w:val="21"/>
                    </w:rPr>
                  </w:pPr>
                </w:p>
              </w:tc>
              <w:tc>
                <w:tcPr>
                  <w:tcW w:w="669" w:type="dxa"/>
                  <w:vAlign w:val="center"/>
                </w:tcPr>
                <w:p w14:paraId="5CC007C4">
                  <w:pPr>
                    <w:pStyle w:val="14"/>
                    <w:adjustRightInd w:val="0"/>
                    <w:spacing w:after="0" w:line="240" w:lineRule="auto"/>
                    <w:jc w:val="center"/>
                    <w:rPr>
                      <w:color w:val="auto"/>
                      <w:sz w:val="21"/>
                      <w:szCs w:val="21"/>
                    </w:rPr>
                  </w:pPr>
                  <w:r>
                    <w:rPr>
                      <w:rFonts w:hint="eastAsia"/>
                      <w:color w:val="auto"/>
                      <w:sz w:val="21"/>
                      <w:szCs w:val="21"/>
                    </w:rPr>
                    <w:t>夜间</w:t>
                  </w:r>
                </w:p>
              </w:tc>
              <w:tc>
                <w:tcPr>
                  <w:tcW w:w="1237" w:type="dxa"/>
                  <w:vAlign w:val="center"/>
                </w:tcPr>
                <w:p w14:paraId="4DF6C158">
                  <w:pPr>
                    <w:pStyle w:val="14"/>
                    <w:adjustRightInd w:val="0"/>
                    <w:spacing w:after="0" w:line="240" w:lineRule="auto"/>
                    <w:jc w:val="center"/>
                    <w:rPr>
                      <w:color w:val="auto"/>
                      <w:sz w:val="21"/>
                      <w:szCs w:val="21"/>
                    </w:rPr>
                  </w:pPr>
                  <w:r>
                    <w:rPr>
                      <w:rFonts w:hint="eastAsia"/>
                      <w:color w:val="auto"/>
                      <w:sz w:val="21"/>
                      <w:szCs w:val="21"/>
                    </w:rPr>
                    <w:t>38.51</w:t>
                  </w:r>
                </w:p>
              </w:tc>
              <w:tc>
                <w:tcPr>
                  <w:tcW w:w="1021" w:type="dxa"/>
                  <w:vAlign w:val="center"/>
                </w:tcPr>
                <w:p w14:paraId="0E643054">
                  <w:pPr>
                    <w:pStyle w:val="14"/>
                    <w:adjustRightInd w:val="0"/>
                    <w:spacing w:after="0" w:line="240" w:lineRule="auto"/>
                    <w:jc w:val="center"/>
                    <w:rPr>
                      <w:color w:val="auto"/>
                      <w:sz w:val="21"/>
                      <w:szCs w:val="21"/>
                    </w:rPr>
                  </w:pPr>
                  <w:r>
                    <w:rPr>
                      <w:rFonts w:hint="eastAsia"/>
                      <w:color w:val="auto"/>
                      <w:sz w:val="21"/>
                      <w:szCs w:val="21"/>
                    </w:rPr>
                    <w:t>46</w:t>
                  </w:r>
                </w:p>
              </w:tc>
              <w:tc>
                <w:tcPr>
                  <w:tcW w:w="1007" w:type="dxa"/>
                  <w:vAlign w:val="center"/>
                </w:tcPr>
                <w:p w14:paraId="349EB473">
                  <w:pPr>
                    <w:pStyle w:val="14"/>
                    <w:adjustRightInd w:val="0"/>
                    <w:spacing w:after="0" w:line="240" w:lineRule="auto"/>
                    <w:jc w:val="center"/>
                    <w:rPr>
                      <w:color w:val="auto"/>
                      <w:sz w:val="21"/>
                      <w:szCs w:val="21"/>
                    </w:rPr>
                  </w:pPr>
                  <w:r>
                    <w:rPr>
                      <w:rFonts w:hint="eastAsia"/>
                      <w:color w:val="auto"/>
                      <w:sz w:val="21"/>
                      <w:szCs w:val="21"/>
                    </w:rPr>
                    <w:t>46.71</w:t>
                  </w:r>
                </w:p>
              </w:tc>
              <w:tc>
                <w:tcPr>
                  <w:tcW w:w="1061" w:type="dxa"/>
                  <w:vAlign w:val="center"/>
                </w:tcPr>
                <w:p w14:paraId="477D6084">
                  <w:pPr>
                    <w:pStyle w:val="14"/>
                    <w:adjustRightInd w:val="0"/>
                    <w:spacing w:after="0" w:line="240" w:lineRule="auto"/>
                    <w:jc w:val="center"/>
                    <w:rPr>
                      <w:color w:val="auto"/>
                      <w:sz w:val="21"/>
                      <w:szCs w:val="21"/>
                    </w:rPr>
                  </w:pPr>
                  <w:r>
                    <w:rPr>
                      <w:rFonts w:hint="eastAsia"/>
                      <w:color w:val="auto"/>
                      <w:sz w:val="21"/>
                      <w:szCs w:val="21"/>
                    </w:rPr>
                    <w:t>50</w:t>
                  </w:r>
                </w:p>
              </w:tc>
              <w:tc>
                <w:tcPr>
                  <w:tcW w:w="828" w:type="dxa"/>
                  <w:vAlign w:val="center"/>
                </w:tcPr>
                <w:p w14:paraId="2FEC7F65">
                  <w:pPr>
                    <w:pStyle w:val="14"/>
                    <w:adjustRightInd w:val="0"/>
                    <w:spacing w:after="0" w:line="240" w:lineRule="auto"/>
                    <w:jc w:val="center"/>
                    <w:rPr>
                      <w:color w:val="auto"/>
                      <w:sz w:val="21"/>
                      <w:szCs w:val="21"/>
                    </w:rPr>
                  </w:pPr>
                  <w:r>
                    <w:rPr>
                      <w:color w:val="auto"/>
                      <w:sz w:val="21"/>
                      <w:szCs w:val="21"/>
                    </w:rPr>
                    <w:t>达标</w:t>
                  </w:r>
                </w:p>
              </w:tc>
            </w:tr>
          </w:tbl>
          <w:p w14:paraId="170117C3">
            <w:pPr>
              <w:adjustRightInd w:val="0"/>
              <w:snapToGrid w:val="0"/>
              <w:spacing w:before="120" w:beforeLines="50" w:line="360" w:lineRule="auto"/>
              <w:ind w:firstLine="480" w:firstLineChars="200"/>
              <w:rPr>
                <w:color w:val="auto"/>
                <w:sz w:val="24"/>
              </w:rPr>
            </w:pPr>
            <w:r>
              <w:rPr>
                <w:color w:val="auto"/>
                <w:sz w:val="24"/>
              </w:rPr>
              <w:t>根据表4-</w:t>
            </w:r>
            <w:r>
              <w:rPr>
                <w:rFonts w:hint="eastAsia"/>
                <w:color w:val="auto"/>
                <w:sz w:val="24"/>
              </w:rPr>
              <w:t>31</w:t>
            </w:r>
            <w:r>
              <w:rPr>
                <w:color w:val="auto"/>
                <w:sz w:val="24"/>
              </w:rPr>
              <w:t>可知，本项目产噪设备经采取低噪声设备、</w:t>
            </w:r>
            <w:r>
              <w:rPr>
                <w:rFonts w:hint="eastAsia"/>
                <w:color w:val="auto"/>
                <w:sz w:val="24"/>
              </w:rPr>
              <w:t>水泵</w:t>
            </w:r>
            <w:r>
              <w:rPr>
                <w:color w:val="auto"/>
                <w:sz w:val="24"/>
              </w:rPr>
              <w:t>安装减震垫</w:t>
            </w:r>
            <w:r>
              <w:rPr>
                <w:rFonts w:hint="eastAsia"/>
                <w:color w:val="auto"/>
                <w:sz w:val="24"/>
              </w:rPr>
              <w:t>、风机安装消声器，且布置于地下封闭环境等</w:t>
            </w:r>
            <w:r>
              <w:rPr>
                <w:color w:val="auto"/>
                <w:sz w:val="24"/>
              </w:rPr>
              <w:t>措施，再经几何发散后，项目建成后运营期间厂界</w:t>
            </w:r>
            <w:r>
              <w:rPr>
                <w:rFonts w:hint="eastAsia"/>
                <w:color w:val="auto"/>
                <w:sz w:val="24"/>
              </w:rPr>
              <w:t>东、南、北侧</w:t>
            </w:r>
            <w:r>
              <w:rPr>
                <w:color w:val="auto"/>
                <w:sz w:val="24"/>
              </w:rPr>
              <w:t>噪声</w:t>
            </w:r>
            <w:r>
              <w:rPr>
                <w:rFonts w:hint="eastAsia"/>
                <w:color w:val="auto"/>
                <w:sz w:val="24"/>
              </w:rPr>
              <w:t>预测值</w:t>
            </w:r>
            <w:r>
              <w:rPr>
                <w:color w:val="auto"/>
                <w:sz w:val="24"/>
              </w:rPr>
              <w:t>最大值能达到《工业企业厂界环境噪声排放标准》（GB12348-2008）</w:t>
            </w:r>
            <w:r>
              <w:rPr>
                <w:rFonts w:hint="eastAsia"/>
                <w:color w:val="auto"/>
                <w:sz w:val="24"/>
              </w:rPr>
              <w:t>2</w:t>
            </w:r>
            <w:r>
              <w:rPr>
                <w:color w:val="auto"/>
                <w:sz w:val="24"/>
              </w:rPr>
              <w:t>类标准限值要求。</w:t>
            </w:r>
            <w:r>
              <w:rPr>
                <w:rFonts w:hint="eastAsia"/>
                <w:color w:val="auto"/>
                <w:sz w:val="24"/>
              </w:rPr>
              <w:t>西</w:t>
            </w:r>
            <w:r>
              <w:rPr>
                <w:color w:val="auto"/>
                <w:sz w:val="24"/>
              </w:rPr>
              <w:t>厂界噪声</w:t>
            </w:r>
            <w:r>
              <w:rPr>
                <w:rFonts w:hint="eastAsia"/>
                <w:color w:val="auto"/>
                <w:sz w:val="24"/>
              </w:rPr>
              <w:t>统计最大值能够达到</w:t>
            </w:r>
            <w:r>
              <w:rPr>
                <w:color w:val="auto"/>
                <w:sz w:val="24"/>
              </w:rPr>
              <w:t>《工业企业厂界环境噪声排放标准》（GB12348-2008）4类标准</w:t>
            </w:r>
            <w:r>
              <w:rPr>
                <w:rFonts w:hint="eastAsia"/>
                <w:color w:val="auto"/>
                <w:sz w:val="24"/>
              </w:rPr>
              <w:t>。</w:t>
            </w:r>
            <w:r>
              <w:rPr>
                <w:color w:val="auto"/>
                <w:sz w:val="24"/>
              </w:rPr>
              <w:t>由于</w:t>
            </w:r>
            <w:r>
              <w:rPr>
                <w:rFonts w:hint="eastAsia"/>
                <w:color w:val="auto"/>
                <w:sz w:val="24"/>
              </w:rPr>
              <w:t>项目最近的敏感点为</w:t>
            </w:r>
            <w:r>
              <w:rPr>
                <w:color w:val="auto"/>
                <w:sz w:val="24"/>
              </w:rPr>
              <w:t>厂界外</w:t>
            </w:r>
            <w:r>
              <w:rPr>
                <w:rFonts w:hint="eastAsia"/>
                <w:color w:val="auto"/>
                <w:sz w:val="24"/>
              </w:rPr>
              <w:t>东侧3</w:t>
            </w:r>
            <w:r>
              <w:rPr>
                <w:color w:val="auto"/>
                <w:sz w:val="24"/>
              </w:rPr>
              <w:t>米</w:t>
            </w:r>
            <w:r>
              <w:rPr>
                <w:rFonts w:hint="eastAsia"/>
                <w:color w:val="auto"/>
                <w:sz w:val="24"/>
              </w:rPr>
              <w:t>处四街村和西侧37m处的四街镇</w:t>
            </w:r>
            <w:r>
              <w:rPr>
                <w:color w:val="auto"/>
                <w:sz w:val="24"/>
              </w:rPr>
              <w:t>声环境保护目标，</w:t>
            </w:r>
            <w:r>
              <w:rPr>
                <w:rFonts w:hint="eastAsia"/>
                <w:color w:val="auto"/>
                <w:sz w:val="24"/>
              </w:rPr>
              <w:t>因此本环评对该保护目标进行了预测，预测结果见表4-32。</w:t>
            </w:r>
          </w:p>
          <w:p w14:paraId="1FF95614">
            <w:pPr>
              <w:adjustRightInd w:val="0"/>
              <w:snapToGrid w:val="0"/>
              <w:spacing w:line="360" w:lineRule="auto"/>
              <w:ind w:firstLine="482" w:firstLineChars="200"/>
              <w:jc w:val="center"/>
              <w:rPr>
                <w:b/>
                <w:color w:val="auto"/>
                <w:sz w:val="24"/>
              </w:rPr>
            </w:pPr>
            <w:r>
              <w:rPr>
                <w:b/>
                <w:color w:val="auto"/>
                <w:sz w:val="24"/>
              </w:rPr>
              <w:t>表</w:t>
            </w:r>
            <w:r>
              <w:rPr>
                <w:rFonts w:hint="eastAsia"/>
                <w:b/>
                <w:color w:val="auto"/>
                <w:sz w:val="24"/>
              </w:rPr>
              <w:t>4-32敏感点</w:t>
            </w:r>
            <w:r>
              <w:rPr>
                <w:b/>
                <w:color w:val="auto"/>
                <w:sz w:val="24"/>
              </w:rPr>
              <w:t>噪声预测结果与达标分析表</w:t>
            </w:r>
          </w:p>
          <w:tbl>
            <w:tblPr>
              <w:tblStyle w:val="33"/>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05"/>
              <w:gridCol w:w="784"/>
              <w:gridCol w:w="592"/>
              <w:gridCol w:w="539"/>
              <w:gridCol w:w="1092"/>
              <w:gridCol w:w="924"/>
              <w:gridCol w:w="1038"/>
              <w:gridCol w:w="1092"/>
              <w:gridCol w:w="643"/>
            </w:tblGrid>
            <w:tr w14:paraId="7B8D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06" w:type="dxa"/>
                  <w:vMerge w:val="restart"/>
                  <w:vAlign w:val="center"/>
                </w:tcPr>
                <w:p w14:paraId="3B68069F">
                  <w:pPr>
                    <w:pStyle w:val="14"/>
                    <w:adjustRightInd w:val="0"/>
                    <w:spacing w:after="0" w:line="240" w:lineRule="auto"/>
                    <w:jc w:val="center"/>
                    <w:rPr>
                      <w:color w:val="auto"/>
                      <w:sz w:val="21"/>
                      <w:szCs w:val="21"/>
                    </w:rPr>
                  </w:pPr>
                  <w:r>
                    <w:rPr>
                      <w:rFonts w:hint="eastAsia"/>
                      <w:color w:val="auto"/>
                      <w:sz w:val="21"/>
                      <w:szCs w:val="21"/>
                    </w:rPr>
                    <w:t>预测点</w:t>
                  </w:r>
                </w:p>
              </w:tc>
              <w:tc>
                <w:tcPr>
                  <w:tcW w:w="2181" w:type="dxa"/>
                  <w:gridSpan w:val="3"/>
                  <w:vAlign w:val="center"/>
                </w:tcPr>
                <w:p w14:paraId="20D2D4EF">
                  <w:pPr>
                    <w:pStyle w:val="14"/>
                    <w:adjustRightInd w:val="0"/>
                    <w:spacing w:after="0" w:line="240" w:lineRule="auto"/>
                    <w:jc w:val="center"/>
                    <w:rPr>
                      <w:color w:val="auto"/>
                      <w:sz w:val="21"/>
                      <w:szCs w:val="21"/>
                    </w:rPr>
                  </w:pPr>
                  <w:r>
                    <w:rPr>
                      <w:rFonts w:hint="eastAsia"/>
                      <w:color w:val="auto"/>
                      <w:sz w:val="21"/>
                      <w:szCs w:val="21"/>
                    </w:rPr>
                    <w:t>空间相对位置/m</w:t>
                  </w:r>
                </w:p>
              </w:tc>
              <w:tc>
                <w:tcPr>
                  <w:tcW w:w="539" w:type="dxa"/>
                  <w:vMerge w:val="restart"/>
                  <w:vAlign w:val="center"/>
                </w:tcPr>
                <w:p w14:paraId="533FA020">
                  <w:pPr>
                    <w:pStyle w:val="14"/>
                    <w:adjustRightInd w:val="0"/>
                    <w:spacing w:after="0" w:line="240" w:lineRule="auto"/>
                    <w:jc w:val="center"/>
                    <w:rPr>
                      <w:color w:val="auto"/>
                      <w:sz w:val="21"/>
                      <w:szCs w:val="21"/>
                    </w:rPr>
                  </w:pPr>
                  <w:r>
                    <w:rPr>
                      <w:rFonts w:hint="eastAsia"/>
                      <w:color w:val="auto"/>
                      <w:sz w:val="21"/>
                      <w:szCs w:val="21"/>
                    </w:rPr>
                    <w:t>时段</w:t>
                  </w:r>
                </w:p>
              </w:tc>
              <w:tc>
                <w:tcPr>
                  <w:tcW w:w="1092" w:type="dxa"/>
                  <w:vMerge w:val="restart"/>
                  <w:vAlign w:val="center"/>
                </w:tcPr>
                <w:p w14:paraId="4AEEDA85">
                  <w:pPr>
                    <w:pStyle w:val="14"/>
                    <w:adjustRightInd w:val="0"/>
                    <w:spacing w:after="0" w:line="240" w:lineRule="auto"/>
                    <w:jc w:val="center"/>
                    <w:rPr>
                      <w:color w:val="auto"/>
                      <w:sz w:val="21"/>
                      <w:szCs w:val="21"/>
                    </w:rPr>
                  </w:pPr>
                  <w:r>
                    <w:rPr>
                      <w:rFonts w:hint="eastAsia"/>
                      <w:color w:val="auto"/>
                      <w:sz w:val="21"/>
                      <w:szCs w:val="21"/>
                    </w:rPr>
                    <w:t>噪声贡献值/</w:t>
                  </w:r>
                  <w:r>
                    <w:rPr>
                      <w:color w:val="auto"/>
                      <w:sz w:val="21"/>
                      <w:szCs w:val="21"/>
                    </w:rPr>
                    <w:t>dB(A)</w:t>
                  </w:r>
                </w:p>
              </w:tc>
              <w:tc>
                <w:tcPr>
                  <w:tcW w:w="924" w:type="dxa"/>
                  <w:vMerge w:val="restart"/>
                  <w:vAlign w:val="center"/>
                </w:tcPr>
                <w:p w14:paraId="4841F390">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38" w:type="dxa"/>
                  <w:vMerge w:val="restart"/>
                  <w:vAlign w:val="center"/>
                </w:tcPr>
                <w:p w14:paraId="2529AD96">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92" w:type="dxa"/>
                  <w:vMerge w:val="restart"/>
                  <w:vAlign w:val="center"/>
                </w:tcPr>
                <w:p w14:paraId="4AF517E7">
                  <w:pPr>
                    <w:pStyle w:val="14"/>
                    <w:adjustRightInd w:val="0"/>
                    <w:spacing w:after="0" w:line="240" w:lineRule="auto"/>
                    <w:jc w:val="center"/>
                    <w:rPr>
                      <w:color w:val="auto"/>
                      <w:sz w:val="21"/>
                      <w:szCs w:val="21"/>
                    </w:rPr>
                  </w:pPr>
                  <w:r>
                    <w:rPr>
                      <w:rFonts w:hint="eastAsia"/>
                      <w:color w:val="auto"/>
                      <w:sz w:val="21"/>
                      <w:szCs w:val="21"/>
                    </w:rPr>
                    <w:t>噪声标准值/</w:t>
                  </w:r>
                  <w:r>
                    <w:rPr>
                      <w:color w:val="auto"/>
                      <w:sz w:val="21"/>
                      <w:szCs w:val="21"/>
                    </w:rPr>
                    <w:t>dB(A)</w:t>
                  </w:r>
                </w:p>
              </w:tc>
              <w:tc>
                <w:tcPr>
                  <w:tcW w:w="643" w:type="dxa"/>
                  <w:vMerge w:val="restart"/>
                  <w:vAlign w:val="center"/>
                </w:tcPr>
                <w:p w14:paraId="37A2CC8A">
                  <w:pPr>
                    <w:pStyle w:val="14"/>
                    <w:adjustRightInd w:val="0"/>
                    <w:spacing w:after="0" w:line="240" w:lineRule="auto"/>
                    <w:jc w:val="center"/>
                    <w:rPr>
                      <w:color w:val="auto"/>
                      <w:sz w:val="21"/>
                      <w:szCs w:val="21"/>
                    </w:rPr>
                  </w:pPr>
                  <w:r>
                    <w:rPr>
                      <w:rFonts w:hint="eastAsia"/>
                      <w:color w:val="auto"/>
                      <w:sz w:val="21"/>
                      <w:szCs w:val="21"/>
                    </w:rPr>
                    <w:t>达标情况</w:t>
                  </w:r>
                </w:p>
              </w:tc>
            </w:tr>
            <w:tr w14:paraId="586D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Merge w:val="continue"/>
                  <w:vAlign w:val="center"/>
                </w:tcPr>
                <w:p w14:paraId="022EEC46">
                  <w:pPr>
                    <w:pStyle w:val="14"/>
                    <w:adjustRightInd w:val="0"/>
                    <w:spacing w:after="0" w:line="240" w:lineRule="auto"/>
                    <w:jc w:val="center"/>
                    <w:rPr>
                      <w:color w:val="auto"/>
                      <w:sz w:val="21"/>
                      <w:szCs w:val="21"/>
                    </w:rPr>
                  </w:pPr>
                </w:p>
              </w:tc>
              <w:tc>
                <w:tcPr>
                  <w:tcW w:w="805" w:type="dxa"/>
                  <w:vAlign w:val="center"/>
                </w:tcPr>
                <w:p w14:paraId="5D2AE8B5">
                  <w:pPr>
                    <w:pStyle w:val="14"/>
                    <w:adjustRightInd w:val="0"/>
                    <w:spacing w:after="0" w:line="240" w:lineRule="auto"/>
                    <w:jc w:val="center"/>
                    <w:rPr>
                      <w:color w:val="auto"/>
                      <w:sz w:val="21"/>
                      <w:szCs w:val="21"/>
                    </w:rPr>
                  </w:pPr>
                  <w:r>
                    <w:rPr>
                      <w:rFonts w:hint="eastAsia"/>
                      <w:color w:val="auto"/>
                      <w:sz w:val="21"/>
                      <w:szCs w:val="21"/>
                    </w:rPr>
                    <w:t>X</w:t>
                  </w:r>
                </w:p>
              </w:tc>
              <w:tc>
                <w:tcPr>
                  <w:tcW w:w="784" w:type="dxa"/>
                  <w:vAlign w:val="center"/>
                </w:tcPr>
                <w:p w14:paraId="522E5932">
                  <w:pPr>
                    <w:pStyle w:val="14"/>
                    <w:adjustRightInd w:val="0"/>
                    <w:spacing w:after="0" w:line="240" w:lineRule="auto"/>
                    <w:jc w:val="center"/>
                    <w:rPr>
                      <w:color w:val="auto"/>
                      <w:sz w:val="21"/>
                      <w:szCs w:val="21"/>
                    </w:rPr>
                  </w:pPr>
                  <w:r>
                    <w:rPr>
                      <w:rFonts w:hint="eastAsia"/>
                      <w:color w:val="auto"/>
                      <w:sz w:val="21"/>
                      <w:szCs w:val="21"/>
                    </w:rPr>
                    <w:t>Y</w:t>
                  </w:r>
                </w:p>
              </w:tc>
              <w:tc>
                <w:tcPr>
                  <w:tcW w:w="592" w:type="dxa"/>
                  <w:vAlign w:val="center"/>
                </w:tcPr>
                <w:p w14:paraId="5720C428">
                  <w:pPr>
                    <w:pStyle w:val="14"/>
                    <w:adjustRightInd w:val="0"/>
                    <w:spacing w:after="0" w:line="240" w:lineRule="auto"/>
                    <w:jc w:val="center"/>
                    <w:rPr>
                      <w:color w:val="auto"/>
                      <w:sz w:val="21"/>
                      <w:szCs w:val="21"/>
                    </w:rPr>
                  </w:pPr>
                  <w:r>
                    <w:rPr>
                      <w:rFonts w:hint="eastAsia"/>
                      <w:color w:val="auto"/>
                      <w:sz w:val="21"/>
                      <w:szCs w:val="21"/>
                    </w:rPr>
                    <w:t>Z</w:t>
                  </w:r>
                </w:p>
              </w:tc>
              <w:tc>
                <w:tcPr>
                  <w:tcW w:w="539" w:type="dxa"/>
                  <w:vMerge w:val="continue"/>
                  <w:vAlign w:val="center"/>
                </w:tcPr>
                <w:p w14:paraId="1F120913">
                  <w:pPr>
                    <w:pStyle w:val="14"/>
                    <w:adjustRightInd w:val="0"/>
                    <w:spacing w:after="0" w:line="240" w:lineRule="auto"/>
                    <w:jc w:val="center"/>
                    <w:rPr>
                      <w:color w:val="auto"/>
                      <w:sz w:val="21"/>
                      <w:szCs w:val="21"/>
                    </w:rPr>
                  </w:pPr>
                </w:p>
              </w:tc>
              <w:tc>
                <w:tcPr>
                  <w:tcW w:w="1092" w:type="dxa"/>
                  <w:vMerge w:val="continue"/>
                  <w:vAlign w:val="center"/>
                </w:tcPr>
                <w:p w14:paraId="11F2EFE1">
                  <w:pPr>
                    <w:pStyle w:val="14"/>
                    <w:adjustRightInd w:val="0"/>
                    <w:spacing w:after="0" w:line="240" w:lineRule="auto"/>
                    <w:jc w:val="center"/>
                    <w:rPr>
                      <w:color w:val="auto"/>
                      <w:sz w:val="21"/>
                      <w:szCs w:val="21"/>
                    </w:rPr>
                  </w:pPr>
                </w:p>
              </w:tc>
              <w:tc>
                <w:tcPr>
                  <w:tcW w:w="924" w:type="dxa"/>
                  <w:vMerge w:val="continue"/>
                  <w:vAlign w:val="center"/>
                </w:tcPr>
                <w:p w14:paraId="2FE93347">
                  <w:pPr>
                    <w:pStyle w:val="14"/>
                    <w:adjustRightInd w:val="0"/>
                    <w:spacing w:after="0" w:line="240" w:lineRule="auto"/>
                    <w:jc w:val="center"/>
                    <w:rPr>
                      <w:color w:val="auto"/>
                      <w:sz w:val="21"/>
                      <w:szCs w:val="21"/>
                    </w:rPr>
                  </w:pPr>
                </w:p>
              </w:tc>
              <w:tc>
                <w:tcPr>
                  <w:tcW w:w="1038" w:type="dxa"/>
                  <w:vMerge w:val="continue"/>
                  <w:vAlign w:val="center"/>
                </w:tcPr>
                <w:p w14:paraId="2060E889">
                  <w:pPr>
                    <w:pStyle w:val="14"/>
                    <w:adjustRightInd w:val="0"/>
                    <w:spacing w:after="0" w:line="240" w:lineRule="auto"/>
                    <w:jc w:val="center"/>
                    <w:rPr>
                      <w:color w:val="auto"/>
                      <w:sz w:val="21"/>
                      <w:szCs w:val="21"/>
                    </w:rPr>
                  </w:pPr>
                </w:p>
              </w:tc>
              <w:tc>
                <w:tcPr>
                  <w:tcW w:w="1092" w:type="dxa"/>
                  <w:vMerge w:val="continue"/>
                  <w:vAlign w:val="center"/>
                </w:tcPr>
                <w:p w14:paraId="40C59D05">
                  <w:pPr>
                    <w:pStyle w:val="14"/>
                    <w:adjustRightInd w:val="0"/>
                    <w:spacing w:after="0" w:line="240" w:lineRule="auto"/>
                    <w:jc w:val="center"/>
                    <w:rPr>
                      <w:color w:val="auto"/>
                      <w:sz w:val="21"/>
                      <w:szCs w:val="21"/>
                    </w:rPr>
                  </w:pPr>
                </w:p>
              </w:tc>
              <w:tc>
                <w:tcPr>
                  <w:tcW w:w="643" w:type="dxa"/>
                  <w:vMerge w:val="continue"/>
                  <w:vAlign w:val="center"/>
                </w:tcPr>
                <w:p w14:paraId="7825AD11">
                  <w:pPr>
                    <w:pStyle w:val="14"/>
                    <w:adjustRightInd w:val="0"/>
                    <w:spacing w:after="0" w:line="240" w:lineRule="auto"/>
                    <w:jc w:val="center"/>
                    <w:rPr>
                      <w:color w:val="auto"/>
                      <w:sz w:val="21"/>
                      <w:szCs w:val="21"/>
                    </w:rPr>
                  </w:pPr>
                </w:p>
              </w:tc>
            </w:tr>
            <w:tr w14:paraId="61B4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Merge w:val="restart"/>
                  <w:vAlign w:val="center"/>
                </w:tcPr>
                <w:p w14:paraId="780AC9A7">
                  <w:pPr>
                    <w:pStyle w:val="14"/>
                    <w:adjustRightInd w:val="0"/>
                    <w:spacing w:after="0" w:line="240" w:lineRule="auto"/>
                    <w:jc w:val="center"/>
                    <w:rPr>
                      <w:color w:val="auto"/>
                      <w:sz w:val="21"/>
                      <w:szCs w:val="21"/>
                    </w:rPr>
                  </w:pPr>
                  <w:r>
                    <w:rPr>
                      <w:rFonts w:hint="eastAsia"/>
                      <w:color w:val="auto"/>
                      <w:sz w:val="21"/>
                      <w:szCs w:val="21"/>
                    </w:rPr>
                    <w:t>四街村</w:t>
                  </w:r>
                </w:p>
              </w:tc>
              <w:tc>
                <w:tcPr>
                  <w:tcW w:w="805" w:type="dxa"/>
                  <w:vMerge w:val="restart"/>
                  <w:vAlign w:val="center"/>
                </w:tcPr>
                <w:p w14:paraId="50E714F0">
                  <w:pPr>
                    <w:pStyle w:val="14"/>
                    <w:adjustRightInd w:val="0"/>
                    <w:spacing w:after="0" w:line="240" w:lineRule="auto"/>
                    <w:jc w:val="center"/>
                    <w:rPr>
                      <w:color w:val="auto"/>
                      <w:sz w:val="21"/>
                      <w:szCs w:val="21"/>
                    </w:rPr>
                  </w:pPr>
                  <w:r>
                    <w:rPr>
                      <w:rFonts w:hint="eastAsia"/>
                      <w:color w:val="auto"/>
                      <w:sz w:val="21"/>
                      <w:szCs w:val="21"/>
                    </w:rPr>
                    <w:t>94.13</w:t>
                  </w:r>
                </w:p>
              </w:tc>
              <w:tc>
                <w:tcPr>
                  <w:tcW w:w="784" w:type="dxa"/>
                  <w:vMerge w:val="restart"/>
                  <w:vAlign w:val="center"/>
                </w:tcPr>
                <w:p w14:paraId="4C1B0C09">
                  <w:pPr>
                    <w:pStyle w:val="14"/>
                    <w:adjustRightInd w:val="0"/>
                    <w:spacing w:after="0" w:line="240" w:lineRule="auto"/>
                    <w:jc w:val="center"/>
                    <w:rPr>
                      <w:color w:val="auto"/>
                      <w:sz w:val="21"/>
                      <w:szCs w:val="21"/>
                    </w:rPr>
                  </w:pPr>
                  <w:r>
                    <w:rPr>
                      <w:rFonts w:hint="eastAsia"/>
                      <w:color w:val="auto"/>
                      <w:sz w:val="21"/>
                      <w:szCs w:val="21"/>
                    </w:rPr>
                    <w:t>78.5</w:t>
                  </w:r>
                </w:p>
              </w:tc>
              <w:tc>
                <w:tcPr>
                  <w:tcW w:w="592" w:type="dxa"/>
                  <w:vMerge w:val="restart"/>
                  <w:vAlign w:val="center"/>
                </w:tcPr>
                <w:p w14:paraId="44A98EBC">
                  <w:pPr>
                    <w:pStyle w:val="14"/>
                    <w:adjustRightInd w:val="0"/>
                    <w:spacing w:after="0" w:line="240" w:lineRule="auto"/>
                    <w:jc w:val="center"/>
                    <w:rPr>
                      <w:color w:val="auto"/>
                      <w:sz w:val="21"/>
                      <w:szCs w:val="21"/>
                    </w:rPr>
                  </w:pPr>
                  <w:r>
                    <w:rPr>
                      <w:rFonts w:hint="eastAsia"/>
                      <w:color w:val="auto"/>
                      <w:sz w:val="21"/>
                      <w:szCs w:val="21"/>
                    </w:rPr>
                    <w:t>1.2</w:t>
                  </w:r>
                </w:p>
              </w:tc>
              <w:tc>
                <w:tcPr>
                  <w:tcW w:w="539" w:type="dxa"/>
                  <w:vAlign w:val="center"/>
                </w:tcPr>
                <w:p w14:paraId="37D5977E">
                  <w:pPr>
                    <w:pStyle w:val="14"/>
                    <w:adjustRightInd w:val="0"/>
                    <w:spacing w:after="0" w:line="240" w:lineRule="auto"/>
                    <w:jc w:val="center"/>
                    <w:rPr>
                      <w:color w:val="auto"/>
                      <w:sz w:val="21"/>
                      <w:szCs w:val="21"/>
                    </w:rPr>
                  </w:pPr>
                  <w:r>
                    <w:rPr>
                      <w:color w:val="auto"/>
                      <w:sz w:val="21"/>
                      <w:szCs w:val="21"/>
                    </w:rPr>
                    <w:t>昼间</w:t>
                  </w:r>
                </w:p>
              </w:tc>
              <w:tc>
                <w:tcPr>
                  <w:tcW w:w="1092" w:type="dxa"/>
                  <w:vAlign w:val="center"/>
                </w:tcPr>
                <w:p w14:paraId="18218468">
                  <w:pPr>
                    <w:pStyle w:val="14"/>
                    <w:adjustRightInd w:val="0"/>
                    <w:spacing w:after="0" w:line="240" w:lineRule="auto"/>
                    <w:jc w:val="center"/>
                    <w:rPr>
                      <w:color w:val="auto"/>
                      <w:sz w:val="21"/>
                      <w:szCs w:val="21"/>
                    </w:rPr>
                  </w:pPr>
                  <w:r>
                    <w:rPr>
                      <w:rFonts w:hint="eastAsia"/>
                      <w:color w:val="auto"/>
                      <w:sz w:val="21"/>
                      <w:szCs w:val="21"/>
                    </w:rPr>
                    <w:t>41.58</w:t>
                  </w:r>
                </w:p>
              </w:tc>
              <w:tc>
                <w:tcPr>
                  <w:tcW w:w="924" w:type="dxa"/>
                  <w:vAlign w:val="center"/>
                </w:tcPr>
                <w:p w14:paraId="58E15622">
                  <w:pPr>
                    <w:pStyle w:val="14"/>
                    <w:adjustRightInd w:val="0"/>
                    <w:spacing w:after="0" w:line="240" w:lineRule="auto"/>
                    <w:jc w:val="center"/>
                    <w:rPr>
                      <w:color w:val="auto"/>
                      <w:sz w:val="21"/>
                      <w:szCs w:val="21"/>
                    </w:rPr>
                  </w:pPr>
                  <w:r>
                    <w:rPr>
                      <w:rFonts w:hint="eastAsia"/>
                      <w:color w:val="auto"/>
                      <w:sz w:val="21"/>
                      <w:szCs w:val="21"/>
                    </w:rPr>
                    <w:t>56</w:t>
                  </w:r>
                </w:p>
              </w:tc>
              <w:tc>
                <w:tcPr>
                  <w:tcW w:w="1038" w:type="dxa"/>
                  <w:vAlign w:val="center"/>
                </w:tcPr>
                <w:p w14:paraId="57B233B6">
                  <w:pPr>
                    <w:pStyle w:val="14"/>
                    <w:adjustRightInd w:val="0"/>
                    <w:spacing w:after="0" w:line="240" w:lineRule="auto"/>
                    <w:jc w:val="center"/>
                    <w:rPr>
                      <w:color w:val="auto"/>
                      <w:sz w:val="21"/>
                      <w:szCs w:val="21"/>
                    </w:rPr>
                  </w:pPr>
                  <w:r>
                    <w:rPr>
                      <w:rFonts w:hint="eastAsia"/>
                      <w:color w:val="auto"/>
                      <w:sz w:val="21"/>
                      <w:szCs w:val="21"/>
                    </w:rPr>
                    <w:t>56.15</w:t>
                  </w:r>
                </w:p>
              </w:tc>
              <w:tc>
                <w:tcPr>
                  <w:tcW w:w="1092" w:type="dxa"/>
                  <w:vAlign w:val="center"/>
                </w:tcPr>
                <w:p w14:paraId="6A76B364">
                  <w:pPr>
                    <w:pStyle w:val="14"/>
                    <w:adjustRightInd w:val="0"/>
                    <w:spacing w:after="0" w:line="240" w:lineRule="auto"/>
                    <w:jc w:val="center"/>
                    <w:rPr>
                      <w:color w:val="auto"/>
                      <w:sz w:val="21"/>
                      <w:szCs w:val="21"/>
                    </w:rPr>
                  </w:pPr>
                  <w:r>
                    <w:rPr>
                      <w:rFonts w:hint="eastAsia"/>
                      <w:color w:val="auto"/>
                      <w:sz w:val="21"/>
                      <w:szCs w:val="21"/>
                    </w:rPr>
                    <w:t>60</w:t>
                  </w:r>
                </w:p>
              </w:tc>
              <w:tc>
                <w:tcPr>
                  <w:tcW w:w="643" w:type="dxa"/>
                  <w:vAlign w:val="center"/>
                </w:tcPr>
                <w:p w14:paraId="66CD0135">
                  <w:pPr>
                    <w:pStyle w:val="14"/>
                    <w:adjustRightInd w:val="0"/>
                    <w:spacing w:after="0" w:line="240" w:lineRule="auto"/>
                    <w:jc w:val="center"/>
                    <w:rPr>
                      <w:color w:val="auto"/>
                      <w:sz w:val="21"/>
                      <w:szCs w:val="21"/>
                    </w:rPr>
                  </w:pPr>
                  <w:r>
                    <w:rPr>
                      <w:color w:val="auto"/>
                      <w:sz w:val="21"/>
                      <w:szCs w:val="21"/>
                    </w:rPr>
                    <w:t>达标</w:t>
                  </w:r>
                </w:p>
              </w:tc>
            </w:tr>
            <w:tr w14:paraId="6F5B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Merge w:val="continue"/>
                  <w:vAlign w:val="center"/>
                </w:tcPr>
                <w:p w14:paraId="5858E80B">
                  <w:pPr>
                    <w:pStyle w:val="14"/>
                    <w:adjustRightInd w:val="0"/>
                    <w:spacing w:after="0" w:line="240" w:lineRule="auto"/>
                    <w:jc w:val="center"/>
                    <w:rPr>
                      <w:color w:val="auto"/>
                      <w:sz w:val="21"/>
                      <w:szCs w:val="21"/>
                    </w:rPr>
                  </w:pPr>
                </w:p>
              </w:tc>
              <w:tc>
                <w:tcPr>
                  <w:tcW w:w="805" w:type="dxa"/>
                  <w:vMerge w:val="continue"/>
                  <w:vAlign w:val="center"/>
                </w:tcPr>
                <w:p w14:paraId="65CAD6F8">
                  <w:pPr>
                    <w:pStyle w:val="14"/>
                    <w:adjustRightInd w:val="0"/>
                    <w:spacing w:after="0" w:line="240" w:lineRule="auto"/>
                    <w:jc w:val="center"/>
                    <w:rPr>
                      <w:color w:val="auto"/>
                      <w:sz w:val="21"/>
                      <w:szCs w:val="21"/>
                    </w:rPr>
                  </w:pPr>
                </w:p>
              </w:tc>
              <w:tc>
                <w:tcPr>
                  <w:tcW w:w="784" w:type="dxa"/>
                  <w:vMerge w:val="continue"/>
                  <w:vAlign w:val="center"/>
                </w:tcPr>
                <w:p w14:paraId="31A5D44B">
                  <w:pPr>
                    <w:pStyle w:val="14"/>
                    <w:adjustRightInd w:val="0"/>
                    <w:spacing w:after="0" w:line="240" w:lineRule="auto"/>
                    <w:jc w:val="center"/>
                    <w:rPr>
                      <w:color w:val="auto"/>
                      <w:sz w:val="21"/>
                      <w:szCs w:val="21"/>
                    </w:rPr>
                  </w:pPr>
                </w:p>
              </w:tc>
              <w:tc>
                <w:tcPr>
                  <w:tcW w:w="592" w:type="dxa"/>
                  <w:vMerge w:val="continue"/>
                  <w:vAlign w:val="center"/>
                </w:tcPr>
                <w:p w14:paraId="41CDFFD0">
                  <w:pPr>
                    <w:pStyle w:val="14"/>
                    <w:adjustRightInd w:val="0"/>
                    <w:spacing w:after="0" w:line="240" w:lineRule="auto"/>
                    <w:jc w:val="center"/>
                    <w:rPr>
                      <w:color w:val="auto"/>
                      <w:sz w:val="21"/>
                      <w:szCs w:val="21"/>
                    </w:rPr>
                  </w:pPr>
                </w:p>
              </w:tc>
              <w:tc>
                <w:tcPr>
                  <w:tcW w:w="539" w:type="dxa"/>
                  <w:vAlign w:val="center"/>
                </w:tcPr>
                <w:p w14:paraId="16DB9BBE">
                  <w:pPr>
                    <w:pStyle w:val="14"/>
                    <w:adjustRightInd w:val="0"/>
                    <w:spacing w:after="0" w:line="240" w:lineRule="auto"/>
                    <w:jc w:val="center"/>
                    <w:rPr>
                      <w:color w:val="auto"/>
                      <w:sz w:val="21"/>
                      <w:szCs w:val="21"/>
                    </w:rPr>
                  </w:pPr>
                  <w:r>
                    <w:rPr>
                      <w:rFonts w:hint="eastAsia"/>
                      <w:color w:val="auto"/>
                      <w:sz w:val="21"/>
                      <w:szCs w:val="21"/>
                    </w:rPr>
                    <w:t>夜间</w:t>
                  </w:r>
                </w:p>
              </w:tc>
              <w:tc>
                <w:tcPr>
                  <w:tcW w:w="1092" w:type="dxa"/>
                  <w:vAlign w:val="center"/>
                </w:tcPr>
                <w:p w14:paraId="01F27EF3">
                  <w:pPr>
                    <w:pStyle w:val="14"/>
                    <w:adjustRightInd w:val="0"/>
                    <w:spacing w:after="0" w:line="240" w:lineRule="auto"/>
                    <w:jc w:val="center"/>
                    <w:rPr>
                      <w:color w:val="auto"/>
                      <w:sz w:val="21"/>
                      <w:szCs w:val="21"/>
                    </w:rPr>
                  </w:pPr>
                  <w:r>
                    <w:rPr>
                      <w:rFonts w:hint="eastAsia"/>
                      <w:color w:val="auto"/>
                      <w:sz w:val="21"/>
                      <w:szCs w:val="21"/>
                    </w:rPr>
                    <w:t>41.58</w:t>
                  </w:r>
                </w:p>
              </w:tc>
              <w:tc>
                <w:tcPr>
                  <w:tcW w:w="924" w:type="dxa"/>
                  <w:vAlign w:val="center"/>
                </w:tcPr>
                <w:p w14:paraId="4EFCE939">
                  <w:pPr>
                    <w:pStyle w:val="14"/>
                    <w:adjustRightInd w:val="0"/>
                    <w:spacing w:after="0" w:line="240" w:lineRule="auto"/>
                    <w:jc w:val="center"/>
                    <w:rPr>
                      <w:color w:val="auto"/>
                      <w:sz w:val="21"/>
                      <w:szCs w:val="21"/>
                    </w:rPr>
                  </w:pPr>
                  <w:r>
                    <w:rPr>
                      <w:rFonts w:hint="eastAsia"/>
                      <w:color w:val="auto"/>
                      <w:sz w:val="21"/>
                      <w:szCs w:val="21"/>
                    </w:rPr>
                    <w:t>47</w:t>
                  </w:r>
                </w:p>
              </w:tc>
              <w:tc>
                <w:tcPr>
                  <w:tcW w:w="1038" w:type="dxa"/>
                  <w:vAlign w:val="center"/>
                </w:tcPr>
                <w:p w14:paraId="578C0B58">
                  <w:pPr>
                    <w:pStyle w:val="14"/>
                    <w:adjustRightInd w:val="0"/>
                    <w:spacing w:after="0" w:line="240" w:lineRule="auto"/>
                    <w:jc w:val="center"/>
                    <w:rPr>
                      <w:color w:val="auto"/>
                      <w:sz w:val="21"/>
                      <w:szCs w:val="21"/>
                    </w:rPr>
                  </w:pPr>
                  <w:r>
                    <w:rPr>
                      <w:rFonts w:hint="eastAsia"/>
                      <w:color w:val="auto"/>
                      <w:sz w:val="21"/>
                      <w:szCs w:val="21"/>
                    </w:rPr>
                    <w:t>48.1</w:t>
                  </w:r>
                </w:p>
              </w:tc>
              <w:tc>
                <w:tcPr>
                  <w:tcW w:w="1092" w:type="dxa"/>
                  <w:vAlign w:val="center"/>
                </w:tcPr>
                <w:p w14:paraId="329C256E">
                  <w:pPr>
                    <w:pStyle w:val="14"/>
                    <w:adjustRightInd w:val="0"/>
                    <w:spacing w:after="0" w:line="240" w:lineRule="auto"/>
                    <w:jc w:val="center"/>
                    <w:rPr>
                      <w:color w:val="auto"/>
                      <w:sz w:val="21"/>
                      <w:szCs w:val="21"/>
                    </w:rPr>
                  </w:pPr>
                  <w:r>
                    <w:rPr>
                      <w:rFonts w:hint="eastAsia"/>
                      <w:color w:val="auto"/>
                      <w:sz w:val="21"/>
                      <w:szCs w:val="21"/>
                    </w:rPr>
                    <w:t>50</w:t>
                  </w:r>
                </w:p>
              </w:tc>
              <w:tc>
                <w:tcPr>
                  <w:tcW w:w="643" w:type="dxa"/>
                  <w:vAlign w:val="center"/>
                </w:tcPr>
                <w:p w14:paraId="2B54CD78">
                  <w:pPr>
                    <w:pStyle w:val="14"/>
                    <w:adjustRightInd w:val="0"/>
                    <w:spacing w:after="0" w:line="240" w:lineRule="auto"/>
                    <w:jc w:val="center"/>
                    <w:rPr>
                      <w:color w:val="auto"/>
                      <w:sz w:val="21"/>
                      <w:szCs w:val="21"/>
                    </w:rPr>
                  </w:pPr>
                  <w:r>
                    <w:rPr>
                      <w:color w:val="auto"/>
                      <w:sz w:val="21"/>
                      <w:szCs w:val="21"/>
                    </w:rPr>
                    <w:t>达标</w:t>
                  </w:r>
                </w:p>
              </w:tc>
            </w:tr>
            <w:tr w14:paraId="0651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Merge w:val="restart"/>
                  <w:vAlign w:val="center"/>
                </w:tcPr>
                <w:p w14:paraId="1C97CD1A">
                  <w:pPr>
                    <w:pStyle w:val="14"/>
                    <w:adjustRightInd w:val="0"/>
                    <w:spacing w:after="0" w:line="240" w:lineRule="auto"/>
                    <w:jc w:val="center"/>
                    <w:rPr>
                      <w:color w:val="auto"/>
                      <w:sz w:val="21"/>
                      <w:szCs w:val="21"/>
                    </w:rPr>
                  </w:pPr>
                  <w:r>
                    <w:rPr>
                      <w:rFonts w:hint="eastAsia"/>
                      <w:color w:val="auto"/>
                      <w:sz w:val="21"/>
                      <w:szCs w:val="21"/>
                    </w:rPr>
                    <w:t>四街镇</w:t>
                  </w:r>
                </w:p>
              </w:tc>
              <w:tc>
                <w:tcPr>
                  <w:tcW w:w="805" w:type="dxa"/>
                  <w:vMerge w:val="restart"/>
                  <w:vAlign w:val="center"/>
                </w:tcPr>
                <w:p w14:paraId="06A427CE">
                  <w:pPr>
                    <w:pStyle w:val="14"/>
                    <w:adjustRightInd w:val="0"/>
                    <w:spacing w:after="0" w:line="240" w:lineRule="auto"/>
                    <w:jc w:val="center"/>
                    <w:rPr>
                      <w:color w:val="auto"/>
                      <w:sz w:val="21"/>
                      <w:szCs w:val="21"/>
                    </w:rPr>
                  </w:pPr>
                  <w:r>
                    <w:rPr>
                      <w:rFonts w:hint="eastAsia"/>
                      <w:color w:val="auto"/>
                      <w:sz w:val="21"/>
                      <w:szCs w:val="21"/>
                    </w:rPr>
                    <w:t>-41.90</w:t>
                  </w:r>
                </w:p>
              </w:tc>
              <w:tc>
                <w:tcPr>
                  <w:tcW w:w="784" w:type="dxa"/>
                  <w:vMerge w:val="restart"/>
                  <w:vAlign w:val="center"/>
                </w:tcPr>
                <w:p w14:paraId="6297B6A4">
                  <w:pPr>
                    <w:pStyle w:val="14"/>
                    <w:adjustRightInd w:val="0"/>
                    <w:spacing w:after="0" w:line="240" w:lineRule="auto"/>
                    <w:jc w:val="center"/>
                    <w:rPr>
                      <w:color w:val="auto"/>
                      <w:sz w:val="21"/>
                      <w:szCs w:val="21"/>
                    </w:rPr>
                  </w:pPr>
                  <w:r>
                    <w:rPr>
                      <w:rFonts w:hint="eastAsia"/>
                      <w:color w:val="auto"/>
                      <w:sz w:val="21"/>
                      <w:szCs w:val="21"/>
                    </w:rPr>
                    <w:t>107.67</w:t>
                  </w:r>
                </w:p>
              </w:tc>
              <w:tc>
                <w:tcPr>
                  <w:tcW w:w="592" w:type="dxa"/>
                  <w:vMerge w:val="restart"/>
                  <w:vAlign w:val="center"/>
                </w:tcPr>
                <w:p w14:paraId="7146A33E">
                  <w:pPr>
                    <w:pStyle w:val="14"/>
                    <w:adjustRightInd w:val="0"/>
                    <w:spacing w:after="0" w:line="240" w:lineRule="auto"/>
                    <w:jc w:val="center"/>
                    <w:rPr>
                      <w:color w:val="auto"/>
                      <w:sz w:val="21"/>
                      <w:szCs w:val="21"/>
                    </w:rPr>
                  </w:pPr>
                  <w:r>
                    <w:rPr>
                      <w:rFonts w:hint="eastAsia"/>
                      <w:color w:val="auto"/>
                      <w:sz w:val="21"/>
                      <w:szCs w:val="21"/>
                    </w:rPr>
                    <w:t>1.2</w:t>
                  </w:r>
                </w:p>
              </w:tc>
              <w:tc>
                <w:tcPr>
                  <w:tcW w:w="539" w:type="dxa"/>
                  <w:vAlign w:val="center"/>
                </w:tcPr>
                <w:p w14:paraId="3DF1706B">
                  <w:pPr>
                    <w:pStyle w:val="14"/>
                    <w:adjustRightInd w:val="0"/>
                    <w:spacing w:after="0" w:line="240" w:lineRule="auto"/>
                    <w:jc w:val="center"/>
                    <w:rPr>
                      <w:color w:val="auto"/>
                      <w:sz w:val="21"/>
                      <w:szCs w:val="21"/>
                    </w:rPr>
                  </w:pPr>
                  <w:r>
                    <w:rPr>
                      <w:color w:val="auto"/>
                      <w:sz w:val="21"/>
                      <w:szCs w:val="21"/>
                    </w:rPr>
                    <w:t>昼间</w:t>
                  </w:r>
                </w:p>
              </w:tc>
              <w:tc>
                <w:tcPr>
                  <w:tcW w:w="1092" w:type="dxa"/>
                  <w:vAlign w:val="center"/>
                </w:tcPr>
                <w:p w14:paraId="72728C1D">
                  <w:pPr>
                    <w:pStyle w:val="14"/>
                    <w:adjustRightInd w:val="0"/>
                    <w:spacing w:after="0" w:line="240" w:lineRule="auto"/>
                    <w:jc w:val="center"/>
                    <w:rPr>
                      <w:color w:val="auto"/>
                      <w:sz w:val="21"/>
                      <w:szCs w:val="21"/>
                    </w:rPr>
                  </w:pPr>
                  <w:r>
                    <w:rPr>
                      <w:rFonts w:hint="eastAsia"/>
                      <w:color w:val="auto"/>
                      <w:sz w:val="21"/>
                      <w:szCs w:val="21"/>
                    </w:rPr>
                    <w:t>14.93</w:t>
                  </w:r>
                </w:p>
              </w:tc>
              <w:tc>
                <w:tcPr>
                  <w:tcW w:w="924" w:type="dxa"/>
                  <w:vAlign w:val="center"/>
                </w:tcPr>
                <w:p w14:paraId="2F762D2C">
                  <w:pPr>
                    <w:pStyle w:val="14"/>
                    <w:adjustRightInd w:val="0"/>
                    <w:spacing w:after="0" w:line="240" w:lineRule="auto"/>
                    <w:jc w:val="center"/>
                    <w:rPr>
                      <w:color w:val="auto"/>
                      <w:sz w:val="21"/>
                      <w:szCs w:val="21"/>
                    </w:rPr>
                  </w:pPr>
                  <w:r>
                    <w:rPr>
                      <w:rFonts w:hint="eastAsia"/>
                      <w:color w:val="auto"/>
                      <w:sz w:val="21"/>
                      <w:szCs w:val="21"/>
                    </w:rPr>
                    <w:t>58</w:t>
                  </w:r>
                </w:p>
              </w:tc>
              <w:tc>
                <w:tcPr>
                  <w:tcW w:w="1038" w:type="dxa"/>
                  <w:vAlign w:val="center"/>
                </w:tcPr>
                <w:p w14:paraId="63AFB58B">
                  <w:pPr>
                    <w:pStyle w:val="14"/>
                    <w:adjustRightInd w:val="0"/>
                    <w:spacing w:after="0" w:line="240" w:lineRule="auto"/>
                    <w:jc w:val="center"/>
                    <w:rPr>
                      <w:color w:val="auto"/>
                      <w:sz w:val="21"/>
                      <w:szCs w:val="21"/>
                    </w:rPr>
                  </w:pPr>
                  <w:r>
                    <w:rPr>
                      <w:rFonts w:hint="eastAsia"/>
                      <w:color w:val="auto"/>
                      <w:sz w:val="21"/>
                      <w:szCs w:val="21"/>
                    </w:rPr>
                    <w:t>58</w:t>
                  </w:r>
                </w:p>
              </w:tc>
              <w:tc>
                <w:tcPr>
                  <w:tcW w:w="1092" w:type="dxa"/>
                  <w:vAlign w:val="center"/>
                </w:tcPr>
                <w:p w14:paraId="66D4770D">
                  <w:pPr>
                    <w:pStyle w:val="14"/>
                    <w:adjustRightInd w:val="0"/>
                    <w:spacing w:after="0" w:line="240" w:lineRule="auto"/>
                    <w:jc w:val="center"/>
                    <w:rPr>
                      <w:color w:val="auto"/>
                      <w:sz w:val="21"/>
                      <w:szCs w:val="21"/>
                    </w:rPr>
                  </w:pPr>
                  <w:r>
                    <w:rPr>
                      <w:rFonts w:hint="eastAsia"/>
                      <w:color w:val="auto"/>
                      <w:sz w:val="21"/>
                      <w:szCs w:val="21"/>
                    </w:rPr>
                    <w:t>60</w:t>
                  </w:r>
                </w:p>
              </w:tc>
              <w:tc>
                <w:tcPr>
                  <w:tcW w:w="643" w:type="dxa"/>
                  <w:vAlign w:val="center"/>
                </w:tcPr>
                <w:p w14:paraId="7FE81A97">
                  <w:pPr>
                    <w:pStyle w:val="14"/>
                    <w:adjustRightInd w:val="0"/>
                    <w:spacing w:after="0" w:line="240" w:lineRule="auto"/>
                    <w:jc w:val="center"/>
                    <w:rPr>
                      <w:color w:val="auto"/>
                      <w:sz w:val="21"/>
                      <w:szCs w:val="21"/>
                    </w:rPr>
                  </w:pPr>
                  <w:r>
                    <w:rPr>
                      <w:color w:val="auto"/>
                      <w:sz w:val="21"/>
                      <w:szCs w:val="21"/>
                    </w:rPr>
                    <w:t>达标</w:t>
                  </w:r>
                </w:p>
              </w:tc>
            </w:tr>
            <w:tr w14:paraId="7E5F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Merge w:val="continue"/>
                  <w:vAlign w:val="center"/>
                </w:tcPr>
                <w:p w14:paraId="6EE4DD2A">
                  <w:pPr>
                    <w:pStyle w:val="14"/>
                    <w:adjustRightInd w:val="0"/>
                    <w:spacing w:after="0" w:line="240" w:lineRule="auto"/>
                    <w:jc w:val="center"/>
                    <w:rPr>
                      <w:color w:val="auto"/>
                      <w:sz w:val="21"/>
                      <w:szCs w:val="21"/>
                    </w:rPr>
                  </w:pPr>
                </w:p>
              </w:tc>
              <w:tc>
                <w:tcPr>
                  <w:tcW w:w="805" w:type="dxa"/>
                  <w:vMerge w:val="continue"/>
                  <w:vAlign w:val="center"/>
                </w:tcPr>
                <w:p w14:paraId="5D0574EA">
                  <w:pPr>
                    <w:pStyle w:val="14"/>
                    <w:adjustRightInd w:val="0"/>
                    <w:spacing w:after="0" w:line="240" w:lineRule="auto"/>
                    <w:jc w:val="center"/>
                    <w:rPr>
                      <w:color w:val="auto"/>
                      <w:sz w:val="21"/>
                      <w:szCs w:val="21"/>
                    </w:rPr>
                  </w:pPr>
                </w:p>
              </w:tc>
              <w:tc>
                <w:tcPr>
                  <w:tcW w:w="784" w:type="dxa"/>
                  <w:vMerge w:val="continue"/>
                  <w:vAlign w:val="center"/>
                </w:tcPr>
                <w:p w14:paraId="35631B23">
                  <w:pPr>
                    <w:pStyle w:val="14"/>
                    <w:adjustRightInd w:val="0"/>
                    <w:spacing w:after="0" w:line="240" w:lineRule="auto"/>
                    <w:jc w:val="center"/>
                    <w:rPr>
                      <w:color w:val="auto"/>
                      <w:sz w:val="21"/>
                      <w:szCs w:val="21"/>
                    </w:rPr>
                  </w:pPr>
                </w:p>
              </w:tc>
              <w:tc>
                <w:tcPr>
                  <w:tcW w:w="592" w:type="dxa"/>
                  <w:vMerge w:val="continue"/>
                  <w:vAlign w:val="center"/>
                </w:tcPr>
                <w:p w14:paraId="3614D74C">
                  <w:pPr>
                    <w:pStyle w:val="14"/>
                    <w:adjustRightInd w:val="0"/>
                    <w:spacing w:after="0" w:line="240" w:lineRule="auto"/>
                    <w:jc w:val="center"/>
                    <w:rPr>
                      <w:color w:val="auto"/>
                      <w:sz w:val="21"/>
                      <w:szCs w:val="21"/>
                    </w:rPr>
                  </w:pPr>
                </w:p>
              </w:tc>
              <w:tc>
                <w:tcPr>
                  <w:tcW w:w="539" w:type="dxa"/>
                  <w:vAlign w:val="center"/>
                </w:tcPr>
                <w:p w14:paraId="58944052">
                  <w:pPr>
                    <w:pStyle w:val="14"/>
                    <w:adjustRightInd w:val="0"/>
                    <w:spacing w:after="0" w:line="240" w:lineRule="auto"/>
                    <w:jc w:val="center"/>
                    <w:rPr>
                      <w:color w:val="auto"/>
                      <w:sz w:val="21"/>
                      <w:szCs w:val="21"/>
                    </w:rPr>
                  </w:pPr>
                  <w:r>
                    <w:rPr>
                      <w:rFonts w:hint="eastAsia"/>
                      <w:color w:val="auto"/>
                      <w:sz w:val="21"/>
                      <w:szCs w:val="21"/>
                    </w:rPr>
                    <w:t>夜间</w:t>
                  </w:r>
                </w:p>
              </w:tc>
              <w:tc>
                <w:tcPr>
                  <w:tcW w:w="1092" w:type="dxa"/>
                  <w:vAlign w:val="center"/>
                </w:tcPr>
                <w:p w14:paraId="4A746F18">
                  <w:pPr>
                    <w:pStyle w:val="14"/>
                    <w:adjustRightInd w:val="0"/>
                    <w:spacing w:after="0" w:line="240" w:lineRule="auto"/>
                    <w:jc w:val="center"/>
                    <w:rPr>
                      <w:color w:val="auto"/>
                      <w:sz w:val="21"/>
                      <w:szCs w:val="21"/>
                    </w:rPr>
                  </w:pPr>
                  <w:r>
                    <w:rPr>
                      <w:rFonts w:hint="eastAsia"/>
                      <w:color w:val="auto"/>
                      <w:sz w:val="21"/>
                      <w:szCs w:val="21"/>
                    </w:rPr>
                    <w:t>14.93</w:t>
                  </w:r>
                </w:p>
              </w:tc>
              <w:tc>
                <w:tcPr>
                  <w:tcW w:w="924" w:type="dxa"/>
                  <w:vAlign w:val="center"/>
                </w:tcPr>
                <w:p w14:paraId="6FD6B55F">
                  <w:pPr>
                    <w:pStyle w:val="14"/>
                    <w:adjustRightInd w:val="0"/>
                    <w:spacing w:after="0" w:line="240" w:lineRule="auto"/>
                    <w:jc w:val="center"/>
                    <w:rPr>
                      <w:color w:val="auto"/>
                      <w:sz w:val="21"/>
                      <w:szCs w:val="21"/>
                    </w:rPr>
                  </w:pPr>
                  <w:r>
                    <w:rPr>
                      <w:rFonts w:hint="eastAsia"/>
                      <w:color w:val="auto"/>
                      <w:sz w:val="21"/>
                      <w:szCs w:val="21"/>
                    </w:rPr>
                    <w:t>48</w:t>
                  </w:r>
                </w:p>
              </w:tc>
              <w:tc>
                <w:tcPr>
                  <w:tcW w:w="1038" w:type="dxa"/>
                  <w:vAlign w:val="center"/>
                </w:tcPr>
                <w:p w14:paraId="1AF8EC8F">
                  <w:pPr>
                    <w:pStyle w:val="14"/>
                    <w:adjustRightInd w:val="0"/>
                    <w:spacing w:after="0" w:line="240" w:lineRule="auto"/>
                    <w:jc w:val="center"/>
                    <w:rPr>
                      <w:color w:val="auto"/>
                      <w:sz w:val="21"/>
                      <w:szCs w:val="21"/>
                    </w:rPr>
                  </w:pPr>
                  <w:r>
                    <w:rPr>
                      <w:rFonts w:hint="eastAsia"/>
                      <w:color w:val="auto"/>
                      <w:sz w:val="21"/>
                      <w:szCs w:val="21"/>
                    </w:rPr>
                    <w:t>48</w:t>
                  </w:r>
                </w:p>
              </w:tc>
              <w:tc>
                <w:tcPr>
                  <w:tcW w:w="1092" w:type="dxa"/>
                  <w:vAlign w:val="center"/>
                </w:tcPr>
                <w:p w14:paraId="5A97E4EB">
                  <w:pPr>
                    <w:pStyle w:val="14"/>
                    <w:adjustRightInd w:val="0"/>
                    <w:spacing w:after="0" w:line="240" w:lineRule="auto"/>
                    <w:jc w:val="center"/>
                    <w:rPr>
                      <w:color w:val="auto"/>
                      <w:sz w:val="21"/>
                      <w:szCs w:val="21"/>
                    </w:rPr>
                  </w:pPr>
                  <w:r>
                    <w:rPr>
                      <w:rFonts w:hint="eastAsia"/>
                      <w:color w:val="auto"/>
                      <w:sz w:val="21"/>
                      <w:szCs w:val="21"/>
                    </w:rPr>
                    <w:t>50</w:t>
                  </w:r>
                </w:p>
              </w:tc>
              <w:tc>
                <w:tcPr>
                  <w:tcW w:w="643" w:type="dxa"/>
                  <w:vAlign w:val="center"/>
                </w:tcPr>
                <w:p w14:paraId="1035E357">
                  <w:pPr>
                    <w:pStyle w:val="14"/>
                    <w:adjustRightInd w:val="0"/>
                    <w:spacing w:after="0" w:line="240" w:lineRule="auto"/>
                    <w:jc w:val="center"/>
                    <w:rPr>
                      <w:color w:val="auto"/>
                      <w:sz w:val="21"/>
                      <w:szCs w:val="21"/>
                    </w:rPr>
                  </w:pPr>
                  <w:r>
                    <w:rPr>
                      <w:color w:val="auto"/>
                      <w:sz w:val="21"/>
                      <w:szCs w:val="21"/>
                    </w:rPr>
                    <w:t>达标</w:t>
                  </w:r>
                </w:p>
              </w:tc>
            </w:tr>
          </w:tbl>
          <w:p w14:paraId="26C80B02">
            <w:pPr>
              <w:adjustRightInd w:val="0"/>
              <w:snapToGrid w:val="0"/>
              <w:spacing w:before="120" w:beforeLines="50" w:line="360" w:lineRule="auto"/>
              <w:ind w:firstLine="480" w:firstLineChars="200"/>
              <w:rPr>
                <w:color w:val="auto"/>
                <w:sz w:val="24"/>
              </w:rPr>
            </w:pPr>
            <w:r>
              <w:rPr>
                <w:color w:val="auto"/>
                <w:sz w:val="24"/>
              </w:rPr>
              <w:t>从表</w:t>
            </w:r>
            <w:r>
              <w:rPr>
                <w:rFonts w:hint="eastAsia"/>
                <w:color w:val="auto"/>
                <w:sz w:val="24"/>
              </w:rPr>
              <w:t>4-32</w:t>
            </w:r>
            <w:r>
              <w:rPr>
                <w:color w:val="auto"/>
                <w:sz w:val="24"/>
              </w:rPr>
              <w:t>可以看出，当</w:t>
            </w:r>
            <w:r>
              <w:rPr>
                <w:rFonts w:hint="eastAsia"/>
                <w:color w:val="auto"/>
                <w:sz w:val="24"/>
              </w:rPr>
              <w:t>项目设备正常</w:t>
            </w:r>
            <w:r>
              <w:rPr>
                <w:color w:val="auto"/>
                <w:sz w:val="24"/>
              </w:rPr>
              <w:t>工作时，</w:t>
            </w:r>
            <w:r>
              <w:rPr>
                <w:rFonts w:hint="eastAsia"/>
                <w:color w:val="auto"/>
                <w:sz w:val="24"/>
              </w:rPr>
              <w:t>项目噪声对四街村和四街镇的</w:t>
            </w:r>
            <w:r>
              <w:rPr>
                <w:color w:val="auto"/>
                <w:sz w:val="24"/>
              </w:rPr>
              <w:t>噪声</w:t>
            </w:r>
            <w:r>
              <w:rPr>
                <w:rFonts w:hint="eastAsia"/>
                <w:color w:val="auto"/>
                <w:sz w:val="24"/>
              </w:rPr>
              <w:t>预测结果</w:t>
            </w:r>
            <w:r>
              <w:rPr>
                <w:color w:val="auto"/>
                <w:sz w:val="24"/>
              </w:rPr>
              <w:t>均能达到</w:t>
            </w:r>
            <w:r>
              <w:rPr>
                <w:bCs/>
                <w:color w:val="auto"/>
                <w:sz w:val="24"/>
              </w:rPr>
              <w:t>《声环境质量标准》（GB3096-2008）</w:t>
            </w:r>
            <w:r>
              <w:rPr>
                <w:rFonts w:hint="eastAsia"/>
                <w:bCs/>
                <w:color w:val="auto"/>
                <w:sz w:val="24"/>
              </w:rPr>
              <w:t>2</w:t>
            </w:r>
            <w:r>
              <w:rPr>
                <w:bCs/>
                <w:color w:val="auto"/>
                <w:sz w:val="24"/>
              </w:rPr>
              <w:t>类区标准要求。</w:t>
            </w:r>
            <w:r>
              <w:rPr>
                <w:color w:val="auto"/>
                <w:sz w:val="24"/>
              </w:rPr>
              <w:t>故项目建设运营对周边保护目标声环境影响不大。</w:t>
            </w:r>
          </w:p>
          <w:p w14:paraId="635B1095">
            <w:pPr>
              <w:snapToGrid w:val="0"/>
              <w:spacing w:line="360" w:lineRule="auto"/>
              <w:ind w:firstLine="480" w:firstLineChars="200"/>
              <w:rPr>
                <w:color w:val="auto"/>
                <w:sz w:val="24"/>
              </w:rPr>
            </w:pPr>
            <w:r>
              <w:rPr>
                <w:color w:val="auto"/>
                <w:sz w:val="24"/>
              </w:rPr>
              <w:t>为进一步减少项目设备噪声对周围环境的影响，环评要求噪声防治应采取以下对策措施：</w:t>
            </w:r>
          </w:p>
          <w:p w14:paraId="3798218F">
            <w:pPr>
              <w:snapToGrid w:val="0"/>
              <w:spacing w:line="360" w:lineRule="auto"/>
              <w:ind w:firstLine="480" w:firstLineChars="200"/>
              <w:rPr>
                <w:rFonts w:hint="eastAsia" w:ascii="宋体" w:hAnsi="宋体"/>
                <w:color w:val="auto"/>
                <w:sz w:val="24"/>
              </w:rPr>
            </w:pPr>
            <w:r>
              <w:rPr>
                <w:rFonts w:ascii="宋体" w:hAnsi="宋体"/>
                <w:color w:val="auto"/>
                <w:sz w:val="24"/>
              </w:rPr>
              <w:t>①合理安排设备安放位置，尽可能利用距离进行声级衰减；</w:t>
            </w:r>
          </w:p>
          <w:p w14:paraId="624C4756">
            <w:pPr>
              <w:snapToGrid w:val="0"/>
              <w:spacing w:line="360" w:lineRule="auto"/>
              <w:ind w:firstLine="480" w:firstLineChars="200"/>
              <w:rPr>
                <w:rFonts w:hint="eastAsia" w:ascii="宋体" w:hAnsi="宋体"/>
                <w:color w:val="auto"/>
                <w:sz w:val="24"/>
              </w:rPr>
            </w:pPr>
            <w:r>
              <w:rPr>
                <w:rFonts w:ascii="宋体" w:hAnsi="宋体"/>
                <w:color w:val="auto"/>
                <w:sz w:val="24"/>
              </w:rPr>
              <w:t>②选用低噪声设备，高噪声设备必须安装在加有减振垫的隔振基础上，同时设备之间保持间距，避免噪声叠加影响。</w:t>
            </w:r>
          </w:p>
          <w:p w14:paraId="235986A9">
            <w:pPr>
              <w:snapToGrid w:val="0"/>
              <w:spacing w:line="360" w:lineRule="auto"/>
              <w:ind w:firstLine="480" w:firstLineChars="200"/>
              <w:rPr>
                <w:color w:val="auto"/>
                <w:sz w:val="24"/>
              </w:rPr>
            </w:pPr>
            <w:r>
              <w:rPr>
                <w:color w:val="auto"/>
                <w:sz w:val="24"/>
              </w:rPr>
              <w:t>经采取上述措施后进一步减小本项目噪声对周围环境的影响。</w:t>
            </w:r>
          </w:p>
          <w:p w14:paraId="3C8FC1C2">
            <w:pPr>
              <w:pStyle w:val="14"/>
              <w:widowControl w:val="0"/>
              <w:snapToGrid/>
              <w:spacing w:after="0" w:line="360" w:lineRule="auto"/>
              <w:ind w:right="0" w:firstLine="482"/>
              <w:rPr>
                <w:color w:val="auto"/>
                <w:sz w:val="24"/>
              </w:rPr>
            </w:pPr>
            <w:r>
              <w:rPr>
                <w:rFonts w:hint="eastAsia" w:ascii="宋体" w:hAnsi="宋体" w:cs="宋体"/>
                <w:color w:val="auto"/>
                <w:sz w:val="24"/>
              </w:rPr>
              <w:t>3）九龙卫生院厂界噪声达标情况</w:t>
            </w:r>
          </w:p>
          <w:p w14:paraId="72090A70">
            <w:pPr>
              <w:rPr>
                <w:color w:val="auto"/>
              </w:rPr>
            </w:pPr>
          </w:p>
          <w:p w14:paraId="5FE25828">
            <w:pPr>
              <w:pStyle w:val="32"/>
              <w:ind w:firstLine="0" w:firstLineChars="0"/>
              <w:jc w:val="center"/>
              <w:rPr>
                <w:color w:val="auto"/>
              </w:rPr>
            </w:pPr>
            <w:r>
              <w:rPr>
                <w:color w:val="auto"/>
              </w:rPr>
              <w:drawing>
                <wp:inline distT="0" distB="0" distL="0" distR="0">
                  <wp:extent cx="4457700" cy="3038475"/>
                  <wp:effectExtent l="0" t="0" r="0" b="0"/>
                  <wp:docPr id="1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457700" cy="3038475"/>
                          </a:xfrm>
                          <a:prstGeom prst="rect">
                            <a:avLst/>
                          </a:prstGeom>
                          <a:noFill/>
                          <a:ln>
                            <a:noFill/>
                          </a:ln>
                        </pic:spPr>
                      </pic:pic>
                    </a:graphicData>
                  </a:graphic>
                </wp:inline>
              </w:drawing>
            </w:r>
          </w:p>
          <w:p w14:paraId="095CDEE9">
            <w:pPr>
              <w:pStyle w:val="31"/>
              <w:spacing w:before="0" w:after="0" w:line="360" w:lineRule="auto"/>
              <w:ind w:right="0" w:firstLine="0" w:firstLineChars="0"/>
              <w:jc w:val="center"/>
              <w:rPr>
                <w:b/>
                <w:bCs/>
                <w:color w:val="auto"/>
                <w:sz w:val="24"/>
                <w:szCs w:val="24"/>
              </w:rPr>
            </w:pPr>
            <w:r>
              <w:rPr>
                <w:b/>
                <w:bCs/>
                <w:color w:val="auto"/>
                <w:sz w:val="24"/>
                <w:szCs w:val="24"/>
              </w:rPr>
              <w:t>图4-</w:t>
            </w:r>
            <w:r>
              <w:rPr>
                <w:rFonts w:hint="eastAsia"/>
                <w:b/>
                <w:bCs/>
                <w:color w:val="auto"/>
                <w:sz w:val="24"/>
                <w:szCs w:val="24"/>
              </w:rPr>
              <w:t>4</w:t>
            </w:r>
            <w:r>
              <w:rPr>
                <w:b/>
                <w:bCs/>
                <w:color w:val="auto"/>
                <w:sz w:val="24"/>
                <w:szCs w:val="24"/>
              </w:rPr>
              <w:t>项目</w:t>
            </w:r>
            <w:r>
              <w:rPr>
                <w:rFonts w:hint="eastAsia"/>
                <w:b/>
                <w:bCs/>
                <w:color w:val="auto"/>
                <w:sz w:val="24"/>
                <w:szCs w:val="24"/>
              </w:rPr>
              <w:t>（九龙卫生院）</w:t>
            </w:r>
            <w:r>
              <w:rPr>
                <w:b/>
                <w:bCs/>
                <w:color w:val="auto"/>
                <w:sz w:val="24"/>
                <w:szCs w:val="24"/>
              </w:rPr>
              <w:t>厂界噪声贡献值预测结果图</w:t>
            </w:r>
          </w:p>
          <w:p w14:paraId="4AE04518">
            <w:pPr>
              <w:snapToGrid w:val="0"/>
              <w:spacing w:line="360" w:lineRule="auto"/>
              <w:ind w:firstLine="480" w:firstLineChars="200"/>
              <w:rPr>
                <w:color w:val="auto"/>
                <w:sz w:val="24"/>
              </w:rPr>
            </w:pPr>
            <w:r>
              <w:rPr>
                <w:color w:val="auto"/>
                <w:sz w:val="24"/>
              </w:rPr>
              <w:t>通过预测模型计算，项目</w:t>
            </w:r>
            <w:r>
              <w:rPr>
                <w:rFonts w:hint="eastAsia"/>
                <w:color w:val="auto"/>
                <w:sz w:val="24"/>
              </w:rPr>
              <w:t>九龙卫生院</w:t>
            </w:r>
            <w:r>
              <w:rPr>
                <w:color w:val="auto"/>
                <w:sz w:val="24"/>
              </w:rPr>
              <w:t>厂界噪声的最大值预测结果与达标分析见表4-</w:t>
            </w:r>
            <w:r>
              <w:rPr>
                <w:rFonts w:hint="eastAsia"/>
                <w:color w:val="auto"/>
                <w:sz w:val="24"/>
              </w:rPr>
              <w:t>33</w:t>
            </w:r>
            <w:r>
              <w:rPr>
                <w:color w:val="auto"/>
                <w:sz w:val="24"/>
              </w:rPr>
              <w:t>。</w:t>
            </w:r>
          </w:p>
          <w:p w14:paraId="3422996F">
            <w:pPr>
              <w:adjustRightInd w:val="0"/>
              <w:snapToGrid w:val="0"/>
              <w:jc w:val="center"/>
              <w:rPr>
                <w:rFonts w:hint="eastAsia"/>
                <w:b/>
                <w:bCs/>
                <w:color w:val="auto"/>
                <w:kern w:val="0"/>
                <w:sz w:val="24"/>
              </w:rPr>
            </w:pPr>
          </w:p>
          <w:p w14:paraId="18C78941">
            <w:pPr>
              <w:adjustRightInd w:val="0"/>
              <w:snapToGrid w:val="0"/>
              <w:jc w:val="center"/>
              <w:rPr>
                <w:b/>
                <w:bCs/>
                <w:color w:val="auto"/>
                <w:kern w:val="0"/>
                <w:sz w:val="24"/>
              </w:rPr>
            </w:pPr>
            <w:r>
              <w:rPr>
                <w:rFonts w:hint="eastAsia"/>
                <w:b/>
                <w:bCs/>
                <w:color w:val="auto"/>
                <w:kern w:val="0"/>
                <w:sz w:val="24"/>
              </w:rPr>
              <w:t>表4-33 各噪声源至厂界贡献值一次单位：dB（A）</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95"/>
              <w:gridCol w:w="795"/>
              <w:gridCol w:w="590"/>
              <w:gridCol w:w="675"/>
              <w:gridCol w:w="1247"/>
              <w:gridCol w:w="1018"/>
              <w:gridCol w:w="1003"/>
              <w:gridCol w:w="1060"/>
              <w:gridCol w:w="844"/>
            </w:tblGrid>
            <w:tr w14:paraId="0C4C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restart"/>
                  <w:vAlign w:val="center"/>
                </w:tcPr>
                <w:p w14:paraId="39E94CCB">
                  <w:pPr>
                    <w:pStyle w:val="14"/>
                    <w:adjustRightInd w:val="0"/>
                    <w:spacing w:after="0" w:line="240" w:lineRule="auto"/>
                    <w:jc w:val="center"/>
                    <w:rPr>
                      <w:color w:val="auto"/>
                      <w:sz w:val="21"/>
                      <w:szCs w:val="21"/>
                    </w:rPr>
                  </w:pPr>
                  <w:r>
                    <w:rPr>
                      <w:color w:val="auto"/>
                      <w:sz w:val="21"/>
                      <w:szCs w:val="21"/>
                    </w:rPr>
                    <w:t>预测点</w:t>
                  </w:r>
                </w:p>
              </w:tc>
              <w:tc>
                <w:tcPr>
                  <w:tcW w:w="2196" w:type="dxa"/>
                  <w:gridSpan w:val="3"/>
                  <w:vAlign w:val="center"/>
                </w:tcPr>
                <w:p w14:paraId="4633DAD7">
                  <w:pPr>
                    <w:pStyle w:val="14"/>
                    <w:adjustRightInd w:val="0"/>
                    <w:spacing w:after="0" w:line="240" w:lineRule="auto"/>
                    <w:jc w:val="center"/>
                    <w:rPr>
                      <w:color w:val="auto"/>
                      <w:sz w:val="21"/>
                      <w:szCs w:val="21"/>
                    </w:rPr>
                  </w:pPr>
                  <w:r>
                    <w:rPr>
                      <w:color w:val="auto"/>
                      <w:sz w:val="21"/>
                      <w:szCs w:val="21"/>
                    </w:rPr>
                    <w:t>空间相对位置/m</w:t>
                  </w:r>
                </w:p>
              </w:tc>
              <w:tc>
                <w:tcPr>
                  <w:tcW w:w="680" w:type="dxa"/>
                  <w:vMerge w:val="restart"/>
                  <w:vAlign w:val="center"/>
                </w:tcPr>
                <w:p w14:paraId="4E5F54CE">
                  <w:pPr>
                    <w:pStyle w:val="14"/>
                    <w:adjustRightInd w:val="0"/>
                    <w:spacing w:after="0" w:line="240" w:lineRule="auto"/>
                    <w:jc w:val="center"/>
                    <w:rPr>
                      <w:color w:val="auto"/>
                      <w:sz w:val="21"/>
                      <w:szCs w:val="21"/>
                    </w:rPr>
                  </w:pPr>
                  <w:r>
                    <w:rPr>
                      <w:color w:val="auto"/>
                      <w:sz w:val="21"/>
                      <w:szCs w:val="21"/>
                    </w:rPr>
                    <w:t>时段</w:t>
                  </w:r>
                </w:p>
              </w:tc>
              <w:tc>
                <w:tcPr>
                  <w:tcW w:w="1263" w:type="dxa"/>
                  <w:vMerge w:val="restart"/>
                  <w:vAlign w:val="center"/>
                </w:tcPr>
                <w:p w14:paraId="3A452F7D">
                  <w:pPr>
                    <w:pStyle w:val="14"/>
                    <w:adjustRightInd w:val="0"/>
                    <w:spacing w:after="0" w:line="240" w:lineRule="auto"/>
                    <w:jc w:val="center"/>
                    <w:rPr>
                      <w:color w:val="auto"/>
                      <w:sz w:val="21"/>
                      <w:szCs w:val="21"/>
                    </w:rPr>
                  </w:pPr>
                  <w:r>
                    <w:rPr>
                      <w:rFonts w:hint="eastAsia"/>
                      <w:color w:val="auto"/>
                      <w:sz w:val="21"/>
                      <w:szCs w:val="21"/>
                    </w:rPr>
                    <w:t>贡献</w:t>
                  </w:r>
                  <w:r>
                    <w:rPr>
                      <w:color w:val="auto"/>
                      <w:sz w:val="21"/>
                      <w:szCs w:val="21"/>
                    </w:rPr>
                    <w:t>值/dB(A)</w:t>
                  </w:r>
                </w:p>
              </w:tc>
              <w:tc>
                <w:tcPr>
                  <w:tcW w:w="1029" w:type="dxa"/>
                  <w:vMerge w:val="restart"/>
                  <w:vAlign w:val="center"/>
                </w:tcPr>
                <w:p w14:paraId="0B3BA149">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14" w:type="dxa"/>
                  <w:vMerge w:val="restart"/>
                  <w:vAlign w:val="center"/>
                </w:tcPr>
                <w:p w14:paraId="09A71CF4">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72" w:type="dxa"/>
                  <w:vMerge w:val="restart"/>
                  <w:vAlign w:val="center"/>
                </w:tcPr>
                <w:p w14:paraId="6B0E6F4A">
                  <w:pPr>
                    <w:pStyle w:val="14"/>
                    <w:adjustRightInd w:val="0"/>
                    <w:spacing w:after="0" w:line="240" w:lineRule="auto"/>
                    <w:jc w:val="center"/>
                    <w:rPr>
                      <w:color w:val="auto"/>
                      <w:sz w:val="21"/>
                      <w:szCs w:val="21"/>
                    </w:rPr>
                  </w:pPr>
                  <w:r>
                    <w:rPr>
                      <w:color w:val="auto"/>
                      <w:sz w:val="21"/>
                      <w:szCs w:val="21"/>
                    </w:rPr>
                    <w:t>噪声标准值/dB(A)</w:t>
                  </w:r>
                </w:p>
              </w:tc>
              <w:tc>
                <w:tcPr>
                  <w:tcW w:w="852" w:type="dxa"/>
                  <w:vMerge w:val="restart"/>
                  <w:vAlign w:val="center"/>
                </w:tcPr>
                <w:p w14:paraId="23D061FF">
                  <w:pPr>
                    <w:pStyle w:val="14"/>
                    <w:adjustRightInd w:val="0"/>
                    <w:spacing w:after="0" w:line="240" w:lineRule="auto"/>
                    <w:jc w:val="center"/>
                    <w:rPr>
                      <w:color w:val="auto"/>
                      <w:sz w:val="21"/>
                      <w:szCs w:val="21"/>
                    </w:rPr>
                  </w:pPr>
                  <w:r>
                    <w:rPr>
                      <w:color w:val="auto"/>
                      <w:sz w:val="21"/>
                      <w:szCs w:val="21"/>
                    </w:rPr>
                    <w:t>达标情况</w:t>
                  </w:r>
                </w:p>
              </w:tc>
            </w:tr>
            <w:tr w14:paraId="4F16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618249D3">
                  <w:pPr>
                    <w:pStyle w:val="14"/>
                    <w:adjustRightInd w:val="0"/>
                    <w:spacing w:after="0" w:line="240" w:lineRule="auto"/>
                    <w:jc w:val="center"/>
                    <w:rPr>
                      <w:color w:val="auto"/>
                      <w:sz w:val="21"/>
                      <w:szCs w:val="21"/>
                    </w:rPr>
                  </w:pPr>
                </w:p>
              </w:tc>
              <w:tc>
                <w:tcPr>
                  <w:tcW w:w="802" w:type="dxa"/>
                  <w:vAlign w:val="center"/>
                </w:tcPr>
                <w:p w14:paraId="5E571205">
                  <w:pPr>
                    <w:pStyle w:val="14"/>
                    <w:adjustRightInd w:val="0"/>
                    <w:spacing w:after="0" w:line="240" w:lineRule="auto"/>
                    <w:jc w:val="center"/>
                    <w:rPr>
                      <w:color w:val="auto"/>
                      <w:sz w:val="21"/>
                      <w:szCs w:val="21"/>
                    </w:rPr>
                  </w:pPr>
                  <w:r>
                    <w:rPr>
                      <w:color w:val="auto"/>
                      <w:sz w:val="21"/>
                      <w:szCs w:val="21"/>
                    </w:rPr>
                    <w:t>X</w:t>
                  </w:r>
                </w:p>
              </w:tc>
              <w:tc>
                <w:tcPr>
                  <w:tcW w:w="802" w:type="dxa"/>
                  <w:vAlign w:val="center"/>
                </w:tcPr>
                <w:p w14:paraId="4D5B3902">
                  <w:pPr>
                    <w:pStyle w:val="14"/>
                    <w:adjustRightInd w:val="0"/>
                    <w:spacing w:after="0" w:line="240" w:lineRule="auto"/>
                    <w:jc w:val="center"/>
                    <w:rPr>
                      <w:color w:val="auto"/>
                      <w:sz w:val="21"/>
                      <w:szCs w:val="21"/>
                    </w:rPr>
                  </w:pPr>
                  <w:r>
                    <w:rPr>
                      <w:color w:val="auto"/>
                      <w:sz w:val="21"/>
                      <w:szCs w:val="21"/>
                    </w:rPr>
                    <w:t>Y</w:t>
                  </w:r>
                </w:p>
              </w:tc>
              <w:tc>
                <w:tcPr>
                  <w:tcW w:w="592" w:type="dxa"/>
                  <w:vAlign w:val="center"/>
                </w:tcPr>
                <w:p w14:paraId="3FA6F0D8">
                  <w:pPr>
                    <w:pStyle w:val="14"/>
                    <w:adjustRightInd w:val="0"/>
                    <w:spacing w:after="0" w:line="240" w:lineRule="auto"/>
                    <w:jc w:val="center"/>
                    <w:rPr>
                      <w:color w:val="auto"/>
                      <w:sz w:val="21"/>
                      <w:szCs w:val="21"/>
                    </w:rPr>
                  </w:pPr>
                  <w:r>
                    <w:rPr>
                      <w:color w:val="auto"/>
                      <w:sz w:val="21"/>
                      <w:szCs w:val="21"/>
                    </w:rPr>
                    <w:t>Z</w:t>
                  </w:r>
                </w:p>
              </w:tc>
              <w:tc>
                <w:tcPr>
                  <w:tcW w:w="680" w:type="dxa"/>
                  <w:vMerge w:val="continue"/>
                  <w:vAlign w:val="center"/>
                </w:tcPr>
                <w:p w14:paraId="027276A0">
                  <w:pPr>
                    <w:pStyle w:val="14"/>
                    <w:adjustRightInd w:val="0"/>
                    <w:spacing w:after="0" w:line="240" w:lineRule="auto"/>
                    <w:jc w:val="center"/>
                    <w:rPr>
                      <w:color w:val="auto"/>
                      <w:sz w:val="21"/>
                      <w:szCs w:val="21"/>
                    </w:rPr>
                  </w:pPr>
                </w:p>
              </w:tc>
              <w:tc>
                <w:tcPr>
                  <w:tcW w:w="1263" w:type="dxa"/>
                  <w:vMerge w:val="continue"/>
                  <w:vAlign w:val="center"/>
                </w:tcPr>
                <w:p w14:paraId="7C3D77AB">
                  <w:pPr>
                    <w:pStyle w:val="14"/>
                    <w:adjustRightInd w:val="0"/>
                    <w:spacing w:after="0" w:line="240" w:lineRule="auto"/>
                    <w:jc w:val="center"/>
                    <w:rPr>
                      <w:color w:val="auto"/>
                      <w:sz w:val="21"/>
                      <w:szCs w:val="21"/>
                    </w:rPr>
                  </w:pPr>
                </w:p>
              </w:tc>
              <w:tc>
                <w:tcPr>
                  <w:tcW w:w="1029" w:type="dxa"/>
                  <w:vMerge w:val="continue"/>
                  <w:vAlign w:val="center"/>
                </w:tcPr>
                <w:p w14:paraId="5D24C705">
                  <w:pPr>
                    <w:pStyle w:val="14"/>
                    <w:adjustRightInd w:val="0"/>
                    <w:spacing w:after="0" w:line="240" w:lineRule="auto"/>
                    <w:jc w:val="center"/>
                    <w:rPr>
                      <w:color w:val="auto"/>
                      <w:sz w:val="21"/>
                      <w:szCs w:val="21"/>
                    </w:rPr>
                  </w:pPr>
                </w:p>
              </w:tc>
              <w:tc>
                <w:tcPr>
                  <w:tcW w:w="1014" w:type="dxa"/>
                  <w:vMerge w:val="continue"/>
                  <w:vAlign w:val="center"/>
                </w:tcPr>
                <w:p w14:paraId="66F3EAF3">
                  <w:pPr>
                    <w:pStyle w:val="14"/>
                    <w:adjustRightInd w:val="0"/>
                    <w:spacing w:after="0" w:line="240" w:lineRule="auto"/>
                    <w:jc w:val="center"/>
                    <w:rPr>
                      <w:color w:val="auto"/>
                      <w:sz w:val="21"/>
                      <w:szCs w:val="21"/>
                    </w:rPr>
                  </w:pPr>
                </w:p>
              </w:tc>
              <w:tc>
                <w:tcPr>
                  <w:tcW w:w="1072" w:type="dxa"/>
                  <w:vMerge w:val="continue"/>
                  <w:vAlign w:val="center"/>
                </w:tcPr>
                <w:p w14:paraId="368947D7">
                  <w:pPr>
                    <w:pStyle w:val="14"/>
                    <w:adjustRightInd w:val="0"/>
                    <w:spacing w:after="0" w:line="240" w:lineRule="auto"/>
                    <w:jc w:val="center"/>
                    <w:rPr>
                      <w:color w:val="auto"/>
                      <w:sz w:val="21"/>
                      <w:szCs w:val="21"/>
                    </w:rPr>
                  </w:pPr>
                </w:p>
              </w:tc>
              <w:tc>
                <w:tcPr>
                  <w:tcW w:w="852" w:type="dxa"/>
                  <w:vMerge w:val="continue"/>
                  <w:vAlign w:val="center"/>
                </w:tcPr>
                <w:p w14:paraId="4B95DB98">
                  <w:pPr>
                    <w:pStyle w:val="14"/>
                    <w:adjustRightInd w:val="0"/>
                    <w:spacing w:after="0" w:line="240" w:lineRule="auto"/>
                    <w:jc w:val="center"/>
                    <w:rPr>
                      <w:color w:val="auto"/>
                      <w:sz w:val="21"/>
                      <w:szCs w:val="21"/>
                    </w:rPr>
                  </w:pPr>
                </w:p>
              </w:tc>
            </w:tr>
            <w:tr w14:paraId="7E6F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24383EDA">
                  <w:pPr>
                    <w:pStyle w:val="14"/>
                    <w:adjustRightInd w:val="0"/>
                    <w:spacing w:after="0" w:line="240" w:lineRule="auto"/>
                    <w:jc w:val="center"/>
                    <w:rPr>
                      <w:color w:val="auto"/>
                      <w:sz w:val="21"/>
                      <w:szCs w:val="21"/>
                    </w:rPr>
                  </w:pPr>
                  <w:r>
                    <w:rPr>
                      <w:rFonts w:hint="eastAsia"/>
                      <w:color w:val="auto"/>
                      <w:sz w:val="21"/>
                      <w:szCs w:val="21"/>
                    </w:rPr>
                    <w:t>西厂界</w:t>
                  </w:r>
                </w:p>
              </w:tc>
              <w:tc>
                <w:tcPr>
                  <w:tcW w:w="802" w:type="dxa"/>
                  <w:vMerge w:val="restart"/>
                  <w:vAlign w:val="center"/>
                </w:tcPr>
                <w:p w14:paraId="1CCFF8AE">
                  <w:pPr>
                    <w:pStyle w:val="14"/>
                    <w:adjustRightInd w:val="0"/>
                    <w:spacing w:after="0" w:line="240" w:lineRule="auto"/>
                    <w:jc w:val="center"/>
                    <w:rPr>
                      <w:color w:val="auto"/>
                      <w:sz w:val="21"/>
                      <w:szCs w:val="21"/>
                    </w:rPr>
                  </w:pPr>
                  <w:r>
                    <w:rPr>
                      <w:color w:val="auto"/>
                      <w:sz w:val="21"/>
                      <w:szCs w:val="21"/>
                    </w:rPr>
                    <w:t>9.66</w:t>
                  </w:r>
                </w:p>
              </w:tc>
              <w:tc>
                <w:tcPr>
                  <w:tcW w:w="802" w:type="dxa"/>
                  <w:vMerge w:val="restart"/>
                  <w:vAlign w:val="center"/>
                </w:tcPr>
                <w:p w14:paraId="7183E9A0">
                  <w:pPr>
                    <w:pStyle w:val="14"/>
                    <w:adjustRightInd w:val="0"/>
                    <w:spacing w:after="0" w:line="240" w:lineRule="auto"/>
                    <w:jc w:val="center"/>
                    <w:rPr>
                      <w:color w:val="auto"/>
                      <w:sz w:val="21"/>
                      <w:szCs w:val="21"/>
                    </w:rPr>
                  </w:pPr>
                  <w:r>
                    <w:rPr>
                      <w:color w:val="auto"/>
                      <w:sz w:val="21"/>
                      <w:szCs w:val="21"/>
                    </w:rPr>
                    <w:t>53.34</w:t>
                  </w:r>
                </w:p>
              </w:tc>
              <w:tc>
                <w:tcPr>
                  <w:tcW w:w="592" w:type="dxa"/>
                  <w:vMerge w:val="restart"/>
                  <w:vAlign w:val="center"/>
                </w:tcPr>
                <w:p w14:paraId="6CA684BA">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4B3EB919">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404FD2B7">
                  <w:pPr>
                    <w:pStyle w:val="14"/>
                    <w:adjustRightInd w:val="0"/>
                    <w:spacing w:after="0" w:line="240" w:lineRule="auto"/>
                    <w:jc w:val="center"/>
                    <w:rPr>
                      <w:color w:val="auto"/>
                      <w:sz w:val="21"/>
                      <w:szCs w:val="21"/>
                      <w:highlight w:val="cyan"/>
                    </w:rPr>
                  </w:pPr>
                  <w:r>
                    <w:rPr>
                      <w:rFonts w:hint="eastAsia"/>
                      <w:color w:val="auto"/>
                      <w:sz w:val="21"/>
                      <w:szCs w:val="21"/>
                    </w:rPr>
                    <w:t>48.74</w:t>
                  </w:r>
                </w:p>
              </w:tc>
              <w:tc>
                <w:tcPr>
                  <w:tcW w:w="1029" w:type="dxa"/>
                  <w:vAlign w:val="center"/>
                </w:tcPr>
                <w:p w14:paraId="5153A021">
                  <w:pPr>
                    <w:pStyle w:val="14"/>
                    <w:adjustRightInd w:val="0"/>
                    <w:spacing w:after="0" w:line="240" w:lineRule="auto"/>
                    <w:jc w:val="center"/>
                    <w:rPr>
                      <w:color w:val="auto"/>
                      <w:sz w:val="21"/>
                      <w:szCs w:val="21"/>
                    </w:rPr>
                  </w:pPr>
                  <w:r>
                    <w:rPr>
                      <w:rFonts w:hint="eastAsia"/>
                      <w:color w:val="auto"/>
                      <w:sz w:val="21"/>
                      <w:szCs w:val="21"/>
                    </w:rPr>
                    <w:t>46</w:t>
                  </w:r>
                </w:p>
              </w:tc>
              <w:tc>
                <w:tcPr>
                  <w:tcW w:w="1014" w:type="dxa"/>
                  <w:vAlign w:val="center"/>
                </w:tcPr>
                <w:p w14:paraId="1032F02D">
                  <w:pPr>
                    <w:pStyle w:val="14"/>
                    <w:adjustRightInd w:val="0"/>
                    <w:spacing w:after="0" w:line="240" w:lineRule="auto"/>
                    <w:jc w:val="center"/>
                    <w:rPr>
                      <w:color w:val="auto"/>
                      <w:sz w:val="21"/>
                      <w:szCs w:val="21"/>
                    </w:rPr>
                  </w:pPr>
                  <w:r>
                    <w:rPr>
                      <w:rFonts w:hint="eastAsia"/>
                      <w:color w:val="auto"/>
                      <w:sz w:val="21"/>
                      <w:szCs w:val="21"/>
                    </w:rPr>
                    <w:t>50.59</w:t>
                  </w:r>
                </w:p>
              </w:tc>
              <w:tc>
                <w:tcPr>
                  <w:tcW w:w="1072" w:type="dxa"/>
                  <w:vAlign w:val="center"/>
                </w:tcPr>
                <w:p w14:paraId="0D34AE31">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390B37FC">
                  <w:pPr>
                    <w:pStyle w:val="14"/>
                    <w:adjustRightInd w:val="0"/>
                    <w:spacing w:after="0" w:line="240" w:lineRule="auto"/>
                    <w:jc w:val="center"/>
                    <w:rPr>
                      <w:color w:val="auto"/>
                      <w:sz w:val="21"/>
                      <w:szCs w:val="21"/>
                    </w:rPr>
                  </w:pPr>
                  <w:r>
                    <w:rPr>
                      <w:color w:val="auto"/>
                      <w:sz w:val="21"/>
                      <w:szCs w:val="21"/>
                    </w:rPr>
                    <w:t>达标</w:t>
                  </w:r>
                </w:p>
              </w:tc>
            </w:tr>
            <w:tr w14:paraId="14BA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1BB9EE2E">
                  <w:pPr>
                    <w:pStyle w:val="14"/>
                    <w:adjustRightInd w:val="0"/>
                    <w:spacing w:after="0" w:line="240" w:lineRule="auto"/>
                    <w:jc w:val="center"/>
                    <w:rPr>
                      <w:color w:val="auto"/>
                      <w:sz w:val="21"/>
                      <w:szCs w:val="21"/>
                    </w:rPr>
                  </w:pPr>
                </w:p>
              </w:tc>
              <w:tc>
                <w:tcPr>
                  <w:tcW w:w="802" w:type="dxa"/>
                  <w:vMerge w:val="continue"/>
                  <w:vAlign w:val="center"/>
                </w:tcPr>
                <w:p w14:paraId="46F320EB">
                  <w:pPr>
                    <w:pStyle w:val="14"/>
                    <w:adjustRightInd w:val="0"/>
                    <w:spacing w:after="0" w:line="240" w:lineRule="auto"/>
                    <w:jc w:val="center"/>
                    <w:rPr>
                      <w:color w:val="auto"/>
                      <w:sz w:val="21"/>
                      <w:szCs w:val="21"/>
                    </w:rPr>
                  </w:pPr>
                </w:p>
              </w:tc>
              <w:tc>
                <w:tcPr>
                  <w:tcW w:w="802" w:type="dxa"/>
                  <w:vMerge w:val="continue"/>
                  <w:vAlign w:val="center"/>
                </w:tcPr>
                <w:p w14:paraId="7842B8C6">
                  <w:pPr>
                    <w:pStyle w:val="14"/>
                    <w:adjustRightInd w:val="0"/>
                    <w:spacing w:after="0" w:line="240" w:lineRule="auto"/>
                    <w:jc w:val="center"/>
                    <w:rPr>
                      <w:color w:val="auto"/>
                      <w:sz w:val="21"/>
                      <w:szCs w:val="21"/>
                    </w:rPr>
                  </w:pPr>
                </w:p>
              </w:tc>
              <w:tc>
                <w:tcPr>
                  <w:tcW w:w="592" w:type="dxa"/>
                  <w:vMerge w:val="continue"/>
                  <w:vAlign w:val="center"/>
                </w:tcPr>
                <w:p w14:paraId="32B7893A">
                  <w:pPr>
                    <w:pStyle w:val="14"/>
                    <w:adjustRightInd w:val="0"/>
                    <w:spacing w:after="0" w:line="240" w:lineRule="auto"/>
                    <w:jc w:val="center"/>
                    <w:rPr>
                      <w:color w:val="auto"/>
                      <w:sz w:val="21"/>
                      <w:szCs w:val="21"/>
                    </w:rPr>
                  </w:pPr>
                </w:p>
              </w:tc>
              <w:tc>
                <w:tcPr>
                  <w:tcW w:w="680" w:type="dxa"/>
                  <w:vAlign w:val="center"/>
                </w:tcPr>
                <w:p w14:paraId="4618554E">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2E8D6602">
                  <w:pPr>
                    <w:pStyle w:val="14"/>
                    <w:adjustRightInd w:val="0"/>
                    <w:spacing w:after="0" w:line="240" w:lineRule="auto"/>
                    <w:jc w:val="center"/>
                    <w:rPr>
                      <w:color w:val="auto"/>
                      <w:sz w:val="21"/>
                      <w:szCs w:val="21"/>
                    </w:rPr>
                  </w:pPr>
                  <w:r>
                    <w:rPr>
                      <w:rFonts w:hint="eastAsia"/>
                      <w:color w:val="auto"/>
                      <w:sz w:val="21"/>
                      <w:szCs w:val="21"/>
                    </w:rPr>
                    <w:t>48.74</w:t>
                  </w:r>
                </w:p>
              </w:tc>
              <w:tc>
                <w:tcPr>
                  <w:tcW w:w="1029" w:type="dxa"/>
                  <w:vAlign w:val="center"/>
                </w:tcPr>
                <w:p w14:paraId="018F17F2">
                  <w:pPr>
                    <w:pStyle w:val="14"/>
                    <w:adjustRightInd w:val="0"/>
                    <w:spacing w:after="0" w:line="240" w:lineRule="auto"/>
                    <w:jc w:val="center"/>
                    <w:rPr>
                      <w:color w:val="auto"/>
                      <w:sz w:val="21"/>
                      <w:szCs w:val="21"/>
                    </w:rPr>
                  </w:pPr>
                  <w:r>
                    <w:rPr>
                      <w:rFonts w:hint="eastAsia"/>
                      <w:color w:val="auto"/>
                      <w:sz w:val="21"/>
                      <w:szCs w:val="21"/>
                    </w:rPr>
                    <w:t>42</w:t>
                  </w:r>
                </w:p>
              </w:tc>
              <w:tc>
                <w:tcPr>
                  <w:tcW w:w="1014" w:type="dxa"/>
                  <w:vAlign w:val="center"/>
                </w:tcPr>
                <w:p w14:paraId="699661BF">
                  <w:pPr>
                    <w:pStyle w:val="14"/>
                    <w:adjustRightInd w:val="0"/>
                    <w:spacing w:after="0" w:line="240" w:lineRule="auto"/>
                    <w:jc w:val="center"/>
                    <w:rPr>
                      <w:color w:val="auto"/>
                      <w:sz w:val="21"/>
                      <w:szCs w:val="21"/>
                    </w:rPr>
                  </w:pPr>
                  <w:r>
                    <w:rPr>
                      <w:rFonts w:hint="eastAsia"/>
                      <w:color w:val="auto"/>
                      <w:sz w:val="21"/>
                      <w:szCs w:val="21"/>
                    </w:rPr>
                    <w:t>49.57</w:t>
                  </w:r>
                </w:p>
              </w:tc>
              <w:tc>
                <w:tcPr>
                  <w:tcW w:w="1072" w:type="dxa"/>
                  <w:vAlign w:val="center"/>
                </w:tcPr>
                <w:p w14:paraId="4930DD7D">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72ADE870">
                  <w:pPr>
                    <w:pStyle w:val="14"/>
                    <w:adjustRightInd w:val="0"/>
                    <w:spacing w:after="0" w:line="240" w:lineRule="auto"/>
                    <w:jc w:val="center"/>
                    <w:rPr>
                      <w:color w:val="auto"/>
                      <w:sz w:val="21"/>
                      <w:szCs w:val="21"/>
                    </w:rPr>
                  </w:pPr>
                  <w:r>
                    <w:rPr>
                      <w:color w:val="auto"/>
                      <w:sz w:val="21"/>
                      <w:szCs w:val="21"/>
                    </w:rPr>
                    <w:t>达标</w:t>
                  </w:r>
                </w:p>
              </w:tc>
            </w:tr>
            <w:tr w14:paraId="66C0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64958E67">
                  <w:pPr>
                    <w:pStyle w:val="14"/>
                    <w:adjustRightInd w:val="0"/>
                    <w:spacing w:after="0" w:line="240" w:lineRule="auto"/>
                    <w:jc w:val="center"/>
                    <w:rPr>
                      <w:color w:val="auto"/>
                      <w:sz w:val="21"/>
                      <w:szCs w:val="21"/>
                    </w:rPr>
                  </w:pPr>
                  <w:r>
                    <w:rPr>
                      <w:rFonts w:hint="eastAsia"/>
                      <w:color w:val="auto"/>
                      <w:sz w:val="21"/>
                      <w:szCs w:val="21"/>
                    </w:rPr>
                    <w:t>东厂界</w:t>
                  </w:r>
                </w:p>
              </w:tc>
              <w:tc>
                <w:tcPr>
                  <w:tcW w:w="802" w:type="dxa"/>
                  <w:vMerge w:val="restart"/>
                  <w:vAlign w:val="center"/>
                </w:tcPr>
                <w:p w14:paraId="5884EE2B">
                  <w:pPr>
                    <w:pStyle w:val="14"/>
                    <w:adjustRightInd w:val="0"/>
                    <w:spacing w:after="0" w:line="240" w:lineRule="auto"/>
                    <w:jc w:val="center"/>
                    <w:rPr>
                      <w:color w:val="auto"/>
                      <w:sz w:val="21"/>
                      <w:szCs w:val="21"/>
                    </w:rPr>
                  </w:pPr>
                  <w:r>
                    <w:rPr>
                      <w:color w:val="auto"/>
                      <w:sz w:val="21"/>
                      <w:szCs w:val="21"/>
                    </w:rPr>
                    <w:t>58.73</w:t>
                  </w:r>
                </w:p>
              </w:tc>
              <w:tc>
                <w:tcPr>
                  <w:tcW w:w="802" w:type="dxa"/>
                  <w:vMerge w:val="restart"/>
                  <w:vAlign w:val="center"/>
                </w:tcPr>
                <w:p w14:paraId="7EB1BEE9">
                  <w:pPr>
                    <w:pStyle w:val="14"/>
                    <w:adjustRightInd w:val="0"/>
                    <w:spacing w:after="0" w:line="240" w:lineRule="auto"/>
                    <w:jc w:val="center"/>
                    <w:rPr>
                      <w:color w:val="auto"/>
                      <w:sz w:val="21"/>
                      <w:szCs w:val="21"/>
                    </w:rPr>
                  </w:pPr>
                  <w:r>
                    <w:rPr>
                      <w:color w:val="auto"/>
                      <w:sz w:val="21"/>
                      <w:szCs w:val="21"/>
                    </w:rPr>
                    <w:t>43.42</w:t>
                  </w:r>
                </w:p>
              </w:tc>
              <w:tc>
                <w:tcPr>
                  <w:tcW w:w="592" w:type="dxa"/>
                  <w:vMerge w:val="restart"/>
                  <w:vAlign w:val="center"/>
                </w:tcPr>
                <w:p w14:paraId="03F5E1F1">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0AE9803E">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3AE98C03">
                  <w:pPr>
                    <w:pStyle w:val="14"/>
                    <w:adjustRightInd w:val="0"/>
                    <w:spacing w:after="0" w:line="240" w:lineRule="auto"/>
                    <w:jc w:val="center"/>
                    <w:rPr>
                      <w:color w:val="auto"/>
                      <w:sz w:val="21"/>
                      <w:szCs w:val="21"/>
                    </w:rPr>
                  </w:pPr>
                  <w:r>
                    <w:rPr>
                      <w:rFonts w:hint="eastAsia"/>
                      <w:color w:val="auto"/>
                      <w:sz w:val="21"/>
                      <w:szCs w:val="21"/>
                    </w:rPr>
                    <w:t>29.18</w:t>
                  </w:r>
                </w:p>
              </w:tc>
              <w:tc>
                <w:tcPr>
                  <w:tcW w:w="1029" w:type="dxa"/>
                  <w:vAlign w:val="center"/>
                </w:tcPr>
                <w:p w14:paraId="2CAD1F7D">
                  <w:pPr>
                    <w:pStyle w:val="14"/>
                    <w:adjustRightInd w:val="0"/>
                    <w:spacing w:after="0" w:line="240" w:lineRule="auto"/>
                    <w:jc w:val="center"/>
                    <w:rPr>
                      <w:color w:val="auto"/>
                      <w:sz w:val="21"/>
                      <w:szCs w:val="21"/>
                    </w:rPr>
                  </w:pPr>
                  <w:r>
                    <w:rPr>
                      <w:rFonts w:hint="eastAsia"/>
                      <w:color w:val="auto"/>
                      <w:sz w:val="21"/>
                      <w:szCs w:val="21"/>
                    </w:rPr>
                    <w:t>44</w:t>
                  </w:r>
                </w:p>
              </w:tc>
              <w:tc>
                <w:tcPr>
                  <w:tcW w:w="1014" w:type="dxa"/>
                  <w:vAlign w:val="center"/>
                </w:tcPr>
                <w:p w14:paraId="089DD46E">
                  <w:pPr>
                    <w:pStyle w:val="14"/>
                    <w:adjustRightInd w:val="0"/>
                    <w:spacing w:after="0" w:line="240" w:lineRule="auto"/>
                    <w:jc w:val="center"/>
                    <w:rPr>
                      <w:color w:val="auto"/>
                      <w:sz w:val="21"/>
                      <w:szCs w:val="21"/>
                    </w:rPr>
                  </w:pPr>
                  <w:r>
                    <w:rPr>
                      <w:rFonts w:hint="eastAsia"/>
                      <w:color w:val="auto"/>
                      <w:sz w:val="21"/>
                      <w:szCs w:val="21"/>
                    </w:rPr>
                    <w:t>44.14</w:t>
                  </w:r>
                </w:p>
              </w:tc>
              <w:tc>
                <w:tcPr>
                  <w:tcW w:w="1072" w:type="dxa"/>
                  <w:vAlign w:val="center"/>
                </w:tcPr>
                <w:p w14:paraId="29EB4785">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42237EB3">
                  <w:pPr>
                    <w:pStyle w:val="14"/>
                    <w:adjustRightInd w:val="0"/>
                    <w:spacing w:after="0" w:line="240" w:lineRule="auto"/>
                    <w:jc w:val="center"/>
                    <w:rPr>
                      <w:color w:val="auto"/>
                      <w:sz w:val="21"/>
                      <w:szCs w:val="21"/>
                    </w:rPr>
                  </w:pPr>
                  <w:r>
                    <w:rPr>
                      <w:color w:val="auto"/>
                      <w:sz w:val="21"/>
                      <w:szCs w:val="21"/>
                    </w:rPr>
                    <w:t>达标</w:t>
                  </w:r>
                </w:p>
              </w:tc>
            </w:tr>
            <w:tr w14:paraId="6D8A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0128B322">
                  <w:pPr>
                    <w:pStyle w:val="14"/>
                    <w:adjustRightInd w:val="0"/>
                    <w:spacing w:after="0" w:line="240" w:lineRule="auto"/>
                    <w:jc w:val="center"/>
                    <w:rPr>
                      <w:color w:val="auto"/>
                      <w:sz w:val="21"/>
                      <w:szCs w:val="21"/>
                    </w:rPr>
                  </w:pPr>
                </w:p>
              </w:tc>
              <w:tc>
                <w:tcPr>
                  <w:tcW w:w="802" w:type="dxa"/>
                  <w:vMerge w:val="continue"/>
                  <w:vAlign w:val="center"/>
                </w:tcPr>
                <w:p w14:paraId="116CD408">
                  <w:pPr>
                    <w:pStyle w:val="14"/>
                    <w:adjustRightInd w:val="0"/>
                    <w:spacing w:after="0" w:line="240" w:lineRule="auto"/>
                    <w:jc w:val="center"/>
                    <w:rPr>
                      <w:color w:val="auto"/>
                      <w:sz w:val="21"/>
                      <w:szCs w:val="21"/>
                    </w:rPr>
                  </w:pPr>
                </w:p>
              </w:tc>
              <w:tc>
                <w:tcPr>
                  <w:tcW w:w="802" w:type="dxa"/>
                  <w:vMerge w:val="continue"/>
                  <w:vAlign w:val="center"/>
                </w:tcPr>
                <w:p w14:paraId="170EDE9F">
                  <w:pPr>
                    <w:pStyle w:val="14"/>
                    <w:adjustRightInd w:val="0"/>
                    <w:spacing w:after="0" w:line="240" w:lineRule="auto"/>
                    <w:jc w:val="center"/>
                    <w:rPr>
                      <w:color w:val="auto"/>
                      <w:sz w:val="21"/>
                      <w:szCs w:val="21"/>
                    </w:rPr>
                  </w:pPr>
                </w:p>
              </w:tc>
              <w:tc>
                <w:tcPr>
                  <w:tcW w:w="592" w:type="dxa"/>
                  <w:vMerge w:val="continue"/>
                  <w:vAlign w:val="center"/>
                </w:tcPr>
                <w:p w14:paraId="307F4315">
                  <w:pPr>
                    <w:pStyle w:val="14"/>
                    <w:adjustRightInd w:val="0"/>
                    <w:spacing w:after="0" w:line="240" w:lineRule="auto"/>
                    <w:jc w:val="center"/>
                    <w:rPr>
                      <w:color w:val="auto"/>
                      <w:sz w:val="21"/>
                      <w:szCs w:val="21"/>
                    </w:rPr>
                  </w:pPr>
                </w:p>
              </w:tc>
              <w:tc>
                <w:tcPr>
                  <w:tcW w:w="680" w:type="dxa"/>
                  <w:vAlign w:val="center"/>
                </w:tcPr>
                <w:p w14:paraId="1D3D3923">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50C5ADE5">
                  <w:pPr>
                    <w:pStyle w:val="14"/>
                    <w:adjustRightInd w:val="0"/>
                    <w:spacing w:after="0" w:line="240" w:lineRule="auto"/>
                    <w:jc w:val="center"/>
                    <w:rPr>
                      <w:color w:val="auto"/>
                      <w:sz w:val="21"/>
                      <w:szCs w:val="21"/>
                    </w:rPr>
                  </w:pPr>
                  <w:r>
                    <w:rPr>
                      <w:rFonts w:hint="eastAsia"/>
                      <w:color w:val="auto"/>
                      <w:sz w:val="21"/>
                      <w:szCs w:val="21"/>
                    </w:rPr>
                    <w:t>29.18</w:t>
                  </w:r>
                </w:p>
              </w:tc>
              <w:tc>
                <w:tcPr>
                  <w:tcW w:w="1029" w:type="dxa"/>
                  <w:vAlign w:val="center"/>
                </w:tcPr>
                <w:p w14:paraId="4AAD18E6">
                  <w:pPr>
                    <w:pStyle w:val="14"/>
                    <w:adjustRightInd w:val="0"/>
                    <w:spacing w:after="0" w:line="240" w:lineRule="auto"/>
                    <w:jc w:val="center"/>
                    <w:rPr>
                      <w:color w:val="auto"/>
                      <w:sz w:val="21"/>
                      <w:szCs w:val="21"/>
                    </w:rPr>
                  </w:pPr>
                  <w:r>
                    <w:rPr>
                      <w:rFonts w:hint="eastAsia"/>
                      <w:color w:val="auto"/>
                      <w:sz w:val="21"/>
                      <w:szCs w:val="21"/>
                    </w:rPr>
                    <w:t>37</w:t>
                  </w:r>
                </w:p>
              </w:tc>
              <w:tc>
                <w:tcPr>
                  <w:tcW w:w="1014" w:type="dxa"/>
                  <w:vAlign w:val="center"/>
                </w:tcPr>
                <w:p w14:paraId="6DA10485">
                  <w:pPr>
                    <w:pStyle w:val="14"/>
                    <w:adjustRightInd w:val="0"/>
                    <w:spacing w:after="0" w:line="240" w:lineRule="auto"/>
                    <w:jc w:val="center"/>
                    <w:rPr>
                      <w:color w:val="auto"/>
                      <w:sz w:val="21"/>
                      <w:szCs w:val="21"/>
                    </w:rPr>
                  </w:pPr>
                  <w:r>
                    <w:rPr>
                      <w:rFonts w:hint="eastAsia"/>
                      <w:color w:val="auto"/>
                      <w:sz w:val="21"/>
                      <w:szCs w:val="21"/>
                    </w:rPr>
                    <w:t>37.66</w:t>
                  </w:r>
                </w:p>
              </w:tc>
              <w:tc>
                <w:tcPr>
                  <w:tcW w:w="1072" w:type="dxa"/>
                  <w:vAlign w:val="center"/>
                </w:tcPr>
                <w:p w14:paraId="553761C5">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48AE9B5B">
                  <w:pPr>
                    <w:pStyle w:val="14"/>
                    <w:adjustRightInd w:val="0"/>
                    <w:spacing w:after="0" w:line="240" w:lineRule="auto"/>
                    <w:jc w:val="center"/>
                    <w:rPr>
                      <w:color w:val="auto"/>
                      <w:sz w:val="21"/>
                      <w:szCs w:val="21"/>
                    </w:rPr>
                  </w:pPr>
                  <w:r>
                    <w:rPr>
                      <w:rFonts w:hint="eastAsia"/>
                      <w:color w:val="auto"/>
                      <w:sz w:val="21"/>
                      <w:szCs w:val="21"/>
                    </w:rPr>
                    <w:t>达标</w:t>
                  </w:r>
                </w:p>
              </w:tc>
            </w:tr>
            <w:tr w14:paraId="5EB4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02245811">
                  <w:pPr>
                    <w:pStyle w:val="14"/>
                    <w:adjustRightInd w:val="0"/>
                    <w:spacing w:after="0" w:line="240" w:lineRule="auto"/>
                    <w:jc w:val="center"/>
                    <w:rPr>
                      <w:color w:val="auto"/>
                      <w:sz w:val="21"/>
                      <w:szCs w:val="21"/>
                    </w:rPr>
                  </w:pPr>
                  <w:r>
                    <w:rPr>
                      <w:rFonts w:hint="eastAsia"/>
                      <w:color w:val="auto"/>
                      <w:sz w:val="21"/>
                      <w:szCs w:val="21"/>
                    </w:rPr>
                    <w:t>南厂界</w:t>
                  </w:r>
                </w:p>
              </w:tc>
              <w:tc>
                <w:tcPr>
                  <w:tcW w:w="802" w:type="dxa"/>
                  <w:vMerge w:val="restart"/>
                  <w:vAlign w:val="center"/>
                </w:tcPr>
                <w:p w14:paraId="475326DE">
                  <w:pPr>
                    <w:pStyle w:val="14"/>
                    <w:adjustRightInd w:val="0"/>
                    <w:spacing w:after="0" w:line="240" w:lineRule="auto"/>
                    <w:jc w:val="center"/>
                    <w:rPr>
                      <w:color w:val="auto"/>
                      <w:sz w:val="21"/>
                      <w:szCs w:val="21"/>
                    </w:rPr>
                  </w:pPr>
                  <w:r>
                    <w:rPr>
                      <w:color w:val="auto"/>
                      <w:sz w:val="21"/>
                      <w:szCs w:val="21"/>
                    </w:rPr>
                    <w:t>35.13</w:t>
                  </w:r>
                </w:p>
              </w:tc>
              <w:tc>
                <w:tcPr>
                  <w:tcW w:w="802" w:type="dxa"/>
                  <w:vMerge w:val="restart"/>
                  <w:vAlign w:val="center"/>
                </w:tcPr>
                <w:p w14:paraId="5C06F04F">
                  <w:pPr>
                    <w:pStyle w:val="14"/>
                    <w:adjustRightInd w:val="0"/>
                    <w:spacing w:after="0" w:line="240" w:lineRule="auto"/>
                    <w:jc w:val="center"/>
                    <w:rPr>
                      <w:color w:val="auto"/>
                      <w:sz w:val="21"/>
                      <w:szCs w:val="21"/>
                    </w:rPr>
                  </w:pPr>
                  <w:r>
                    <w:rPr>
                      <w:color w:val="auto"/>
                      <w:sz w:val="21"/>
                      <w:szCs w:val="21"/>
                    </w:rPr>
                    <w:t>6.33</w:t>
                  </w:r>
                </w:p>
              </w:tc>
              <w:tc>
                <w:tcPr>
                  <w:tcW w:w="592" w:type="dxa"/>
                  <w:vMerge w:val="restart"/>
                  <w:vAlign w:val="center"/>
                </w:tcPr>
                <w:p w14:paraId="113DF97E">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119914BE">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38BD78D1">
                  <w:pPr>
                    <w:pStyle w:val="14"/>
                    <w:adjustRightInd w:val="0"/>
                    <w:spacing w:after="0" w:line="240" w:lineRule="auto"/>
                    <w:jc w:val="center"/>
                    <w:rPr>
                      <w:color w:val="auto"/>
                      <w:sz w:val="21"/>
                      <w:szCs w:val="21"/>
                    </w:rPr>
                  </w:pPr>
                  <w:r>
                    <w:rPr>
                      <w:rFonts w:hint="eastAsia"/>
                      <w:color w:val="auto"/>
                      <w:sz w:val="21"/>
                      <w:szCs w:val="21"/>
                    </w:rPr>
                    <w:t>28.26</w:t>
                  </w:r>
                </w:p>
              </w:tc>
              <w:tc>
                <w:tcPr>
                  <w:tcW w:w="1029" w:type="dxa"/>
                  <w:vAlign w:val="center"/>
                </w:tcPr>
                <w:p w14:paraId="57D0C1D1">
                  <w:pPr>
                    <w:pStyle w:val="14"/>
                    <w:adjustRightInd w:val="0"/>
                    <w:spacing w:after="0" w:line="240" w:lineRule="auto"/>
                    <w:jc w:val="center"/>
                    <w:rPr>
                      <w:color w:val="auto"/>
                      <w:sz w:val="21"/>
                      <w:szCs w:val="21"/>
                    </w:rPr>
                  </w:pPr>
                  <w:r>
                    <w:rPr>
                      <w:rFonts w:hint="eastAsia"/>
                      <w:color w:val="auto"/>
                      <w:sz w:val="21"/>
                      <w:szCs w:val="21"/>
                    </w:rPr>
                    <w:t>45</w:t>
                  </w:r>
                </w:p>
              </w:tc>
              <w:tc>
                <w:tcPr>
                  <w:tcW w:w="1014" w:type="dxa"/>
                  <w:vAlign w:val="center"/>
                </w:tcPr>
                <w:p w14:paraId="7EA84B3C">
                  <w:pPr>
                    <w:pStyle w:val="14"/>
                    <w:adjustRightInd w:val="0"/>
                    <w:spacing w:after="0" w:line="240" w:lineRule="auto"/>
                    <w:jc w:val="center"/>
                    <w:rPr>
                      <w:color w:val="auto"/>
                      <w:sz w:val="21"/>
                      <w:szCs w:val="21"/>
                    </w:rPr>
                  </w:pPr>
                  <w:r>
                    <w:rPr>
                      <w:rFonts w:hint="eastAsia"/>
                      <w:color w:val="auto"/>
                      <w:sz w:val="21"/>
                      <w:szCs w:val="21"/>
                    </w:rPr>
                    <w:t>45.09</w:t>
                  </w:r>
                </w:p>
              </w:tc>
              <w:tc>
                <w:tcPr>
                  <w:tcW w:w="1072" w:type="dxa"/>
                  <w:vAlign w:val="center"/>
                </w:tcPr>
                <w:p w14:paraId="195B349C">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5AFE093B">
                  <w:pPr>
                    <w:pStyle w:val="14"/>
                    <w:adjustRightInd w:val="0"/>
                    <w:spacing w:after="0" w:line="240" w:lineRule="auto"/>
                    <w:jc w:val="center"/>
                    <w:rPr>
                      <w:color w:val="auto"/>
                      <w:sz w:val="21"/>
                      <w:szCs w:val="21"/>
                    </w:rPr>
                  </w:pPr>
                  <w:r>
                    <w:rPr>
                      <w:color w:val="auto"/>
                      <w:sz w:val="21"/>
                      <w:szCs w:val="21"/>
                    </w:rPr>
                    <w:t>达标</w:t>
                  </w:r>
                </w:p>
              </w:tc>
            </w:tr>
            <w:tr w14:paraId="4FC9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6080BFC8">
                  <w:pPr>
                    <w:pStyle w:val="14"/>
                    <w:adjustRightInd w:val="0"/>
                    <w:spacing w:after="0" w:line="240" w:lineRule="auto"/>
                    <w:jc w:val="center"/>
                    <w:rPr>
                      <w:color w:val="auto"/>
                      <w:sz w:val="21"/>
                      <w:szCs w:val="21"/>
                    </w:rPr>
                  </w:pPr>
                </w:p>
              </w:tc>
              <w:tc>
                <w:tcPr>
                  <w:tcW w:w="802" w:type="dxa"/>
                  <w:vMerge w:val="continue"/>
                  <w:vAlign w:val="center"/>
                </w:tcPr>
                <w:p w14:paraId="464A3293">
                  <w:pPr>
                    <w:pStyle w:val="14"/>
                    <w:adjustRightInd w:val="0"/>
                    <w:spacing w:after="0" w:line="240" w:lineRule="auto"/>
                    <w:jc w:val="center"/>
                    <w:rPr>
                      <w:color w:val="auto"/>
                      <w:sz w:val="21"/>
                      <w:szCs w:val="21"/>
                    </w:rPr>
                  </w:pPr>
                </w:p>
              </w:tc>
              <w:tc>
                <w:tcPr>
                  <w:tcW w:w="802" w:type="dxa"/>
                  <w:vMerge w:val="continue"/>
                  <w:vAlign w:val="center"/>
                </w:tcPr>
                <w:p w14:paraId="2782FFDB">
                  <w:pPr>
                    <w:pStyle w:val="14"/>
                    <w:adjustRightInd w:val="0"/>
                    <w:spacing w:after="0" w:line="240" w:lineRule="auto"/>
                    <w:jc w:val="center"/>
                    <w:rPr>
                      <w:color w:val="auto"/>
                      <w:sz w:val="21"/>
                      <w:szCs w:val="21"/>
                    </w:rPr>
                  </w:pPr>
                </w:p>
              </w:tc>
              <w:tc>
                <w:tcPr>
                  <w:tcW w:w="592" w:type="dxa"/>
                  <w:vMerge w:val="continue"/>
                  <w:vAlign w:val="center"/>
                </w:tcPr>
                <w:p w14:paraId="679E2EDA">
                  <w:pPr>
                    <w:pStyle w:val="14"/>
                    <w:adjustRightInd w:val="0"/>
                    <w:spacing w:after="0" w:line="240" w:lineRule="auto"/>
                    <w:jc w:val="center"/>
                    <w:rPr>
                      <w:color w:val="auto"/>
                      <w:sz w:val="21"/>
                      <w:szCs w:val="21"/>
                    </w:rPr>
                  </w:pPr>
                </w:p>
              </w:tc>
              <w:tc>
                <w:tcPr>
                  <w:tcW w:w="680" w:type="dxa"/>
                  <w:vAlign w:val="center"/>
                </w:tcPr>
                <w:p w14:paraId="3A78472C">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334F44FE">
                  <w:pPr>
                    <w:pStyle w:val="14"/>
                    <w:adjustRightInd w:val="0"/>
                    <w:spacing w:after="0" w:line="240" w:lineRule="auto"/>
                    <w:jc w:val="center"/>
                    <w:rPr>
                      <w:color w:val="auto"/>
                      <w:sz w:val="21"/>
                      <w:szCs w:val="21"/>
                    </w:rPr>
                  </w:pPr>
                  <w:r>
                    <w:rPr>
                      <w:rFonts w:hint="eastAsia"/>
                      <w:color w:val="auto"/>
                      <w:sz w:val="21"/>
                      <w:szCs w:val="21"/>
                    </w:rPr>
                    <w:t>28.26</w:t>
                  </w:r>
                </w:p>
              </w:tc>
              <w:tc>
                <w:tcPr>
                  <w:tcW w:w="1029" w:type="dxa"/>
                  <w:vAlign w:val="center"/>
                </w:tcPr>
                <w:p w14:paraId="03168E3B">
                  <w:pPr>
                    <w:pStyle w:val="14"/>
                    <w:adjustRightInd w:val="0"/>
                    <w:spacing w:after="0" w:line="240" w:lineRule="auto"/>
                    <w:jc w:val="center"/>
                    <w:rPr>
                      <w:color w:val="auto"/>
                      <w:sz w:val="21"/>
                      <w:szCs w:val="21"/>
                    </w:rPr>
                  </w:pPr>
                  <w:r>
                    <w:rPr>
                      <w:rFonts w:hint="eastAsia"/>
                      <w:color w:val="auto"/>
                      <w:sz w:val="21"/>
                      <w:szCs w:val="21"/>
                    </w:rPr>
                    <w:t>38</w:t>
                  </w:r>
                </w:p>
              </w:tc>
              <w:tc>
                <w:tcPr>
                  <w:tcW w:w="1014" w:type="dxa"/>
                  <w:vAlign w:val="center"/>
                </w:tcPr>
                <w:p w14:paraId="135B2BA1">
                  <w:pPr>
                    <w:pStyle w:val="14"/>
                    <w:adjustRightInd w:val="0"/>
                    <w:spacing w:after="0" w:line="240" w:lineRule="auto"/>
                    <w:jc w:val="center"/>
                    <w:rPr>
                      <w:color w:val="auto"/>
                      <w:sz w:val="21"/>
                      <w:szCs w:val="21"/>
                    </w:rPr>
                  </w:pPr>
                  <w:r>
                    <w:rPr>
                      <w:rFonts w:hint="eastAsia"/>
                      <w:color w:val="auto"/>
                      <w:sz w:val="21"/>
                      <w:szCs w:val="21"/>
                    </w:rPr>
                    <w:t>38.44</w:t>
                  </w:r>
                </w:p>
              </w:tc>
              <w:tc>
                <w:tcPr>
                  <w:tcW w:w="1072" w:type="dxa"/>
                  <w:vAlign w:val="center"/>
                </w:tcPr>
                <w:p w14:paraId="2BA569D4">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03D9A630">
                  <w:pPr>
                    <w:pStyle w:val="14"/>
                    <w:adjustRightInd w:val="0"/>
                    <w:spacing w:after="0" w:line="240" w:lineRule="auto"/>
                    <w:jc w:val="center"/>
                    <w:rPr>
                      <w:color w:val="auto"/>
                      <w:sz w:val="21"/>
                      <w:szCs w:val="21"/>
                    </w:rPr>
                  </w:pPr>
                  <w:r>
                    <w:rPr>
                      <w:color w:val="auto"/>
                      <w:sz w:val="21"/>
                      <w:szCs w:val="21"/>
                    </w:rPr>
                    <w:t>达标</w:t>
                  </w:r>
                </w:p>
              </w:tc>
            </w:tr>
            <w:tr w14:paraId="0AB0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73E1361E">
                  <w:pPr>
                    <w:pStyle w:val="14"/>
                    <w:adjustRightInd w:val="0"/>
                    <w:spacing w:after="0" w:line="240" w:lineRule="auto"/>
                    <w:jc w:val="center"/>
                    <w:rPr>
                      <w:color w:val="auto"/>
                      <w:sz w:val="21"/>
                      <w:szCs w:val="21"/>
                    </w:rPr>
                  </w:pPr>
                  <w:r>
                    <w:rPr>
                      <w:rFonts w:hint="eastAsia"/>
                      <w:color w:val="auto"/>
                      <w:sz w:val="21"/>
                      <w:szCs w:val="21"/>
                    </w:rPr>
                    <w:t>北厂界</w:t>
                  </w:r>
                </w:p>
              </w:tc>
              <w:tc>
                <w:tcPr>
                  <w:tcW w:w="802" w:type="dxa"/>
                  <w:vMerge w:val="restart"/>
                  <w:vAlign w:val="center"/>
                </w:tcPr>
                <w:p w14:paraId="21E61696">
                  <w:pPr>
                    <w:pStyle w:val="14"/>
                    <w:adjustRightInd w:val="0"/>
                    <w:spacing w:after="0" w:line="240" w:lineRule="auto"/>
                    <w:jc w:val="center"/>
                    <w:rPr>
                      <w:color w:val="auto"/>
                      <w:sz w:val="21"/>
                      <w:szCs w:val="21"/>
                    </w:rPr>
                  </w:pPr>
                  <w:r>
                    <w:rPr>
                      <w:color w:val="auto"/>
                      <w:sz w:val="21"/>
                      <w:szCs w:val="21"/>
                    </w:rPr>
                    <w:t>32.32</w:t>
                  </w:r>
                </w:p>
              </w:tc>
              <w:tc>
                <w:tcPr>
                  <w:tcW w:w="802" w:type="dxa"/>
                  <w:vMerge w:val="restart"/>
                  <w:vAlign w:val="center"/>
                </w:tcPr>
                <w:p w14:paraId="12FD2B5F">
                  <w:pPr>
                    <w:pStyle w:val="14"/>
                    <w:adjustRightInd w:val="0"/>
                    <w:spacing w:after="0" w:line="240" w:lineRule="auto"/>
                    <w:jc w:val="center"/>
                    <w:rPr>
                      <w:color w:val="auto"/>
                      <w:sz w:val="21"/>
                      <w:szCs w:val="21"/>
                    </w:rPr>
                  </w:pPr>
                  <w:r>
                    <w:rPr>
                      <w:color w:val="auto"/>
                      <w:sz w:val="21"/>
                      <w:szCs w:val="21"/>
                    </w:rPr>
                    <w:t>69.45</w:t>
                  </w:r>
                </w:p>
              </w:tc>
              <w:tc>
                <w:tcPr>
                  <w:tcW w:w="592" w:type="dxa"/>
                  <w:vMerge w:val="restart"/>
                  <w:vAlign w:val="center"/>
                </w:tcPr>
                <w:p w14:paraId="15759BCE">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5BE6DB77">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427E55D2">
                  <w:pPr>
                    <w:pStyle w:val="14"/>
                    <w:adjustRightInd w:val="0"/>
                    <w:spacing w:after="0" w:line="240" w:lineRule="auto"/>
                    <w:jc w:val="center"/>
                    <w:rPr>
                      <w:color w:val="auto"/>
                      <w:sz w:val="21"/>
                      <w:szCs w:val="21"/>
                    </w:rPr>
                  </w:pPr>
                  <w:r>
                    <w:rPr>
                      <w:rFonts w:hint="eastAsia"/>
                      <w:color w:val="auto"/>
                      <w:sz w:val="21"/>
                      <w:szCs w:val="21"/>
                    </w:rPr>
                    <w:t>29.35</w:t>
                  </w:r>
                </w:p>
              </w:tc>
              <w:tc>
                <w:tcPr>
                  <w:tcW w:w="1029" w:type="dxa"/>
                  <w:vAlign w:val="center"/>
                </w:tcPr>
                <w:p w14:paraId="03AF4138">
                  <w:pPr>
                    <w:pStyle w:val="14"/>
                    <w:adjustRightInd w:val="0"/>
                    <w:spacing w:after="0" w:line="240" w:lineRule="auto"/>
                    <w:jc w:val="center"/>
                    <w:rPr>
                      <w:color w:val="auto"/>
                      <w:sz w:val="21"/>
                      <w:szCs w:val="21"/>
                    </w:rPr>
                  </w:pPr>
                  <w:r>
                    <w:rPr>
                      <w:rFonts w:hint="eastAsia"/>
                      <w:color w:val="auto"/>
                      <w:sz w:val="21"/>
                      <w:szCs w:val="21"/>
                    </w:rPr>
                    <w:t>56</w:t>
                  </w:r>
                </w:p>
              </w:tc>
              <w:tc>
                <w:tcPr>
                  <w:tcW w:w="1014" w:type="dxa"/>
                  <w:vAlign w:val="center"/>
                </w:tcPr>
                <w:p w14:paraId="7565B258">
                  <w:pPr>
                    <w:pStyle w:val="14"/>
                    <w:adjustRightInd w:val="0"/>
                    <w:spacing w:after="0" w:line="240" w:lineRule="auto"/>
                    <w:jc w:val="center"/>
                    <w:rPr>
                      <w:color w:val="auto"/>
                      <w:sz w:val="21"/>
                      <w:szCs w:val="21"/>
                    </w:rPr>
                  </w:pPr>
                  <w:r>
                    <w:rPr>
                      <w:rFonts w:hint="eastAsia"/>
                      <w:color w:val="auto"/>
                      <w:sz w:val="21"/>
                      <w:szCs w:val="21"/>
                    </w:rPr>
                    <w:t>56.01</w:t>
                  </w:r>
                </w:p>
              </w:tc>
              <w:tc>
                <w:tcPr>
                  <w:tcW w:w="1072" w:type="dxa"/>
                  <w:vAlign w:val="center"/>
                </w:tcPr>
                <w:p w14:paraId="5977D23A">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64C8E970">
                  <w:pPr>
                    <w:pStyle w:val="14"/>
                    <w:adjustRightInd w:val="0"/>
                    <w:spacing w:after="0" w:line="240" w:lineRule="auto"/>
                    <w:jc w:val="center"/>
                    <w:rPr>
                      <w:color w:val="auto"/>
                      <w:sz w:val="21"/>
                      <w:szCs w:val="21"/>
                    </w:rPr>
                  </w:pPr>
                  <w:r>
                    <w:rPr>
                      <w:color w:val="auto"/>
                      <w:sz w:val="21"/>
                      <w:szCs w:val="21"/>
                    </w:rPr>
                    <w:t>达标</w:t>
                  </w:r>
                </w:p>
              </w:tc>
            </w:tr>
            <w:tr w14:paraId="0454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2AE812DC">
                  <w:pPr>
                    <w:pStyle w:val="14"/>
                    <w:adjustRightInd w:val="0"/>
                    <w:spacing w:after="0" w:line="240" w:lineRule="auto"/>
                    <w:jc w:val="center"/>
                    <w:rPr>
                      <w:color w:val="auto"/>
                      <w:sz w:val="21"/>
                      <w:szCs w:val="21"/>
                    </w:rPr>
                  </w:pPr>
                </w:p>
              </w:tc>
              <w:tc>
                <w:tcPr>
                  <w:tcW w:w="802" w:type="dxa"/>
                  <w:vMerge w:val="continue"/>
                  <w:vAlign w:val="center"/>
                </w:tcPr>
                <w:p w14:paraId="242843B6">
                  <w:pPr>
                    <w:pStyle w:val="14"/>
                    <w:adjustRightInd w:val="0"/>
                    <w:spacing w:after="0" w:line="240" w:lineRule="auto"/>
                    <w:jc w:val="center"/>
                    <w:rPr>
                      <w:color w:val="auto"/>
                      <w:sz w:val="21"/>
                      <w:szCs w:val="21"/>
                    </w:rPr>
                  </w:pPr>
                </w:p>
              </w:tc>
              <w:tc>
                <w:tcPr>
                  <w:tcW w:w="802" w:type="dxa"/>
                  <w:vMerge w:val="continue"/>
                  <w:vAlign w:val="center"/>
                </w:tcPr>
                <w:p w14:paraId="37BA6307">
                  <w:pPr>
                    <w:pStyle w:val="14"/>
                    <w:adjustRightInd w:val="0"/>
                    <w:spacing w:after="0" w:line="240" w:lineRule="auto"/>
                    <w:jc w:val="center"/>
                    <w:rPr>
                      <w:color w:val="auto"/>
                      <w:sz w:val="21"/>
                      <w:szCs w:val="21"/>
                    </w:rPr>
                  </w:pPr>
                </w:p>
              </w:tc>
              <w:tc>
                <w:tcPr>
                  <w:tcW w:w="592" w:type="dxa"/>
                  <w:vMerge w:val="continue"/>
                  <w:vAlign w:val="center"/>
                </w:tcPr>
                <w:p w14:paraId="0475C915">
                  <w:pPr>
                    <w:pStyle w:val="14"/>
                    <w:adjustRightInd w:val="0"/>
                    <w:spacing w:after="0" w:line="240" w:lineRule="auto"/>
                    <w:jc w:val="center"/>
                    <w:rPr>
                      <w:color w:val="auto"/>
                      <w:sz w:val="21"/>
                      <w:szCs w:val="21"/>
                    </w:rPr>
                  </w:pPr>
                </w:p>
              </w:tc>
              <w:tc>
                <w:tcPr>
                  <w:tcW w:w="680" w:type="dxa"/>
                  <w:vAlign w:val="center"/>
                </w:tcPr>
                <w:p w14:paraId="35AFCD52">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3464A073">
                  <w:pPr>
                    <w:pStyle w:val="14"/>
                    <w:adjustRightInd w:val="0"/>
                    <w:spacing w:after="0" w:line="240" w:lineRule="auto"/>
                    <w:jc w:val="center"/>
                    <w:rPr>
                      <w:color w:val="auto"/>
                      <w:sz w:val="21"/>
                      <w:szCs w:val="21"/>
                    </w:rPr>
                  </w:pPr>
                  <w:r>
                    <w:rPr>
                      <w:rFonts w:hint="eastAsia"/>
                      <w:color w:val="auto"/>
                      <w:sz w:val="21"/>
                      <w:szCs w:val="21"/>
                    </w:rPr>
                    <w:t>35.31</w:t>
                  </w:r>
                </w:p>
              </w:tc>
              <w:tc>
                <w:tcPr>
                  <w:tcW w:w="1029" w:type="dxa"/>
                  <w:vAlign w:val="center"/>
                </w:tcPr>
                <w:p w14:paraId="136C3791">
                  <w:pPr>
                    <w:pStyle w:val="14"/>
                    <w:adjustRightInd w:val="0"/>
                    <w:spacing w:after="0" w:line="240" w:lineRule="auto"/>
                    <w:jc w:val="center"/>
                    <w:rPr>
                      <w:color w:val="auto"/>
                      <w:sz w:val="21"/>
                      <w:szCs w:val="21"/>
                    </w:rPr>
                  </w:pPr>
                  <w:r>
                    <w:rPr>
                      <w:rFonts w:hint="eastAsia"/>
                      <w:color w:val="auto"/>
                      <w:sz w:val="21"/>
                      <w:szCs w:val="21"/>
                    </w:rPr>
                    <w:t>45</w:t>
                  </w:r>
                </w:p>
              </w:tc>
              <w:tc>
                <w:tcPr>
                  <w:tcW w:w="1014" w:type="dxa"/>
                  <w:vAlign w:val="center"/>
                </w:tcPr>
                <w:p w14:paraId="399C7CB5">
                  <w:pPr>
                    <w:pStyle w:val="14"/>
                    <w:adjustRightInd w:val="0"/>
                    <w:spacing w:after="0" w:line="240" w:lineRule="auto"/>
                    <w:jc w:val="center"/>
                    <w:rPr>
                      <w:color w:val="auto"/>
                      <w:sz w:val="21"/>
                      <w:szCs w:val="21"/>
                    </w:rPr>
                  </w:pPr>
                  <w:r>
                    <w:rPr>
                      <w:rFonts w:hint="eastAsia"/>
                      <w:color w:val="auto"/>
                      <w:sz w:val="21"/>
                      <w:szCs w:val="21"/>
                    </w:rPr>
                    <w:t>45.44</w:t>
                  </w:r>
                </w:p>
              </w:tc>
              <w:tc>
                <w:tcPr>
                  <w:tcW w:w="1072" w:type="dxa"/>
                  <w:vAlign w:val="center"/>
                </w:tcPr>
                <w:p w14:paraId="43690D16">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3027DCF6">
                  <w:pPr>
                    <w:pStyle w:val="14"/>
                    <w:adjustRightInd w:val="0"/>
                    <w:spacing w:after="0" w:line="240" w:lineRule="auto"/>
                    <w:jc w:val="center"/>
                    <w:rPr>
                      <w:color w:val="auto"/>
                      <w:sz w:val="21"/>
                      <w:szCs w:val="21"/>
                    </w:rPr>
                  </w:pPr>
                  <w:r>
                    <w:rPr>
                      <w:color w:val="auto"/>
                      <w:sz w:val="21"/>
                      <w:szCs w:val="21"/>
                    </w:rPr>
                    <w:t>达标</w:t>
                  </w:r>
                </w:p>
              </w:tc>
            </w:tr>
          </w:tbl>
          <w:p w14:paraId="39B06BD9">
            <w:pPr>
              <w:adjustRightInd w:val="0"/>
              <w:snapToGrid w:val="0"/>
              <w:spacing w:before="120" w:beforeLines="50" w:line="360" w:lineRule="auto"/>
              <w:ind w:firstLine="480" w:firstLineChars="200"/>
              <w:rPr>
                <w:color w:val="auto"/>
                <w:sz w:val="24"/>
              </w:rPr>
            </w:pPr>
            <w:r>
              <w:rPr>
                <w:color w:val="auto"/>
                <w:sz w:val="24"/>
              </w:rPr>
              <w:t>根据表4-</w:t>
            </w:r>
            <w:r>
              <w:rPr>
                <w:rFonts w:hint="eastAsia"/>
                <w:color w:val="auto"/>
                <w:sz w:val="24"/>
              </w:rPr>
              <w:t>31</w:t>
            </w:r>
            <w:r>
              <w:rPr>
                <w:color w:val="auto"/>
                <w:sz w:val="24"/>
              </w:rPr>
              <w:t>可知，本项目产噪设备经采取低噪声设备、</w:t>
            </w:r>
            <w:r>
              <w:rPr>
                <w:rFonts w:hint="eastAsia"/>
                <w:color w:val="auto"/>
                <w:sz w:val="24"/>
              </w:rPr>
              <w:t>水泵</w:t>
            </w:r>
            <w:r>
              <w:rPr>
                <w:color w:val="auto"/>
                <w:sz w:val="24"/>
              </w:rPr>
              <w:t>安装减震垫</w:t>
            </w:r>
            <w:r>
              <w:rPr>
                <w:rFonts w:hint="eastAsia"/>
                <w:color w:val="auto"/>
                <w:sz w:val="24"/>
              </w:rPr>
              <w:t>、风机安装消声器，且布置于地下封闭环境等</w:t>
            </w:r>
            <w:r>
              <w:rPr>
                <w:color w:val="auto"/>
                <w:sz w:val="24"/>
              </w:rPr>
              <w:t>措施，再经几何发散后，项目建成后运营期间厂界噪声统计最大值能达到《工业企业厂界环境噪声排放标准》（GB12348-2008）</w:t>
            </w:r>
            <w:r>
              <w:rPr>
                <w:rFonts w:hint="eastAsia"/>
                <w:color w:val="auto"/>
                <w:sz w:val="24"/>
              </w:rPr>
              <w:t>2</w:t>
            </w:r>
            <w:r>
              <w:rPr>
                <w:color w:val="auto"/>
                <w:sz w:val="24"/>
              </w:rPr>
              <w:t>类标准限值要求。由于</w:t>
            </w:r>
            <w:r>
              <w:rPr>
                <w:rFonts w:hint="eastAsia"/>
                <w:color w:val="auto"/>
                <w:sz w:val="24"/>
              </w:rPr>
              <w:t>项目最近的敏感点为</w:t>
            </w:r>
            <w:r>
              <w:rPr>
                <w:color w:val="auto"/>
                <w:sz w:val="24"/>
              </w:rPr>
              <w:t>厂界外</w:t>
            </w:r>
            <w:r>
              <w:rPr>
                <w:rFonts w:hint="eastAsia"/>
                <w:color w:val="auto"/>
                <w:sz w:val="24"/>
              </w:rPr>
              <w:t>东侧2</w:t>
            </w:r>
            <w:r>
              <w:rPr>
                <w:color w:val="auto"/>
                <w:sz w:val="24"/>
              </w:rPr>
              <w:t>米</w:t>
            </w:r>
            <w:r>
              <w:rPr>
                <w:rFonts w:hint="eastAsia"/>
                <w:color w:val="auto"/>
                <w:sz w:val="24"/>
              </w:rPr>
              <w:t>处为九龙街道集镇</w:t>
            </w:r>
            <w:r>
              <w:rPr>
                <w:color w:val="auto"/>
                <w:sz w:val="24"/>
              </w:rPr>
              <w:t>声环境保护目标，</w:t>
            </w:r>
            <w:r>
              <w:rPr>
                <w:rFonts w:hint="eastAsia"/>
                <w:color w:val="auto"/>
                <w:sz w:val="24"/>
              </w:rPr>
              <w:t>因此本环评对该保护目标进行了预测，预测结果见表4-34。</w:t>
            </w:r>
          </w:p>
          <w:p w14:paraId="402628B1">
            <w:pPr>
              <w:adjustRightInd w:val="0"/>
              <w:snapToGrid w:val="0"/>
              <w:spacing w:line="360" w:lineRule="auto"/>
              <w:ind w:firstLine="482" w:firstLineChars="200"/>
              <w:jc w:val="center"/>
              <w:rPr>
                <w:b/>
                <w:color w:val="auto"/>
                <w:sz w:val="24"/>
              </w:rPr>
            </w:pPr>
            <w:r>
              <w:rPr>
                <w:b/>
                <w:color w:val="auto"/>
                <w:sz w:val="24"/>
              </w:rPr>
              <w:t>表</w:t>
            </w:r>
            <w:r>
              <w:rPr>
                <w:rFonts w:hint="eastAsia"/>
                <w:b/>
                <w:color w:val="auto"/>
                <w:sz w:val="24"/>
              </w:rPr>
              <w:t>4-34敏感点</w:t>
            </w:r>
            <w:r>
              <w:rPr>
                <w:b/>
                <w:color w:val="auto"/>
                <w:sz w:val="24"/>
              </w:rPr>
              <w:t>噪声预测结果与达标分析表</w:t>
            </w:r>
          </w:p>
          <w:tbl>
            <w:tblPr>
              <w:tblStyle w:val="33"/>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05"/>
              <w:gridCol w:w="784"/>
              <w:gridCol w:w="592"/>
              <w:gridCol w:w="539"/>
              <w:gridCol w:w="1092"/>
              <w:gridCol w:w="924"/>
              <w:gridCol w:w="1038"/>
              <w:gridCol w:w="1092"/>
              <w:gridCol w:w="643"/>
            </w:tblGrid>
            <w:tr w14:paraId="3064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6" w:type="dxa"/>
                  <w:vMerge w:val="restart"/>
                  <w:vAlign w:val="center"/>
                </w:tcPr>
                <w:p w14:paraId="12F3E55F">
                  <w:pPr>
                    <w:pStyle w:val="14"/>
                    <w:adjustRightInd w:val="0"/>
                    <w:spacing w:after="0" w:line="240" w:lineRule="auto"/>
                    <w:jc w:val="center"/>
                    <w:rPr>
                      <w:color w:val="auto"/>
                      <w:sz w:val="21"/>
                      <w:szCs w:val="21"/>
                    </w:rPr>
                  </w:pPr>
                  <w:r>
                    <w:rPr>
                      <w:rFonts w:hint="eastAsia"/>
                      <w:color w:val="auto"/>
                      <w:sz w:val="21"/>
                      <w:szCs w:val="21"/>
                    </w:rPr>
                    <w:t>预测点</w:t>
                  </w:r>
                </w:p>
              </w:tc>
              <w:tc>
                <w:tcPr>
                  <w:tcW w:w="2181" w:type="dxa"/>
                  <w:gridSpan w:val="3"/>
                  <w:vAlign w:val="center"/>
                </w:tcPr>
                <w:p w14:paraId="31B32389">
                  <w:pPr>
                    <w:pStyle w:val="14"/>
                    <w:adjustRightInd w:val="0"/>
                    <w:spacing w:after="0" w:line="240" w:lineRule="auto"/>
                    <w:jc w:val="center"/>
                    <w:rPr>
                      <w:color w:val="auto"/>
                      <w:sz w:val="21"/>
                      <w:szCs w:val="21"/>
                    </w:rPr>
                  </w:pPr>
                  <w:r>
                    <w:rPr>
                      <w:rFonts w:hint="eastAsia"/>
                      <w:color w:val="auto"/>
                      <w:sz w:val="21"/>
                      <w:szCs w:val="21"/>
                    </w:rPr>
                    <w:t>空间相对位置/m</w:t>
                  </w:r>
                </w:p>
              </w:tc>
              <w:tc>
                <w:tcPr>
                  <w:tcW w:w="539" w:type="dxa"/>
                  <w:vMerge w:val="restart"/>
                  <w:vAlign w:val="center"/>
                </w:tcPr>
                <w:p w14:paraId="4067172F">
                  <w:pPr>
                    <w:pStyle w:val="14"/>
                    <w:adjustRightInd w:val="0"/>
                    <w:spacing w:after="0" w:line="240" w:lineRule="auto"/>
                    <w:jc w:val="center"/>
                    <w:rPr>
                      <w:color w:val="auto"/>
                      <w:sz w:val="21"/>
                      <w:szCs w:val="21"/>
                    </w:rPr>
                  </w:pPr>
                  <w:r>
                    <w:rPr>
                      <w:rFonts w:hint="eastAsia"/>
                      <w:color w:val="auto"/>
                      <w:sz w:val="21"/>
                      <w:szCs w:val="21"/>
                    </w:rPr>
                    <w:t>时段</w:t>
                  </w:r>
                </w:p>
              </w:tc>
              <w:tc>
                <w:tcPr>
                  <w:tcW w:w="1092" w:type="dxa"/>
                  <w:vMerge w:val="restart"/>
                  <w:vAlign w:val="center"/>
                </w:tcPr>
                <w:p w14:paraId="4DF14CCD">
                  <w:pPr>
                    <w:pStyle w:val="14"/>
                    <w:adjustRightInd w:val="0"/>
                    <w:spacing w:after="0" w:line="240" w:lineRule="auto"/>
                    <w:jc w:val="center"/>
                    <w:rPr>
                      <w:color w:val="auto"/>
                      <w:sz w:val="21"/>
                      <w:szCs w:val="21"/>
                    </w:rPr>
                  </w:pPr>
                  <w:r>
                    <w:rPr>
                      <w:rFonts w:hint="eastAsia"/>
                      <w:color w:val="auto"/>
                      <w:sz w:val="21"/>
                      <w:szCs w:val="21"/>
                    </w:rPr>
                    <w:t>噪声贡献值/</w:t>
                  </w:r>
                  <w:r>
                    <w:rPr>
                      <w:color w:val="auto"/>
                      <w:sz w:val="21"/>
                      <w:szCs w:val="21"/>
                    </w:rPr>
                    <w:t>dB(A)</w:t>
                  </w:r>
                </w:p>
              </w:tc>
              <w:tc>
                <w:tcPr>
                  <w:tcW w:w="924" w:type="dxa"/>
                  <w:vMerge w:val="restart"/>
                  <w:vAlign w:val="center"/>
                </w:tcPr>
                <w:p w14:paraId="3D1C2F70">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38" w:type="dxa"/>
                  <w:vMerge w:val="restart"/>
                  <w:vAlign w:val="center"/>
                </w:tcPr>
                <w:p w14:paraId="7D54A2CB">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92" w:type="dxa"/>
                  <w:vMerge w:val="restart"/>
                  <w:vAlign w:val="center"/>
                </w:tcPr>
                <w:p w14:paraId="32F62E0C">
                  <w:pPr>
                    <w:pStyle w:val="14"/>
                    <w:adjustRightInd w:val="0"/>
                    <w:spacing w:after="0" w:line="240" w:lineRule="auto"/>
                    <w:jc w:val="center"/>
                    <w:rPr>
                      <w:color w:val="auto"/>
                      <w:sz w:val="21"/>
                      <w:szCs w:val="21"/>
                    </w:rPr>
                  </w:pPr>
                  <w:r>
                    <w:rPr>
                      <w:rFonts w:hint="eastAsia"/>
                      <w:color w:val="auto"/>
                      <w:sz w:val="21"/>
                      <w:szCs w:val="21"/>
                    </w:rPr>
                    <w:t>噪声标准值/</w:t>
                  </w:r>
                  <w:r>
                    <w:rPr>
                      <w:color w:val="auto"/>
                      <w:sz w:val="21"/>
                      <w:szCs w:val="21"/>
                    </w:rPr>
                    <w:t>dB(A)</w:t>
                  </w:r>
                </w:p>
              </w:tc>
              <w:tc>
                <w:tcPr>
                  <w:tcW w:w="643" w:type="dxa"/>
                  <w:vMerge w:val="restart"/>
                  <w:vAlign w:val="center"/>
                </w:tcPr>
                <w:p w14:paraId="29515635">
                  <w:pPr>
                    <w:pStyle w:val="14"/>
                    <w:adjustRightInd w:val="0"/>
                    <w:spacing w:after="0" w:line="240" w:lineRule="auto"/>
                    <w:jc w:val="center"/>
                    <w:rPr>
                      <w:color w:val="auto"/>
                      <w:sz w:val="21"/>
                      <w:szCs w:val="21"/>
                    </w:rPr>
                  </w:pPr>
                  <w:r>
                    <w:rPr>
                      <w:rFonts w:hint="eastAsia"/>
                      <w:color w:val="auto"/>
                      <w:sz w:val="21"/>
                      <w:szCs w:val="21"/>
                    </w:rPr>
                    <w:t>达标情况</w:t>
                  </w:r>
                </w:p>
              </w:tc>
            </w:tr>
            <w:tr w14:paraId="504B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06" w:type="dxa"/>
                  <w:vMerge w:val="continue"/>
                  <w:vAlign w:val="center"/>
                </w:tcPr>
                <w:p w14:paraId="2AD380AA">
                  <w:pPr>
                    <w:pStyle w:val="14"/>
                    <w:adjustRightInd w:val="0"/>
                    <w:spacing w:after="0" w:line="240" w:lineRule="auto"/>
                    <w:jc w:val="center"/>
                    <w:rPr>
                      <w:color w:val="auto"/>
                      <w:sz w:val="21"/>
                      <w:szCs w:val="21"/>
                    </w:rPr>
                  </w:pPr>
                </w:p>
              </w:tc>
              <w:tc>
                <w:tcPr>
                  <w:tcW w:w="805" w:type="dxa"/>
                  <w:vAlign w:val="center"/>
                </w:tcPr>
                <w:p w14:paraId="0EFBD061">
                  <w:pPr>
                    <w:pStyle w:val="14"/>
                    <w:adjustRightInd w:val="0"/>
                    <w:spacing w:after="0" w:line="240" w:lineRule="auto"/>
                    <w:jc w:val="center"/>
                    <w:rPr>
                      <w:color w:val="auto"/>
                      <w:sz w:val="21"/>
                      <w:szCs w:val="21"/>
                    </w:rPr>
                  </w:pPr>
                  <w:r>
                    <w:rPr>
                      <w:rFonts w:hint="eastAsia"/>
                      <w:color w:val="auto"/>
                      <w:sz w:val="21"/>
                      <w:szCs w:val="21"/>
                    </w:rPr>
                    <w:t>X</w:t>
                  </w:r>
                </w:p>
              </w:tc>
              <w:tc>
                <w:tcPr>
                  <w:tcW w:w="784" w:type="dxa"/>
                  <w:vAlign w:val="center"/>
                </w:tcPr>
                <w:p w14:paraId="6D75CBD0">
                  <w:pPr>
                    <w:pStyle w:val="14"/>
                    <w:adjustRightInd w:val="0"/>
                    <w:spacing w:after="0" w:line="240" w:lineRule="auto"/>
                    <w:jc w:val="center"/>
                    <w:rPr>
                      <w:color w:val="auto"/>
                      <w:sz w:val="21"/>
                      <w:szCs w:val="21"/>
                    </w:rPr>
                  </w:pPr>
                  <w:r>
                    <w:rPr>
                      <w:rFonts w:hint="eastAsia"/>
                      <w:color w:val="auto"/>
                      <w:sz w:val="21"/>
                      <w:szCs w:val="21"/>
                    </w:rPr>
                    <w:t>Y</w:t>
                  </w:r>
                </w:p>
              </w:tc>
              <w:tc>
                <w:tcPr>
                  <w:tcW w:w="592" w:type="dxa"/>
                  <w:vAlign w:val="center"/>
                </w:tcPr>
                <w:p w14:paraId="5B18DBB4">
                  <w:pPr>
                    <w:pStyle w:val="14"/>
                    <w:adjustRightInd w:val="0"/>
                    <w:spacing w:after="0" w:line="240" w:lineRule="auto"/>
                    <w:jc w:val="center"/>
                    <w:rPr>
                      <w:color w:val="auto"/>
                      <w:sz w:val="21"/>
                      <w:szCs w:val="21"/>
                    </w:rPr>
                  </w:pPr>
                  <w:r>
                    <w:rPr>
                      <w:rFonts w:hint="eastAsia"/>
                      <w:color w:val="auto"/>
                      <w:sz w:val="21"/>
                      <w:szCs w:val="21"/>
                    </w:rPr>
                    <w:t>Z</w:t>
                  </w:r>
                </w:p>
              </w:tc>
              <w:tc>
                <w:tcPr>
                  <w:tcW w:w="539" w:type="dxa"/>
                  <w:vMerge w:val="continue"/>
                  <w:vAlign w:val="center"/>
                </w:tcPr>
                <w:p w14:paraId="63B16D04">
                  <w:pPr>
                    <w:pStyle w:val="14"/>
                    <w:adjustRightInd w:val="0"/>
                    <w:spacing w:after="0" w:line="240" w:lineRule="auto"/>
                    <w:jc w:val="center"/>
                    <w:rPr>
                      <w:color w:val="auto"/>
                      <w:sz w:val="21"/>
                      <w:szCs w:val="21"/>
                    </w:rPr>
                  </w:pPr>
                </w:p>
              </w:tc>
              <w:tc>
                <w:tcPr>
                  <w:tcW w:w="1092" w:type="dxa"/>
                  <w:vMerge w:val="continue"/>
                  <w:vAlign w:val="center"/>
                </w:tcPr>
                <w:p w14:paraId="28B0307C">
                  <w:pPr>
                    <w:pStyle w:val="14"/>
                    <w:adjustRightInd w:val="0"/>
                    <w:spacing w:after="0" w:line="240" w:lineRule="auto"/>
                    <w:jc w:val="center"/>
                    <w:rPr>
                      <w:color w:val="auto"/>
                      <w:sz w:val="21"/>
                      <w:szCs w:val="21"/>
                    </w:rPr>
                  </w:pPr>
                </w:p>
              </w:tc>
              <w:tc>
                <w:tcPr>
                  <w:tcW w:w="924" w:type="dxa"/>
                  <w:vMerge w:val="continue"/>
                  <w:vAlign w:val="center"/>
                </w:tcPr>
                <w:p w14:paraId="0A40CC75">
                  <w:pPr>
                    <w:pStyle w:val="14"/>
                    <w:adjustRightInd w:val="0"/>
                    <w:spacing w:after="0" w:line="240" w:lineRule="auto"/>
                    <w:jc w:val="center"/>
                    <w:rPr>
                      <w:color w:val="auto"/>
                      <w:sz w:val="21"/>
                      <w:szCs w:val="21"/>
                    </w:rPr>
                  </w:pPr>
                </w:p>
              </w:tc>
              <w:tc>
                <w:tcPr>
                  <w:tcW w:w="1038" w:type="dxa"/>
                  <w:vMerge w:val="continue"/>
                  <w:vAlign w:val="center"/>
                </w:tcPr>
                <w:p w14:paraId="72F05BF3">
                  <w:pPr>
                    <w:pStyle w:val="14"/>
                    <w:adjustRightInd w:val="0"/>
                    <w:spacing w:after="0" w:line="240" w:lineRule="auto"/>
                    <w:jc w:val="center"/>
                    <w:rPr>
                      <w:color w:val="auto"/>
                      <w:sz w:val="21"/>
                      <w:szCs w:val="21"/>
                    </w:rPr>
                  </w:pPr>
                </w:p>
              </w:tc>
              <w:tc>
                <w:tcPr>
                  <w:tcW w:w="1092" w:type="dxa"/>
                  <w:vMerge w:val="continue"/>
                  <w:vAlign w:val="center"/>
                </w:tcPr>
                <w:p w14:paraId="0A046301">
                  <w:pPr>
                    <w:pStyle w:val="14"/>
                    <w:adjustRightInd w:val="0"/>
                    <w:spacing w:after="0" w:line="240" w:lineRule="auto"/>
                    <w:jc w:val="center"/>
                    <w:rPr>
                      <w:color w:val="auto"/>
                      <w:sz w:val="21"/>
                      <w:szCs w:val="21"/>
                    </w:rPr>
                  </w:pPr>
                </w:p>
              </w:tc>
              <w:tc>
                <w:tcPr>
                  <w:tcW w:w="643" w:type="dxa"/>
                  <w:vMerge w:val="continue"/>
                  <w:vAlign w:val="center"/>
                </w:tcPr>
                <w:p w14:paraId="6556DC3A">
                  <w:pPr>
                    <w:pStyle w:val="14"/>
                    <w:adjustRightInd w:val="0"/>
                    <w:spacing w:after="0" w:line="240" w:lineRule="auto"/>
                    <w:jc w:val="center"/>
                    <w:rPr>
                      <w:color w:val="auto"/>
                      <w:sz w:val="21"/>
                      <w:szCs w:val="21"/>
                    </w:rPr>
                  </w:pPr>
                </w:p>
              </w:tc>
            </w:tr>
            <w:tr w14:paraId="6166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6" w:type="dxa"/>
                  <w:vMerge w:val="restart"/>
                  <w:vAlign w:val="center"/>
                </w:tcPr>
                <w:p w14:paraId="7C65200F">
                  <w:pPr>
                    <w:pStyle w:val="14"/>
                    <w:adjustRightInd w:val="0"/>
                    <w:spacing w:after="0" w:line="240" w:lineRule="auto"/>
                    <w:jc w:val="center"/>
                    <w:rPr>
                      <w:color w:val="auto"/>
                      <w:sz w:val="21"/>
                      <w:szCs w:val="21"/>
                    </w:rPr>
                  </w:pPr>
                  <w:r>
                    <w:rPr>
                      <w:rFonts w:hint="eastAsia"/>
                      <w:color w:val="auto"/>
                      <w:sz w:val="21"/>
                      <w:szCs w:val="21"/>
                    </w:rPr>
                    <w:t>九龙街道</w:t>
                  </w:r>
                </w:p>
              </w:tc>
              <w:tc>
                <w:tcPr>
                  <w:tcW w:w="805" w:type="dxa"/>
                  <w:vMerge w:val="restart"/>
                  <w:vAlign w:val="center"/>
                </w:tcPr>
                <w:p w14:paraId="4E8BE69F">
                  <w:pPr>
                    <w:pStyle w:val="14"/>
                    <w:adjustRightInd w:val="0"/>
                    <w:spacing w:after="0" w:line="240" w:lineRule="auto"/>
                    <w:jc w:val="center"/>
                    <w:rPr>
                      <w:color w:val="auto"/>
                      <w:sz w:val="21"/>
                      <w:szCs w:val="21"/>
                    </w:rPr>
                  </w:pPr>
                  <w:r>
                    <w:rPr>
                      <w:rFonts w:hint="eastAsia"/>
                      <w:color w:val="auto"/>
                      <w:sz w:val="21"/>
                      <w:szCs w:val="21"/>
                    </w:rPr>
                    <w:t>59.47</w:t>
                  </w:r>
                </w:p>
              </w:tc>
              <w:tc>
                <w:tcPr>
                  <w:tcW w:w="784" w:type="dxa"/>
                  <w:vMerge w:val="restart"/>
                  <w:vAlign w:val="center"/>
                </w:tcPr>
                <w:p w14:paraId="681B2F4F">
                  <w:pPr>
                    <w:pStyle w:val="14"/>
                    <w:adjustRightInd w:val="0"/>
                    <w:spacing w:after="0" w:line="240" w:lineRule="auto"/>
                    <w:jc w:val="center"/>
                    <w:rPr>
                      <w:color w:val="auto"/>
                      <w:sz w:val="21"/>
                      <w:szCs w:val="21"/>
                    </w:rPr>
                  </w:pPr>
                  <w:r>
                    <w:rPr>
                      <w:rFonts w:hint="eastAsia"/>
                      <w:color w:val="auto"/>
                      <w:sz w:val="21"/>
                      <w:szCs w:val="21"/>
                    </w:rPr>
                    <w:t>65.3</w:t>
                  </w:r>
                </w:p>
              </w:tc>
              <w:tc>
                <w:tcPr>
                  <w:tcW w:w="592" w:type="dxa"/>
                  <w:vMerge w:val="restart"/>
                  <w:vAlign w:val="center"/>
                </w:tcPr>
                <w:p w14:paraId="75F2E9D3">
                  <w:pPr>
                    <w:pStyle w:val="14"/>
                    <w:adjustRightInd w:val="0"/>
                    <w:spacing w:after="0" w:line="240" w:lineRule="auto"/>
                    <w:jc w:val="center"/>
                    <w:rPr>
                      <w:color w:val="auto"/>
                      <w:sz w:val="21"/>
                      <w:szCs w:val="21"/>
                    </w:rPr>
                  </w:pPr>
                  <w:r>
                    <w:rPr>
                      <w:rFonts w:hint="eastAsia"/>
                      <w:color w:val="auto"/>
                      <w:sz w:val="21"/>
                      <w:szCs w:val="21"/>
                    </w:rPr>
                    <w:t>1.2</w:t>
                  </w:r>
                </w:p>
              </w:tc>
              <w:tc>
                <w:tcPr>
                  <w:tcW w:w="539" w:type="dxa"/>
                  <w:vAlign w:val="center"/>
                </w:tcPr>
                <w:p w14:paraId="030134B9">
                  <w:pPr>
                    <w:pStyle w:val="14"/>
                    <w:adjustRightInd w:val="0"/>
                    <w:spacing w:after="0" w:line="240" w:lineRule="auto"/>
                    <w:jc w:val="center"/>
                    <w:rPr>
                      <w:color w:val="auto"/>
                      <w:sz w:val="21"/>
                      <w:szCs w:val="21"/>
                    </w:rPr>
                  </w:pPr>
                  <w:r>
                    <w:rPr>
                      <w:color w:val="auto"/>
                      <w:sz w:val="21"/>
                      <w:szCs w:val="21"/>
                    </w:rPr>
                    <w:t>昼间</w:t>
                  </w:r>
                </w:p>
              </w:tc>
              <w:tc>
                <w:tcPr>
                  <w:tcW w:w="1092" w:type="dxa"/>
                  <w:vAlign w:val="center"/>
                </w:tcPr>
                <w:p w14:paraId="6050546D">
                  <w:pPr>
                    <w:pStyle w:val="14"/>
                    <w:adjustRightInd w:val="0"/>
                    <w:spacing w:after="0" w:line="240" w:lineRule="auto"/>
                    <w:jc w:val="center"/>
                    <w:rPr>
                      <w:color w:val="auto"/>
                      <w:sz w:val="21"/>
                      <w:szCs w:val="21"/>
                    </w:rPr>
                  </w:pPr>
                  <w:r>
                    <w:rPr>
                      <w:rFonts w:hint="eastAsia"/>
                      <w:color w:val="auto"/>
                      <w:sz w:val="21"/>
                      <w:szCs w:val="21"/>
                    </w:rPr>
                    <w:t>29.35</w:t>
                  </w:r>
                </w:p>
              </w:tc>
              <w:tc>
                <w:tcPr>
                  <w:tcW w:w="924" w:type="dxa"/>
                  <w:vAlign w:val="center"/>
                </w:tcPr>
                <w:p w14:paraId="04C3D4C9">
                  <w:pPr>
                    <w:pStyle w:val="14"/>
                    <w:adjustRightInd w:val="0"/>
                    <w:spacing w:after="0" w:line="240" w:lineRule="auto"/>
                    <w:jc w:val="center"/>
                    <w:rPr>
                      <w:color w:val="auto"/>
                      <w:sz w:val="21"/>
                      <w:szCs w:val="21"/>
                    </w:rPr>
                  </w:pPr>
                  <w:r>
                    <w:rPr>
                      <w:rFonts w:hint="eastAsia"/>
                      <w:color w:val="auto"/>
                      <w:sz w:val="21"/>
                      <w:szCs w:val="21"/>
                    </w:rPr>
                    <w:t>56</w:t>
                  </w:r>
                </w:p>
              </w:tc>
              <w:tc>
                <w:tcPr>
                  <w:tcW w:w="1038" w:type="dxa"/>
                  <w:vAlign w:val="center"/>
                </w:tcPr>
                <w:p w14:paraId="67C6DECF">
                  <w:pPr>
                    <w:pStyle w:val="14"/>
                    <w:adjustRightInd w:val="0"/>
                    <w:spacing w:after="0" w:line="240" w:lineRule="auto"/>
                    <w:jc w:val="center"/>
                    <w:rPr>
                      <w:color w:val="auto"/>
                      <w:sz w:val="21"/>
                      <w:szCs w:val="21"/>
                    </w:rPr>
                  </w:pPr>
                  <w:r>
                    <w:rPr>
                      <w:rFonts w:hint="eastAsia"/>
                      <w:color w:val="auto"/>
                      <w:sz w:val="21"/>
                      <w:szCs w:val="21"/>
                    </w:rPr>
                    <w:t>56.01</w:t>
                  </w:r>
                </w:p>
              </w:tc>
              <w:tc>
                <w:tcPr>
                  <w:tcW w:w="1092" w:type="dxa"/>
                  <w:vAlign w:val="center"/>
                </w:tcPr>
                <w:p w14:paraId="535EA974">
                  <w:pPr>
                    <w:pStyle w:val="14"/>
                    <w:adjustRightInd w:val="0"/>
                    <w:spacing w:after="0" w:line="240" w:lineRule="auto"/>
                    <w:jc w:val="center"/>
                    <w:rPr>
                      <w:color w:val="auto"/>
                      <w:sz w:val="21"/>
                      <w:szCs w:val="21"/>
                    </w:rPr>
                  </w:pPr>
                  <w:r>
                    <w:rPr>
                      <w:rFonts w:hint="eastAsia"/>
                      <w:color w:val="auto"/>
                      <w:sz w:val="21"/>
                      <w:szCs w:val="21"/>
                    </w:rPr>
                    <w:t>60</w:t>
                  </w:r>
                </w:p>
              </w:tc>
              <w:tc>
                <w:tcPr>
                  <w:tcW w:w="643" w:type="dxa"/>
                  <w:vAlign w:val="center"/>
                </w:tcPr>
                <w:p w14:paraId="7197A373">
                  <w:pPr>
                    <w:pStyle w:val="14"/>
                    <w:adjustRightInd w:val="0"/>
                    <w:spacing w:after="0" w:line="240" w:lineRule="auto"/>
                    <w:jc w:val="center"/>
                    <w:rPr>
                      <w:color w:val="auto"/>
                      <w:sz w:val="21"/>
                      <w:szCs w:val="21"/>
                    </w:rPr>
                  </w:pPr>
                  <w:r>
                    <w:rPr>
                      <w:color w:val="auto"/>
                      <w:sz w:val="21"/>
                      <w:szCs w:val="21"/>
                    </w:rPr>
                    <w:t>达标</w:t>
                  </w:r>
                </w:p>
              </w:tc>
            </w:tr>
            <w:tr w14:paraId="448B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6" w:type="dxa"/>
                  <w:vMerge w:val="continue"/>
                  <w:vAlign w:val="center"/>
                </w:tcPr>
                <w:p w14:paraId="3113E76B">
                  <w:pPr>
                    <w:pStyle w:val="14"/>
                    <w:adjustRightInd w:val="0"/>
                    <w:spacing w:after="0" w:line="240" w:lineRule="auto"/>
                    <w:jc w:val="center"/>
                    <w:rPr>
                      <w:color w:val="auto"/>
                      <w:sz w:val="21"/>
                      <w:szCs w:val="21"/>
                    </w:rPr>
                  </w:pPr>
                </w:p>
              </w:tc>
              <w:tc>
                <w:tcPr>
                  <w:tcW w:w="805" w:type="dxa"/>
                  <w:vMerge w:val="continue"/>
                  <w:vAlign w:val="center"/>
                </w:tcPr>
                <w:p w14:paraId="63A1AF10">
                  <w:pPr>
                    <w:pStyle w:val="14"/>
                    <w:adjustRightInd w:val="0"/>
                    <w:spacing w:after="0" w:line="240" w:lineRule="auto"/>
                    <w:jc w:val="center"/>
                    <w:rPr>
                      <w:color w:val="auto"/>
                      <w:sz w:val="21"/>
                      <w:szCs w:val="21"/>
                    </w:rPr>
                  </w:pPr>
                </w:p>
              </w:tc>
              <w:tc>
                <w:tcPr>
                  <w:tcW w:w="784" w:type="dxa"/>
                  <w:vMerge w:val="continue"/>
                  <w:vAlign w:val="center"/>
                </w:tcPr>
                <w:p w14:paraId="4CC5E5AF">
                  <w:pPr>
                    <w:pStyle w:val="14"/>
                    <w:adjustRightInd w:val="0"/>
                    <w:spacing w:after="0" w:line="240" w:lineRule="auto"/>
                    <w:jc w:val="center"/>
                    <w:rPr>
                      <w:color w:val="auto"/>
                      <w:sz w:val="21"/>
                      <w:szCs w:val="21"/>
                    </w:rPr>
                  </w:pPr>
                </w:p>
              </w:tc>
              <w:tc>
                <w:tcPr>
                  <w:tcW w:w="592" w:type="dxa"/>
                  <w:vMerge w:val="continue"/>
                  <w:vAlign w:val="center"/>
                </w:tcPr>
                <w:p w14:paraId="5F09417D">
                  <w:pPr>
                    <w:pStyle w:val="14"/>
                    <w:adjustRightInd w:val="0"/>
                    <w:spacing w:after="0" w:line="240" w:lineRule="auto"/>
                    <w:jc w:val="center"/>
                    <w:rPr>
                      <w:color w:val="auto"/>
                      <w:sz w:val="21"/>
                      <w:szCs w:val="21"/>
                    </w:rPr>
                  </w:pPr>
                </w:p>
              </w:tc>
              <w:tc>
                <w:tcPr>
                  <w:tcW w:w="539" w:type="dxa"/>
                  <w:vAlign w:val="center"/>
                </w:tcPr>
                <w:p w14:paraId="01224D3A">
                  <w:pPr>
                    <w:pStyle w:val="14"/>
                    <w:adjustRightInd w:val="0"/>
                    <w:spacing w:after="0" w:line="240" w:lineRule="auto"/>
                    <w:jc w:val="center"/>
                    <w:rPr>
                      <w:color w:val="auto"/>
                      <w:sz w:val="21"/>
                      <w:szCs w:val="21"/>
                    </w:rPr>
                  </w:pPr>
                  <w:r>
                    <w:rPr>
                      <w:rFonts w:hint="eastAsia"/>
                      <w:color w:val="auto"/>
                      <w:sz w:val="21"/>
                      <w:szCs w:val="21"/>
                    </w:rPr>
                    <w:t>夜间</w:t>
                  </w:r>
                </w:p>
              </w:tc>
              <w:tc>
                <w:tcPr>
                  <w:tcW w:w="1092" w:type="dxa"/>
                  <w:vAlign w:val="center"/>
                </w:tcPr>
                <w:p w14:paraId="1BF9645E">
                  <w:pPr>
                    <w:pStyle w:val="14"/>
                    <w:adjustRightInd w:val="0"/>
                    <w:spacing w:after="0" w:line="240" w:lineRule="auto"/>
                    <w:jc w:val="center"/>
                    <w:rPr>
                      <w:color w:val="auto"/>
                      <w:sz w:val="21"/>
                      <w:szCs w:val="21"/>
                    </w:rPr>
                  </w:pPr>
                  <w:r>
                    <w:rPr>
                      <w:rFonts w:hint="eastAsia"/>
                      <w:color w:val="auto"/>
                      <w:sz w:val="21"/>
                      <w:szCs w:val="21"/>
                    </w:rPr>
                    <w:t>29.35</w:t>
                  </w:r>
                </w:p>
              </w:tc>
              <w:tc>
                <w:tcPr>
                  <w:tcW w:w="924" w:type="dxa"/>
                  <w:vAlign w:val="center"/>
                </w:tcPr>
                <w:p w14:paraId="498C29C3">
                  <w:pPr>
                    <w:pStyle w:val="14"/>
                    <w:adjustRightInd w:val="0"/>
                    <w:spacing w:after="0" w:line="240" w:lineRule="auto"/>
                    <w:jc w:val="center"/>
                    <w:rPr>
                      <w:color w:val="auto"/>
                      <w:sz w:val="21"/>
                      <w:szCs w:val="21"/>
                    </w:rPr>
                  </w:pPr>
                  <w:r>
                    <w:rPr>
                      <w:rFonts w:hint="eastAsia"/>
                      <w:color w:val="auto"/>
                      <w:sz w:val="21"/>
                      <w:szCs w:val="21"/>
                    </w:rPr>
                    <w:t>48</w:t>
                  </w:r>
                </w:p>
              </w:tc>
              <w:tc>
                <w:tcPr>
                  <w:tcW w:w="1038" w:type="dxa"/>
                  <w:vAlign w:val="center"/>
                </w:tcPr>
                <w:p w14:paraId="212B0B5A">
                  <w:pPr>
                    <w:pStyle w:val="14"/>
                    <w:adjustRightInd w:val="0"/>
                    <w:spacing w:after="0" w:line="240" w:lineRule="auto"/>
                    <w:jc w:val="center"/>
                    <w:rPr>
                      <w:color w:val="auto"/>
                      <w:sz w:val="21"/>
                      <w:szCs w:val="21"/>
                    </w:rPr>
                  </w:pPr>
                  <w:r>
                    <w:rPr>
                      <w:rFonts w:hint="eastAsia"/>
                      <w:color w:val="auto"/>
                      <w:sz w:val="21"/>
                      <w:szCs w:val="21"/>
                    </w:rPr>
                    <w:t>48.06</w:t>
                  </w:r>
                </w:p>
              </w:tc>
              <w:tc>
                <w:tcPr>
                  <w:tcW w:w="1092" w:type="dxa"/>
                  <w:vAlign w:val="center"/>
                </w:tcPr>
                <w:p w14:paraId="0B5F2DE7">
                  <w:pPr>
                    <w:pStyle w:val="14"/>
                    <w:adjustRightInd w:val="0"/>
                    <w:spacing w:after="0" w:line="240" w:lineRule="auto"/>
                    <w:jc w:val="center"/>
                    <w:rPr>
                      <w:color w:val="auto"/>
                      <w:sz w:val="21"/>
                      <w:szCs w:val="21"/>
                    </w:rPr>
                  </w:pPr>
                  <w:r>
                    <w:rPr>
                      <w:rFonts w:hint="eastAsia"/>
                      <w:color w:val="auto"/>
                      <w:sz w:val="21"/>
                      <w:szCs w:val="21"/>
                    </w:rPr>
                    <w:t>50</w:t>
                  </w:r>
                </w:p>
              </w:tc>
              <w:tc>
                <w:tcPr>
                  <w:tcW w:w="643" w:type="dxa"/>
                  <w:vAlign w:val="center"/>
                </w:tcPr>
                <w:p w14:paraId="5D709EDA">
                  <w:pPr>
                    <w:pStyle w:val="14"/>
                    <w:adjustRightInd w:val="0"/>
                    <w:spacing w:after="0" w:line="240" w:lineRule="auto"/>
                    <w:jc w:val="center"/>
                    <w:rPr>
                      <w:color w:val="auto"/>
                      <w:sz w:val="21"/>
                      <w:szCs w:val="21"/>
                    </w:rPr>
                  </w:pPr>
                  <w:r>
                    <w:rPr>
                      <w:color w:val="auto"/>
                      <w:sz w:val="21"/>
                      <w:szCs w:val="21"/>
                    </w:rPr>
                    <w:t>达标</w:t>
                  </w:r>
                </w:p>
              </w:tc>
            </w:tr>
          </w:tbl>
          <w:p w14:paraId="25163404">
            <w:pPr>
              <w:adjustRightInd w:val="0"/>
              <w:snapToGrid w:val="0"/>
              <w:spacing w:before="120" w:beforeLines="50" w:line="360" w:lineRule="auto"/>
              <w:ind w:firstLine="480" w:firstLineChars="200"/>
              <w:rPr>
                <w:color w:val="auto"/>
                <w:sz w:val="24"/>
              </w:rPr>
            </w:pPr>
            <w:r>
              <w:rPr>
                <w:color w:val="auto"/>
                <w:sz w:val="24"/>
              </w:rPr>
              <w:t>从表</w:t>
            </w:r>
            <w:r>
              <w:rPr>
                <w:rFonts w:hint="eastAsia"/>
                <w:color w:val="auto"/>
                <w:sz w:val="24"/>
              </w:rPr>
              <w:t>4-32</w:t>
            </w:r>
            <w:r>
              <w:rPr>
                <w:color w:val="auto"/>
                <w:sz w:val="24"/>
              </w:rPr>
              <w:t>可以看出，当</w:t>
            </w:r>
            <w:r>
              <w:rPr>
                <w:rFonts w:hint="eastAsia"/>
                <w:color w:val="auto"/>
                <w:sz w:val="24"/>
              </w:rPr>
              <w:t>项目设备正常</w:t>
            </w:r>
            <w:r>
              <w:rPr>
                <w:color w:val="auto"/>
                <w:sz w:val="24"/>
              </w:rPr>
              <w:t>工作时，</w:t>
            </w:r>
            <w:r>
              <w:rPr>
                <w:rFonts w:hint="eastAsia"/>
                <w:color w:val="auto"/>
                <w:sz w:val="24"/>
              </w:rPr>
              <w:t>项目噪声对九龙街道的</w:t>
            </w:r>
            <w:r>
              <w:rPr>
                <w:color w:val="auto"/>
                <w:sz w:val="24"/>
              </w:rPr>
              <w:t>噪声</w:t>
            </w:r>
            <w:r>
              <w:rPr>
                <w:rFonts w:hint="eastAsia"/>
                <w:color w:val="auto"/>
                <w:sz w:val="24"/>
              </w:rPr>
              <w:t>预测结果</w:t>
            </w:r>
            <w:r>
              <w:rPr>
                <w:color w:val="auto"/>
                <w:sz w:val="24"/>
              </w:rPr>
              <w:t>均能达到</w:t>
            </w:r>
            <w:r>
              <w:rPr>
                <w:bCs/>
                <w:color w:val="auto"/>
                <w:sz w:val="24"/>
              </w:rPr>
              <w:t>《声环境质量标准》（GB3096-2008）</w:t>
            </w:r>
            <w:r>
              <w:rPr>
                <w:rFonts w:hint="eastAsia"/>
                <w:bCs/>
                <w:color w:val="auto"/>
                <w:sz w:val="24"/>
              </w:rPr>
              <w:t>2</w:t>
            </w:r>
            <w:r>
              <w:rPr>
                <w:bCs/>
                <w:color w:val="auto"/>
                <w:sz w:val="24"/>
              </w:rPr>
              <w:t>类区标准要求。</w:t>
            </w:r>
            <w:r>
              <w:rPr>
                <w:color w:val="auto"/>
                <w:sz w:val="24"/>
              </w:rPr>
              <w:t>故项目建设运营对周边保护目标声环境影响不大。</w:t>
            </w:r>
          </w:p>
          <w:p w14:paraId="5FD63858">
            <w:pPr>
              <w:snapToGrid w:val="0"/>
              <w:spacing w:line="360" w:lineRule="auto"/>
              <w:ind w:firstLine="480" w:firstLineChars="200"/>
              <w:rPr>
                <w:color w:val="auto"/>
                <w:sz w:val="24"/>
              </w:rPr>
            </w:pPr>
            <w:r>
              <w:rPr>
                <w:color w:val="auto"/>
                <w:sz w:val="24"/>
              </w:rPr>
              <w:t>为进一步减少项目设备噪声对周围环境的影响，环评要求噪声防治应采取以下对策措施：</w:t>
            </w:r>
          </w:p>
          <w:p w14:paraId="383C7F55">
            <w:pPr>
              <w:snapToGrid w:val="0"/>
              <w:spacing w:line="360" w:lineRule="auto"/>
              <w:ind w:firstLine="480" w:firstLineChars="200"/>
              <w:rPr>
                <w:rFonts w:hint="eastAsia" w:ascii="宋体" w:hAnsi="宋体"/>
                <w:color w:val="auto"/>
                <w:sz w:val="24"/>
              </w:rPr>
            </w:pPr>
            <w:r>
              <w:rPr>
                <w:rFonts w:ascii="宋体" w:hAnsi="宋体"/>
                <w:color w:val="auto"/>
                <w:sz w:val="24"/>
              </w:rPr>
              <w:t>①合理安排设备安放位置，尽可能利用距离进行声级衰减；</w:t>
            </w:r>
          </w:p>
          <w:p w14:paraId="03EDA0EC">
            <w:pPr>
              <w:snapToGrid w:val="0"/>
              <w:spacing w:line="360" w:lineRule="auto"/>
              <w:ind w:firstLine="480" w:firstLineChars="200"/>
              <w:rPr>
                <w:rFonts w:hint="eastAsia" w:ascii="宋体" w:hAnsi="宋体"/>
                <w:color w:val="auto"/>
                <w:sz w:val="24"/>
              </w:rPr>
            </w:pPr>
            <w:r>
              <w:rPr>
                <w:rFonts w:ascii="宋体" w:hAnsi="宋体"/>
                <w:color w:val="auto"/>
                <w:sz w:val="24"/>
              </w:rPr>
              <w:t>②选用低噪声设备，高噪声设备必须安装在加有减振垫的隔振基础上，同时设备之间保持间距，避免噪声叠加影响。</w:t>
            </w:r>
          </w:p>
          <w:p w14:paraId="4E432452">
            <w:pPr>
              <w:snapToGrid w:val="0"/>
              <w:spacing w:line="360" w:lineRule="auto"/>
              <w:ind w:firstLine="480" w:firstLineChars="200"/>
              <w:rPr>
                <w:color w:val="auto"/>
                <w:sz w:val="24"/>
              </w:rPr>
            </w:pPr>
            <w:r>
              <w:rPr>
                <w:color w:val="auto"/>
                <w:sz w:val="24"/>
              </w:rPr>
              <w:t>经采取上述措施后进一步减小本项目噪声对周围环境的影响。</w:t>
            </w:r>
          </w:p>
          <w:p w14:paraId="00D54C8A">
            <w:pPr>
              <w:pStyle w:val="14"/>
              <w:widowControl w:val="0"/>
              <w:snapToGrid/>
              <w:spacing w:after="0" w:line="360" w:lineRule="auto"/>
              <w:ind w:right="0" w:firstLine="482"/>
              <w:rPr>
                <w:color w:val="auto"/>
                <w:sz w:val="24"/>
              </w:rPr>
            </w:pPr>
            <w:r>
              <w:rPr>
                <w:rFonts w:hint="eastAsia" w:ascii="宋体" w:hAnsi="宋体" w:cs="宋体"/>
                <w:color w:val="auto"/>
                <w:sz w:val="24"/>
              </w:rPr>
              <w:t>3）杨广卫生院厂界噪声达标情况</w:t>
            </w:r>
          </w:p>
          <w:p w14:paraId="11E5E915">
            <w:pPr>
              <w:rPr>
                <w:color w:val="auto"/>
              </w:rPr>
            </w:pPr>
          </w:p>
          <w:p w14:paraId="3C2B7EC8">
            <w:pPr>
              <w:pStyle w:val="32"/>
              <w:ind w:firstLine="0" w:firstLineChars="0"/>
              <w:jc w:val="center"/>
              <w:rPr>
                <w:color w:val="auto"/>
              </w:rPr>
            </w:pPr>
            <w:r>
              <w:rPr>
                <w:color w:val="auto"/>
              </w:rPr>
              <w:drawing>
                <wp:inline distT="0" distB="0" distL="0" distR="0">
                  <wp:extent cx="4762500" cy="3533775"/>
                  <wp:effectExtent l="0" t="0" r="0" b="0"/>
                  <wp:docPr id="1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762500" cy="3533775"/>
                          </a:xfrm>
                          <a:prstGeom prst="rect">
                            <a:avLst/>
                          </a:prstGeom>
                          <a:noFill/>
                          <a:ln>
                            <a:noFill/>
                          </a:ln>
                        </pic:spPr>
                      </pic:pic>
                    </a:graphicData>
                  </a:graphic>
                </wp:inline>
              </w:drawing>
            </w:r>
          </w:p>
          <w:p w14:paraId="6BAB8DD1">
            <w:pPr>
              <w:pStyle w:val="31"/>
              <w:spacing w:before="0" w:after="0" w:line="360" w:lineRule="auto"/>
              <w:ind w:right="0" w:firstLine="0" w:firstLineChars="0"/>
              <w:jc w:val="center"/>
              <w:rPr>
                <w:b/>
                <w:bCs/>
                <w:color w:val="auto"/>
                <w:sz w:val="24"/>
                <w:szCs w:val="24"/>
              </w:rPr>
            </w:pPr>
            <w:r>
              <w:rPr>
                <w:b/>
                <w:bCs/>
                <w:color w:val="auto"/>
                <w:sz w:val="24"/>
                <w:szCs w:val="24"/>
              </w:rPr>
              <w:t>图4-</w:t>
            </w:r>
            <w:r>
              <w:rPr>
                <w:rFonts w:hint="eastAsia"/>
                <w:b/>
                <w:bCs/>
                <w:color w:val="auto"/>
                <w:sz w:val="24"/>
                <w:szCs w:val="24"/>
              </w:rPr>
              <w:t>5</w:t>
            </w:r>
            <w:r>
              <w:rPr>
                <w:b/>
                <w:bCs/>
                <w:color w:val="auto"/>
                <w:sz w:val="24"/>
                <w:szCs w:val="24"/>
              </w:rPr>
              <w:t>项目</w:t>
            </w:r>
            <w:r>
              <w:rPr>
                <w:rFonts w:hint="eastAsia"/>
                <w:b/>
                <w:bCs/>
                <w:color w:val="auto"/>
                <w:sz w:val="24"/>
                <w:szCs w:val="24"/>
              </w:rPr>
              <w:t>（杨广卫生院）</w:t>
            </w:r>
            <w:r>
              <w:rPr>
                <w:b/>
                <w:bCs/>
                <w:color w:val="auto"/>
                <w:sz w:val="24"/>
                <w:szCs w:val="24"/>
              </w:rPr>
              <w:t>厂界噪声贡献值预测结果图</w:t>
            </w:r>
          </w:p>
          <w:p w14:paraId="2F6C7447">
            <w:pPr>
              <w:snapToGrid w:val="0"/>
              <w:spacing w:line="360" w:lineRule="auto"/>
              <w:ind w:firstLine="480" w:firstLineChars="200"/>
              <w:rPr>
                <w:color w:val="auto"/>
                <w:sz w:val="24"/>
              </w:rPr>
            </w:pPr>
            <w:r>
              <w:rPr>
                <w:color w:val="auto"/>
                <w:sz w:val="24"/>
              </w:rPr>
              <w:t>通过预测模型计算，项目</w:t>
            </w:r>
            <w:r>
              <w:rPr>
                <w:rFonts w:hint="eastAsia"/>
                <w:color w:val="auto"/>
                <w:sz w:val="24"/>
              </w:rPr>
              <w:t>杨广卫生院</w:t>
            </w:r>
            <w:r>
              <w:rPr>
                <w:color w:val="auto"/>
                <w:sz w:val="24"/>
              </w:rPr>
              <w:t>厂界噪声的最大值预测结果与达标分析见表4-</w:t>
            </w:r>
            <w:r>
              <w:rPr>
                <w:rFonts w:hint="eastAsia"/>
                <w:color w:val="auto"/>
                <w:sz w:val="24"/>
              </w:rPr>
              <w:t>35</w:t>
            </w:r>
            <w:r>
              <w:rPr>
                <w:color w:val="auto"/>
                <w:sz w:val="24"/>
              </w:rPr>
              <w:t>。</w:t>
            </w:r>
          </w:p>
          <w:p w14:paraId="6EB58A40">
            <w:pPr>
              <w:adjustRightInd w:val="0"/>
              <w:snapToGrid w:val="0"/>
              <w:jc w:val="center"/>
              <w:rPr>
                <w:b/>
                <w:bCs/>
                <w:color w:val="auto"/>
                <w:kern w:val="0"/>
                <w:sz w:val="24"/>
              </w:rPr>
            </w:pPr>
            <w:r>
              <w:rPr>
                <w:rFonts w:hint="eastAsia"/>
                <w:b/>
                <w:bCs/>
                <w:color w:val="auto"/>
                <w:kern w:val="0"/>
                <w:sz w:val="24"/>
              </w:rPr>
              <w:t>表4-35 各噪声源至厂界贡献值一次单位：dB（A）</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95"/>
              <w:gridCol w:w="795"/>
              <w:gridCol w:w="590"/>
              <w:gridCol w:w="675"/>
              <w:gridCol w:w="1247"/>
              <w:gridCol w:w="1018"/>
              <w:gridCol w:w="1003"/>
              <w:gridCol w:w="1060"/>
              <w:gridCol w:w="844"/>
            </w:tblGrid>
            <w:tr w14:paraId="347A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restart"/>
                  <w:vAlign w:val="center"/>
                </w:tcPr>
                <w:p w14:paraId="4585BDE0">
                  <w:pPr>
                    <w:pStyle w:val="14"/>
                    <w:adjustRightInd w:val="0"/>
                    <w:spacing w:after="0" w:line="240" w:lineRule="auto"/>
                    <w:jc w:val="center"/>
                    <w:rPr>
                      <w:color w:val="auto"/>
                      <w:sz w:val="21"/>
                      <w:szCs w:val="21"/>
                    </w:rPr>
                  </w:pPr>
                  <w:r>
                    <w:rPr>
                      <w:color w:val="auto"/>
                      <w:sz w:val="21"/>
                      <w:szCs w:val="21"/>
                    </w:rPr>
                    <w:t>预测点</w:t>
                  </w:r>
                </w:p>
              </w:tc>
              <w:tc>
                <w:tcPr>
                  <w:tcW w:w="2196" w:type="dxa"/>
                  <w:gridSpan w:val="3"/>
                  <w:vAlign w:val="center"/>
                </w:tcPr>
                <w:p w14:paraId="36D20155">
                  <w:pPr>
                    <w:pStyle w:val="14"/>
                    <w:adjustRightInd w:val="0"/>
                    <w:spacing w:after="0" w:line="240" w:lineRule="auto"/>
                    <w:jc w:val="center"/>
                    <w:rPr>
                      <w:color w:val="auto"/>
                      <w:sz w:val="21"/>
                      <w:szCs w:val="21"/>
                    </w:rPr>
                  </w:pPr>
                  <w:r>
                    <w:rPr>
                      <w:color w:val="auto"/>
                      <w:sz w:val="21"/>
                      <w:szCs w:val="21"/>
                    </w:rPr>
                    <w:t>空间相对位置/m</w:t>
                  </w:r>
                </w:p>
              </w:tc>
              <w:tc>
                <w:tcPr>
                  <w:tcW w:w="680" w:type="dxa"/>
                  <w:vMerge w:val="restart"/>
                  <w:vAlign w:val="center"/>
                </w:tcPr>
                <w:p w14:paraId="3189F43E">
                  <w:pPr>
                    <w:pStyle w:val="14"/>
                    <w:adjustRightInd w:val="0"/>
                    <w:spacing w:after="0" w:line="240" w:lineRule="auto"/>
                    <w:jc w:val="center"/>
                    <w:rPr>
                      <w:color w:val="auto"/>
                      <w:sz w:val="21"/>
                      <w:szCs w:val="21"/>
                    </w:rPr>
                  </w:pPr>
                  <w:r>
                    <w:rPr>
                      <w:color w:val="auto"/>
                      <w:sz w:val="21"/>
                      <w:szCs w:val="21"/>
                    </w:rPr>
                    <w:t>时段</w:t>
                  </w:r>
                </w:p>
              </w:tc>
              <w:tc>
                <w:tcPr>
                  <w:tcW w:w="1263" w:type="dxa"/>
                  <w:vMerge w:val="restart"/>
                  <w:vAlign w:val="center"/>
                </w:tcPr>
                <w:p w14:paraId="146BCA9D">
                  <w:pPr>
                    <w:pStyle w:val="14"/>
                    <w:adjustRightInd w:val="0"/>
                    <w:spacing w:after="0" w:line="240" w:lineRule="auto"/>
                    <w:jc w:val="center"/>
                    <w:rPr>
                      <w:color w:val="auto"/>
                      <w:sz w:val="21"/>
                      <w:szCs w:val="21"/>
                    </w:rPr>
                  </w:pPr>
                  <w:r>
                    <w:rPr>
                      <w:rFonts w:hint="eastAsia"/>
                      <w:color w:val="auto"/>
                      <w:sz w:val="21"/>
                      <w:szCs w:val="21"/>
                    </w:rPr>
                    <w:t>贡献</w:t>
                  </w:r>
                  <w:r>
                    <w:rPr>
                      <w:color w:val="auto"/>
                      <w:sz w:val="21"/>
                      <w:szCs w:val="21"/>
                    </w:rPr>
                    <w:t>值/dB(A)</w:t>
                  </w:r>
                </w:p>
              </w:tc>
              <w:tc>
                <w:tcPr>
                  <w:tcW w:w="1029" w:type="dxa"/>
                  <w:vMerge w:val="restart"/>
                  <w:vAlign w:val="center"/>
                </w:tcPr>
                <w:p w14:paraId="0648A595">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14" w:type="dxa"/>
                  <w:vMerge w:val="restart"/>
                  <w:vAlign w:val="center"/>
                </w:tcPr>
                <w:p w14:paraId="2C04EF9D">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72" w:type="dxa"/>
                  <w:vMerge w:val="restart"/>
                  <w:vAlign w:val="center"/>
                </w:tcPr>
                <w:p w14:paraId="54693380">
                  <w:pPr>
                    <w:pStyle w:val="14"/>
                    <w:adjustRightInd w:val="0"/>
                    <w:spacing w:after="0" w:line="240" w:lineRule="auto"/>
                    <w:jc w:val="center"/>
                    <w:rPr>
                      <w:color w:val="auto"/>
                      <w:sz w:val="21"/>
                      <w:szCs w:val="21"/>
                    </w:rPr>
                  </w:pPr>
                  <w:r>
                    <w:rPr>
                      <w:color w:val="auto"/>
                      <w:sz w:val="21"/>
                      <w:szCs w:val="21"/>
                    </w:rPr>
                    <w:t>噪声标准值/dB(A)</w:t>
                  </w:r>
                </w:p>
              </w:tc>
              <w:tc>
                <w:tcPr>
                  <w:tcW w:w="852" w:type="dxa"/>
                  <w:vMerge w:val="restart"/>
                  <w:vAlign w:val="center"/>
                </w:tcPr>
                <w:p w14:paraId="62E98AB1">
                  <w:pPr>
                    <w:pStyle w:val="14"/>
                    <w:adjustRightInd w:val="0"/>
                    <w:spacing w:after="0" w:line="240" w:lineRule="auto"/>
                    <w:jc w:val="center"/>
                    <w:rPr>
                      <w:color w:val="auto"/>
                      <w:sz w:val="21"/>
                      <w:szCs w:val="21"/>
                    </w:rPr>
                  </w:pPr>
                  <w:r>
                    <w:rPr>
                      <w:color w:val="auto"/>
                      <w:sz w:val="21"/>
                      <w:szCs w:val="21"/>
                    </w:rPr>
                    <w:t>达标情况</w:t>
                  </w:r>
                </w:p>
              </w:tc>
            </w:tr>
            <w:tr w14:paraId="3D94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5DE4ADF6">
                  <w:pPr>
                    <w:pStyle w:val="14"/>
                    <w:adjustRightInd w:val="0"/>
                    <w:spacing w:after="0" w:line="240" w:lineRule="auto"/>
                    <w:jc w:val="center"/>
                    <w:rPr>
                      <w:color w:val="auto"/>
                      <w:sz w:val="21"/>
                      <w:szCs w:val="21"/>
                    </w:rPr>
                  </w:pPr>
                </w:p>
              </w:tc>
              <w:tc>
                <w:tcPr>
                  <w:tcW w:w="802" w:type="dxa"/>
                  <w:vAlign w:val="center"/>
                </w:tcPr>
                <w:p w14:paraId="28F293BB">
                  <w:pPr>
                    <w:pStyle w:val="14"/>
                    <w:adjustRightInd w:val="0"/>
                    <w:spacing w:after="0" w:line="240" w:lineRule="auto"/>
                    <w:jc w:val="center"/>
                    <w:rPr>
                      <w:color w:val="auto"/>
                      <w:sz w:val="21"/>
                      <w:szCs w:val="21"/>
                    </w:rPr>
                  </w:pPr>
                  <w:r>
                    <w:rPr>
                      <w:color w:val="auto"/>
                      <w:sz w:val="21"/>
                      <w:szCs w:val="21"/>
                    </w:rPr>
                    <w:t>X</w:t>
                  </w:r>
                </w:p>
              </w:tc>
              <w:tc>
                <w:tcPr>
                  <w:tcW w:w="802" w:type="dxa"/>
                  <w:vAlign w:val="center"/>
                </w:tcPr>
                <w:p w14:paraId="7D1A2CD8">
                  <w:pPr>
                    <w:pStyle w:val="14"/>
                    <w:adjustRightInd w:val="0"/>
                    <w:spacing w:after="0" w:line="240" w:lineRule="auto"/>
                    <w:jc w:val="center"/>
                    <w:rPr>
                      <w:color w:val="auto"/>
                      <w:sz w:val="21"/>
                      <w:szCs w:val="21"/>
                    </w:rPr>
                  </w:pPr>
                  <w:r>
                    <w:rPr>
                      <w:color w:val="auto"/>
                      <w:sz w:val="21"/>
                      <w:szCs w:val="21"/>
                    </w:rPr>
                    <w:t>Y</w:t>
                  </w:r>
                </w:p>
              </w:tc>
              <w:tc>
                <w:tcPr>
                  <w:tcW w:w="592" w:type="dxa"/>
                  <w:vAlign w:val="center"/>
                </w:tcPr>
                <w:p w14:paraId="70375858">
                  <w:pPr>
                    <w:pStyle w:val="14"/>
                    <w:adjustRightInd w:val="0"/>
                    <w:spacing w:after="0" w:line="240" w:lineRule="auto"/>
                    <w:jc w:val="center"/>
                    <w:rPr>
                      <w:color w:val="auto"/>
                      <w:sz w:val="21"/>
                      <w:szCs w:val="21"/>
                    </w:rPr>
                  </w:pPr>
                  <w:r>
                    <w:rPr>
                      <w:color w:val="auto"/>
                      <w:sz w:val="21"/>
                      <w:szCs w:val="21"/>
                    </w:rPr>
                    <w:t>Z</w:t>
                  </w:r>
                </w:p>
              </w:tc>
              <w:tc>
                <w:tcPr>
                  <w:tcW w:w="680" w:type="dxa"/>
                  <w:vMerge w:val="continue"/>
                  <w:vAlign w:val="center"/>
                </w:tcPr>
                <w:p w14:paraId="16452E2B">
                  <w:pPr>
                    <w:pStyle w:val="14"/>
                    <w:adjustRightInd w:val="0"/>
                    <w:spacing w:after="0" w:line="240" w:lineRule="auto"/>
                    <w:jc w:val="center"/>
                    <w:rPr>
                      <w:color w:val="auto"/>
                      <w:sz w:val="21"/>
                      <w:szCs w:val="21"/>
                    </w:rPr>
                  </w:pPr>
                </w:p>
              </w:tc>
              <w:tc>
                <w:tcPr>
                  <w:tcW w:w="1263" w:type="dxa"/>
                  <w:vMerge w:val="continue"/>
                  <w:vAlign w:val="center"/>
                </w:tcPr>
                <w:p w14:paraId="7708E762">
                  <w:pPr>
                    <w:pStyle w:val="14"/>
                    <w:adjustRightInd w:val="0"/>
                    <w:spacing w:after="0" w:line="240" w:lineRule="auto"/>
                    <w:jc w:val="center"/>
                    <w:rPr>
                      <w:color w:val="auto"/>
                      <w:sz w:val="21"/>
                      <w:szCs w:val="21"/>
                    </w:rPr>
                  </w:pPr>
                </w:p>
              </w:tc>
              <w:tc>
                <w:tcPr>
                  <w:tcW w:w="1029" w:type="dxa"/>
                  <w:vMerge w:val="continue"/>
                  <w:vAlign w:val="center"/>
                </w:tcPr>
                <w:p w14:paraId="2BA18A8C">
                  <w:pPr>
                    <w:pStyle w:val="14"/>
                    <w:adjustRightInd w:val="0"/>
                    <w:spacing w:after="0" w:line="240" w:lineRule="auto"/>
                    <w:jc w:val="center"/>
                    <w:rPr>
                      <w:color w:val="auto"/>
                      <w:sz w:val="21"/>
                      <w:szCs w:val="21"/>
                    </w:rPr>
                  </w:pPr>
                </w:p>
              </w:tc>
              <w:tc>
                <w:tcPr>
                  <w:tcW w:w="1014" w:type="dxa"/>
                  <w:vMerge w:val="continue"/>
                  <w:vAlign w:val="center"/>
                </w:tcPr>
                <w:p w14:paraId="6F4CDEB8">
                  <w:pPr>
                    <w:pStyle w:val="14"/>
                    <w:adjustRightInd w:val="0"/>
                    <w:spacing w:after="0" w:line="240" w:lineRule="auto"/>
                    <w:jc w:val="center"/>
                    <w:rPr>
                      <w:color w:val="auto"/>
                      <w:sz w:val="21"/>
                      <w:szCs w:val="21"/>
                    </w:rPr>
                  </w:pPr>
                </w:p>
              </w:tc>
              <w:tc>
                <w:tcPr>
                  <w:tcW w:w="1072" w:type="dxa"/>
                  <w:vMerge w:val="continue"/>
                  <w:vAlign w:val="center"/>
                </w:tcPr>
                <w:p w14:paraId="73092C15">
                  <w:pPr>
                    <w:pStyle w:val="14"/>
                    <w:adjustRightInd w:val="0"/>
                    <w:spacing w:after="0" w:line="240" w:lineRule="auto"/>
                    <w:jc w:val="center"/>
                    <w:rPr>
                      <w:color w:val="auto"/>
                      <w:sz w:val="21"/>
                      <w:szCs w:val="21"/>
                    </w:rPr>
                  </w:pPr>
                </w:p>
              </w:tc>
              <w:tc>
                <w:tcPr>
                  <w:tcW w:w="852" w:type="dxa"/>
                  <w:vMerge w:val="continue"/>
                  <w:vAlign w:val="center"/>
                </w:tcPr>
                <w:p w14:paraId="41ED098E">
                  <w:pPr>
                    <w:pStyle w:val="14"/>
                    <w:adjustRightInd w:val="0"/>
                    <w:spacing w:after="0" w:line="240" w:lineRule="auto"/>
                    <w:jc w:val="center"/>
                    <w:rPr>
                      <w:color w:val="auto"/>
                      <w:sz w:val="21"/>
                      <w:szCs w:val="21"/>
                    </w:rPr>
                  </w:pPr>
                </w:p>
              </w:tc>
            </w:tr>
            <w:tr w14:paraId="0C5F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00CE3969">
                  <w:pPr>
                    <w:pStyle w:val="14"/>
                    <w:adjustRightInd w:val="0"/>
                    <w:spacing w:after="0" w:line="240" w:lineRule="auto"/>
                    <w:jc w:val="center"/>
                    <w:rPr>
                      <w:color w:val="auto"/>
                      <w:sz w:val="21"/>
                      <w:szCs w:val="21"/>
                    </w:rPr>
                  </w:pPr>
                  <w:r>
                    <w:rPr>
                      <w:rFonts w:hint="eastAsia"/>
                      <w:color w:val="auto"/>
                      <w:sz w:val="21"/>
                      <w:szCs w:val="21"/>
                    </w:rPr>
                    <w:t>西厂界</w:t>
                  </w:r>
                </w:p>
              </w:tc>
              <w:tc>
                <w:tcPr>
                  <w:tcW w:w="802" w:type="dxa"/>
                  <w:vMerge w:val="restart"/>
                  <w:vAlign w:val="center"/>
                </w:tcPr>
                <w:p w14:paraId="027D34F5">
                  <w:pPr>
                    <w:pStyle w:val="14"/>
                    <w:adjustRightInd w:val="0"/>
                    <w:spacing w:after="0" w:line="240" w:lineRule="auto"/>
                    <w:jc w:val="center"/>
                    <w:rPr>
                      <w:color w:val="auto"/>
                      <w:sz w:val="21"/>
                      <w:szCs w:val="21"/>
                    </w:rPr>
                  </w:pPr>
                  <w:r>
                    <w:rPr>
                      <w:color w:val="auto"/>
                      <w:sz w:val="21"/>
                      <w:szCs w:val="21"/>
                    </w:rPr>
                    <w:t>6.24</w:t>
                  </w:r>
                </w:p>
              </w:tc>
              <w:tc>
                <w:tcPr>
                  <w:tcW w:w="802" w:type="dxa"/>
                  <w:vMerge w:val="restart"/>
                  <w:vAlign w:val="center"/>
                </w:tcPr>
                <w:p w14:paraId="18655D3F">
                  <w:pPr>
                    <w:pStyle w:val="14"/>
                    <w:adjustRightInd w:val="0"/>
                    <w:spacing w:after="0" w:line="240" w:lineRule="auto"/>
                    <w:jc w:val="center"/>
                    <w:rPr>
                      <w:color w:val="auto"/>
                      <w:sz w:val="21"/>
                      <w:szCs w:val="21"/>
                    </w:rPr>
                  </w:pPr>
                  <w:r>
                    <w:rPr>
                      <w:color w:val="auto"/>
                      <w:sz w:val="21"/>
                      <w:szCs w:val="21"/>
                    </w:rPr>
                    <w:t>52.16</w:t>
                  </w:r>
                </w:p>
              </w:tc>
              <w:tc>
                <w:tcPr>
                  <w:tcW w:w="592" w:type="dxa"/>
                  <w:vMerge w:val="restart"/>
                  <w:vAlign w:val="center"/>
                </w:tcPr>
                <w:p w14:paraId="03B6E862">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1AFD9C0F">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0E5899DF">
                  <w:pPr>
                    <w:pStyle w:val="14"/>
                    <w:adjustRightInd w:val="0"/>
                    <w:spacing w:after="0" w:line="240" w:lineRule="auto"/>
                    <w:jc w:val="center"/>
                    <w:rPr>
                      <w:color w:val="auto"/>
                      <w:sz w:val="21"/>
                      <w:szCs w:val="21"/>
                      <w:highlight w:val="cyan"/>
                    </w:rPr>
                  </w:pPr>
                  <w:r>
                    <w:rPr>
                      <w:rFonts w:hint="eastAsia"/>
                      <w:color w:val="auto"/>
                      <w:sz w:val="21"/>
                      <w:szCs w:val="21"/>
                    </w:rPr>
                    <w:t>47.52</w:t>
                  </w:r>
                </w:p>
              </w:tc>
              <w:tc>
                <w:tcPr>
                  <w:tcW w:w="1029" w:type="dxa"/>
                  <w:vAlign w:val="center"/>
                </w:tcPr>
                <w:p w14:paraId="7813B47F">
                  <w:pPr>
                    <w:pStyle w:val="14"/>
                    <w:adjustRightInd w:val="0"/>
                    <w:spacing w:after="0" w:line="240" w:lineRule="auto"/>
                    <w:jc w:val="center"/>
                    <w:rPr>
                      <w:color w:val="auto"/>
                      <w:sz w:val="21"/>
                      <w:szCs w:val="21"/>
                    </w:rPr>
                  </w:pPr>
                  <w:r>
                    <w:rPr>
                      <w:rFonts w:hint="eastAsia"/>
                      <w:color w:val="auto"/>
                      <w:sz w:val="21"/>
                      <w:szCs w:val="21"/>
                    </w:rPr>
                    <w:t>52</w:t>
                  </w:r>
                </w:p>
              </w:tc>
              <w:tc>
                <w:tcPr>
                  <w:tcW w:w="1014" w:type="dxa"/>
                  <w:vAlign w:val="center"/>
                </w:tcPr>
                <w:p w14:paraId="27006257">
                  <w:pPr>
                    <w:pStyle w:val="14"/>
                    <w:adjustRightInd w:val="0"/>
                    <w:spacing w:after="0" w:line="240" w:lineRule="auto"/>
                    <w:jc w:val="center"/>
                    <w:rPr>
                      <w:color w:val="auto"/>
                      <w:sz w:val="21"/>
                      <w:szCs w:val="21"/>
                    </w:rPr>
                  </w:pPr>
                  <w:r>
                    <w:rPr>
                      <w:rFonts w:hint="eastAsia"/>
                      <w:color w:val="auto"/>
                      <w:sz w:val="21"/>
                      <w:szCs w:val="21"/>
                    </w:rPr>
                    <w:t>53.32</w:t>
                  </w:r>
                </w:p>
              </w:tc>
              <w:tc>
                <w:tcPr>
                  <w:tcW w:w="1072" w:type="dxa"/>
                  <w:vAlign w:val="center"/>
                </w:tcPr>
                <w:p w14:paraId="54C95894">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4B580FB7">
                  <w:pPr>
                    <w:pStyle w:val="14"/>
                    <w:adjustRightInd w:val="0"/>
                    <w:spacing w:after="0" w:line="240" w:lineRule="auto"/>
                    <w:jc w:val="center"/>
                    <w:rPr>
                      <w:color w:val="auto"/>
                      <w:sz w:val="21"/>
                      <w:szCs w:val="21"/>
                    </w:rPr>
                  </w:pPr>
                  <w:r>
                    <w:rPr>
                      <w:color w:val="auto"/>
                      <w:sz w:val="21"/>
                      <w:szCs w:val="21"/>
                    </w:rPr>
                    <w:t>达标</w:t>
                  </w:r>
                </w:p>
              </w:tc>
            </w:tr>
            <w:tr w14:paraId="3088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4E699B11">
                  <w:pPr>
                    <w:pStyle w:val="14"/>
                    <w:adjustRightInd w:val="0"/>
                    <w:spacing w:after="0" w:line="240" w:lineRule="auto"/>
                    <w:jc w:val="center"/>
                    <w:rPr>
                      <w:color w:val="auto"/>
                      <w:sz w:val="21"/>
                      <w:szCs w:val="21"/>
                    </w:rPr>
                  </w:pPr>
                </w:p>
              </w:tc>
              <w:tc>
                <w:tcPr>
                  <w:tcW w:w="802" w:type="dxa"/>
                  <w:vMerge w:val="continue"/>
                  <w:vAlign w:val="center"/>
                </w:tcPr>
                <w:p w14:paraId="446EAD39">
                  <w:pPr>
                    <w:pStyle w:val="14"/>
                    <w:adjustRightInd w:val="0"/>
                    <w:spacing w:after="0" w:line="240" w:lineRule="auto"/>
                    <w:jc w:val="center"/>
                    <w:rPr>
                      <w:color w:val="auto"/>
                      <w:sz w:val="21"/>
                      <w:szCs w:val="21"/>
                    </w:rPr>
                  </w:pPr>
                </w:p>
              </w:tc>
              <w:tc>
                <w:tcPr>
                  <w:tcW w:w="802" w:type="dxa"/>
                  <w:vMerge w:val="continue"/>
                  <w:vAlign w:val="center"/>
                </w:tcPr>
                <w:p w14:paraId="64F83993">
                  <w:pPr>
                    <w:pStyle w:val="14"/>
                    <w:adjustRightInd w:val="0"/>
                    <w:spacing w:after="0" w:line="240" w:lineRule="auto"/>
                    <w:jc w:val="center"/>
                    <w:rPr>
                      <w:color w:val="auto"/>
                      <w:sz w:val="21"/>
                      <w:szCs w:val="21"/>
                    </w:rPr>
                  </w:pPr>
                </w:p>
              </w:tc>
              <w:tc>
                <w:tcPr>
                  <w:tcW w:w="592" w:type="dxa"/>
                  <w:vMerge w:val="continue"/>
                  <w:vAlign w:val="center"/>
                </w:tcPr>
                <w:p w14:paraId="21C59C63">
                  <w:pPr>
                    <w:pStyle w:val="14"/>
                    <w:adjustRightInd w:val="0"/>
                    <w:spacing w:after="0" w:line="240" w:lineRule="auto"/>
                    <w:jc w:val="center"/>
                    <w:rPr>
                      <w:color w:val="auto"/>
                      <w:sz w:val="21"/>
                      <w:szCs w:val="21"/>
                    </w:rPr>
                  </w:pPr>
                </w:p>
              </w:tc>
              <w:tc>
                <w:tcPr>
                  <w:tcW w:w="680" w:type="dxa"/>
                  <w:vAlign w:val="center"/>
                </w:tcPr>
                <w:p w14:paraId="350D4F97">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5AB33496">
                  <w:pPr>
                    <w:pStyle w:val="14"/>
                    <w:adjustRightInd w:val="0"/>
                    <w:spacing w:after="0" w:line="240" w:lineRule="auto"/>
                    <w:jc w:val="center"/>
                    <w:rPr>
                      <w:color w:val="auto"/>
                      <w:sz w:val="21"/>
                      <w:szCs w:val="21"/>
                    </w:rPr>
                  </w:pPr>
                  <w:r>
                    <w:rPr>
                      <w:rFonts w:hint="eastAsia"/>
                      <w:color w:val="auto"/>
                      <w:sz w:val="21"/>
                      <w:szCs w:val="21"/>
                    </w:rPr>
                    <w:t>47.52</w:t>
                  </w:r>
                </w:p>
              </w:tc>
              <w:tc>
                <w:tcPr>
                  <w:tcW w:w="1029" w:type="dxa"/>
                  <w:vAlign w:val="center"/>
                </w:tcPr>
                <w:p w14:paraId="27F54B71">
                  <w:pPr>
                    <w:pStyle w:val="14"/>
                    <w:adjustRightInd w:val="0"/>
                    <w:spacing w:after="0" w:line="240" w:lineRule="auto"/>
                    <w:jc w:val="center"/>
                    <w:rPr>
                      <w:color w:val="auto"/>
                      <w:sz w:val="21"/>
                      <w:szCs w:val="21"/>
                    </w:rPr>
                  </w:pPr>
                  <w:r>
                    <w:rPr>
                      <w:rFonts w:hint="eastAsia"/>
                      <w:color w:val="auto"/>
                      <w:sz w:val="21"/>
                      <w:szCs w:val="21"/>
                    </w:rPr>
                    <w:t>42</w:t>
                  </w:r>
                </w:p>
              </w:tc>
              <w:tc>
                <w:tcPr>
                  <w:tcW w:w="1014" w:type="dxa"/>
                  <w:vAlign w:val="center"/>
                </w:tcPr>
                <w:p w14:paraId="085BE594">
                  <w:pPr>
                    <w:pStyle w:val="14"/>
                    <w:adjustRightInd w:val="0"/>
                    <w:spacing w:after="0" w:line="240" w:lineRule="auto"/>
                    <w:jc w:val="center"/>
                    <w:rPr>
                      <w:color w:val="auto"/>
                      <w:sz w:val="21"/>
                      <w:szCs w:val="21"/>
                    </w:rPr>
                  </w:pPr>
                  <w:r>
                    <w:rPr>
                      <w:rFonts w:hint="eastAsia"/>
                      <w:color w:val="auto"/>
                      <w:sz w:val="21"/>
                      <w:szCs w:val="21"/>
                    </w:rPr>
                    <w:t>48.6</w:t>
                  </w:r>
                </w:p>
              </w:tc>
              <w:tc>
                <w:tcPr>
                  <w:tcW w:w="1072" w:type="dxa"/>
                  <w:vAlign w:val="center"/>
                </w:tcPr>
                <w:p w14:paraId="488302BB">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650CA0F7">
                  <w:pPr>
                    <w:pStyle w:val="14"/>
                    <w:adjustRightInd w:val="0"/>
                    <w:spacing w:after="0" w:line="240" w:lineRule="auto"/>
                    <w:jc w:val="center"/>
                    <w:rPr>
                      <w:color w:val="auto"/>
                      <w:sz w:val="21"/>
                      <w:szCs w:val="21"/>
                    </w:rPr>
                  </w:pPr>
                  <w:r>
                    <w:rPr>
                      <w:color w:val="auto"/>
                      <w:sz w:val="21"/>
                      <w:szCs w:val="21"/>
                    </w:rPr>
                    <w:t>达标</w:t>
                  </w:r>
                </w:p>
              </w:tc>
            </w:tr>
            <w:tr w14:paraId="4E2A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6D622CD6">
                  <w:pPr>
                    <w:pStyle w:val="14"/>
                    <w:adjustRightInd w:val="0"/>
                    <w:spacing w:after="0" w:line="240" w:lineRule="auto"/>
                    <w:jc w:val="center"/>
                    <w:rPr>
                      <w:color w:val="auto"/>
                      <w:sz w:val="21"/>
                      <w:szCs w:val="21"/>
                    </w:rPr>
                  </w:pPr>
                  <w:r>
                    <w:rPr>
                      <w:rFonts w:hint="eastAsia"/>
                      <w:color w:val="auto"/>
                      <w:sz w:val="21"/>
                      <w:szCs w:val="21"/>
                    </w:rPr>
                    <w:t>东厂界</w:t>
                  </w:r>
                </w:p>
              </w:tc>
              <w:tc>
                <w:tcPr>
                  <w:tcW w:w="802" w:type="dxa"/>
                  <w:vMerge w:val="restart"/>
                  <w:vAlign w:val="center"/>
                </w:tcPr>
                <w:p w14:paraId="6A5EFFEE">
                  <w:pPr>
                    <w:pStyle w:val="14"/>
                    <w:adjustRightInd w:val="0"/>
                    <w:spacing w:after="0" w:line="240" w:lineRule="auto"/>
                    <w:jc w:val="center"/>
                    <w:rPr>
                      <w:color w:val="auto"/>
                      <w:sz w:val="21"/>
                      <w:szCs w:val="21"/>
                    </w:rPr>
                  </w:pPr>
                  <w:r>
                    <w:rPr>
                      <w:color w:val="auto"/>
                      <w:sz w:val="21"/>
                      <w:szCs w:val="21"/>
                    </w:rPr>
                    <w:t>51.32</w:t>
                  </w:r>
                </w:p>
              </w:tc>
              <w:tc>
                <w:tcPr>
                  <w:tcW w:w="802" w:type="dxa"/>
                  <w:vMerge w:val="restart"/>
                  <w:vAlign w:val="center"/>
                </w:tcPr>
                <w:p w14:paraId="598D46C5">
                  <w:pPr>
                    <w:pStyle w:val="14"/>
                    <w:adjustRightInd w:val="0"/>
                    <w:spacing w:after="0" w:line="240" w:lineRule="auto"/>
                    <w:jc w:val="center"/>
                    <w:rPr>
                      <w:color w:val="auto"/>
                      <w:sz w:val="21"/>
                      <w:szCs w:val="21"/>
                    </w:rPr>
                  </w:pPr>
                  <w:r>
                    <w:rPr>
                      <w:color w:val="auto"/>
                      <w:sz w:val="21"/>
                      <w:szCs w:val="21"/>
                    </w:rPr>
                    <w:t>76.61</w:t>
                  </w:r>
                </w:p>
              </w:tc>
              <w:tc>
                <w:tcPr>
                  <w:tcW w:w="592" w:type="dxa"/>
                  <w:vMerge w:val="restart"/>
                  <w:vAlign w:val="center"/>
                </w:tcPr>
                <w:p w14:paraId="1BE0D055">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1AA4FB69">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464DBD44">
                  <w:pPr>
                    <w:pStyle w:val="14"/>
                    <w:adjustRightInd w:val="0"/>
                    <w:spacing w:after="0" w:line="240" w:lineRule="auto"/>
                    <w:jc w:val="center"/>
                    <w:rPr>
                      <w:color w:val="auto"/>
                      <w:sz w:val="21"/>
                      <w:szCs w:val="21"/>
                    </w:rPr>
                  </w:pPr>
                  <w:r>
                    <w:rPr>
                      <w:rFonts w:hint="eastAsia"/>
                      <w:color w:val="auto"/>
                      <w:sz w:val="21"/>
                      <w:szCs w:val="21"/>
                    </w:rPr>
                    <w:t>38.26</w:t>
                  </w:r>
                </w:p>
              </w:tc>
              <w:tc>
                <w:tcPr>
                  <w:tcW w:w="1029" w:type="dxa"/>
                  <w:vAlign w:val="center"/>
                </w:tcPr>
                <w:p w14:paraId="2F62B68A">
                  <w:pPr>
                    <w:pStyle w:val="14"/>
                    <w:adjustRightInd w:val="0"/>
                    <w:spacing w:after="0" w:line="240" w:lineRule="auto"/>
                    <w:jc w:val="center"/>
                    <w:rPr>
                      <w:color w:val="auto"/>
                      <w:sz w:val="21"/>
                      <w:szCs w:val="21"/>
                    </w:rPr>
                  </w:pPr>
                  <w:r>
                    <w:rPr>
                      <w:rFonts w:hint="eastAsia"/>
                      <w:color w:val="auto"/>
                      <w:sz w:val="21"/>
                      <w:szCs w:val="21"/>
                    </w:rPr>
                    <w:t>46</w:t>
                  </w:r>
                </w:p>
              </w:tc>
              <w:tc>
                <w:tcPr>
                  <w:tcW w:w="1014" w:type="dxa"/>
                  <w:vAlign w:val="center"/>
                </w:tcPr>
                <w:p w14:paraId="7901A7FE">
                  <w:pPr>
                    <w:pStyle w:val="14"/>
                    <w:adjustRightInd w:val="0"/>
                    <w:spacing w:after="0" w:line="240" w:lineRule="auto"/>
                    <w:jc w:val="center"/>
                    <w:rPr>
                      <w:color w:val="auto"/>
                      <w:sz w:val="21"/>
                      <w:szCs w:val="21"/>
                    </w:rPr>
                  </w:pPr>
                  <w:r>
                    <w:rPr>
                      <w:rFonts w:hint="eastAsia"/>
                      <w:color w:val="auto"/>
                      <w:sz w:val="21"/>
                      <w:szCs w:val="21"/>
                    </w:rPr>
                    <w:t>46.68</w:t>
                  </w:r>
                </w:p>
              </w:tc>
              <w:tc>
                <w:tcPr>
                  <w:tcW w:w="1072" w:type="dxa"/>
                  <w:vAlign w:val="center"/>
                </w:tcPr>
                <w:p w14:paraId="4F96AFA3">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62DCDD80">
                  <w:pPr>
                    <w:pStyle w:val="14"/>
                    <w:adjustRightInd w:val="0"/>
                    <w:spacing w:after="0" w:line="240" w:lineRule="auto"/>
                    <w:jc w:val="center"/>
                    <w:rPr>
                      <w:color w:val="auto"/>
                      <w:sz w:val="21"/>
                      <w:szCs w:val="21"/>
                    </w:rPr>
                  </w:pPr>
                  <w:r>
                    <w:rPr>
                      <w:color w:val="auto"/>
                      <w:sz w:val="21"/>
                      <w:szCs w:val="21"/>
                    </w:rPr>
                    <w:t>达标</w:t>
                  </w:r>
                </w:p>
              </w:tc>
            </w:tr>
            <w:tr w14:paraId="7E39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49511ED6">
                  <w:pPr>
                    <w:pStyle w:val="14"/>
                    <w:adjustRightInd w:val="0"/>
                    <w:spacing w:after="0" w:line="240" w:lineRule="auto"/>
                    <w:jc w:val="center"/>
                    <w:rPr>
                      <w:color w:val="auto"/>
                      <w:sz w:val="21"/>
                      <w:szCs w:val="21"/>
                    </w:rPr>
                  </w:pPr>
                </w:p>
              </w:tc>
              <w:tc>
                <w:tcPr>
                  <w:tcW w:w="802" w:type="dxa"/>
                  <w:vMerge w:val="continue"/>
                  <w:vAlign w:val="center"/>
                </w:tcPr>
                <w:p w14:paraId="4818D733">
                  <w:pPr>
                    <w:pStyle w:val="14"/>
                    <w:adjustRightInd w:val="0"/>
                    <w:spacing w:after="0" w:line="240" w:lineRule="auto"/>
                    <w:jc w:val="center"/>
                    <w:rPr>
                      <w:color w:val="auto"/>
                      <w:sz w:val="21"/>
                      <w:szCs w:val="21"/>
                    </w:rPr>
                  </w:pPr>
                </w:p>
              </w:tc>
              <w:tc>
                <w:tcPr>
                  <w:tcW w:w="802" w:type="dxa"/>
                  <w:vMerge w:val="continue"/>
                  <w:vAlign w:val="center"/>
                </w:tcPr>
                <w:p w14:paraId="7C04A919">
                  <w:pPr>
                    <w:pStyle w:val="14"/>
                    <w:adjustRightInd w:val="0"/>
                    <w:spacing w:after="0" w:line="240" w:lineRule="auto"/>
                    <w:jc w:val="center"/>
                    <w:rPr>
                      <w:color w:val="auto"/>
                      <w:sz w:val="21"/>
                      <w:szCs w:val="21"/>
                    </w:rPr>
                  </w:pPr>
                </w:p>
              </w:tc>
              <w:tc>
                <w:tcPr>
                  <w:tcW w:w="592" w:type="dxa"/>
                  <w:vMerge w:val="continue"/>
                  <w:vAlign w:val="center"/>
                </w:tcPr>
                <w:p w14:paraId="59D821A9">
                  <w:pPr>
                    <w:pStyle w:val="14"/>
                    <w:adjustRightInd w:val="0"/>
                    <w:spacing w:after="0" w:line="240" w:lineRule="auto"/>
                    <w:jc w:val="center"/>
                    <w:rPr>
                      <w:color w:val="auto"/>
                      <w:sz w:val="21"/>
                      <w:szCs w:val="21"/>
                    </w:rPr>
                  </w:pPr>
                </w:p>
              </w:tc>
              <w:tc>
                <w:tcPr>
                  <w:tcW w:w="680" w:type="dxa"/>
                  <w:vAlign w:val="center"/>
                </w:tcPr>
                <w:p w14:paraId="53903AB8">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5F297504">
                  <w:pPr>
                    <w:pStyle w:val="14"/>
                    <w:adjustRightInd w:val="0"/>
                    <w:spacing w:after="0" w:line="240" w:lineRule="auto"/>
                    <w:jc w:val="center"/>
                    <w:rPr>
                      <w:color w:val="auto"/>
                      <w:sz w:val="21"/>
                      <w:szCs w:val="21"/>
                    </w:rPr>
                  </w:pPr>
                  <w:r>
                    <w:rPr>
                      <w:rFonts w:hint="eastAsia"/>
                      <w:color w:val="auto"/>
                      <w:sz w:val="21"/>
                      <w:szCs w:val="21"/>
                    </w:rPr>
                    <w:t>38.26</w:t>
                  </w:r>
                </w:p>
              </w:tc>
              <w:tc>
                <w:tcPr>
                  <w:tcW w:w="1029" w:type="dxa"/>
                  <w:vAlign w:val="center"/>
                </w:tcPr>
                <w:p w14:paraId="547B01EE">
                  <w:pPr>
                    <w:pStyle w:val="14"/>
                    <w:adjustRightInd w:val="0"/>
                    <w:spacing w:after="0" w:line="240" w:lineRule="auto"/>
                    <w:jc w:val="center"/>
                    <w:rPr>
                      <w:color w:val="auto"/>
                      <w:sz w:val="21"/>
                      <w:szCs w:val="21"/>
                    </w:rPr>
                  </w:pPr>
                  <w:r>
                    <w:rPr>
                      <w:rFonts w:hint="eastAsia"/>
                      <w:color w:val="auto"/>
                      <w:sz w:val="21"/>
                      <w:szCs w:val="21"/>
                    </w:rPr>
                    <w:t>40</w:t>
                  </w:r>
                </w:p>
              </w:tc>
              <w:tc>
                <w:tcPr>
                  <w:tcW w:w="1014" w:type="dxa"/>
                  <w:vAlign w:val="center"/>
                </w:tcPr>
                <w:p w14:paraId="0E05DB62">
                  <w:pPr>
                    <w:pStyle w:val="14"/>
                    <w:adjustRightInd w:val="0"/>
                    <w:spacing w:after="0" w:line="240" w:lineRule="auto"/>
                    <w:jc w:val="center"/>
                    <w:rPr>
                      <w:color w:val="auto"/>
                      <w:sz w:val="21"/>
                      <w:szCs w:val="21"/>
                    </w:rPr>
                  </w:pPr>
                  <w:r>
                    <w:rPr>
                      <w:rFonts w:hint="eastAsia"/>
                      <w:color w:val="auto"/>
                      <w:sz w:val="21"/>
                      <w:szCs w:val="21"/>
                    </w:rPr>
                    <w:t>42.23</w:t>
                  </w:r>
                </w:p>
              </w:tc>
              <w:tc>
                <w:tcPr>
                  <w:tcW w:w="1072" w:type="dxa"/>
                  <w:vAlign w:val="center"/>
                </w:tcPr>
                <w:p w14:paraId="11BE02DD">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41809DF8">
                  <w:pPr>
                    <w:pStyle w:val="14"/>
                    <w:adjustRightInd w:val="0"/>
                    <w:spacing w:after="0" w:line="240" w:lineRule="auto"/>
                    <w:jc w:val="center"/>
                    <w:rPr>
                      <w:color w:val="auto"/>
                      <w:sz w:val="21"/>
                      <w:szCs w:val="21"/>
                    </w:rPr>
                  </w:pPr>
                  <w:r>
                    <w:rPr>
                      <w:rFonts w:hint="eastAsia"/>
                      <w:color w:val="auto"/>
                      <w:sz w:val="21"/>
                      <w:szCs w:val="21"/>
                    </w:rPr>
                    <w:t>达标</w:t>
                  </w:r>
                </w:p>
              </w:tc>
            </w:tr>
            <w:tr w14:paraId="0A6A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6D44C368">
                  <w:pPr>
                    <w:pStyle w:val="14"/>
                    <w:adjustRightInd w:val="0"/>
                    <w:spacing w:after="0" w:line="240" w:lineRule="auto"/>
                    <w:jc w:val="center"/>
                    <w:rPr>
                      <w:color w:val="auto"/>
                      <w:sz w:val="21"/>
                      <w:szCs w:val="21"/>
                    </w:rPr>
                  </w:pPr>
                  <w:r>
                    <w:rPr>
                      <w:rFonts w:hint="eastAsia"/>
                      <w:color w:val="auto"/>
                      <w:sz w:val="21"/>
                      <w:szCs w:val="21"/>
                    </w:rPr>
                    <w:t>南厂界</w:t>
                  </w:r>
                </w:p>
              </w:tc>
              <w:tc>
                <w:tcPr>
                  <w:tcW w:w="802" w:type="dxa"/>
                  <w:vMerge w:val="restart"/>
                  <w:vAlign w:val="center"/>
                </w:tcPr>
                <w:p w14:paraId="02096FAF">
                  <w:pPr>
                    <w:pStyle w:val="14"/>
                    <w:adjustRightInd w:val="0"/>
                    <w:spacing w:after="0" w:line="240" w:lineRule="auto"/>
                    <w:jc w:val="center"/>
                    <w:rPr>
                      <w:color w:val="auto"/>
                      <w:sz w:val="21"/>
                      <w:szCs w:val="21"/>
                    </w:rPr>
                  </w:pPr>
                  <w:r>
                    <w:rPr>
                      <w:color w:val="auto"/>
                      <w:sz w:val="21"/>
                      <w:szCs w:val="21"/>
                    </w:rPr>
                    <w:t>48.44</w:t>
                  </w:r>
                </w:p>
              </w:tc>
              <w:tc>
                <w:tcPr>
                  <w:tcW w:w="802" w:type="dxa"/>
                  <w:vMerge w:val="restart"/>
                  <w:vAlign w:val="center"/>
                </w:tcPr>
                <w:p w14:paraId="3F0E4CA3">
                  <w:pPr>
                    <w:pStyle w:val="14"/>
                    <w:adjustRightInd w:val="0"/>
                    <w:spacing w:after="0" w:line="240" w:lineRule="auto"/>
                    <w:jc w:val="center"/>
                    <w:rPr>
                      <w:color w:val="auto"/>
                      <w:sz w:val="21"/>
                      <w:szCs w:val="21"/>
                    </w:rPr>
                  </w:pPr>
                  <w:r>
                    <w:rPr>
                      <w:color w:val="auto"/>
                      <w:sz w:val="21"/>
                      <w:szCs w:val="21"/>
                    </w:rPr>
                    <w:t>30.10</w:t>
                  </w:r>
                </w:p>
              </w:tc>
              <w:tc>
                <w:tcPr>
                  <w:tcW w:w="592" w:type="dxa"/>
                  <w:vMerge w:val="restart"/>
                  <w:vAlign w:val="center"/>
                </w:tcPr>
                <w:p w14:paraId="229EEEAC">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463704B7">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47BCBE37">
                  <w:pPr>
                    <w:pStyle w:val="14"/>
                    <w:adjustRightInd w:val="0"/>
                    <w:spacing w:after="0" w:line="240" w:lineRule="auto"/>
                    <w:jc w:val="center"/>
                    <w:rPr>
                      <w:color w:val="auto"/>
                      <w:sz w:val="21"/>
                      <w:szCs w:val="21"/>
                    </w:rPr>
                  </w:pPr>
                  <w:r>
                    <w:rPr>
                      <w:rFonts w:hint="eastAsia"/>
                      <w:color w:val="auto"/>
                      <w:sz w:val="21"/>
                      <w:szCs w:val="21"/>
                    </w:rPr>
                    <w:t>19.12</w:t>
                  </w:r>
                </w:p>
              </w:tc>
              <w:tc>
                <w:tcPr>
                  <w:tcW w:w="1029" w:type="dxa"/>
                  <w:vAlign w:val="center"/>
                </w:tcPr>
                <w:p w14:paraId="2EDA26BD">
                  <w:pPr>
                    <w:pStyle w:val="14"/>
                    <w:adjustRightInd w:val="0"/>
                    <w:spacing w:after="0" w:line="240" w:lineRule="auto"/>
                    <w:jc w:val="center"/>
                    <w:rPr>
                      <w:color w:val="auto"/>
                      <w:sz w:val="21"/>
                      <w:szCs w:val="21"/>
                    </w:rPr>
                  </w:pPr>
                  <w:r>
                    <w:rPr>
                      <w:rFonts w:hint="eastAsia"/>
                      <w:color w:val="auto"/>
                      <w:sz w:val="21"/>
                      <w:szCs w:val="21"/>
                    </w:rPr>
                    <w:t>57</w:t>
                  </w:r>
                </w:p>
              </w:tc>
              <w:tc>
                <w:tcPr>
                  <w:tcW w:w="1014" w:type="dxa"/>
                  <w:vAlign w:val="center"/>
                </w:tcPr>
                <w:p w14:paraId="020CE393">
                  <w:pPr>
                    <w:pStyle w:val="14"/>
                    <w:adjustRightInd w:val="0"/>
                    <w:spacing w:after="0" w:line="240" w:lineRule="auto"/>
                    <w:jc w:val="center"/>
                    <w:rPr>
                      <w:color w:val="auto"/>
                      <w:sz w:val="21"/>
                      <w:szCs w:val="21"/>
                    </w:rPr>
                  </w:pPr>
                  <w:r>
                    <w:rPr>
                      <w:rFonts w:hint="eastAsia"/>
                      <w:color w:val="auto"/>
                      <w:sz w:val="21"/>
                      <w:szCs w:val="21"/>
                    </w:rPr>
                    <w:t>57</w:t>
                  </w:r>
                </w:p>
              </w:tc>
              <w:tc>
                <w:tcPr>
                  <w:tcW w:w="1072" w:type="dxa"/>
                  <w:vAlign w:val="center"/>
                </w:tcPr>
                <w:p w14:paraId="438339BF">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1C4B28D6">
                  <w:pPr>
                    <w:pStyle w:val="14"/>
                    <w:adjustRightInd w:val="0"/>
                    <w:spacing w:after="0" w:line="240" w:lineRule="auto"/>
                    <w:jc w:val="center"/>
                    <w:rPr>
                      <w:color w:val="auto"/>
                      <w:sz w:val="21"/>
                      <w:szCs w:val="21"/>
                    </w:rPr>
                  </w:pPr>
                  <w:r>
                    <w:rPr>
                      <w:color w:val="auto"/>
                      <w:sz w:val="21"/>
                      <w:szCs w:val="21"/>
                    </w:rPr>
                    <w:t>达标</w:t>
                  </w:r>
                </w:p>
              </w:tc>
            </w:tr>
            <w:tr w14:paraId="14D1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2CE75A95">
                  <w:pPr>
                    <w:pStyle w:val="14"/>
                    <w:adjustRightInd w:val="0"/>
                    <w:spacing w:after="0" w:line="240" w:lineRule="auto"/>
                    <w:jc w:val="center"/>
                    <w:rPr>
                      <w:color w:val="auto"/>
                      <w:sz w:val="21"/>
                      <w:szCs w:val="21"/>
                    </w:rPr>
                  </w:pPr>
                </w:p>
              </w:tc>
              <w:tc>
                <w:tcPr>
                  <w:tcW w:w="802" w:type="dxa"/>
                  <w:vMerge w:val="continue"/>
                  <w:vAlign w:val="center"/>
                </w:tcPr>
                <w:p w14:paraId="428AE091">
                  <w:pPr>
                    <w:pStyle w:val="14"/>
                    <w:adjustRightInd w:val="0"/>
                    <w:spacing w:after="0" w:line="240" w:lineRule="auto"/>
                    <w:jc w:val="center"/>
                    <w:rPr>
                      <w:color w:val="auto"/>
                      <w:sz w:val="21"/>
                      <w:szCs w:val="21"/>
                    </w:rPr>
                  </w:pPr>
                </w:p>
              </w:tc>
              <w:tc>
                <w:tcPr>
                  <w:tcW w:w="802" w:type="dxa"/>
                  <w:vMerge w:val="continue"/>
                  <w:vAlign w:val="center"/>
                </w:tcPr>
                <w:p w14:paraId="64D5FDBB">
                  <w:pPr>
                    <w:pStyle w:val="14"/>
                    <w:adjustRightInd w:val="0"/>
                    <w:spacing w:after="0" w:line="240" w:lineRule="auto"/>
                    <w:jc w:val="center"/>
                    <w:rPr>
                      <w:color w:val="auto"/>
                      <w:sz w:val="21"/>
                      <w:szCs w:val="21"/>
                    </w:rPr>
                  </w:pPr>
                </w:p>
              </w:tc>
              <w:tc>
                <w:tcPr>
                  <w:tcW w:w="592" w:type="dxa"/>
                  <w:vMerge w:val="continue"/>
                  <w:vAlign w:val="center"/>
                </w:tcPr>
                <w:p w14:paraId="0073CDB9">
                  <w:pPr>
                    <w:pStyle w:val="14"/>
                    <w:adjustRightInd w:val="0"/>
                    <w:spacing w:after="0" w:line="240" w:lineRule="auto"/>
                    <w:jc w:val="center"/>
                    <w:rPr>
                      <w:color w:val="auto"/>
                      <w:sz w:val="21"/>
                      <w:szCs w:val="21"/>
                    </w:rPr>
                  </w:pPr>
                </w:p>
              </w:tc>
              <w:tc>
                <w:tcPr>
                  <w:tcW w:w="680" w:type="dxa"/>
                  <w:vAlign w:val="center"/>
                </w:tcPr>
                <w:p w14:paraId="75A7DD10">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43D8AB1F">
                  <w:pPr>
                    <w:pStyle w:val="14"/>
                    <w:adjustRightInd w:val="0"/>
                    <w:spacing w:after="0" w:line="240" w:lineRule="auto"/>
                    <w:jc w:val="center"/>
                    <w:rPr>
                      <w:color w:val="auto"/>
                      <w:sz w:val="21"/>
                      <w:szCs w:val="21"/>
                    </w:rPr>
                  </w:pPr>
                  <w:r>
                    <w:rPr>
                      <w:rFonts w:hint="eastAsia"/>
                      <w:color w:val="auto"/>
                      <w:sz w:val="21"/>
                      <w:szCs w:val="21"/>
                    </w:rPr>
                    <w:t>19.12</w:t>
                  </w:r>
                </w:p>
              </w:tc>
              <w:tc>
                <w:tcPr>
                  <w:tcW w:w="1029" w:type="dxa"/>
                  <w:vAlign w:val="center"/>
                </w:tcPr>
                <w:p w14:paraId="6A299076">
                  <w:pPr>
                    <w:pStyle w:val="14"/>
                    <w:adjustRightInd w:val="0"/>
                    <w:spacing w:after="0" w:line="240" w:lineRule="auto"/>
                    <w:jc w:val="center"/>
                    <w:rPr>
                      <w:color w:val="auto"/>
                      <w:sz w:val="21"/>
                      <w:szCs w:val="21"/>
                    </w:rPr>
                  </w:pPr>
                  <w:r>
                    <w:rPr>
                      <w:rFonts w:hint="eastAsia"/>
                      <w:color w:val="auto"/>
                      <w:sz w:val="21"/>
                      <w:szCs w:val="21"/>
                    </w:rPr>
                    <w:t>46</w:t>
                  </w:r>
                </w:p>
              </w:tc>
              <w:tc>
                <w:tcPr>
                  <w:tcW w:w="1014" w:type="dxa"/>
                  <w:vAlign w:val="center"/>
                </w:tcPr>
                <w:p w14:paraId="5797F4A7">
                  <w:pPr>
                    <w:pStyle w:val="14"/>
                    <w:adjustRightInd w:val="0"/>
                    <w:spacing w:after="0" w:line="240" w:lineRule="auto"/>
                    <w:jc w:val="center"/>
                    <w:rPr>
                      <w:color w:val="auto"/>
                      <w:sz w:val="21"/>
                      <w:szCs w:val="21"/>
                    </w:rPr>
                  </w:pPr>
                  <w:r>
                    <w:rPr>
                      <w:rFonts w:hint="eastAsia"/>
                      <w:color w:val="auto"/>
                      <w:sz w:val="21"/>
                      <w:szCs w:val="21"/>
                    </w:rPr>
                    <w:t>46.01</w:t>
                  </w:r>
                </w:p>
              </w:tc>
              <w:tc>
                <w:tcPr>
                  <w:tcW w:w="1072" w:type="dxa"/>
                  <w:vAlign w:val="center"/>
                </w:tcPr>
                <w:p w14:paraId="7B91992F">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1BAE9D35">
                  <w:pPr>
                    <w:pStyle w:val="14"/>
                    <w:adjustRightInd w:val="0"/>
                    <w:spacing w:after="0" w:line="240" w:lineRule="auto"/>
                    <w:jc w:val="center"/>
                    <w:rPr>
                      <w:color w:val="auto"/>
                      <w:sz w:val="21"/>
                      <w:szCs w:val="21"/>
                    </w:rPr>
                  </w:pPr>
                  <w:r>
                    <w:rPr>
                      <w:color w:val="auto"/>
                      <w:sz w:val="21"/>
                      <w:szCs w:val="21"/>
                    </w:rPr>
                    <w:t>达标</w:t>
                  </w:r>
                </w:p>
              </w:tc>
            </w:tr>
            <w:tr w14:paraId="2719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4CFC99D8">
                  <w:pPr>
                    <w:pStyle w:val="14"/>
                    <w:adjustRightInd w:val="0"/>
                    <w:spacing w:after="0" w:line="240" w:lineRule="auto"/>
                    <w:jc w:val="center"/>
                    <w:rPr>
                      <w:color w:val="auto"/>
                      <w:sz w:val="21"/>
                      <w:szCs w:val="21"/>
                    </w:rPr>
                  </w:pPr>
                  <w:r>
                    <w:rPr>
                      <w:rFonts w:hint="eastAsia"/>
                      <w:color w:val="auto"/>
                      <w:sz w:val="21"/>
                      <w:szCs w:val="21"/>
                    </w:rPr>
                    <w:t>北厂界</w:t>
                  </w:r>
                </w:p>
              </w:tc>
              <w:tc>
                <w:tcPr>
                  <w:tcW w:w="802" w:type="dxa"/>
                  <w:vMerge w:val="restart"/>
                  <w:vAlign w:val="center"/>
                </w:tcPr>
                <w:p w14:paraId="11A6D075">
                  <w:pPr>
                    <w:pStyle w:val="14"/>
                    <w:adjustRightInd w:val="0"/>
                    <w:spacing w:after="0" w:line="240" w:lineRule="auto"/>
                    <w:jc w:val="center"/>
                    <w:rPr>
                      <w:color w:val="auto"/>
                      <w:sz w:val="21"/>
                      <w:szCs w:val="21"/>
                    </w:rPr>
                  </w:pPr>
                  <w:r>
                    <w:rPr>
                      <w:color w:val="auto"/>
                      <w:sz w:val="21"/>
                      <w:szCs w:val="21"/>
                    </w:rPr>
                    <w:t>11.99</w:t>
                  </w:r>
                </w:p>
              </w:tc>
              <w:tc>
                <w:tcPr>
                  <w:tcW w:w="802" w:type="dxa"/>
                  <w:vMerge w:val="restart"/>
                  <w:vAlign w:val="center"/>
                </w:tcPr>
                <w:p w14:paraId="4797DBF0">
                  <w:pPr>
                    <w:pStyle w:val="14"/>
                    <w:adjustRightInd w:val="0"/>
                    <w:spacing w:after="0" w:line="240" w:lineRule="auto"/>
                    <w:jc w:val="center"/>
                    <w:rPr>
                      <w:color w:val="auto"/>
                      <w:sz w:val="21"/>
                      <w:szCs w:val="21"/>
                    </w:rPr>
                  </w:pPr>
                  <w:r>
                    <w:rPr>
                      <w:color w:val="auto"/>
                      <w:sz w:val="21"/>
                      <w:szCs w:val="21"/>
                    </w:rPr>
                    <w:t>99.15</w:t>
                  </w:r>
                </w:p>
              </w:tc>
              <w:tc>
                <w:tcPr>
                  <w:tcW w:w="592" w:type="dxa"/>
                  <w:vMerge w:val="restart"/>
                  <w:vAlign w:val="center"/>
                </w:tcPr>
                <w:p w14:paraId="27DD7250">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75771EA8">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75E00AB0">
                  <w:pPr>
                    <w:pStyle w:val="14"/>
                    <w:adjustRightInd w:val="0"/>
                    <w:spacing w:after="0" w:line="240" w:lineRule="auto"/>
                    <w:jc w:val="center"/>
                    <w:rPr>
                      <w:color w:val="auto"/>
                      <w:sz w:val="21"/>
                      <w:szCs w:val="21"/>
                    </w:rPr>
                  </w:pPr>
                  <w:r>
                    <w:rPr>
                      <w:rFonts w:hint="eastAsia"/>
                      <w:color w:val="auto"/>
                      <w:sz w:val="21"/>
                      <w:szCs w:val="21"/>
                    </w:rPr>
                    <w:t>36.13</w:t>
                  </w:r>
                </w:p>
              </w:tc>
              <w:tc>
                <w:tcPr>
                  <w:tcW w:w="1029" w:type="dxa"/>
                  <w:vAlign w:val="center"/>
                </w:tcPr>
                <w:p w14:paraId="2F07054A">
                  <w:pPr>
                    <w:pStyle w:val="14"/>
                    <w:adjustRightInd w:val="0"/>
                    <w:spacing w:after="0" w:line="240" w:lineRule="auto"/>
                    <w:jc w:val="center"/>
                    <w:rPr>
                      <w:color w:val="auto"/>
                      <w:sz w:val="21"/>
                      <w:szCs w:val="21"/>
                    </w:rPr>
                  </w:pPr>
                  <w:r>
                    <w:rPr>
                      <w:rFonts w:hint="eastAsia"/>
                      <w:color w:val="auto"/>
                      <w:sz w:val="21"/>
                      <w:szCs w:val="21"/>
                    </w:rPr>
                    <w:t>43</w:t>
                  </w:r>
                </w:p>
              </w:tc>
              <w:tc>
                <w:tcPr>
                  <w:tcW w:w="1014" w:type="dxa"/>
                  <w:vAlign w:val="center"/>
                </w:tcPr>
                <w:p w14:paraId="3B62AB65">
                  <w:pPr>
                    <w:pStyle w:val="14"/>
                    <w:adjustRightInd w:val="0"/>
                    <w:spacing w:after="0" w:line="240" w:lineRule="auto"/>
                    <w:jc w:val="center"/>
                    <w:rPr>
                      <w:color w:val="auto"/>
                      <w:sz w:val="21"/>
                      <w:szCs w:val="21"/>
                    </w:rPr>
                  </w:pPr>
                  <w:r>
                    <w:rPr>
                      <w:rFonts w:hint="eastAsia"/>
                      <w:color w:val="auto"/>
                      <w:sz w:val="21"/>
                      <w:szCs w:val="21"/>
                    </w:rPr>
                    <w:t>43.81</w:t>
                  </w:r>
                </w:p>
              </w:tc>
              <w:tc>
                <w:tcPr>
                  <w:tcW w:w="1072" w:type="dxa"/>
                  <w:vAlign w:val="center"/>
                </w:tcPr>
                <w:p w14:paraId="53560E6B">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2773F8B6">
                  <w:pPr>
                    <w:pStyle w:val="14"/>
                    <w:adjustRightInd w:val="0"/>
                    <w:spacing w:after="0" w:line="240" w:lineRule="auto"/>
                    <w:jc w:val="center"/>
                    <w:rPr>
                      <w:color w:val="auto"/>
                      <w:sz w:val="21"/>
                      <w:szCs w:val="21"/>
                    </w:rPr>
                  </w:pPr>
                  <w:r>
                    <w:rPr>
                      <w:color w:val="auto"/>
                      <w:sz w:val="21"/>
                      <w:szCs w:val="21"/>
                    </w:rPr>
                    <w:t>达标</w:t>
                  </w:r>
                </w:p>
              </w:tc>
            </w:tr>
            <w:tr w14:paraId="398C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0C4B31C7">
                  <w:pPr>
                    <w:pStyle w:val="14"/>
                    <w:adjustRightInd w:val="0"/>
                    <w:spacing w:after="0" w:line="240" w:lineRule="auto"/>
                    <w:jc w:val="center"/>
                    <w:rPr>
                      <w:color w:val="auto"/>
                      <w:sz w:val="21"/>
                      <w:szCs w:val="21"/>
                    </w:rPr>
                  </w:pPr>
                </w:p>
              </w:tc>
              <w:tc>
                <w:tcPr>
                  <w:tcW w:w="802" w:type="dxa"/>
                  <w:vMerge w:val="continue"/>
                  <w:vAlign w:val="center"/>
                </w:tcPr>
                <w:p w14:paraId="3BC14728">
                  <w:pPr>
                    <w:pStyle w:val="14"/>
                    <w:adjustRightInd w:val="0"/>
                    <w:spacing w:after="0" w:line="240" w:lineRule="auto"/>
                    <w:jc w:val="center"/>
                    <w:rPr>
                      <w:color w:val="auto"/>
                      <w:sz w:val="21"/>
                      <w:szCs w:val="21"/>
                    </w:rPr>
                  </w:pPr>
                </w:p>
              </w:tc>
              <w:tc>
                <w:tcPr>
                  <w:tcW w:w="802" w:type="dxa"/>
                  <w:vMerge w:val="continue"/>
                  <w:vAlign w:val="center"/>
                </w:tcPr>
                <w:p w14:paraId="00D3954A">
                  <w:pPr>
                    <w:pStyle w:val="14"/>
                    <w:adjustRightInd w:val="0"/>
                    <w:spacing w:after="0" w:line="240" w:lineRule="auto"/>
                    <w:jc w:val="center"/>
                    <w:rPr>
                      <w:color w:val="auto"/>
                      <w:sz w:val="21"/>
                      <w:szCs w:val="21"/>
                    </w:rPr>
                  </w:pPr>
                </w:p>
              </w:tc>
              <w:tc>
                <w:tcPr>
                  <w:tcW w:w="592" w:type="dxa"/>
                  <w:vMerge w:val="continue"/>
                  <w:vAlign w:val="center"/>
                </w:tcPr>
                <w:p w14:paraId="5012DD7F">
                  <w:pPr>
                    <w:pStyle w:val="14"/>
                    <w:adjustRightInd w:val="0"/>
                    <w:spacing w:after="0" w:line="240" w:lineRule="auto"/>
                    <w:jc w:val="center"/>
                    <w:rPr>
                      <w:color w:val="auto"/>
                      <w:sz w:val="21"/>
                      <w:szCs w:val="21"/>
                    </w:rPr>
                  </w:pPr>
                </w:p>
              </w:tc>
              <w:tc>
                <w:tcPr>
                  <w:tcW w:w="680" w:type="dxa"/>
                  <w:vAlign w:val="center"/>
                </w:tcPr>
                <w:p w14:paraId="7EC83204">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6133C9CC">
                  <w:pPr>
                    <w:pStyle w:val="14"/>
                    <w:adjustRightInd w:val="0"/>
                    <w:spacing w:after="0" w:line="240" w:lineRule="auto"/>
                    <w:jc w:val="center"/>
                    <w:rPr>
                      <w:color w:val="auto"/>
                      <w:sz w:val="21"/>
                      <w:szCs w:val="21"/>
                    </w:rPr>
                  </w:pPr>
                  <w:r>
                    <w:rPr>
                      <w:rFonts w:hint="eastAsia"/>
                      <w:color w:val="auto"/>
                      <w:sz w:val="21"/>
                      <w:szCs w:val="21"/>
                    </w:rPr>
                    <w:t>36.13</w:t>
                  </w:r>
                </w:p>
              </w:tc>
              <w:tc>
                <w:tcPr>
                  <w:tcW w:w="1029" w:type="dxa"/>
                  <w:vAlign w:val="center"/>
                </w:tcPr>
                <w:p w14:paraId="1AD18B2D">
                  <w:pPr>
                    <w:pStyle w:val="14"/>
                    <w:adjustRightInd w:val="0"/>
                    <w:spacing w:after="0" w:line="240" w:lineRule="auto"/>
                    <w:jc w:val="center"/>
                    <w:rPr>
                      <w:color w:val="auto"/>
                    </w:rPr>
                  </w:pPr>
                  <w:r>
                    <w:rPr>
                      <w:rFonts w:hint="eastAsia"/>
                      <w:color w:val="auto"/>
                      <w:sz w:val="21"/>
                      <w:szCs w:val="21"/>
                    </w:rPr>
                    <w:t>39</w:t>
                  </w:r>
                </w:p>
              </w:tc>
              <w:tc>
                <w:tcPr>
                  <w:tcW w:w="1014" w:type="dxa"/>
                  <w:vAlign w:val="center"/>
                </w:tcPr>
                <w:p w14:paraId="73D4FEAF">
                  <w:pPr>
                    <w:pStyle w:val="14"/>
                    <w:adjustRightInd w:val="0"/>
                    <w:spacing w:after="0" w:line="240" w:lineRule="auto"/>
                    <w:jc w:val="center"/>
                    <w:rPr>
                      <w:color w:val="auto"/>
                      <w:sz w:val="21"/>
                      <w:szCs w:val="21"/>
                    </w:rPr>
                  </w:pPr>
                  <w:r>
                    <w:rPr>
                      <w:rFonts w:hint="eastAsia"/>
                      <w:color w:val="auto"/>
                      <w:sz w:val="21"/>
                      <w:szCs w:val="21"/>
                    </w:rPr>
                    <w:t>40.81</w:t>
                  </w:r>
                </w:p>
              </w:tc>
              <w:tc>
                <w:tcPr>
                  <w:tcW w:w="1072" w:type="dxa"/>
                  <w:vAlign w:val="center"/>
                </w:tcPr>
                <w:p w14:paraId="4D3B6866">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7B20EF63">
                  <w:pPr>
                    <w:pStyle w:val="14"/>
                    <w:adjustRightInd w:val="0"/>
                    <w:spacing w:after="0" w:line="240" w:lineRule="auto"/>
                    <w:jc w:val="center"/>
                    <w:rPr>
                      <w:color w:val="auto"/>
                      <w:sz w:val="21"/>
                      <w:szCs w:val="21"/>
                    </w:rPr>
                  </w:pPr>
                  <w:r>
                    <w:rPr>
                      <w:color w:val="auto"/>
                      <w:sz w:val="21"/>
                      <w:szCs w:val="21"/>
                    </w:rPr>
                    <w:t>达标</w:t>
                  </w:r>
                </w:p>
              </w:tc>
            </w:tr>
          </w:tbl>
          <w:p w14:paraId="6273DD43">
            <w:pPr>
              <w:adjustRightInd w:val="0"/>
              <w:snapToGrid w:val="0"/>
              <w:spacing w:before="120" w:beforeLines="50" w:line="360" w:lineRule="auto"/>
              <w:ind w:firstLine="480" w:firstLineChars="200"/>
              <w:rPr>
                <w:color w:val="auto"/>
                <w:sz w:val="24"/>
              </w:rPr>
            </w:pPr>
            <w:r>
              <w:rPr>
                <w:color w:val="auto"/>
                <w:sz w:val="24"/>
              </w:rPr>
              <w:t>根据表4-</w:t>
            </w:r>
            <w:r>
              <w:rPr>
                <w:rFonts w:hint="eastAsia"/>
                <w:color w:val="auto"/>
                <w:sz w:val="24"/>
              </w:rPr>
              <w:t>33</w:t>
            </w:r>
            <w:r>
              <w:rPr>
                <w:color w:val="auto"/>
                <w:sz w:val="24"/>
              </w:rPr>
              <w:t>可知，本项目产噪设备经采取低噪声设备、</w:t>
            </w:r>
            <w:r>
              <w:rPr>
                <w:rFonts w:hint="eastAsia"/>
                <w:color w:val="auto"/>
                <w:sz w:val="24"/>
              </w:rPr>
              <w:t>水泵</w:t>
            </w:r>
            <w:r>
              <w:rPr>
                <w:color w:val="auto"/>
                <w:sz w:val="24"/>
              </w:rPr>
              <w:t>安装减震垫</w:t>
            </w:r>
            <w:r>
              <w:rPr>
                <w:rFonts w:hint="eastAsia"/>
                <w:color w:val="auto"/>
                <w:sz w:val="24"/>
              </w:rPr>
              <w:t>、风机安装消声器，且布置于地下封闭环境等</w:t>
            </w:r>
            <w:r>
              <w:rPr>
                <w:color w:val="auto"/>
                <w:sz w:val="24"/>
              </w:rPr>
              <w:t>措施，再经几何发散后，项目建成后运营期间厂界噪声统计最大值能达到《工业企业厂界环境噪声排放标准》（GB12348-2008）</w:t>
            </w:r>
            <w:r>
              <w:rPr>
                <w:rFonts w:hint="eastAsia"/>
                <w:color w:val="auto"/>
                <w:sz w:val="24"/>
              </w:rPr>
              <w:t>2</w:t>
            </w:r>
            <w:r>
              <w:rPr>
                <w:color w:val="auto"/>
                <w:sz w:val="24"/>
              </w:rPr>
              <w:t>类标准限值要求。由于</w:t>
            </w:r>
            <w:r>
              <w:rPr>
                <w:rFonts w:hint="eastAsia"/>
                <w:color w:val="auto"/>
                <w:sz w:val="24"/>
              </w:rPr>
              <w:t>项目最近的敏感点为</w:t>
            </w:r>
            <w:r>
              <w:rPr>
                <w:color w:val="auto"/>
                <w:sz w:val="24"/>
              </w:rPr>
              <w:t>厂界外</w:t>
            </w:r>
            <w:r>
              <w:rPr>
                <w:rFonts w:hint="eastAsia"/>
                <w:color w:val="auto"/>
                <w:sz w:val="24"/>
              </w:rPr>
              <w:t>东侧2</w:t>
            </w:r>
            <w:r>
              <w:rPr>
                <w:color w:val="auto"/>
                <w:sz w:val="24"/>
              </w:rPr>
              <w:t>米</w:t>
            </w:r>
            <w:r>
              <w:rPr>
                <w:rFonts w:hint="eastAsia"/>
                <w:color w:val="auto"/>
                <w:sz w:val="24"/>
              </w:rPr>
              <w:t>处为杨广集镇</w:t>
            </w:r>
            <w:r>
              <w:rPr>
                <w:color w:val="auto"/>
                <w:sz w:val="24"/>
              </w:rPr>
              <w:t>声环境保护目标，</w:t>
            </w:r>
            <w:r>
              <w:rPr>
                <w:rFonts w:hint="eastAsia"/>
                <w:color w:val="auto"/>
                <w:sz w:val="24"/>
              </w:rPr>
              <w:t>因此本环评对该保护目标进行了预测，预测结果见表4-36。</w:t>
            </w:r>
          </w:p>
          <w:p w14:paraId="11FC45FC">
            <w:pPr>
              <w:adjustRightInd w:val="0"/>
              <w:snapToGrid w:val="0"/>
              <w:spacing w:line="360" w:lineRule="auto"/>
              <w:ind w:firstLine="482" w:firstLineChars="200"/>
              <w:jc w:val="center"/>
              <w:rPr>
                <w:b/>
                <w:color w:val="auto"/>
                <w:sz w:val="24"/>
              </w:rPr>
            </w:pPr>
            <w:r>
              <w:rPr>
                <w:b/>
                <w:color w:val="auto"/>
                <w:sz w:val="24"/>
              </w:rPr>
              <w:t>表</w:t>
            </w:r>
            <w:r>
              <w:rPr>
                <w:rFonts w:hint="eastAsia"/>
                <w:b/>
                <w:color w:val="auto"/>
                <w:sz w:val="24"/>
              </w:rPr>
              <w:t>4-36敏感点</w:t>
            </w:r>
            <w:r>
              <w:rPr>
                <w:b/>
                <w:color w:val="auto"/>
                <w:sz w:val="24"/>
              </w:rPr>
              <w:t>噪声预测结果与达标分析表</w:t>
            </w:r>
          </w:p>
          <w:tbl>
            <w:tblPr>
              <w:tblStyle w:val="33"/>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05"/>
              <w:gridCol w:w="784"/>
              <w:gridCol w:w="592"/>
              <w:gridCol w:w="539"/>
              <w:gridCol w:w="1092"/>
              <w:gridCol w:w="924"/>
              <w:gridCol w:w="1038"/>
              <w:gridCol w:w="1092"/>
              <w:gridCol w:w="643"/>
            </w:tblGrid>
            <w:tr w14:paraId="1FBF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jc w:val="center"/>
              </w:trPr>
              <w:tc>
                <w:tcPr>
                  <w:tcW w:w="706" w:type="dxa"/>
                  <w:vMerge w:val="restart"/>
                  <w:vAlign w:val="center"/>
                </w:tcPr>
                <w:p w14:paraId="16158494">
                  <w:pPr>
                    <w:pStyle w:val="14"/>
                    <w:adjustRightInd w:val="0"/>
                    <w:spacing w:after="0" w:line="240" w:lineRule="auto"/>
                    <w:jc w:val="center"/>
                    <w:rPr>
                      <w:color w:val="auto"/>
                      <w:sz w:val="21"/>
                      <w:szCs w:val="21"/>
                    </w:rPr>
                  </w:pPr>
                  <w:r>
                    <w:rPr>
                      <w:rFonts w:hint="eastAsia"/>
                      <w:color w:val="auto"/>
                      <w:sz w:val="21"/>
                      <w:szCs w:val="21"/>
                    </w:rPr>
                    <w:t>预测点</w:t>
                  </w:r>
                </w:p>
              </w:tc>
              <w:tc>
                <w:tcPr>
                  <w:tcW w:w="2181" w:type="dxa"/>
                  <w:gridSpan w:val="3"/>
                  <w:vAlign w:val="center"/>
                </w:tcPr>
                <w:p w14:paraId="528BE5CD">
                  <w:pPr>
                    <w:pStyle w:val="14"/>
                    <w:adjustRightInd w:val="0"/>
                    <w:spacing w:after="0" w:line="240" w:lineRule="auto"/>
                    <w:jc w:val="center"/>
                    <w:rPr>
                      <w:color w:val="auto"/>
                      <w:sz w:val="21"/>
                      <w:szCs w:val="21"/>
                    </w:rPr>
                  </w:pPr>
                  <w:r>
                    <w:rPr>
                      <w:rFonts w:hint="eastAsia"/>
                      <w:color w:val="auto"/>
                      <w:sz w:val="21"/>
                      <w:szCs w:val="21"/>
                    </w:rPr>
                    <w:t>空间相对位置/m</w:t>
                  </w:r>
                </w:p>
              </w:tc>
              <w:tc>
                <w:tcPr>
                  <w:tcW w:w="539" w:type="dxa"/>
                  <w:vMerge w:val="restart"/>
                  <w:vAlign w:val="center"/>
                </w:tcPr>
                <w:p w14:paraId="5BFBC09D">
                  <w:pPr>
                    <w:pStyle w:val="14"/>
                    <w:adjustRightInd w:val="0"/>
                    <w:spacing w:after="0" w:line="240" w:lineRule="auto"/>
                    <w:jc w:val="center"/>
                    <w:rPr>
                      <w:color w:val="auto"/>
                      <w:sz w:val="21"/>
                      <w:szCs w:val="21"/>
                    </w:rPr>
                  </w:pPr>
                  <w:r>
                    <w:rPr>
                      <w:rFonts w:hint="eastAsia"/>
                      <w:color w:val="auto"/>
                      <w:sz w:val="21"/>
                      <w:szCs w:val="21"/>
                    </w:rPr>
                    <w:t>时段</w:t>
                  </w:r>
                </w:p>
              </w:tc>
              <w:tc>
                <w:tcPr>
                  <w:tcW w:w="1092" w:type="dxa"/>
                  <w:vMerge w:val="restart"/>
                  <w:vAlign w:val="center"/>
                </w:tcPr>
                <w:p w14:paraId="64192A63">
                  <w:pPr>
                    <w:pStyle w:val="14"/>
                    <w:adjustRightInd w:val="0"/>
                    <w:spacing w:after="0" w:line="240" w:lineRule="auto"/>
                    <w:jc w:val="center"/>
                    <w:rPr>
                      <w:color w:val="auto"/>
                      <w:sz w:val="21"/>
                      <w:szCs w:val="21"/>
                    </w:rPr>
                  </w:pPr>
                  <w:r>
                    <w:rPr>
                      <w:rFonts w:hint="eastAsia"/>
                      <w:color w:val="auto"/>
                      <w:sz w:val="21"/>
                      <w:szCs w:val="21"/>
                    </w:rPr>
                    <w:t>噪声贡献值/</w:t>
                  </w:r>
                  <w:r>
                    <w:rPr>
                      <w:color w:val="auto"/>
                      <w:sz w:val="21"/>
                      <w:szCs w:val="21"/>
                    </w:rPr>
                    <w:t>dB(A)</w:t>
                  </w:r>
                </w:p>
              </w:tc>
              <w:tc>
                <w:tcPr>
                  <w:tcW w:w="924" w:type="dxa"/>
                  <w:vMerge w:val="restart"/>
                  <w:vAlign w:val="center"/>
                </w:tcPr>
                <w:p w14:paraId="347C12A0">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38" w:type="dxa"/>
                  <w:vMerge w:val="restart"/>
                  <w:vAlign w:val="center"/>
                </w:tcPr>
                <w:p w14:paraId="16E344DE">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92" w:type="dxa"/>
                  <w:vMerge w:val="restart"/>
                  <w:vAlign w:val="center"/>
                </w:tcPr>
                <w:p w14:paraId="27D5A9BA">
                  <w:pPr>
                    <w:pStyle w:val="14"/>
                    <w:adjustRightInd w:val="0"/>
                    <w:spacing w:after="0" w:line="240" w:lineRule="auto"/>
                    <w:jc w:val="center"/>
                    <w:rPr>
                      <w:color w:val="auto"/>
                      <w:sz w:val="21"/>
                      <w:szCs w:val="21"/>
                    </w:rPr>
                  </w:pPr>
                  <w:r>
                    <w:rPr>
                      <w:rFonts w:hint="eastAsia"/>
                      <w:color w:val="auto"/>
                      <w:sz w:val="21"/>
                      <w:szCs w:val="21"/>
                    </w:rPr>
                    <w:t>噪声标准值/</w:t>
                  </w:r>
                  <w:r>
                    <w:rPr>
                      <w:color w:val="auto"/>
                      <w:sz w:val="21"/>
                      <w:szCs w:val="21"/>
                    </w:rPr>
                    <w:t>dB(A)</w:t>
                  </w:r>
                </w:p>
              </w:tc>
              <w:tc>
                <w:tcPr>
                  <w:tcW w:w="643" w:type="dxa"/>
                  <w:vMerge w:val="restart"/>
                  <w:vAlign w:val="center"/>
                </w:tcPr>
                <w:p w14:paraId="4ADD1D6F">
                  <w:pPr>
                    <w:pStyle w:val="14"/>
                    <w:adjustRightInd w:val="0"/>
                    <w:spacing w:after="0" w:line="240" w:lineRule="auto"/>
                    <w:jc w:val="center"/>
                    <w:rPr>
                      <w:color w:val="auto"/>
                      <w:sz w:val="21"/>
                      <w:szCs w:val="21"/>
                    </w:rPr>
                  </w:pPr>
                  <w:r>
                    <w:rPr>
                      <w:rFonts w:hint="eastAsia"/>
                      <w:color w:val="auto"/>
                      <w:sz w:val="21"/>
                      <w:szCs w:val="21"/>
                    </w:rPr>
                    <w:t>达标情况</w:t>
                  </w:r>
                </w:p>
              </w:tc>
            </w:tr>
            <w:tr w14:paraId="1766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06" w:type="dxa"/>
                  <w:vMerge w:val="continue"/>
                  <w:vAlign w:val="center"/>
                </w:tcPr>
                <w:p w14:paraId="00A891BE">
                  <w:pPr>
                    <w:pStyle w:val="14"/>
                    <w:adjustRightInd w:val="0"/>
                    <w:spacing w:after="0" w:line="240" w:lineRule="auto"/>
                    <w:jc w:val="center"/>
                    <w:rPr>
                      <w:color w:val="auto"/>
                      <w:sz w:val="21"/>
                      <w:szCs w:val="21"/>
                    </w:rPr>
                  </w:pPr>
                </w:p>
              </w:tc>
              <w:tc>
                <w:tcPr>
                  <w:tcW w:w="805" w:type="dxa"/>
                  <w:vAlign w:val="center"/>
                </w:tcPr>
                <w:p w14:paraId="5DEBC903">
                  <w:pPr>
                    <w:pStyle w:val="14"/>
                    <w:adjustRightInd w:val="0"/>
                    <w:spacing w:after="0" w:line="240" w:lineRule="auto"/>
                    <w:jc w:val="center"/>
                    <w:rPr>
                      <w:color w:val="auto"/>
                      <w:sz w:val="21"/>
                      <w:szCs w:val="21"/>
                    </w:rPr>
                  </w:pPr>
                  <w:r>
                    <w:rPr>
                      <w:rFonts w:hint="eastAsia"/>
                      <w:color w:val="auto"/>
                      <w:sz w:val="21"/>
                      <w:szCs w:val="21"/>
                    </w:rPr>
                    <w:t>X</w:t>
                  </w:r>
                </w:p>
              </w:tc>
              <w:tc>
                <w:tcPr>
                  <w:tcW w:w="784" w:type="dxa"/>
                  <w:vAlign w:val="center"/>
                </w:tcPr>
                <w:p w14:paraId="398B71A0">
                  <w:pPr>
                    <w:pStyle w:val="14"/>
                    <w:adjustRightInd w:val="0"/>
                    <w:spacing w:after="0" w:line="240" w:lineRule="auto"/>
                    <w:jc w:val="center"/>
                    <w:rPr>
                      <w:color w:val="auto"/>
                      <w:sz w:val="21"/>
                      <w:szCs w:val="21"/>
                    </w:rPr>
                  </w:pPr>
                  <w:r>
                    <w:rPr>
                      <w:rFonts w:hint="eastAsia"/>
                      <w:color w:val="auto"/>
                      <w:sz w:val="21"/>
                      <w:szCs w:val="21"/>
                    </w:rPr>
                    <w:t>Y</w:t>
                  </w:r>
                </w:p>
              </w:tc>
              <w:tc>
                <w:tcPr>
                  <w:tcW w:w="592" w:type="dxa"/>
                  <w:vAlign w:val="center"/>
                </w:tcPr>
                <w:p w14:paraId="3592DDE5">
                  <w:pPr>
                    <w:pStyle w:val="14"/>
                    <w:adjustRightInd w:val="0"/>
                    <w:spacing w:after="0" w:line="240" w:lineRule="auto"/>
                    <w:jc w:val="center"/>
                    <w:rPr>
                      <w:color w:val="auto"/>
                      <w:sz w:val="21"/>
                      <w:szCs w:val="21"/>
                    </w:rPr>
                  </w:pPr>
                  <w:r>
                    <w:rPr>
                      <w:rFonts w:hint="eastAsia"/>
                      <w:color w:val="auto"/>
                      <w:sz w:val="21"/>
                      <w:szCs w:val="21"/>
                    </w:rPr>
                    <w:t>Z</w:t>
                  </w:r>
                </w:p>
              </w:tc>
              <w:tc>
                <w:tcPr>
                  <w:tcW w:w="539" w:type="dxa"/>
                  <w:vMerge w:val="continue"/>
                  <w:vAlign w:val="center"/>
                </w:tcPr>
                <w:p w14:paraId="5E575AB4">
                  <w:pPr>
                    <w:pStyle w:val="14"/>
                    <w:adjustRightInd w:val="0"/>
                    <w:spacing w:after="0" w:line="240" w:lineRule="auto"/>
                    <w:jc w:val="center"/>
                    <w:rPr>
                      <w:color w:val="auto"/>
                      <w:sz w:val="21"/>
                      <w:szCs w:val="21"/>
                    </w:rPr>
                  </w:pPr>
                </w:p>
              </w:tc>
              <w:tc>
                <w:tcPr>
                  <w:tcW w:w="1092" w:type="dxa"/>
                  <w:vMerge w:val="continue"/>
                  <w:vAlign w:val="center"/>
                </w:tcPr>
                <w:p w14:paraId="583F944A">
                  <w:pPr>
                    <w:pStyle w:val="14"/>
                    <w:adjustRightInd w:val="0"/>
                    <w:spacing w:after="0" w:line="240" w:lineRule="auto"/>
                    <w:jc w:val="center"/>
                    <w:rPr>
                      <w:color w:val="auto"/>
                      <w:sz w:val="21"/>
                      <w:szCs w:val="21"/>
                    </w:rPr>
                  </w:pPr>
                </w:p>
              </w:tc>
              <w:tc>
                <w:tcPr>
                  <w:tcW w:w="924" w:type="dxa"/>
                  <w:vMerge w:val="continue"/>
                  <w:vAlign w:val="center"/>
                </w:tcPr>
                <w:p w14:paraId="1A28C01D">
                  <w:pPr>
                    <w:pStyle w:val="14"/>
                    <w:adjustRightInd w:val="0"/>
                    <w:spacing w:after="0" w:line="240" w:lineRule="auto"/>
                    <w:jc w:val="center"/>
                    <w:rPr>
                      <w:color w:val="auto"/>
                      <w:sz w:val="21"/>
                      <w:szCs w:val="21"/>
                    </w:rPr>
                  </w:pPr>
                </w:p>
              </w:tc>
              <w:tc>
                <w:tcPr>
                  <w:tcW w:w="1038" w:type="dxa"/>
                  <w:vMerge w:val="continue"/>
                  <w:vAlign w:val="center"/>
                </w:tcPr>
                <w:p w14:paraId="285EDB39">
                  <w:pPr>
                    <w:pStyle w:val="14"/>
                    <w:adjustRightInd w:val="0"/>
                    <w:spacing w:after="0" w:line="240" w:lineRule="auto"/>
                    <w:jc w:val="center"/>
                    <w:rPr>
                      <w:color w:val="auto"/>
                      <w:sz w:val="21"/>
                      <w:szCs w:val="21"/>
                    </w:rPr>
                  </w:pPr>
                </w:p>
              </w:tc>
              <w:tc>
                <w:tcPr>
                  <w:tcW w:w="1092" w:type="dxa"/>
                  <w:vMerge w:val="continue"/>
                  <w:vAlign w:val="center"/>
                </w:tcPr>
                <w:p w14:paraId="5A0CE682">
                  <w:pPr>
                    <w:pStyle w:val="14"/>
                    <w:adjustRightInd w:val="0"/>
                    <w:spacing w:after="0" w:line="240" w:lineRule="auto"/>
                    <w:jc w:val="center"/>
                    <w:rPr>
                      <w:color w:val="auto"/>
                      <w:sz w:val="21"/>
                      <w:szCs w:val="21"/>
                    </w:rPr>
                  </w:pPr>
                </w:p>
              </w:tc>
              <w:tc>
                <w:tcPr>
                  <w:tcW w:w="643" w:type="dxa"/>
                  <w:vMerge w:val="continue"/>
                  <w:vAlign w:val="center"/>
                </w:tcPr>
                <w:p w14:paraId="3BF3EA09">
                  <w:pPr>
                    <w:pStyle w:val="14"/>
                    <w:adjustRightInd w:val="0"/>
                    <w:spacing w:after="0" w:line="240" w:lineRule="auto"/>
                    <w:jc w:val="center"/>
                    <w:rPr>
                      <w:color w:val="auto"/>
                      <w:sz w:val="21"/>
                      <w:szCs w:val="21"/>
                    </w:rPr>
                  </w:pPr>
                </w:p>
              </w:tc>
            </w:tr>
            <w:tr w14:paraId="3C33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6" w:type="dxa"/>
                  <w:vMerge w:val="restart"/>
                  <w:vAlign w:val="center"/>
                </w:tcPr>
                <w:p w14:paraId="4538DA0E">
                  <w:pPr>
                    <w:pStyle w:val="14"/>
                    <w:adjustRightInd w:val="0"/>
                    <w:spacing w:after="0" w:line="240" w:lineRule="auto"/>
                    <w:jc w:val="center"/>
                    <w:rPr>
                      <w:color w:val="auto"/>
                      <w:sz w:val="21"/>
                      <w:szCs w:val="21"/>
                    </w:rPr>
                  </w:pPr>
                  <w:r>
                    <w:rPr>
                      <w:rFonts w:hint="eastAsia"/>
                      <w:color w:val="auto"/>
                      <w:sz w:val="21"/>
                      <w:szCs w:val="21"/>
                    </w:rPr>
                    <w:t>杨广镇</w:t>
                  </w:r>
                </w:p>
              </w:tc>
              <w:tc>
                <w:tcPr>
                  <w:tcW w:w="805" w:type="dxa"/>
                  <w:vMerge w:val="restart"/>
                  <w:vAlign w:val="center"/>
                </w:tcPr>
                <w:p w14:paraId="311215CA">
                  <w:pPr>
                    <w:pStyle w:val="14"/>
                    <w:adjustRightInd w:val="0"/>
                    <w:spacing w:after="0" w:line="240" w:lineRule="auto"/>
                    <w:jc w:val="center"/>
                    <w:rPr>
                      <w:color w:val="auto"/>
                      <w:sz w:val="21"/>
                      <w:szCs w:val="21"/>
                    </w:rPr>
                  </w:pPr>
                  <w:r>
                    <w:rPr>
                      <w:color w:val="auto"/>
                      <w:sz w:val="21"/>
                      <w:szCs w:val="21"/>
                    </w:rPr>
                    <w:t>55.15</w:t>
                  </w:r>
                </w:p>
              </w:tc>
              <w:tc>
                <w:tcPr>
                  <w:tcW w:w="784" w:type="dxa"/>
                  <w:vMerge w:val="restart"/>
                  <w:vAlign w:val="center"/>
                </w:tcPr>
                <w:p w14:paraId="1DDAC3E5">
                  <w:pPr>
                    <w:pStyle w:val="14"/>
                    <w:adjustRightInd w:val="0"/>
                    <w:spacing w:after="0" w:line="240" w:lineRule="auto"/>
                    <w:jc w:val="center"/>
                    <w:rPr>
                      <w:color w:val="auto"/>
                      <w:sz w:val="21"/>
                      <w:szCs w:val="21"/>
                    </w:rPr>
                  </w:pPr>
                  <w:r>
                    <w:rPr>
                      <w:color w:val="auto"/>
                      <w:sz w:val="21"/>
                      <w:szCs w:val="21"/>
                    </w:rPr>
                    <w:t>24.82</w:t>
                  </w:r>
                </w:p>
              </w:tc>
              <w:tc>
                <w:tcPr>
                  <w:tcW w:w="592" w:type="dxa"/>
                  <w:vMerge w:val="restart"/>
                  <w:vAlign w:val="center"/>
                </w:tcPr>
                <w:p w14:paraId="6C99F60A">
                  <w:pPr>
                    <w:pStyle w:val="14"/>
                    <w:adjustRightInd w:val="0"/>
                    <w:spacing w:after="0" w:line="240" w:lineRule="auto"/>
                    <w:jc w:val="center"/>
                    <w:rPr>
                      <w:color w:val="auto"/>
                      <w:sz w:val="21"/>
                      <w:szCs w:val="21"/>
                    </w:rPr>
                  </w:pPr>
                  <w:r>
                    <w:rPr>
                      <w:rFonts w:hint="eastAsia"/>
                      <w:color w:val="auto"/>
                      <w:sz w:val="21"/>
                      <w:szCs w:val="21"/>
                    </w:rPr>
                    <w:t>1.2</w:t>
                  </w:r>
                </w:p>
              </w:tc>
              <w:tc>
                <w:tcPr>
                  <w:tcW w:w="539" w:type="dxa"/>
                  <w:vAlign w:val="center"/>
                </w:tcPr>
                <w:p w14:paraId="6980D345">
                  <w:pPr>
                    <w:pStyle w:val="14"/>
                    <w:adjustRightInd w:val="0"/>
                    <w:spacing w:after="0" w:line="240" w:lineRule="auto"/>
                    <w:jc w:val="center"/>
                    <w:rPr>
                      <w:color w:val="auto"/>
                      <w:sz w:val="21"/>
                      <w:szCs w:val="21"/>
                    </w:rPr>
                  </w:pPr>
                  <w:r>
                    <w:rPr>
                      <w:color w:val="auto"/>
                      <w:sz w:val="21"/>
                      <w:szCs w:val="21"/>
                    </w:rPr>
                    <w:t>昼间</w:t>
                  </w:r>
                </w:p>
              </w:tc>
              <w:tc>
                <w:tcPr>
                  <w:tcW w:w="1092" w:type="dxa"/>
                  <w:vAlign w:val="center"/>
                </w:tcPr>
                <w:p w14:paraId="0E35DECD">
                  <w:pPr>
                    <w:pStyle w:val="14"/>
                    <w:adjustRightInd w:val="0"/>
                    <w:spacing w:after="0" w:line="240" w:lineRule="auto"/>
                    <w:jc w:val="center"/>
                    <w:rPr>
                      <w:color w:val="auto"/>
                      <w:sz w:val="21"/>
                      <w:szCs w:val="21"/>
                    </w:rPr>
                  </w:pPr>
                  <w:r>
                    <w:rPr>
                      <w:rFonts w:hint="eastAsia"/>
                      <w:color w:val="auto"/>
                      <w:sz w:val="21"/>
                      <w:szCs w:val="21"/>
                    </w:rPr>
                    <w:t>18.74</w:t>
                  </w:r>
                </w:p>
              </w:tc>
              <w:tc>
                <w:tcPr>
                  <w:tcW w:w="924" w:type="dxa"/>
                  <w:vAlign w:val="center"/>
                </w:tcPr>
                <w:p w14:paraId="43B1250E">
                  <w:pPr>
                    <w:pStyle w:val="14"/>
                    <w:adjustRightInd w:val="0"/>
                    <w:spacing w:after="0" w:line="240" w:lineRule="auto"/>
                    <w:jc w:val="center"/>
                    <w:rPr>
                      <w:color w:val="auto"/>
                      <w:sz w:val="21"/>
                      <w:szCs w:val="21"/>
                    </w:rPr>
                  </w:pPr>
                  <w:r>
                    <w:rPr>
                      <w:rFonts w:hint="eastAsia"/>
                      <w:color w:val="auto"/>
                      <w:sz w:val="21"/>
                      <w:szCs w:val="21"/>
                    </w:rPr>
                    <w:t>59</w:t>
                  </w:r>
                </w:p>
              </w:tc>
              <w:tc>
                <w:tcPr>
                  <w:tcW w:w="1038" w:type="dxa"/>
                  <w:vAlign w:val="center"/>
                </w:tcPr>
                <w:p w14:paraId="7DE767F8">
                  <w:pPr>
                    <w:pStyle w:val="14"/>
                    <w:adjustRightInd w:val="0"/>
                    <w:spacing w:after="0" w:line="240" w:lineRule="auto"/>
                    <w:jc w:val="center"/>
                    <w:rPr>
                      <w:color w:val="auto"/>
                      <w:sz w:val="21"/>
                      <w:szCs w:val="21"/>
                    </w:rPr>
                  </w:pPr>
                  <w:r>
                    <w:rPr>
                      <w:rFonts w:hint="eastAsia"/>
                      <w:color w:val="auto"/>
                      <w:sz w:val="21"/>
                      <w:szCs w:val="21"/>
                    </w:rPr>
                    <w:t>59</w:t>
                  </w:r>
                </w:p>
              </w:tc>
              <w:tc>
                <w:tcPr>
                  <w:tcW w:w="1092" w:type="dxa"/>
                  <w:vAlign w:val="center"/>
                </w:tcPr>
                <w:p w14:paraId="318C85C9">
                  <w:pPr>
                    <w:pStyle w:val="14"/>
                    <w:adjustRightInd w:val="0"/>
                    <w:spacing w:after="0" w:line="240" w:lineRule="auto"/>
                    <w:jc w:val="center"/>
                    <w:rPr>
                      <w:color w:val="auto"/>
                      <w:sz w:val="21"/>
                      <w:szCs w:val="21"/>
                    </w:rPr>
                  </w:pPr>
                  <w:r>
                    <w:rPr>
                      <w:rFonts w:hint="eastAsia"/>
                      <w:color w:val="auto"/>
                      <w:sz w:val="21"/>
                      <w:szCs w:val="21"/>
                    </w:rPr>
                    <w:t>60</w:t>
                  </w:r>
                </w:p>
              </w:tc>
              <w:tc>
                <w:tcPr>
                  <w:tcW w:w="643" w:type="dxa"/>
                  <w:vAlign w:val="center"/>
                </w:tcPr>
                <w:p w14:paraId="76F5510C">
                  <w:pPr>
                    <w:pStyle w:val="14"/>
                    <w:adjustRightInd w:val="0"/>
                    <w:spacing w:after="0" w:line="240" w:lineRule="auto"/>
                    <w:jc w:val="center"/>
                    <w:rPr>
                      <w:color w:val="auto"/>
                      <w:sz w:val="21"/>
                      <w:szCs w:val="21"/>
                    </w:rPr>
                  </w:pPr>
                  <w:r>
                    <w:rPr>
                      <w:color w:val="auto"/>
                      <w:sz w:val="21"/>
                      <w:szCs w:val="21"/>
                    </w:rPr>
                    <w:t>达标</w:t>
                  </w:r>
                </w:p>
              </w:tc>
            </w:tr>
            <w:tr w14:paraId="45E2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6" w:type="dxa"/>
                  <w:vMerge w:val="continue"/>
                  <w:vAlign w:val="center"/>
                </w:tcPr>
                <w:p w14:paraId="157EAC44">
                  <w:pPr>
                    <w:pStyle w:val="14"/>
                    <w:adjustRightInd w:val="0"/>
                    <w:spacing w:after="0" w:line="240" w:lineRule="auto"/>
                    <w:jc w:val="center"/>
                    <w:rPr>
                      <w:color w:val="auto"/>
                      <w:sz w:val="21"/>
                      <w:szCs w:val="21"/>
                    </w:rPr>
                  </w:pPr>
                </w:p>
              </w:tc>
              <w:tc>
                <w:tcPr>
                  <w:tcW w:w="805" w:type="dxa"/>
                  <w:vMerge w:val="continue"/>
                  <w:vAlign w:val="center"/>
                </w:tcPr>
                <w:p w14:paraId="37A3601B">
                  <w:pPr>
                    <w:pStyle w:val="14"/>
                    <w:adjustRightInd w:val="0"/>
                    <w:spacing w:after="0" w:line="240" w:lineRule="auto"/>
                    <w:jc w:val="center"/>
                    <w:rPr>
                      <w:color w:val="auto"/>
                      <w:sz w:val="21"/>
                      <w:szCs w:val="21"/>
                    </w:rPr>
                  </w:pPr>
                </w:p>
              </w:tc>
              <w:tc>
                <w:tcPr>
                  <w:tcW w:w="784" w:type="dxa"/>
                  <w:vMerge w:val="continue"/>
                  <w:vAlign w:val="center"/>
                </w:tcPr>
                <w:p w14:paraId="11AAB684">
                  <w:pPr>
                    <w:pStyle w:val="14"/>
                    <w:adjustRightInd w:val="0"/>
                    <w:spacing w:after="0" w:line="240" w:lineRule="auto"/>
                    <w:jc w:val="center"/>
                    <w:rPr>
                      <w:color w:val="auto"/>
                      <w:sz w:val="21"/>
                      <w:szCs w:val="21"/>
                    </w:rPr>
                  </w:pPr>
                </w:p>
              </w:tc>
              <w:tc>
                <w:tcPr>
                  <w:tcW w:w="592" w:type="dxa"/>
                  <w:vMerge w:val="continue"/>
                  <w:vAlign w:val="center"/>
                </w:tcPr>
                <w:p w14:paraId="5D289D19">
                  <w:pPr>
                    <w:pStyle w:val="14"/>
                    <w:adjustRightInd w:val="0"/>
                    <w:spacing w:after="0" w:line="240" w:lineRule="auto"/>
                    <w:jc w:val="center"/>
                    <w:rPr>
                      <w:color w:val="auto"/>
                      <w:sz w:val="21"/>
                      <w:szCs w:val="21"/>
                    </w:rPr>
                  </w:pPr>
                </w:p>
              </w:tc>
              <w:tc>
                <w:tcPr>
                  <w:tcW w:w="539" w:type="dxa"/>
                  <w:vAlign w:val="center"/>
                </w:tcPr>
                <w:p w14:paraId="7A1FBC4B">
                  <w:pPr>
                    <w:pStyle w:val="14"/>
                    <w:adjustRightInd w:val="0"/>
                    <w:spacing w:after="0" w:line="240" w:lineRule="auto"/>
                    <w:jc w:val="center"/>
                    <w:rPr>
                      <w:color w:val="auto"/>
                      <w:sz w:val="21"/>
                      <w:szCs w:val="21"/>
                    </w:rPr>
                  </w:pPr>
                  <w:r>
                    <w:rPr>
                      <w:rFonts w:hint="eastAsia"/>
                      <w:color w:val="auto"/>
                      <w:sz w:val="21"/>
                      <w:szCs w:val="21"/>
                    </w:rPr>
                    <w:t>夜间</w:t>
                  </w:r>
                </w:p>
              </w:tc>
              <w:tc>
                <w:tcPr>
                  <w:tcW w:w="1092" w:type="dxa"/>
                  <w:vAlign w:val="center"/>
                </w:tcPr>
                <w:p w14:paraId="2E877EE3">
                  <w:pPr>
                    <w:pStyle w:val="14"/>
                    <w:adjustRightInd w:val="0"/>
                    <w:spacing w:after="0" w:line="240" w:lineRule="auto"/>
                    <w:jc w:val="center"/>
                    <w:rPr>
                      <w:color w:val="auto"/>
                      <w:sz w:val="21"/>
                      <w:szCs w:val="21"/>
                    </w:rPr>
                  </w:pPr>
                  <w:r>
                    <w:rPr>
                      <w:rFonts w:hint="eastAsia"/>
                      <w:color w:val="auto"/>
                      <w:sz w:val="21"/>
                      <w:szCs w:val="21"/>
                    </w:rPr>
                    <w:t>18.74</w:t>
                  </w:r>
                </w:p>
              </w:tc>
              <w:tc>
                <w:tcPr>
                  <w:tcW w:w="924" w:type="dxa"/>
                  <w:vAlign w:val="center"/>
                </w:tcPr>
                <w:p w14:paraId="1F1B84D6">
                  <w:pPr>
                    <w:pStyle w:val="14"/>
                    <w:adjustRightInd w:val="0"/>
                    <w:spacing w:after="0" w:line="240" w:lineRule="auto"/>
                    <w:jc w:val="center"/>
                    <w:rPr>
                      <w:color w:val="auto"/>
                      <w:sz w:val="21"/>
                      <w:szCs w:val="21"/>
                    </w:rPr>
                  </w:pPr>
                  <w:r>
                    <w:rPr>
                      <w:rFonts w:hint="eastAsia"/>
                      <w:color w:val="auto"/>
                      <w:sz w:val="21"/>
                      <w:szCs w:val="21"/>
                    </w:rPr>
                    <w:t>47</w:t>
                  </w:r>
                </w:p>
              </w:tc>
              <w:tc>
                <w:tcPr>
                  <w:tcW w:w="1038" w:type="dxa"/>
                  <w:vAlign w:val="center"/>
                </w:tcPr>
                <w:p w14:paraId="7DC3CC52">
                  <w:pPr>
                    <w:pStyle w:val="14"/>
                    <w:adjustRightInd w:val="0"/>
                    <w:spacing w:after="0" w:line="240" w:lineRule="auto"/>
                    <w:jc w:val="center"/>
                    <w:rPr>
                      <w:color w:val="auto"/>
                      <w:sz w:val="21"/>
                      <w:szCs w:val="21"/>
                    </w:rPr>
                  </w:pPr>
                  <w:r>
                    <w:rPr>
                      <w:rFonts w:hint="eastAsia"/>
                      <w:color w:val="auto"/>
                      <w:sz w:val="21"/>
                      <w:szCs w:val="21"/>
                    </w:rPr>
                    <w:t>47.01</w:t>
                  </w:r>
                </w:p>
              </w:tc>
              <w:tc>
                <w:tcPr>
                  <w:tcW w:w="1092" w:type="dxa"/>
                  <w:vAlign w:val="center"/>
                </w:tcPr>
                <w:p w14:paraId="5B826A09">
                  <w:pPr>
                    <w:pStyle w:val="14"/>
                    <w:adjustRightInd w:val="0"/>
                    <w:spacing w:after="0" w:line="240" w:lineRule="auto"/>
                    <w:jc w:val="center"/>
                    <w:rPr>
                      <w:color w:val="auto"/>
                      <w:sz w:val="21"/>
                      <w:szCs w:val="21"/>
                    </w:rPr>
                  </w:pPr>
                  <w:r>
                    <w:rPr>
                      <w:rFonts w:hint="eastAsia"/>
                      <w:color w:val="auto"/>
                      <w:sz w:val="21"/>
                      <w:szCs w:val="21"/>
                    </w:rPr>
                    <w:t>50</w:t>
                  </w:r>
                </w:p>
              </w:tc>
              <w:tc>
                <w:tcPr>
                  <w:tcW w:w="643" w:type="dxa"/>
                  <w:vAlign w:val="center"/>
                </w:tcPr>
                <w:p w14:paraId="352ACC0A">
                  <w:pPr>
                    <w:pStyle w:val="14"/>
                    <w:adjustRightInd w:val="0"/>
                    <w:spacing w:after="0" w:line="240" w:lineRule="auto"/>
                    <w:jc w:val="center"/>
                    <w:rPr>
                      <w:color w:val="auto"/>
                      <w:sz w:val="21"/>
                      <w:szCs w:val="21"/>
                    </w:rPr>
                  </w:pPr>
                  <w:r>
                    <w:rPr>
                      <w:color w:val="auto"/>
                      <w:sz w:val="21"/>
                      <w:szCs w:val="21"/>
                    </w:rPr>
                    <w:t>达标</w:t>
                  </w:r>
                </w:p>
              </w:tc>
            </w:tr>
          </w:tbl>
          <w:p w14:paraId="1820FE67">
            <w:pPr>
              <w:adjustRightInd w:val="0"/>
              <w:snapToGrid w:val="0"/>
              <w:spacing w:before="120" w:beforeLines="50" w:line="360" w:lineRule="auto"/>
              <w:ind w:firstLine="480" w:firstLineChars="200"/>
              <w:rPr>
                <w:color w:val="auto"/>
                <w:sz w:val="24"/>
              </w:rPr>
            </w:pPr>
            <w:r>
              <w:rPr>
                <w:color w:val="auto"/>
                <w:sz w:val="24"/>
              </w:rPr>
              <w:t>从表</w:t>
            </w:r>
            <w:r>
              <w:rPr>
                <w:rFonts w:hint="eastAsia"/>
                <w:color w:val="auto"/>
                <w:sz w:val="24"/>
              </w:rPr>
              <w:t>4-34</w:t>
            </w:r>
            <w:r>
              <w:rPr>
                <w:color w:val="auto"/>
                <w:sz w:val="24"/>
              </w:rPr>
              <w:t>可以看出，当</w:t>
            </w:r>
            <w:r>
              <w:rPr>
                <w:rFonts w:hint="eastAsia"/>
                <w:color w:val="auto"/>
                <w:sz w:val="24"/>
              </w:rPr>
              <w:t>项目设备正常</w:t>
            </w:r>
            <w:r>
              <w:rPr>
                <w:color w:val="auto"/>
                <w:sz w:val="24"/>
              </w:rPr>
              <w:t>工作时，</w:t>
            </w:r>
            <w:r>
              <w:rPr>
                <w:rFonts w:hint="eastAsia"/>
                <w:color w:val="auto"/>
                <w:sz w:val="24"/>
              </w:rPr>
              <w:t>项目噪声对杨广集镇的</w:t>
            </w:r>
            <w:bookmarkStart w:id="80" w:name="_Hlk194507671"/>
            <w:r>
              <w:rPr>
                <w:color w:val="auto"/>
                <w:sz w:val="24"/>
              </w:rPr>
              <w:t>噪声</w:t>
            </w:r>
            <w:r>
              <w:rPr>
                <w:rFonts w:hint="eastAsia"/>
                <w:color w:val="auto"/>
                <w:sz w:val="24"/>
              </w:rPr>
              <w:t>预测结果</w:t>
            </w:r>
            <w:r>
              <w:rPr>
                <w:color w:val="auto"/>
                <w:sz w:val="24"/>
              </w:rPr>
              <w:t>均能达到</w:t>
            </w:r>
            <w:r>
              <w:rPr>
                <w:bCs/>
                <w:color w:val="auto"/>
                <w:sz w:val="24"/>
              </w:rPr>
              <w:t>《声环境质量标准》（GB3096-2008）</w:t>
            </w:r>
            <w:r>
              <w:rPr>
                <w:rFonts w:hint="eastAsia"/>
                <w:bCs/>
                <w:color w:val="auto"/>
                <w:sz w:val="24"/>
              </w:rPr>
              <w:t>2</w:t>
            </w:r>
            <w:r>
              <w:rPr>
                <w:bCs/>
                <w:color w:val="auto"/>
                <w:sz w:val="24"/>
              </w:rPr>
              <w:t>类区标准要求</w:t>
            </w:r>
            <w:bookmarkEnd w:id="80"/>
            <w:r>
              <w:rPr>
                <w:bCs/>
                <w:color w:val="auto"/>
                <w:sz w:val="24"/>
              </w:rPr>
              <w:t>。</w:t>
            </w:r>
            <w:r>
              <w:rPr>
                <w:color w:val="auto"/>
                <w:sz w:val="24"/>
              </w:rPr>
              <w:t>故项目建设运营对周边保护目标声环境影响不大。</w:t>
            </w:r>
          </w:p>
          <w:p w14:paraId="44CC8332">
            <w:pPr>
              <w:snapToGrid w:val="0"/>
              <w:spacing w:line="360" w:lineRule="auto"/>
              <w:ind w:firstLine="480" w:firstLineChars="200"/>
              <w:rPr>
                <w:color w:val="auto"/>
                <w:sz w:val="24"/>
              </w:rPr>
            </w:pPr>
            <w:r>
              <w:rPr>
                <w:color w:val="auto"/>
                <w:sz w:val="24"/>
              </w:rPr>
              <w:t>为进一步减少项目设备噪声对周围环境的影响，环评要求噪声防治应采取以下对策措施：</w:t>
            </w:r>
          </w:p>
          <w:p w14:paraId="74D1DD78">
            <w:pPr>
              <w:snapToGrid w:val="0"/>
              <w:spacing w:line="360" w:lineRule="auto"/>
              <w:ind w:firstLine="480" w:firstLineChars="200"/>
              <w:rPr>
                <w:rFonts w:hint="eastAsia" w:ascii="宋体" w:hAnsi="宋体"/>
                <w:color w:val="auto"/>
                <w:sz w:val="24"/>
              </w:rPr>
            </w:pPr>
            <w:r>
              <w:rPr>
                <w:rFonts w:ascii="宋体" w:hAnsi="宋体"/>
                <w:color w:val="auto"/>
                <w:sz w:val="24"/>
              </w:rPr>
              <w:t>①合理安排设备安放位置，尽可能利用距离进行声级衰减；</w:t>
            </w:r>
          </w:p>
          <w:p w14:paraId="322A294C">
            <w:pPr>
              <w:snapToGrid w:val="0"/>
              <w:spacing w:line="360" w:lineRule="auto"/>
              <w:ind w:firstLine="480" w:firstLineChars="200"/>
              <w:rPr>
                <w:rFonts w:hint="eastAsia" w:ascii="宋体" w:hAnsi="宋体"/>
                <w:color w:val="auto"/>
                <w:sz w:val="24"/>
              </w:rPr>
            </w:pPr>
            <w:r>
              <w:rPr>
                <w:rFonts w:ascii="宋体" w:hAnsi="宋体"/>
                <w:color w:val="auto"/>
                <w:sz w:val="24"/>
              </w:rPr>
              <w:t>②选用低噪声设备，高噪声设备必须安装在加有减振垫的隔振基础上，同时设备之间保持间距，避免噪声叠加影响。</w:t>
            </w:r>
          </w:p>
          <w:p w14:paraId="167F273F">
            <w:pPr>
              <w:snapToGrid w:val="0"/>
              <w:spacing w:line="360" w:lineRule="auto"/>
              <w:ind w:firstLine="480" w:firstLineChars="200"/>
              <w:rPr>
                <w:color w:val="auto"/>
                <w:sz w:val="24"/>
              </w:rPr>
            </w:pPr>
            <w:r>
              <w:rPr>
                <w:color w:val="auto"/>
                <w:sz w:val="24"/>
              </w:rPr>
              <w:t>经采取上述措施后进一步减小本项目噪声对周围环境的影响。</w:t>
            </w:r>
          </w:p>
          <w:p w14:paraId="27115F2D">
            <w:pPr>
              <w:spacing w:before="120" w:beforeLines="50" w:line="360" w:lineRule="auto"/>
              <w:ind w:firstLine="482" w:firstLineChars="200"/>
              <w:rPr>
                <w:snapToGrid w:val="0"/>
                <w:color w:val="auto"/>
                <w:sz w:val="24"/>
              </w:rPr>
            </w:pPr>
            <w:r>
              <w:rPr>
                <w:rFonts w:hint="eastAsia"/>
                <w:b/>
                <w:color w:val="auto"/>
                <w:sz w:val="24"/>
              </w:rPr>
              <w:t>（4）噪声环境自行监测计划</w:t>
            </w:r>
          </w:p>
          <w:p w14:paraId="607CF92B">
            <w:pPr>
              <w:widowControl/>
              <w:spacing w:line="360" w:lineRule="auto"/>
              <w:ind w:firstLine="480" w:firstLineChars="200"/>
              <w:jc w:val="left"/>
              <w:rPr>
                <w:color w:val="auto"/>
              </w:rPr>
            </w:pPr>
            <w:r>
              <w:rPr>
                <w:rFonts w:ascii="宋体" w:hAnsi="宋体" w:cs="宋体"/>
                <w:color w:val="auto"/>
                <w:kern w:val="0"/>
                <w:sz w:val="24"/>
                <w:lang w:bidi="ar"/>
              </w:rPr>
              <w:t>根据《排污单位自行监测技术指南总则》（</w:t>
            </w:r>
            <w:r>
              <w:rPr>
                <w:color w:val="auto"/>
                <w:kern w:val="0"/>
                <w:sz w:val="24"/>
                <w:lang w:bidi="ar"/>
              </w:rPr>
              <w:t>HJ819-2017</w:t>
            </w:r>
            <w:r>
              <w:rPr>
                <w:rFonts w:ascii="宋体" w:hAnsi="宋体" w:cs="宋体"/>
                <w:color w:val="auto"/>
                <w:kern w:val="0"/>
                <w:sz w:val="24"/>
                <w:lang w:bidi="ar"/>
              </w:rPr>
              <w:t xml:space="preserve">），项目投产后，企业应定期组织噪声监测。若企业不具备监测条件，需委托当地具有监测资质的单位开展噪声监测。项目监测计划具体如下表所示。 </w:t>
            </w:r>
          </w:p>
          <w:p w14:paraId="5F523B25">
            <w:pPr>
              <w:widowControl/>
              <w:jc w:val="center"/>
              <w:rPr>
                <w:rFonts w:ascii="宋体" w:hAnsi="宋体" w:cs="宋体"/>
                <w:b/>
                <w:color w:val="auto"/>
                <w:kern w:val="0"/>
                <w:sz w:val="24"/>
                <w:lang w:bidi="ar"/>
              </w:rPr>
            </w:pPr>
          </w:p>
          <w:p w14:paraId="356FCCD3">
            <w:pPr>
              <w:widowControl/>
              <w:jc w:val="center"/>
              <w:rPr>
                <w:color w:val="auto"/>
              </w:rPr>
            </w:pPr>
            <w:r>
              <w:rPr>
                <w:rFonts w:ascii="宋体" w:hAnsi="宋体" w:cs="宋体"/>
                <w:b/>
                <w:color w:val="auto"/>
                <w:kern w:val="0"/>
                <w:sz w:val="24"/>
                <w:lang w:bidi="ar"/>
              </w:rPr>
              <w:t xml:space="preserve">表 </w:t>
            </w:r>
            <w:r>
              <w:rPr>
                <w:b/>
                <w:color w:val="auto"/>
                <w:kern w:val="0"/>
                <w:sz w:val="24"/>
                <w:lang w:bidi="ar"/>
              </w:rPr>
              <w:t>4-</w:t>
            </w:r>
            <w:r>
              <w:rPr>
                <w:rFonts w:hint="eastAsia"/>
                <w:b/>
                <w:color w:val="auto"/>
                <w:kern w:val="0"/>
                <w:sz w:val="24"/>
                <w:lang w:bidi="ar"/>
              </w:rPr>
              <w:t>37</w:t>
            </w:r>
            <w:r>
              <w:rPr>
                <w:b/>
                <w:color w:val="auto"/>
                <w:kern w:val="0"/>
                <w:sz w:val="24"/>
                <w:lang w:bidi="ar"/>
              </w:rPr>
              <w:t xml:space="preserve"> </w:t>
            </w:r>
            <w:r>
              <w:rPr>
                <w:rFonts w:ascii="宋体" w:hAnsi="宋体" w:cs="宋体"/>
                <w:b/>
                <w:color w:val="auto"/>
                <w:kern w:val="0"/>
                <w:sz w:val="24"/>
                <w:lang w:bidi="ar"/>
              </w:rPr>
              <w:t>项目运营期噪声</w:t>
            </w:r>
            <w:r>
              <w:rPr>
                <w:rFonts w:hint="eastAsia" w:ascii="宋体" w:hAnsi="宋体" w:cs="宋体"/>
                <w:b/>
                <w:color w:val="auto"/>
                <w:kern w:val="0"/>
                <w:sz w:val="24"/>
                <w:lang w:bidi="ar"/>
              </w:rPr>
              <w:t>自行</w:t>
            </w:r>
            <w:r>
              <w:rPr>
                <w:rFonts w:ascii="宋体" w:hAnsi="宋体" w:cs="宋体"/>
                <w:b/>
                <w:color w:val="auto"/>
                <w:kern w:val="0"/>
                <w:sz w:val="24"/>
                <w:lang w:bidi="ar"/>
              </w:rPr>
              <w:t>监测要求</w:t>
            </w:r>
          </w:p>
          <w:tbl>
            <w:tblPr>
              <w:tblStyle w:val="33"/>
              <w:tblW w:w="8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793"/>
              <w:gridCol w:w="2373"/>
              <w:gridCol w:w="1090"/>
              <w:gridCol w:w="826"/>
              <w:gridCol w:w="3123"/>
            </w:tblGrid>
            <w:tr w14:paraId="3A99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672" w:type="dxa"/>
                  <w:vAlign w:val="center"/>
                </w:tcPr>
                <w:p w14:paraId="1D118B34">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分区</w:t>
                  </w:r>
                </w:p>
              </w:tc>
              <w:tc>
                <w:tcPr>
                  <w:tcW w:w="793" w:type="dxa"/>
                  <w:vAlign w:val="center"/>
                </w:tcPr>
                <w:p w14:paraId="4516077B">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项目</w:t>
                  </w:r>
                </w:p>
              </w:tc>
              <w:tc>
                <w:tcPr>
                  <w:tcW w:w="2373" w:type="dxa"/>
                  <w:vAlign w:val="center"/>
                </w:tcPr>
                <w:p w14:paraId="7929DF5C">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监测点位</w:t>
                  </w:r>
                </w:p>
              </w:tc>
              <w:tc>
                <w:tcPr>
                  <w:tcW w:w="1090" w:type="dxa"/>
                  <w:vAlign w:val="center"/>
                </w:tcPr>
                <w:p w14:paraId="566AB8EB">
                  <w:pPr>
                    <w:pStyle w:val="31"/>
                    <w:adjustRightInd w:val="0"/>
                    <w:spacing w:line="240" w:lineRule="auto"/>
                    <w:ind w:firstLine="0" w:firstLineChars="0"/>
                    <w:jc w:val="center"/>
                    <w:rPr>
                      <w:bCs/>
                      <w:color w:val="auto"/>
                      <w:spacing w:val="-10"/>
                      <w:szCs w:val="21"/>
                    </w:rPr>
                  </w:pPr>
                  <w:r>
                    <w:rPr>
                      <w:bCs/>
                      <w:color w:val="auto"/>
                      <w:spacing w:val="-10"/>
                      <w:szCs w:val="21"/>
                    </w:rPr>
                    <w:t>监测指标</w:t>
                  </w:r>
                </w:p>
              </w:tc>
              <w:tc>
                <w:tcPr>
                  <w:tcW w:w="826" w:type="dxa"/>
                  <w:vAlign w:val="center"/>
                </w:tcPr>
                <w:p w14:paraId="5744E9CF">
                  <w:pPr>
                    <w:pStyle w:val="31"/>
                    <w:adjustRightInd w:val="0"/>
                    <w:spacing w:line="240" w:lineRule="auto"/>
                    <w:ind w:firstLine="0" w:firstLineChars="0"/>
                    <w:jc w:val="center"/>
                    <w:rPr>
                      <w:bCs/>
                      <w:color w:val="auto"/>
                      <w:spacing w:val="-10"/>
                      <w:szCs w:val="21"/>
                    </w:rPr>
                  </w:pPr>
                  <w:r>
                    <w:rPr>
                      <w:bCs/>
                      <w:color w:val="auto"/>
                      <w:spacing w:val="-10"/>
                      <w:szCs w:val="21"/>
                    </w:rPr>
                    <w:t>监测频次</w:t>
                  </w:r>
                </w:p>
              </w:tc>
              <w:tc>
                <w:tcPr>
                  <w:tcW w:w="3123" w:type="dxa"/>
                  <w:vAlign w:val="center"/>
                </w:tcPr>
                <w:p w14:paraId="09CA8D42">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执行标准</w:t>
                  </w:r>
                </w:p>
              </w:tc>
            </w:tr>
            <w:tr w14:paraId="32B4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672" w:type="dxa"/>
                  <w:vMerge w:val="restart"/>
                  <w:vAlign w:val="center"/>
                </w:tcPr>
                <w:p w14:paraId="3A9C7B47">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纳古卫生院</w:t>
                  </w:r>
                </w:p>
              </w:tc>
              <w:tc>
                <w:tcPr>
                  <w:tcW w:w="793" w:type="dxa"/>
                  <w:vAlign w:val="center"/>
                </w:tcPr>
                <w:p w14:paraId="203228BD">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厂界噪声</w:t>
                  </w:r>
                </w:p>
              </w:tc>
              <w:tc>
                <w:tcPr>
                  <w:tcW w:w="2373" w:type="dxa"/>
                  <w:vAlign w:val="center"/>
                </w:tcPr>
                <w:p w14:paraId="3F519B40">
                  <w:pPr>
                    <w:pStyle w:val="31"/>
                    <w:adjustRightInd w:val="0"/>
                    <w:spacing w:line="240" w:lineRule="auto"/>
                    <w:ind w:firstLine="0" w:firstLineChars="0"/>
                    <w:jc w:val="center"/>
                    <w:rPr>
                      <w:bCs/>
                      <w:color w:val="auto"/>
                      <w:spacing w:val="-10"/>
                      <w:szCs w:val="21"/>
                    </w:rPr>
                  </w:pPr>
                  <w:r>
                    <w:rPr>
                      <w:bCs/>
                      <w:color w:val="auto"/>
                      <w:spacing w:val="-10"/>
                      <w:szCs w:val="21"/>
                    </w:rPr>
                    <w:t>东南西北厂界</w:t>
                  </w:r>
                </w:p>
              </w:tc>
              <w:tc>
                <w:tcPr>
                  <w:tcW w:w="1090" w:type="dxa"/>
                  <w:vAlign w:val="center"/>
                </w:tcPr>
                <w:p w14:paraId="38BDAFC1">
                  <w:pPr>
                    <w:widowControl/>
                    <w:jc w:val="center"/>
                    <w:rPr>
                      <w:color w:val="auto"/>
                      <w:szCs w:val="21"/>
                    </w:rPr>
                  </w:pPr>
                  <w:r>
                    <w:rPr>
                      <w:color w:val="auto"/>
                      <w:kern w:val="0"/>
                      <w:szCs w:val="21"/>
                      <w:lang w:bidi="ar"/>
                    </w:rPr>
                    <w:t>昼间、夜间等效声级</w:t>
                  </w:r>
                </w:p>
                <w:p w14:paraId="600C6038">
                  <w:pPr>
                    <w:widowControl/>
                    <w:jc w:val="center"/>
                    <w:rPr>
                      <w:color w:val="auto"/>
                      <w:szCs w:val="21"/>
                    </w:rPr>
                  </w:pPr>
                  <w:r>
                    <w:rPr>
                      <w:color w:val="auto"/>
                      <w:kern w:val="0"/>
                      <w:szCs w:val="21"/>
                      <w:lang w:bidi="ar"/>
                    </w:rPr>
                    <w:t>Leq(A)</w:t>
                  </w:r>
                </w:p>
                <w:p w14:paraId="55D42DC4">
                  <w:pPr>
                    <w:widowControl/>
                    <w:jc w:val="center"/>
                    <w:rPr>
                      <w:bCs/>
                      <w:color w:val="auto"/>
                      <w:spacing w:val="-10"/>
                      <w:szCs w:val="21"/>
                    </w:rPr>
                  </w:pPr>
                </w:p>
              </w:tc>
              <w:tc>
                <w:tcPr>
                  <w:tcW w:w="826" w:type="dxa"/>
                  <w:vAlign w:val="center"/>
                </w:tcPr>
                <w:p w14:paraId="47ECA7D9">
                  <w:pPr>
                    <w:widowControl/>
                    <w:jc w:val="center"/>
                    <w:rPr>
                      <w:bCs/>
                      <w:color w:val="auto"/>
                      <w:szCs w:val="21"/>
                    </w:rPr>
                  </w:pPr>
                  <w:r>
                    <w:rPr>
                      <w:bCs/>
                      <w:color w:val="auto"/>
                      <w:kern w:val="0"/>
                      <w:szCs w:val="21"/>
                      <w:lang w:bidi="ar"/>
                    </w:rPr>
                    <w:t>1 次/季度</w:t>
                  </w:r>
                </w:p>
                <w:p w14:paraId="5CEFFC08">
                  <w:pPr>
                    <w:pStyle w:val="31"/>
                    <w:adjustRightInd w:val="0"/>
                    <w:spacing w:line="240" w:lineRule="auto"/>
                    <w:ind w:firstLine="0" w:firstLineChars="0"/>
                    <w:jc w:val="center"/>
                    <w:rPr>
                      <w:bCs/>
                      <w:color w:val="auto"/>
                      <w:spacing w:val="-10"/>
                      <w:szCs w:val="21"/>
                    </w:rPr>
                  </w:pPr>
                </w:p>
              </w:tc>
              <w:tc>
                <w:tcPr>
                  <w:tcW w:w="3123" w:type="dxa"/>
                  <w:vAlign w:val="center"/>
                </w:tcPr>
                <w:p w14:paraId="7DA4B4B1">
                  <w:pPr>
                    <w:widowControl/>
                    <w:jc w:val="center"/>
                    <w:rPr>
                      <w:rFonts w:hint="eastAsia" w:ascii="宋体" w:hAnsi="宋体" w:cs="宋体"/>
                      <w:bCs/>
                      <w:color w:val="auto"/>
                      <w:spacing w:val="-10"/>
                      <w:szCs w:val="21"/>
                    </w:rPr>
                  </w:pPr>
                  <w:r>
                    <w:rPr>
                      <w:rFonts w:hint="eastAsia" w:ascii="宋体" w:hAnsi="宋体" w:cs="宋体"/>
                      <w:color w:val="auto"/>
                      <w:kern w:val="0"/>
                      <w:szCs w:val="21"/>
                      <w:lang w:bidi="ar"/>
                    </w:rPr>
                    <w:t>厂界噪声排放限值执行《工业企业厂界环境噪声排放标准》（GB12348-2008）执行 2 类标准</w:t>
                  </w:r>
                </w:p>
              </w:tc>
            </w:tr>
            <w:tr w14:paraId="578D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672" w:type="dxa"/>
                  <w:vMerge w:val="continue"/>
                  <w:vAlign w:val="center"/>
                </w:tcPr>
                <w:p w14:paraId="5EEEC721">
                  <w:pPr>
                    <w:pStyle w:val="31"/>
                    <w:adjustRightInd w:val="0"/>
                    <w:spacing w:line="240" w:lineRule="auto"/>
                    <w:ind w:firstLine="0" w:firstLineChars="0"/>
                    <w:jc w:val="center"/>
                    <w:rPr>
                      <w:rFonts w:hint="eastAsia" w:ascii="宋体" w:hAnsi="宋体" w:cs="宋体"/>
                      <w:bCs/>
                      <w:color w:val="auto"/>
                      <w:spacing w:val="-10"/>
                      <w:szCs w:val="21"/>
                    </w:rPr>
                  </w:pPr>
                </w:p>
              </w:tc>
              <w:tc>
                <w:tcPr>
                  <w:tcW w:w="793" w:type="dxa"/>
                  <w:vAlign w:val="center"/>
                </w:tcPr>
                <w:p w14:paraId="095A2AD6">
                  <w:pPr>
                    <w:pStyle w:val="31"/>
                    <w:adjustRightInd w:val="0"/>
                    <w:spacing w:line="240" w:lineRule="auto"/>
                    <w:ind w:firstLine="0" w:firstLineChars="0"/>
                    <w:jc w:val="center"/>
                    <w:rPr>
                      <w:color w:val="auto"/>
                      <w:kern w:val="2"/>
                      <w:szCs w:val="21"/>
                    </w:rPr>
                  </w:pPr>
                  <w:r>
                    <w:rPr>
                      <w:rFonts w:hint="eastAsia" w:ascii="宋体" w:hAnsi="宋体" w:cs="宋体"/>
                      <w:bCs/>
                      <w:color w:val="auto"/>
                      <w:spacing w:val="-10"/>
                      <w:szCs w:val="21"/>
                    </w:rPr>
                    <w:t>敏感点噪声</w:t>
                  </w:r>
                </w:p>
              </w:tc>
              <w:tc>
                <w:tcPr>
                  <w:tcW w:w="2373" w:type="dxa"/>
                  <w:vAlign w:val="center"/>
                </w:tcPr>
                <w:p w14:paraId="632A1228">
                  <w:pPr>
                    <w:pStyle w:val="31"/>
                    <w:adjustRightInd w:val="0"/>
                    <w:spacing w:line="240" w:lineRule="auto"/>
                    <w:ind w:firstLine="0" w:firstLineChars="0"/>
                    <w:jc w:val="center"/>
                    <w:rPr>
                      <w:bCs/>
                      <w:color w:val="auto"/>
                      <w:spacing w:val="-10"/>
                      <w:szCs w:val="21"/>
                    </w:rPr>
                  </w:pPr>
                  <w:r>
                    <w:rPr>
                      <w:color w:val="auto"/>
                      <w:kern w:val="2"/>
                      <w:szCs w:val="21"/>
                    </w:rPr>
                    <w:t>纳古镇（坐标东经102°43′53.743″，24°10′55.815″）</w:t>
                  </w:r>
                </w:p>
              </w:tc>
              <w:tc>
                <w:tcPr>
                  <w:tcW w:w="1090" w:type="dxa"/>
                  <w:vAlign w:val="center"/>
                </w:tcPr>
                <w:p w14:paraId="60076E22">
                  <w:pPr>
                    <w:widowControl/>
                    <w:jc w:val="center"/>
                    <w:rPr>
                      <w:color w:val="auto"/>
                      <w:szCs w:val="21"/>
                    </w:rPr>
                  </w:pPr>
                  <w:r>
                    <w:rPr>
                      <w:color w:val="auto"/>
                      <w:kern w:val="0"/>
                      <w:szCs w:val="21"/>
                      <w:lang w:bidi="ar"/>
                    </w:rPr>
                    <w:t>昼间、夜间等效声级</w:t>
                  </w:r>
                </w:p>
                <w:p w14:paraId="1818F3E2">
                  <w:pPr>
                    <w:widowControl/>
                    <w:jc w:val="center"/>
                    <w:rPr>
                      <w:color w:val="auto"/>
                      <w:szCs w:val="21"/>
                    </w:rPr>
                  </w:pPr>
                  <w:r>
                    <w:rPr>
                      <w:color w:val="auto"/>
                      <w:kern w:val="0"/>
                      <w:szCs w:val="21"/>
                      <w:lang w:bidi="ar"/>
                    </w:rPr>
                    <w:t>Leq(A)</w:t>
                  </w:r>
                </w:p>
                <w:p w14:paraId="1050DD4D">
                  <w:pPr>
                    <w:widowControl/>
                    <w:jc w:val="center"/>
                    <w:rPr>
                      <w:bCs/>
                      <w:color w:val="auto"/>
                      <w:spacing w:val="-10"/>
                      <w:szCs w:val="21"/>
                    </w:rPr>
                  </w:pPr>
                </w:p>
              </w:tc>
              <w:tc>
                <w:tcPr>
                  <w:tcW w:w="826" w:type="dxa"/>
                  <w:vAlign w:val="center"/>
                </w:tcPr>
                <w:p w14:paraId="09468F4B">
                  <w:pPr>
                    <w:widowControl/>
                    <w:jc w:val="center"/>
                    <w:rPr>
                      <w:bCs/>
                      <w:color w:val="auto"/>
                      <w:szCs w:val="21"/>
                    </w:rPr>
                  </w:pPr>
                  <w:r>
                    <w:rPr>
                      <w:bCs/>
                      <w:color w:val="auto"/>
                      <w:kern w:val="0"/>
                      <w:szCs w:val="21"/>
                      <w:lang w:bidi="ar"/>
                    </w:rPr>
                    <w:t>1 次/季度</w:t>
                  </w:r>
                </w:p>
                <w:p w14:paraId="72F3EC30">
                  <w:pPr>
                    <w:pStyle w:val="31"/>
                    <w:adjustRightInd w:val="0"/>
                    <w:spacing w:line="240" w:lineRule="auto"/>
                    <w:ind w:firstLine="0" w:firstLineChars="0"/>
                    <w:jc w:val="center"/>
                    <w:rPr>
                      <w:bCs/>
                      <w:color w:val="auto"/>
                      <w:spacing w:val="-10"/>
                      <w:szCs w:val="21"/>
                    </w:rPr>
                  </w:pPr>
                </w:p>
              </w:tc>
              <w:tc>
                <w:tcPr>
                  <w:tcW w:w="3123" w:type="dxa"/>
                  <w:vAlign w:val="center"/>
                </w:tcPr>
                <w:p w14:paraId="12B8D345">
                  <w:pPr>
                    <w:widowControl/>
                    <w:jc w:val="center"/>
                    <w:rPr>
                      <w:bCs/>
                      <w:color w:val="auto"/>
                      <w:spacing w:val="-10"/>
                      <w:szCs w:val="21"/>
                    </w:rPr>
                  </w:pPr>
                  <w:r>
                    <w:rPr>
                      <w:bCs/>
                      <w:color w:val="auto"/>
                      <w:spacing w:val="-10"/>
                      <w:szCs w:val="21"/>
                    </w:rPr>
                    <w:t>执行《声环境质量标准》GB3096-2008）2类标准要求</w:t>
                  </w:r>
                </w:p>
              </w:tc>
            </w:tr>
            <w:tr w14:paraId="34A1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672" w:type="dxa"/>
                  <w:vMerge w:val="restart"/>
                  <w:vAlign w:val="center"/>
                </w:tcPr>
                <w:p w14:paraId="71067CFE">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四街卫生院</w:t>
                  </w:r>
                </w:p>
              </w:tc>
              <w:tc>
                <w:tcPr>
                  <w:tcW w:w="793" w:type="dxa"/>
                  <w:vAlign w:val="center"/>
                </w:tcPr>
                <w:p w14:paraId="20F62253">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厂界噪声</w:t>
                  </w:r>
                </w:p>
              </w:tc>
              <w:tc>
                <w:tcPr>
                  <w:tcW w:w="2373" w:type="dxa"/>
                  <w:vAlign w:val="center"/>
                </w:tcPr>
                <w:p w14:paraId="1D8F7BFB">
                  <w:pPr>
                    <w:pStyle w:val="31"/>
                    <w:adjustRightInd w:val="0"/>
                    <w:spacing w:line="240" w:lineRule="auto"/>
                    <w:ind w:firstLine="0" w:firstLineChars="0"/>
                    <w:jc w:val="center"/>
                    <w:rPr>
                      <w:color w:val="auto"/>
                      <w:kern w:val="2"/>
                      <w:szCs w:val="21"/>
                    </w:rPr>
                  </w:pPr>
                  <w:r>
                    <w:rPr>
                      <w:bCs/>
                      <w:color w:val="auto"/>
                      <w:spacing w:val="-10"/>
                      <w:szCs w:val="21"/>
                    </w:rPr>
                    <w:t>东南西北厂界</w:t>
                  </w:r>
                </w:p>
              </w:tc>
              <w:tc>
                <w:tcPr>
                  <w:tcW w:w="1090" w:type="dxa"/>
                  <w:vAlign w:val="center"/>
                </w:tcPr>
                <w:p w14:paraId="24941E02">
                  <w:pPr>
                    <w:widowControl/>
                    <w:jc w:val="center"/>
                    <w:rPr>
                      <w:color w:val="auto"/>
                      <w:szCs w:val="21"/>
                    </w:rPr>
                  </w:pPr>
                  <w:r>
                    <w:rPr>
                      <w:color w:val="auto"/>
                      <w:kern w:val="0"/>
                      <w:szCs w:val="21"/>
                      <w:lang w:bidi="ar"/>
                    </w:rPr>
                    <w:t>昼间、夜间等效声级</w:t>
                  </w:r>
                </w:p>
                <w:p w14:paraId="614FF3B0">
                  <w:pPr>
                    <w:widowControl/>
                    <w:jc w:val="center"/>
                    <w:rPr>
                      <w:color w:val="auto"/>
                      <w:szCs w:val="21"/>
                    </w:rPr>
                  </w:pPr>
                  <w:r>
                    <w:rPr>
                      <w:color w:val="auto"/>
                      <w:kern w:val="0"/>
                      <w:szCs w:val="21"/>
                      <w:lang w:bidi="ar"/>
                    </w:rPr>
                    <w:t>Leq(A)</w:t>
                  </w:r>
                </w:p>
                <w:p w14:paraId="53449348">
                  <w:pPr>
                    <w:widowControl/>
                    <w:jc w:val="center"/>
                    <w:rPr>
                      <w:bCs/>
                      <w:color w:val="auto"/>
                      <w:spacing w:val="-10"/>
                      <w:szCs w:val="21"/>
                    </w:rPr>
                  </w:pPr>
                </w:p>
              </w:tc>
              <w:tc>
                <w:tcPr>
                  <w:tcW w:w="826" w:type="dxa"/>
                  <w:vAlign w:val="center"/>
                </w:tcPr>
                <w:p w14:paraId="08D32406">
                  <w:pPr>
                    <w:widowControl/>
                    <w:jc w:val="center"/>
                    <w:rPr>
                      <w:bCs/>
                      <w:color w:val="auto"/>
                      <w:szCs w:val="21"/>
                    </w:rPr>
                  </w:pPr>
                  <w:r>
                    <w:rPr>
                      <w:bCs/>
                      <w:color w:val="auto"/>
                      <w:kern w:val="0"/>
                      <w:szCs w:val="21"/>
                      <w:lang w:bidi="ar"/>
                    </w:rPr>
                    <w:t>1 次/季度</w:t>
                  </w:r>
                </w:p>
                <w:p w14:paraId="2719BF1E">
                  <w:pPr>
                    <w:pStyle w:val="31"/>
                    <w:adjustRightInd w:val="0"/>
                    <w:spacing w:line="240" w:lineRule="auto"/>
                    <w:ind w:firstLine="0" w:firstLineChars="0"/>
                    <w:jc w:val="center"/>
                    <w:rPr>
                      <w:bCs/>
                      <w:color w:val="auto"/>
                      <w:spacing w:val="-10"/>
                      <w:szCs w:val="21"/>
                    </w:rPr>
                  </w:pPr>
                </w:p>
              </w:tc>
              <w:tc>
                <w:tcPr>
                  <w:tcW w:w="3123" w:type="dxa"/>
                  <w:vAlign w:val="center"/>
                </w:tcPr>
                <w:p w14:paraId="21C59993">
                  <w:pPr>
                    <w:widowControl/>
                    <w:jc w:val="center"/>
                    <w:rPr>
                      <w:bCs/>
                      <w:color w:val="auto"/>
                      <w:spacing w:val="-10"/>
                      <w:szCs w:val="21"/>
                    </w:rPr>
                  </w:pPr>
                  <w:r>
                    <w:rPr>
                      <w:color w:val="auto"/>
                      <w:kern w:val="0"/>
                      <w:szCs w:val="21"/>
                      <w:lang w:bidi="ar"/>
                    </w:rPr>
                    <w:t>项目四街卫生院西面为G245国道，西厂界执行《工业企业厂界环境噪声排放标准》（GB12348-2008）4类标准，其余东、南、北厂界噪声排放限值执行2类标准</w:t>
                  </w:r>
                </w:p>
              </w:tc>
            </w:tr>
            <w:tr w14:paraId="2263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672" w:type="dxa"/>
                  <w:vMerge w:val="continue"/>
                  <w:vAlign w:val="center"/>
                </w:tcPr>
                <w:p w14:paraId="2B45DF21">
                  <w:pPr>
                    <w:pStyle w:val="31"/>
                    <w:adjustRightInd w:val="0"/>
                    <w:spacing w:line="240" w:lineRule="auto"/>
                    <w:ind w:firstLine="0" w:firstLineChars="0"/>
                    <w:jc w:val="center"/>
                    <w:rPr>
                      <w:rFonts w:hint="eastAsia" w:ascii="宋体" w:hAnsi="宋体" w:cs="宋体"/>
                      <w:bCs/>
                      <w:color w:val="auto"/>
                      <w:spacing w:val="-10"/>
                      <w:szCs w:val="21"/>
                    </w:rPr>
                  </w:pPr>
                </w:p>
              </w:tc>
              <w:tc>
                <w:tcPr>
                  <w:tcW w:w="793" w:type="dxa"/>
                  <w:vMerge w:val="restart"/>
                  <w:vAlign w:val="center"/>
                </w:tcPr>
                <w:p w14:paraId="328DB1D5">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敏感点噪声</w:t>
                  </w:r>
                </w:p>
              </w:tc>
              <w:tc>
                <w:tcPr>
                  <w:tcW w:w="2373" w:type="dxa"/>
                  <w:vAlign w:val="center"/>
                </w:tcPr>
                <w:p w14:paraId="00EBFEBE">
                  <w:pPr>
                    <w:pStyle w:val="31"/>
                    <w:adjustRightInd w:val="0"/>
                    <w:spacing w:line="240" w:lineRule="auto"/>
                    <w:ind w:firstLine="0" w:firstLineChars="0"/>
                    <w:jc w:val="center"/>
                    <w:rPr>
                      <w:color w:val="auto"/>
                      <w:kern w:val="2"/>
                      <w:szCs w:val="21"/>
                    </w:rPr>
                  </w:pPr>
                  <w:r>
                    <w:rPr>
                      <w:rFonts w:hint="eastAsia" w:ascii="宋体" w:hAnsi="宋体" w:cs="宋体"/>
                      <w:color w:val="auto"/>
                      <w:szCs w:val="21"/>
                    </w:rPr>
                    <w:t>四街镇（坐标</w:t>
                  </w:r>
                  <w:r>
                    <w:rPr>
                      <w:color w:val="auto"/>
                      <w:szCs w:val="21"/>
                    </w:rPr>
                    <w:t>为东经102°42′10.803″，24°9′54.233″</w:t>
                  </w:r>
                  <w:r>
                    <w:rPr>
                      <w:rFonts w:hint="eastAsia" w:ascii="宋体" w:hAnsi="宋体" w:cs="宋体"/>
                      <w:color w:val="auto"/>
                      <w:szCs w:val="21"/>
                    </w:rPr>
                    <w:t>)</w:t>
                  </w:r>
                </w:p>
              </w:tc>
              <w:tc>
                <w:tcPr>
                  <w:tcW w:w="1090" w:type="dxa"/>
                  <w:vMerge w:val="restart"/>
                  <w:vAlign w:val="center"/>
                </w:tcPr>
                <w:p w14:paraId="789861A3">
                  <w:pPr>
                    <w:widowControl/>
                    <w:jc w:val="center"/>
                    <w:rPr>
                      <w:color w:val="auto"/>
                      <w:szCs w:val="21"/>
                    </w:rPr>
                  </w:pPr>
                  <w:r>
                    <w:rPr>
                      <w:color w:val="auto"/>
                      <w:kern w:val="0"/>
                      <w:szCs w:val="21"/>
                      <w:lang w:bidi="ar"/>
                    </w:rPr>
                    <w:t>昼间、夜间等效声级</w:t>
                  </w:r>
                </w:p>
                <w:p w14:paraId="08E6A746">
                  <w:pPr>
                    <w:widowControl/>
                    <w:jc w:val="center"/>
                    <w:rPr>
                      <w:color w:val="auto"/>
                      <w:szCs w:val="21"/>
                    </w:rPr>
                  </w:pPr>
                  <w:r>
                    <w:rPr>
                      <w:color w:val="auto"/>
                      <w:kern w:val="0"/>
                      <w:szCs w:val="21"/>
                      <w:lang w:bidi="ar"/>
                    </w:rPr>
                    <w:t>Leq(A)</w:t>
                  </w:r>
                </w:p>
                <w:p w14:paraId="13ABED97">
                  <w:pPr>
                    <w:widowControl/>
                    <w:jc w:val="center"/>
                    <w:rPr>
                      <w:bCs/>
                      <w:color w:val="auto"/>
                      <w:spacing w:val="-10"/>
                      <w:szCs w:val="21"/>
                    </w:rPr>
                  </w:pPr>
                </w:p>
              </w:tc>
              <w:tc>
                <w:tcPr>
                  <w:tcW w:w="826" w:type="dxa"/>
                  <w:vMerge w:val="restart"/>
                  <w:vAlign w:val="center"/>
                </w:tcPr>
                <w:p w14:paraId="45C6866F">
                  <w:pPr>
                    <w:widowControl/>
                    <w:jc w:val="center"/>
                    <w:rPr>
                      <w:bCs/>
                      <w:color w:val="auto"/>
                      <w:szCs w:val="21"/>
                    </w:rPr>
                  </w:pPr>
                  <w:r>
                    <w:rPr>
                      <w:bCs/>
                      <w:color w:val="auto"/>
                      <w:kern w:val="0"/>
                      <w:szCs w:val="21"/>
                      <w:lang w:bidi="ar"/>
                    </w:rPr>
                    <w:t>1 次/季度</w:t>
                  </w:r>
                </w:p>
                <w:p w14:paraId="6C201C39">
                  <w:pPr>
                    <w:pStyle w:val="31"/>
                    <w:adjustRightInd w:val="0"/>
                    <w:spacing w:line="240" w:lineRule="auto"/>
                    <w:ind w:firstLine="0" w:firstLineChars="0"/>
                    <w:jc w:val="center"/>
                    <w:rPr>
                      <w:bCs/>
                      <w:color w:val="auto"/>
                      <w:spacing w:val="-10"/>
                      <w:szCs w:val="21"/>
                    </w:rPr>
                  </w:pPr>
                </w:p>
              </w:tc>
              <w:tc>
                <w:tcPr>
                  <w:tcW w:w="3123" w:type="dxa"/>
                  <w:vMerge w:val="restart"/>
                  <w:vAlign w:val="center"/>
                </w:tcPr>
                <w:p w14:paraId="26E7B6FC">
                  <w:pPr>
                    <w:widowControl/>
                    <w:jc w:val="center"/>
                    <w:rPr>
                      <w:rFonts w:hint="eastAsia" w:ascii="宋体" w:hAnsi="宋体" w:cs="宋体"/>
                      <w:bCs/>
                      <w:color w:val="auto"/>
                      <w:spacing w:val="-10"/>
                      <w:szCs w:val="21"/>
                    </w:rPr>
                  </w:pPr>
                  <w:r>
                    <w:rPr>
                      <w:bCs/>
                      <w:color w:val="auto"/>
                      <w:spacing w:val="-10"/>
                      <w:szCs w:val="21"/>
                    </w:rPr>
                    <w:t>执行《声环境质量标准》GB3096-2008）2类标准要求</w:t>
                  </w:r>
                </w:p>
              </w:tc>
            </w:tr>
            <w:tr w14:paraId="4E77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672" w:type="dxa"/>
                  <w:vMerge w:val="continue"/>
                  <w:vAlign w:val="center"/>
                </w:tcPr>
                <w:p w14:paraId="66EA98B4">
                  <w:pPr>
                    <w:pStyle w:val="31"/>
                    <w:adjustRightInd w:val="0"/>
                    <w:spacing w:line="240" w:lineRule="auto"/>
                    <w:ind w:firstLine="0" w:firstLineChars="0"/>
                    <w:jc w:val="center"/>
                    <w:rPr>
                      <w:rFonts w:hint="eastAsia" w:ascii="宋体" w:hAnsi="宋体" w:cs="宋体"/>
                      <w:bCs/>
                      <w:color w:val="auto"/>
                      <w:spacing w:val="-10"/>
                      <w:szCs w:val="21"/>
                    </w:rPr>
                  </w:pPr>
                </w:p>
              </w:tc>
              <w:tc>
                <w:tcPr>
                  <w:tcW w:w="793" w:type="dxa"/>
                  <w:vMerge w:val="continue"/>
                  <w:vAlign w:val="center"/>
                </w:tcPr>
                <w:p w14:paraId="50F1265A">
                  <w:pPr>
                    <w:pStyle w:val="31"/>
                    <w:adjustRightInd w:val="0"/>
                    <w:spacing w:line="240" w:lineRule="auto"/>
                    <w:ind w:firstLine="0" w:firstLineChars="0"/>
                    <w:jc w:val="center"/>
                    <w:rPr>
                      <w:rFonts w:hint="eastAsia" w:ascii="宋体" w:hAnsi="宋体" w:cs="宋体"/>
                      <w:bCs/>
                      <w:color w:val="auto"/>
                      <w:spacing w:val="-10"/>
                      <w:szCs w:val="21"/>
                    </w:rPr>
                  </w:pPr>
                </w:p>
              </w:tc>
              <w:tc>
                <w:tcPr>
                  <w:tcW w:w="2373" w:type="dxa"/>
                  <w:vAlign w:val="center"/>
                </w:tcPr>
                <w:p w14:paraId="4E59394A">
                  <w:pPr>
                    <w:pStyle w:val="31"/>
                    <w:adjustRightInd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四街村（坐标为</w:t>
                  </w:r>
                  <w:r>
                    <w:rPr>
                      <w:color w:val="auto"/>
                      <w:szCs w:val="21"/>
                    </w:rPr>
                    <w:t>东经102°42′6.186″，北纬24°9′54.637″</w:t>
                  </w:r>
                  <w:r>
                    <w:rPr>
                      <w:rFonts w:hint="eastAsia" w:ascii="宋体" w:hAnsi="宋体" w:cs="宋体"/>
                      <w:color w:val="auto"/>
                      <w:szCs w:val="21"/>
                    </w:rPr>
                    <w:t>）</w:t>
                  </w:r>
                </w:p>
              </w:tc>
              <w:tc>
                <w:tcPr>
                  <w:tcW w:w="1090" w:type="dxa"/>
                  <w:vMerge w:val="continue"/>
                  <w:vAlign w:val="center"/>
                </w:tcPr>
                <w:p w14:paraId="4FF7A99E">
                  <w:pPr>
                    <w:widowControl/>
                    <w:jc w:val="center"/>
                    <w:rPr>
                      <w:bCs/>
                      <w:color w:val="auto"/>
                      <w:spacing w:val="-10"/>
                      <w:szCs w:val="21"/>
                    </w:rPr>
                  </w:pPr>
                </w:p>
              </w:tc>
              <w:tc>
                <w:tcPr>
                  <w:tcW w:w="826" w:type="dxa"/>
                  <w:vMerge w:val="continue"/>
                  <w:vAlign w:val="center"/>
                </w:tcPr>
                <w:p w14:paraId="6B32F527">
                  <w:pPr>
                    <w:pStyle w:val="31"/>
                    <w:adjustRightInd w:val="0"/>
                    <w:spacing w:line="240" w:lineRule="auto"/>
                    <w:ind w:firstLine="0" w:firstLineChars="0"/>
                    <w:jc w:val="center"/>
                    <w:rPr>
                      <w:bCs/>
                      <w:color w:val="auto"/>
                      <w:spacing w:val="-10"/>
                      <w:szCs w:val="21"/>
                    </w:rPr>
                  </w:pPr>
                </w:p>
              </w:tc>
              <w:tc>
                <w:tcPr>
                  <w:tcW w:w="3123" w:type="dxa"/>
                  <w:vMerge w:val="continue"/>
                  <w:vAlign w:val="center"/>
                </w:tcPr>
                <w:p w14:paraId="1CF3C272">
                  <w:pPr>
                    <w:widowControl/>
                    <w:jc w:val="center"/>
                    <w:rPr>
                      <w:bCs/>
                      <w:color w:val="auto"/>
                      <w:spacing w:val="-10"/>
                      <w:szCs w:val="21"/>
                    </w:rPr>
                  </w:pPr>
                </w:p>
              </w:tc>
            </w:tr>
            <w:tr w14:paraId="07E9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Merge w:val="restart"/>
                  <w:vAlign w:val="center"/>
                </w:tcPr>
                <w:p w14:paraId="517EA8CA">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九龙卫生院</w:t>
                  </w:r>
                </w:p>
              </w:tc>
              <w:tc>
                <w:tcPr>
                  <w:tcW w:w="793" w:type="dxa"/>
                  <w:vAlign w:val="center"/>
                </w:tcPr>
                <w:p w14:paraId="031E3E4E">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厂界噪声</w:t>
                  </w:r>
                </w:p>
              </w:tc>
              <w:tc>
                <w:tcPr>
                  <w:tcW w:w="2373" w:type="dxa"/>
                  <w:vAlign w:val="center"/>
                </w:tcPr>
                <w:p w14:paraId="3A48DF8C">
                  <w:pPr>
                    <w:pStyle w:val="31"/>
                    <w:adjustRightInd w:val="0"/>
                    <w:spacing w:line="240" w:lineRule="auto"/>
                    <w:ind w:firstLine="0" w:firstLineChars="0"/>
                    <w:jc w:val="center"/>
                    <w:rPr>
                      <w:color w:val="auto"/>
                      <w:kern w:val="2"/>
                      <w:szCs w:val="21"/>
                    </w:rPr>
                  </w:pPr>
                  <w:r>
                    <w:rPr>
                      <w:bCs/>
                      <w:color w:val="auto"/>
                      <w:spacing w:val="-10"/>
                      <w:szCs w:val="21"/>
                    </w:rPr>
                    <w:t>东南西北厂界</w:t>
                  </w:r>
                </w:p>
              </w:tc>
              <w:tc>
                <w:tcPr>
                  <w:tcW w:w="1090" w:type="dxa"/>
                  <w:vAlign w:val="center"/>
                </w:tcPr>
                <w:p w14:paraId="18B4D3F5">
                  <w:pPr>
                    <w:widowControl/>
                    <w:jc w:val="center"/>
                    <w:rPr>
                      <w:color w:val="auto"/>
                      <w:szCs w:val="21"/>
                    </w:rPr>
                  </w:pPr>
                  <w:r>
                    <w:rPr>
                      <w:color w:val="auto"/>
                      <w:kern w:val="0"/>
                      <w:szCs w:val="21"/>
                      <w:lang w:bidi="ar"/>
                    </w:rPr>
                    <w:t>昼间、夜间等效声级</w:t>
                  </w:r>
                </w:p>
                <w:p w14:paraId="6C341D2B">
                  <w:pPr>
                    <w:widowControl/>
                    <w:jc w:val="center"/>
                    <w:rPr>
                      <w:color w:val="auto"/>
                      <w:szCs w:val="21"/>
                    </w:rPr>
                  </w:pPr>
                  <w:r>
                    <w:rPr>
                      <w:color w:val="auto"/>
                      <w:kern w:val="0"/>
                      <w:szCs w:val="21"/>
                      <w:lang w:bidi="ar"/>
                    </w:rPr>
                    <w:t>Leq(A)</w:t>
                  </w:r>
                </w:p>
                <w:p w14:paraId="264FD92F">
                  <w:pPr>
                    <w:widowControl/>
                    <w:jc w:val="center"/>
                    <w:rPr>
                      <w:bCs/>
                      <w:color w:val="auto"/>
                      <w:spacing w:val="-10"/>
                      <w:szCs w:val="21"/>
                    </w:rPr>
                  </w:pPr>
                </w:p>
              </w:tc>
              <w:tc>
                <w:tcPr>
                  <w:tcW w:w="826" w:type="dxa"/>
                  <w:vAlign w:val="center"/>
                </w:tcPr>
                <w:p w14:paraId="604B9C8A">
                  <w:pPr>
                    <w:widowControl/>
                    <w:jc w:val="center"/>
                    <w:rPr>
                      <w:bCs/>
                      <w:color w:val="auto"/>
                      <w:szCs w:val="21"/>
                    </w:rPr>
                  </w:pPr>
                  <w:r>
                    <w:rPr>
                      <w:bCs/>
                      <w:color w:val="auto"/>
                      <w:kern w:val="0"/>
                      <w:szCs w:val="21"/>
                      <w:lang w:bidi="ar"/>
                    </w:rPr>
                    <w:t>1 次/季度</w:t>
                  </w:r>
                </w:p>
                <w:p w14:paraId="4FC14A60">
                  <w:pPr>
                    <w:pStyle w:val="31"/>
                    <w:adjustRightInd w:val="0"/>
                    <w:spacing w:line="240" w:lineRule="auto"/>
                    <w:ind w:firstLine="0" w:firstLineChars="0"/>
                    <w:jc w:val="center"/>
                    <w:rPr>
                      <w:bCs/>
                      <w:color w:val="auto"/>
                      <w:spacing w:val="-10"/>
                      <w:szCs w:val="21"/>
                    </w:rPr>
                  </w:pPr>
                </w:p>
              </w:tc>
              <w:tc>
                <w:tcPr>
                  <w:tcW w:w="3123" w:type="dxa"/>
                  <w:vAlign w:val="center"/>
                </w:tcPr>
                <w:p w14:paraId="454F2276">
                  <w:pPr>
                    <w:widowControl/>
                    <w:jc w:val="center"/>
                    <w:rPr>
                      <w:rFonts w:hint="eastAsia" w:ascii="宋体" w:hAnsi="宋体" w:cs="宋体"/>
                      <w:bCs/>
                      <w:color w:val="auto"/>
                      <w:spacing w:val="-10"/>
                      <w:szCs w:val="21"/>
                    </w:rPr>
                  </w:pPr>
                  <w:bookmarkStart w:id="81" w:name="_Hlk194507604"/>
                  <w:r>
                    <w:rPr>
                      <w:rFonts w:hint="eastAsia" w:ascii="宋体" w:hAnsi="宋体" w:cs="宋体"/>
                      <w:color w:val="auto"/>
                      <w:kern w:val="0"/>
                      <w:szCs w:val="21"/>
                      <w:lang w:bidi="ar"/>
                    </w:rPr>
                    <w:t>厂界噪声排放限值执行《工业企业厂界环境噪声排放标准》（GB12348-2008）执行 2 类标准</w:t>
                  </w:r>
                  <w:bookmarkEnd w:id="81"/>
                </w:p>
              </w:tc>
            </w:tr>
            <w:tr w14:paraId="59CA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672" w:type="dxa"/>
                  <w:vMerge w:val="continue"/>
                  <w:vAlign w:val="center"/>
                </w:tcPr>
                <w:p w14:paraId="31EA7417">
                  <w:pPr>
                    <w:pStyle w:val="31"/>
                    <w:adjustRightInd w:val="0"/>
                    <w:spacing w:line="240" w:lineRule="auto"/>
                    <w:ind w:firstLine="0" w:firstLineChars="0"/>
                    <w:jc w:val="center"/>
                    <w:rPr>
                      <w:rFonts w:hint="eastAsia" w:ascii="宋体" w:hAnsi="宋体" w:cs="宋体"/>
                      <w:bCs/>
                      <w:color w:val="auto"/>
                      <w:spacing w:val="-10"/>
                      <w:szCs w:val="21"/>
                    </w:rPr>
                  </w:pPr>
                </w:p>
              </w:tc>
              <w:tc>
                <w:tcPr>
                  <w:tcW w:w="793" w:type="dxa"/>
                  <w:vAlign w:val="center"/>
                </w:tcPr>
                <w:p w14:paraId="0A747751">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敏感点噪声</w:t>
                  </w:r>
                </w:p>
              </w:tc>
              <w:tc>
                <w:tcPr>
                  <w:tcW w:w="2373" w:type="dxa"/>
                  <w:vAlign w:val="center"/>
                </w:tcPr>
                <w:p w14:paraId="3112138D">
                  <w:pPr>
                    <w:pStyle w:val="31"/>
                    <w:adjustRightInd w:val="0"/>
                    <w:spacing w:line="240" w:lineRule="auto"/>
                    <w:ind w:firstLine="0" w:firstLineChars="0"/>
                    <w:jc w:val="center"/>
                    <w:rPr>
                      <w:color w:val="auto"/>
                      <w:kern w:val="2"/>
                      <w:szCs w:val="21"/>
                    </w:rPr>
                  </w:pPr>
                  <w:r>
                    <w:rPr>
                      <w:rFonts w:hint="eastAsia" w:ascii="宋体" w:hAnsi="宋体" w:cs="宋体"/>
                      <w:color w:val="auto"/>
                      <w:szCs w:val="21"/>
                    </w:rPr>
                    <w:t>九龙街道（</w:t>
                  </w:r>
                  <w:r>
                    <w:rPr>
                      <w:rFonts w:hint="eastAsia" w:ascii="宋体" w:hAnsi="宋体" w:cs="宋体"/>
                      <w:color w:val="auto"/>
                      <w:kern w:val="2"/>
                      <w:szCs w:val="21"/>
                    </w:rPr>
                    <w:t>坐标为东经102°41′25.745″，24°6′48.128″)</w:t>
                  </w:r>
                </w:p>
              </w:tc>
              <w:tc>
                <w:tcPr>
                  <w:tcW w:w="1090" w:type="dxa"/>
                  <w:vAlign w:val="center"/>
                </w:tcPr>
                <w:p w14:paraId="1D84D9BF">
                  <w:pPr>
                    <w:widowControl/>
                    <w:jc w:val="center"/>
                    <w:rPr>
                      <w:color w:val="auto"/>
                      <w:szCs w:val="21"/>
                    </w:rPr>
                  </w:pPr>
                  <w:r>
                    <w:rPr>
                      <w:color w:val="auto"/>
                      <w:kern w:val="0"/>
                      <w:szCs w:val="21"/>
                      <w:lang w:bidi="ar"/>
                    </w:rPr>
                    <w:t>昼间、夜间等效声级</w:t>
                  </w:r>
                </w:p>
                <w:p w14:paraId="0CA23FD8">
                  <w:pPr>
                    <w:widowControl/>
                    <w:jc w:val="center"/>
                    <w:rPr>
                      <w:color w:val="auto"/>
                      <w:szCs w:val="21"/>
                    </w:rPr>
                  </w:pPr>
                  <w:r>
                    <w:rPr>
                      <w:color w:val="auto"/>
                      <w:kern w:val="0"/>
                      <w:szCs w:val="21"/>
                      <w:lang w:bidi="ar"/>
                    </w:rPr>
                    <w:t>Leq(A)</w:t>
                  </w:r>
                </w:p>
                <w:p w14:paraId="4777F193">
                  <w:pPr>
                    <w:widowControl/>
                    <w:jc w:val="center"/>
                    <w:rPr>
                      <w:bCs/>
                      <w:color w:val="auto"/>
                      <w:spacing w:val="-10"/>
                      <w:szCs w:val="21"/>
                    </w:rPr>
                  </w:pPr>
                </w:p>
              </w:tc>
              <w:tc>
                <w:tcPr>
                  <w:tcW w:w="826" w:type="dxa"/>
                  <w:vAlign w:val="center"/>
                </w:tcPr>
                <w:p w14:paraId="5F7B5F67">
                  <w:pPr>
                    <w:widowControl/>
                    <w:jc w:val="center"/>
                    <w:rPr>
                      <w:bCs/>
                      <w:color w:val="auto"/>
                      <w:szCs w:val="21"/>
                    </w:rPr>
                  </w:pPr>
                  <w:r>
                    <w:rPr>
                      <w:bCs/>
                      <w:color w:val="auto"/>
                      <w:kern w:val="0"/>
                      <w:szCs w:val="21"/>
                      <w:lang w:bidi="ar"/>
                    </w:rPr>
                    <w:t>1 次/季度</w:t>
                  </w:r>
                </w:p>
                <w:p w14:paraId="1B07EBCE">
                  <w:pPr>
                    <w:pStyle w:val="31"/>
                    <w:adjustRightInd w:val="0"/>
                    <w:spacing w:line="240" w:lineRule="auto"/>
                    <w:ind w:firstLine="0" w:firstLineChars="0"/>
                    <w:jc w:val="center"/>
                    <w:rPr>
                      <w:bCs/>
                      <w:color w:val="auto"/>
                      <w:spacing w:val="-10"/>
                      <w:szCs w:val="21"/>
                    </w:rPr>
                  </w:pPr>
                </w:p>
              </w:tc>
              <w:tc>
                <w:tcPr>
                  <w:tcW w:w="3123" w:type="dxa"/>
                  <w:vAlign w:val="center"/>
                </w:tcPr>
                <w:p w14:paraId="19EDFB34">
                  <w:pPr>
                    <w:widowControl/>
                    <w:jc w:val="center"/>
                    <w:rPr>
                      <w:rFonts w:hint="eastAsia" w:ascii="宋体" w:hAnsi="宋体" w:cs="宋体"/>
                      <w:bCs/>
                      <w:color w:val="auto"/>
                      <w:spacing w:val="-10"/>
                      <w:szCs w:val="21"/>
                    </w:rPr>
                  </w:pPr>
                  <w:r>
                    <w:rPr>
                      <w:bCs/>
                      <w:color w:val="auto"/>
                      <w:spacing w:val="-10"/>
                      <w:szCs w:val="21"/>
                    </w:rPr>
                    <w:t>执行《声环境质量标准》GB3096-2008）2类标准要求</w:t>
                  </w:r>
                </w:p>
              </w:tc>
            </w:tr>
            <w:tr w14:paraId="5321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672" w:type="dxa"/>
                  <w:vMerge w:val="restart"/>
                  <w:vAlign w:val="center"/>
                </w:tcPr>
                <w:p w14:paraId="7927583D">
                  <w:pPr>
                    <w:pStyle w:val="31"/>
                    <w:adjustRightInd w:val="0"/>
                    <w:spacing w:line="240" w:lineRule="auto"/>
                    <w:ind w:firstLine="0" w:firstLineChars="0"/>
                    <w:jc w:val="center"/>
                    <w:rPr>
                      <w:rFonts w:hint="default" w:ascii="宋体" w:hAnsi="宋体" w:eastAsia="宋体" w:cs="宋体"/>
                      <w:bCs/>
                      <w:color w:val="auto"/>
                      <w:spacing w:val="-10"/>
                      <w:szCs w:val="21"/>
                      <w:lang w:val="en-US" w:eastAsia="zh-CN"/>
                    </w:rPr>
                  </w:pPr>
                  <w:r>
                    <w:rPr>
                      <w:rFonts w:hint="eastAsia" w:ascii="宋体" w:hAnsi="宋体" w:cs="宋体"/>
                      <w:bCs/>
                      <w:color w:val="auto"/>
                      <w:spacing w:val="-10"/>
                      <w:szCs w:val="21"/>
                      <w:lang w:val="en-US" w:eastAsia="zh-CN"/>
                    </w:rPr>
                    <w:t>杨广卫生院</w:t>
                  </w:r>
                </w:p>
              </w:tc>
              <w:tc>
                <w:tcPr>
                  <w:tcW w:w="793" w:type="dxa"/>
                  <w:vAlign w:val="center"/>
                </w:tcPr>
                <w:p w14:paraId="692BFD4C">
                  <w:pPr>
                    <w:pStyle w:val="31"/>
                    <w:adjustRightInd w:val="0"/>
                    <w:spacing w:line="240" w:lineRule="auto"/>
                    <w:ind w:right="113" w:rightChars="0"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厂界噪声</w:t>
                  </w:r>
                </w:p>
              </w:tc>
              <w:tc>
                <w:tcPr>
                  <w:tcW w:w="2373" w:type="dxa"/>
                  <w:vAlign w:val="center"/>
                </w:tcPr>
                <w:p w14:paraId="2BD54CEA">
                  <w:pPr>
                    <w:pStyle w:val="31"/>
                    <w:adjustRightInd w:val="0"/>
                    <w:spacing w:line="240" w:lineRule="auto"/>
                    <w:ind w:right="113" w:rightChars="0" w:firstLine="0" w:firstLineChars="0"/>
                    <w:jc w:val="center"/>
                    <w:rPr>
                      <w:rFonts w:hint="eastAsia" w:ascii="宋体" w:hAnsi="宋体" w:cs="宋体"/>
                      <w:color w:val="auto"/>
                      <w:szCs w:val="21"/>
                    </w:rPr>
                  </w:pPr>
                  <w:r>
                    <w:rPr>
                      <w:bCs/>
                      <w:color w:val="auto"/>
                      <w:spacing w:val="-10"/>
                      <w:szCs w:val="21"/>
                    </w:rPr>
                    <w:t>东南西北厂界</w:t>
                  </w:r>
                </w:p>
              </w:tc>
              <w:tc>
                <w:tcPr>
                  <w:tcW w:w="1090" w:type="dxa"/>
                  <w:vAlign w:val="center"/>
                </w:tcPr>
                <w:p w14:paraId="2F7FDFEE">
                  <w:pPr>
                    <w:widowControl/>
                    <w:jc w:val="center"/>
                    <w:rPr>
                      <w:color w:val="auto"/>
                      <w:szCs w:val="21"/>
                    </w:rPr>
                  </w:pPr>
                  <w:r>
                    <w:rPr>
                      <w:color w:val="auto"/>
                      <w:kern w:val="0"/>
                      <w:szCs w:val="21"/>
                      <w:lang w:bidi="ar"/>
                    </w:rPr>
                    <w:t>昼间、夜间等效声级</w:t>
                  </w:r>
                </w:p>
                <w:p w14:paraId="5573A7C0">
                  <w:pPr>
                    <w:widowControl/>
                    <w:jc w:val="center"/>
                    <w:rPr>
                      <w:color w:val="auto"/>
                      <w:szCs w:val="21"/>
                    </w:rPr>
                  </w:pPr>
                  <w:r>
                    <w:rPr>
                      <w:color w:val="auto"/>
                      <w:kern w:val="0"/>
                      <w:szCs w:val="21"/>
                      <w:lang w:bidi="ar"/>
                    </w:rPr>
                    <w:t>Leq(A)</w:t>
                  </w:r>
                </w:p>
                <w:p w14:paraId="662AD0EE">
                  <w:pPr>
                    <w:widowControl/>
                    <w:jc w:val="center"/>
                    <w:rPr>
                      <w:bCs/>
                      <w:color w:val="auto"/>
                      <w:spacing w:val="-10"/>
                      <w:szCs w:val="21"/>
                    </w:rPr>
                  </w:pPr>
                </w:p>
              </w:tc>
              <w:tc>
                <w:tcPr>
                  <w:tcW w:w="826" w:type="dxa"/>
                  <w:vAlign w:val="center"/>
                </w:tcPr>
                <w:p w14:paraId="701AEB46">
                  <w:pPr>
                    <w:widowControl/>
                    <w:jc w:val="center"/>
                    <w:rPr>
                      <w:bCs/>
                      <w:color w:val="auto"/>
                      <w:szCs w:val="21"/>
                    </w:rPr>
                  </w:pPr>
                  <w:r>
                    <w:rPr>
                      <w:bCs/>
                      <w:color w:val="auto"/>
                      <w:kern w:val="0"/>
                      <w:szCs w:val="21"/>
                      <w:lang w:bidi="ar"/>
                    </w:rPr>
                    <w:t>1 次/季度</w:t>
                  </w:r>
                </w:p>
                <w:p w14:paraId="2400A0A4">
                  <w:pPr>
                    <w:pStyle w:val="31"/>
                    <w:adjustRightInd w:val="0"/>
                    <w:spacing w:line="240" w:lineRule="auto"/>
                    <w:ind w:right="113" w:rightChars="0" w:firstLine="0" w:firstLineChars="0"/>
                    <w:jc w:val="center"/>
                    <w:rPr>
                      <w:bCs/>
                      <w:color w:val="auto"/>
                      <w:spacing w:val="-10"/>
                      <w:szCs w:val="21"/>
                    </w:rPr>
                  </w:pPr>
                </w:p>
              </w:tc>
              <w:tc>
                <w:tcPr>
                  <w:tcW w:w="3123" w:type="dxa"/>
                  <w:vAlign w:val="center"/>
                </w:tcPr>
                <w:p w14:paraId="5363CECD">
                  <w:pPr>
                    <w:widowControl/>
                    <w:jc w:val="center"/>
                    <w:rPr>
                      <w:bCs/>
                      <w:color w:val="auto"/>
                      <w:spacing w:val="-10"/>
                      <w:szCs w:val="21"/>
                    </w:rPr>
                  </w:pPr>
                  <w:r>
                    <w:rPr>
                      <w:rFonts w:hint="eastAsia" w:ascii="宋体" w:hAnsi="宋体" w:cs="宋体"/>
                      <w:color w:val="auto"/>
                      <w:kern w:val="0"/>
                      <w:szCs w:val="21"/>
                      <w:lang w:bidi="ar"/>
                    </w:rPr>
                    <w:t>厂界噪声排放限值执行《工业企业厂界环境噪声排放标准》（GB12348-2008）执行 2 类标准</w:t>
                  </w:r>
                </w:p>
              </w:tc>
            </w:tr>
            <w:tr w14:paraId="626A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672" w:type="dxa"/>
                  <w:vMerge w:val="continue"/>
                  <w:vAlign w:val="center"/>
                </w:tcPr>
                <w:p w14:paraId="448C0D0A">
                  <w:pPr>
                    <w:pStyle w:val="31"/>
                    <w:adjustRightInd w:val="0"/>
                    <w:spacing w:line="240" w:lineRule="auto"/>
                    <w:ind w:firstLine="0" w:firstLineChars="0"/>
                    <w:jc w:val="center"/>
                    <w:rPr>
                      <w:rFonts w:hint="eastAsia" w:ascii="宋体" w:hAnsi="宋体" w:cs="宋体"/>
                      <w:bCs/>
                      <w:color w:val="auto"/>
                      <w:spacing w:val="-10"/>
                      <w:szCs w:val="21"/>
                    </w:rPr>
                  </w:pPr>
                </w:p>
              </w:tc>
              <w:tc>
                <w:tcPr>
                  <w:tcW w:w="793" w:type="dxa"/>
                  <w:vAlign w:val="center"/>
                </w:tcPr>
                <w:p w14:paraId="21D06968">
                  <w:pPr>
                    <w:pStyle w:val="31"/>
                    <w:adjustRightInd w:val="0"/>
                    <w:spacing w:line="240" w:lineRule="auto"/>
                    <w:ind w:right="113" w:rightChars="0"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敏感点噪声</w:t>
                  </w:r>
                </w:p>
              </w:tc>
              <w:tc>
                <w:tcPr>
                  <w:tcW w:w="2373" w:type="dxa"/>
                  <w:vAlign w:val="center"/>
                </w:tcPr>
                <w:p w14:paraId="1D2335CD">
                  <w:pPr>
                    <w:pStyle w:val="31"/>
                    <w:adjustRightInd w:val="0"/>
                    <w:spacing w:line="240" w:lineRule="auto"/>
                    <w:ind w:right="113" w:rightChars="0" w:firstLine="0" w:firstLineChars="0"/>
                    <w:jc w:val="center"/>
                    <w:rPr>
                      <w:rFonts w:hint="eastAsia" w:ascii="宋体" w:hAnsi="宋体" w:cs="宋体"/>
                      <w:color w:val="auto"/>
                      <w:szCs w:val="21"/>
                    </w:rPr>
                  </w:pPr>
                  <w:r>
                    <w:rPr>
                      <w:rFonts w:hint="eastAsia" w:ascii="宋体" w:hAnsi="宋体" w:cs="宋体"/>
                      <w:color w:val="auto"/>
                      <w:szCs w:val="21"/>
                      <w:lang w:val="en-US" w:eastAsia="zh-CN"/>
                    </w:rPr>
                    <w:t>杨广镇</w:t>
                  </w:r>
                  <w:r>
                    <w:rPr>
                      <w:rFonts w:hint="eastAsia" w:ascii="宋体" w:hAnsi="宋体" w:cs="宋体"/>
                      <w:color w:val="auto"/>
                      <w:szCs w:val="21"/>
                    </w:rPr>
                    <w:t>（</w:t>
                  </w:r>
                  <w:r>
                    <w:rPr>
                      <w:rFonts w:hint="eastAsia" w:ascii="宋体" w:hAnsi="宋体" w:cs="宋体"/>
                      <w:color w:val="auto"/>
                      <w:kern w:val="2"/>
                      <w:szCs w:val="21"/>
                    </w:rPr>
                    <w:t>坐标为东经</w:t>
                  </w:r>
                  <w:r>
                    <w:rPr>
                      <w:color w:val="auto"/>
                      <w:szCs w:val="21"/>
                    </w:rPr>
                    <w:t>102°47′52.175″</w:t>
                  </w:r>
                  <w:r>
                    <w:rPr>
                      <w:rFonts w:hint="eastAsia" w:ascii="宋体" w:hAnsi="宋体" w:cs="宋体"/>
                      <w:color w:val="auto"/>
                      <w:kern w:val="2"/>
                      <w:szCs w:val="21"/>
                    </w:rPr>
                    <w:t>，24°8′18.990″)</w:t>
                  </w:r>
                </w:p>
              </w:tc>
              <w:tc>
                <w:tcPr>
                  <w:tcW w:w="1090" w:type="dxa"/>
                  <w:vAlign w:val="center"/>
                </w:tcPr>
                <w:p w14:paraId="00060740">
                  <w:pPr>
                    <w:widowControl/>
                    <w:jc w:val="center"/>
                    <w:rPr>
                      <w:color w:val="auto"/>
                      <w:szCs w:val="21"/>
                    </w:rPr>
                  </w:pPr>
                  <w:r>
                    <w:rPr>
                      <w:color w:val="auto"/>
                      <w:kern w:val="0"/>
                      <w:szCs w:val="21"/>
                      <w:lang w:bidi="ar"/>
                    </w:rPr>
                    <w:t>昼间、夜间等效声级</w:t>
                  </w:r>
                </w:p>
                <w:p w14:paraId="4EF44F9D">
                  <w:pPr>
                    <w:widowControl/>
                    <w:jc w:val="center"/>
                    <w:rPr>
                      <w:color w:val="auto"/>
                      <w:szCs w:val="21"/>
                    </w:rPr>
                  </w:pPr>
                  <w:r>
                    <w:rPr>
                      <w:color w:val="auto"/>
                      <w:kern w:val="0"/>
                      <w:szCs w:val="21"/>
                      <w:lang w:bidi="ar"/>
                    </w:rPr>
                    <w:t>Leq(A)</w:t>
                  </w:r>
                </w:p>
                <w:p w14:paraId="4F0B627E">
                  <w:pPr>
                    <w:widowControl/>
                    <w:jc w:val="center"/>
                    <w:rPr>
                      <w:bCs/>
                      <w:color w:val="auto"/>
                      <w:spacing w:val="-10"/>
                      <w:szCs w:val="21"/>
                    </w:rPr>
                  </w:pPr>
                </w:p>
              </w:tc>
              <w:tc>
                <w:tcPr>
                  <w:tcW w:w="826" w:type="dxa"/>
                  <w:vAlign w:val="center"/>
                </w:tcPr>
                <w:p w14:paraId="2CFB6926">
                  <w:pPr>
                    <w:widowControl/>
                    <w:jc w:val="center"/>
                    <w:rPr>
                      <w:bCs/>
                      <w:color w:val="auto"/>
                      <w:szCs w:val="21"/>
                    </w:rPr>
                  </w:pPr>
                  <w:r>
                    <w:rPr>
                      <w:bCs/>
                      <w:color w:val="auto"/>
                      <w:kern w:val="0"/>
                      <w:szCs w:val="21"/>
                      <w:lang w:bidi="ar"/>
                    </w:rPr>
                    <w:t>1 次/季度</w:t>
                  </w:r>
                </w:p>
                <w:p w14:paraId="0570EA2B">
                  <w:pPr>
                    <w:pStyle w:val="31"/>
                    <w:adjustRightInd w:val="0"/>
                    <w:spacing w:line="240" w:lineRule="auto"/>
                    <w:ind w:right="113" w:rightChars="0" w:firstLine="0" w:firstLineChars="0"/>
                    <w:jc w:val="center"/>
                    <w:rPr>
                      <w:bCs/>
                      <w:color w:val="auto"/>
                      <w:spacing w:val="-10"/>
                      <w:szCs w:val="21"/>
                    </w:rPr>
                  </w:pPr>
                </w:p>
              </w:tc>
              <w:tc>
                <w:tcPr>
                  <w:tcW w:w="3123" w:type="dxa"/>
                  <w:vAlign w:val="center"/>
                </w:tcPr>
                <w:p w14:paraId="2C51C7F1">
                  <w:pPr>
                    <w:widowControl/>
                    <w:jc w:val="center"/>
                    <w:rPr>
                      <w:bCs/>
                      <w:color w:val="auto"/>
                      <w:spacing w:val="-10"/>
                      <w:szCs w:val="21"/>
                    </w:rPr>
                  </w:pPr>
                  <w:r>
                    <w:rPr>
                      <w:bCs/>
                      <w:color w:val="auto"/>
                      <w:spacing w:val="-10"/>
                      <w:szCs w:val="21"/>
                    </w:rPr>
                    <w:t>执行《声环境质量标准》GB3096-2008）2类标准要求</w:t>
                  </w:r>
                </w:p>
              </w:tc>
            </w:tr>
          </w:tbl>
          <w:p w14:paraId="53CDAE41">
            <w:pPr>
              <w:spacing w:line="360" w:lineRule="auto"/>
              <w:ind w:firstLine="442" w:firstLineChars="200"/>
              <w:rPr>
                <w:b/>
                <w:color w:val="auto"/>
                <w:spacing w:val="-10"/>
                <w:kern w:val="0"/>
                <w:sz w:val="24"/>
              </w:rPr>
            </w:pPr>
            <w:r>
              <w:rPr>
                <w:b/>
                <w:color w:val="auto"/>
                <w:spacing w:val="-10"/>
                <w:kern w:val="0"/>
                <w:sz w:val="24"/>
              </w:rPr>
              <w:t>五、固体废物环境影响和保护措施</w:t>
            </w:r>
          </w:p>
          <w:p w14:paraId="14A2CCEE">
            <w:pPr>
              <w:widowControl/>
              <w:spacing w:line="360" w:lineRule="auto"/>
              <w:ind w:firstLine="482" w:firstLineChars="200"/>
              <w:jc w:val="left"/>
              <w:rPr>
                <w:color w:val="auto"/>
                <w:kern w:val="0"/>
                <w:sz w:val="24"/>
              </w:rPr>
            </w:pPr>
            <w:r>
              <w:rPr>
                <w:b/>
                <w:bCs/>
                <w:color w:val="auto"/>
                <w:kern w:val="0"/>
                <w:sz w:val="24"/>
              </w:rPr>
              <w:t>1、固体废物的产生和排放情况</w:t>
            </w:r>
          </w:p>
          <w:p w14:paraId="449C8DB8">
            <w:pPr>
              <w:widowControl/>
              <w:spacing w:line="360" w:lineRule="auto"/>
              <w:ind w:firstLine="480" w:firstLineChars="200"/>
              <w:jc w:val="left"/>
              <w:rPr>
                <w:color w:val="auto"/>
                <w:sz w:val="24"/>
              </w:rPr>
            </w:pPr>
            <w:r>
              <w:rPr>
                <w:rFonts w:hint="eastAsia"/>
                <w:color w:val="auto"/>
                <w:sz w:val="24"/>
              </w:rPr>
              <w:t>本项目</w:t>
            </w:r>
            <w:r>
              <w:rPr>
                <w:color w:val="auto"/>
                <w:sz w:val="24"/>
              </w:rPr>
              <w:t>运营期固体废物主要为</w:t>
            </w:r>
            <w:r>
              <w:rPr>
                <w:rFonts w:hint="eastAsia"/>
                <w:color w:val="auto"/>
                <w:sz w:val="24"/>
              </w:rPr>
              <w:t>医疗废物、</w:t>
            </w:r>
            <w:r>
              <w:rPr>
                <w:color w:val="auto"/>
                <w:sz w:val="24"/>
              </w:rPr>
              <w:t>化粪池和</w:t>
            </w:r>
            <w:r>
              <w:rPr>
                <w:rFonts w:hint="eastAsia"/>
                <w:color w:val="auto"/>
                <w:sz w:val="24"/>
              </w:rPr>
              <w:t>污水处理设施污泥、中药渣、生活垃圾，</w:t>
            </w:r>
            <w:r>
              <w:rPr>
                <w:color w:val="auto"/>
                <w:sz w:val="24"/>
              </w:rPr>
              <w:t>具体</w:t>
            </w:r>
            <w:r>
              <w:rPr>
                <w:rFonts w:hint="eastAsia"/>
                <w:color w:val="auto"/>
                <w:sz w:val="24"/>
              </w:rPr>
              <w:t>产排情况如下：</w:t>
            </w:r>
          </w:p>
          <w:p w14:paraId="44F59BB8">
            <w:pPr>
              <w:spacing w:line="360" w:lineRule="auto"/>
              <w:ind w:firstLine="482" w:firstLineChars="200"/>
              <w:rPr>
                <w:b/>
                <w:color w:val="auto"/>
                <w:sz w:val="24"/>
              </w:rPr>
            </w:pPr>
            <w:r>
              <w:rPr>
                <w:b/>
                <w:color w:val="auto"/>
                <w:sz w:val="24"/>
              </w:rPr>
              <w:t>1</w:t>
            </w:r>
            <w:r>
              <w:rPr>
                <w:rFonts w:hAnsi="宋体"/>
                <w:b/>
                <w:color w:val="auto"/>
                <w:sz w:val="24"/>
              </w:rPr>
              <w:t>）</w:t>
            </w:r>
            <w:r>
              <w:rPr>
                <w:b/>
                <w:color w:val="auto"/>
                <w:sz w:val="24"/>
              </w:rPr>
              <w:t>医疗废物</w:t>
            </w:r>
          </w:p>
          <w:p w14:paraId="1D63AD73">
            <w:pPr>
              <w:spacing w:line="360" w:lineRule="auto"/>
              <w:ind w:firstLine="480" w:firstLineChars="200"/>
              <w:rPr>
                <w:color w:val="auto"/>
                <w:sz w:val="24"/>
              </w:rPr>
            </w:pPr>
            <w:r>
              <w:rPr>
                <w:color w:val="auto"/>
                <w:sz w:val="24"/>
              </w:rPr>
              <w:t>参考《医疗废物集中焚烧处置工程建设技术规范》（HJ/T177—2005），病床的医疗废物产生量（公斤/天）=床位医疗废物产生系数（公斤/床·天）×床位数（床）×床位使用率（%）。根据第一次全国污染源普查城镇生活源产排污系数手册，</w:t>
            </w:r>
            <w:r>
              <w:rPr>
                <w:rFonts w:hint="eastAsia"/>
                <w:color w:val="auto"/>
                <w:sz w:val="24"/>
              </w:rPr>
              <w:t>卫生院</w:t>
            </w:r>
            <w:r>
              <w:rPr>
                <w:color w:val="auto"/>
                <w:sz w:val="24"/>
              </w:rPr>
              <w:t>医疗废物的产生系数为0.65kg/</w:t>
            </w:r>
            <w:r>
              <w:rPr>
                <w:rFonts w:hint="eastAsia"/>
                <w:color w:val="auto"/>
                <w:sz w:val="24"/>
              </w:rPr>
              <w:t>（</w:t>
            </w:r>
            <w:r>
              <w:rPr>
                <w:color w:val="auto"/>
                <w:sz w:val="24"/>
              </w:rPr>
              <w:t>床·d)，病床使用率按100%计算</w:t>
            </w:r>
            <w:r>
              <w:rPr>
                <w:rFonts w:hint="eastAsia"/>
                <w:color w:val="auto"/>
                <w:sz w:val="24"/>
              </w:rPr>
              <w:t>。本项目纳古卫生院本次新增</w:t>
            </w:r>
            <w:r>
              <w:rPr>
                <w:color w:val="auto"/>
                <w:sz w:val="24"/>
              </w:rPr>
              <w:t>床位</w:t>
            </w:r>
            <w:r>
              <w:rPr>
                <w:rFonts w:hint="eastAsia"/>
                <w:color w:val="auto"/>
                <w:sz w:val="24"/>
              </w:rPr>
              <w:t>26床，新增</w:t>
            </w:r>
            <w:r>
              <w:rPr>
                <w:color w:val="auto"/>
                <w:sz w:val="24"/>
              </w:rPr>
              <w:t>病人</w:t>
            </w:r>
            <w:r>
              <w:rPr>
                <w:rFonts w:hint="eastAsia"/>
                <w:color w:val="auto"/>
                <w:sz w:val="24"/>
              </w:rPr>
              <w:t>按10</w:t>
            </w:r>
            <w:r>
              <w:rPr>
                <w:color w:val="auto"/>
                <w:sz w:val="24"/>
              </w:rPr>
              <w:t>人</w:t>
            </w:r>
            <w:r>
              <w:rPr>
                <w:rFonts w:hint="eastAsia"/>
                <w:color w:val="auto"/>
                <w:sz w:val="24"/>
              </w:rPr>
              <w:t>/d</w:t>
            </w:r>
            <w:r>
              <w:rPr>
                <w:color w:val="auto"/>
                <w:sz w:val="24"/>
              </w:rPr>
              <w:t>。</w:t>
            </w:r>
            <w:r>
              <w:rPr>
                <w:rFonts w:hint="eastAsia"/>
                <w:color w:val="auto"/>
                <w:sz w:val="24"/>
              </w:rPr>
              <w:t>四街卫生院本次新增</w:t>
            </w:r>
            <w:r>
              <w:rPr>
                <w:color w:val="auto"/>
                <w:sz w:val="24"/>
              </w:rPr>
              <w:t>床位</w:t>
            </w:r>
            <w:r>
              <w:rPr>
                <w:rFonts w:hint="eastAsia"/>
                <w:color w:val="auto"/>
                <w:sz w:val="24"/>
              </w:rPr>
              <w:t>25床，新增</w:t>
            </w:r>
            <w:r>
              <w:rPr>
                <w:color w:val="auto"/>
                <w:sz w:val="24"/>
              </w:rPr>
              <w:t>病人</w:t>
            </w:r>
            <w:r>
              <w:rPr>
                <w:rFonts w:hint="eastAsia"/>
                <w:color w:val="auto"/>
                <w:sz w:val="24"/>
              </w:rPr>
              <w:t>按30</w:t>
            </w:r>
            <w:r>
              <w:rPr>
                <w:color w:val="auto"/>
                <w:sz w:val="24"/>
              </w:rPr>
              <w:t>人</w:t>
            </w:r>
            <w:r>
              <w:rPr>
                <w:rFonts w:hint="eastAsia"/>
                <w:color w:val="auto"/>
                <w:sz w:val="24"/>
              </w:rPr>
              <w:t>/d</w:t>
            </w:r>
            <w:r>
              <w:rPr>
                <w:color w:val="auto"/>
                <w:sz w:val="24"/>
              </w:rPr>
              <w:t>。</w:t>
            </w:r>
            <w:r>
              <w:rPr>
                <w:rFonts w:hint="eastAsia"/>
                <w:color w:val="auto"/>
                <w:sz w:val="24"/>
              </w:rPr>
              <w:t>九龙卫生院本次新增</w:t>
            </w:r>
            <w:r>
              <w:rPr>
                <w:color w:val="auto"/>
                <w:sz w:val="24"/>
              </w:rPr>
              <w:t>床位</w:t>
            </w:r>
            <w:r>
              <w:rPr>
                <w:rFonts w:hint="eastAsia"/>
                <w:color w:val="auto"/>
                <w:sz w:val="24"/>
              </w:rPr>
              <w:t>27床，新增</w:t>
            </w:r>
            <w:r>
              <w:rPr>
                <w:color w:val="auto"/>
                <w:sz w:val="24"/>
              </w:rPr>
              <w:t>病人</w:t>
            </w:r>
            <w:r>
              <w:rPr>
                <w:rFonts w:hint="eastAsia"/>
                <w:color w:val="auto"/>
                <w:sz w:val="24"/>
              </w:rPr>
              <w:t>按21</w:t>
            </w:r>
            <w:r>
              <w:rPr>
                <w:color w:val="auto"/>
                <w:sz w:val="24"/>
              </w:rPr>
              <w:t>人</w:t>
            </w:r>
            <w:r>
              <w:rPr>
                <w:rFonts w:hint="eastAsia"/>
                <w:color w:val="auto"/>
                <w:sz w:val="24"/>
              </w:rPr>
              <w:t>/d。杨广卫生院本次新增</w:t>
            </w:r>
            <w:r>
              <w:rPr>
                <w:color w:val="auto"/>
                <w:sz w:val="24"/>
              </w:rPr>
              <w:t>床位</w:t>
            </w:r>
            <w:r>
              <w:rPr>
                <w:rFonts w:hint="eastAsia"/>
                <w:color w:val="auto"/>
                <w:sz w:val="24"/>
              </w:rPr>
              <w:t>18床，新增</w:t>
            </w:r>
            <w:r>
              <w:rPr>
                <w:color w:val="auto"/>
                <w:sz w:val="24"/>
              </w:rPr>
              <w:t>病人</w:t>
            </w:r>
            <w:r>
              <w:rPr>
                <w:rFonts w:hint="eastAsia"/>
                <w:color w:val="auto"/>
                <w:sz w:val="24"/>
              </w:rPr>
              <w:t>按10</w:t>
            </w:r>
            <w:r>
              <w:rPr>
                <w:color w:val="auto"/>
                <w:sz w:val="24"/>
              </w:rPr>
              <w:t>人</w:t>
            </w:r>
            <w:r>
              <w:rPr>
                <w:rFonts w:hint="eastAsia"/>
                <w:color w:val="auto"/>
                <w:sz w:val="24"/>
              </w:rPr>
              <w:t>/d</w:t>
            </w:r>
            <w:r>
              <w:rPr>
                <w:color w:val="auto"/>
                <w:sz w:val="24"/>
              </w:rPr>
              <w:t>。</w:t>
            </w:r>
          </w:p>
          <w:p w14:paraId="1401D2D2">
            <w:pPr>
              <w:spacing w:line="360" w:lineRule="auto"/>
              <w:ind w:firstLine="480" w:firstLineChars="200"/>
              <w:rPr>
                <w:color w:val="auto"/>
                <w:sz w:val="24"/>
              </w:rPr>
            </w:pPr>
            <w:r>
              <w:rPr>
                <w:color w:val="auto"/>
                <w:sz w:val="24"/>
              </w:rPr>
              <w:t>本项目</w:t>
            </w:r>
            <w:r>
              <w:rPr>
                <w:rFonts w:hint="eastAsia"/>
                <w:color w:val="auto"/>
                <w:sz w:val="24"/>
              </w:rPr>
              <w:t>纳古卫生院</w:t>
            </w:r>
            <w:r>
              <w:rPr>
                <w:color w:val="auto"/>
                <w:sz w:val="24"/>
              </w:rPr>
              <w:t>病床医疗废物产生量为0</w:t>
            </w:r>
            <w:r>
              <w:rPr>
                <w:rFonts w:hint="eastAsia"/>
                <w:color w:val="auto"/>
                <w:sz w:val="24"/>
              </w:rPr>
              <w:t>.65</w:t>
            </w:r>
            <w:r>
              <w:rPr>
                <w:color w:val="auto"/>
                <w:sz w:val="24"/>
              </w:rPr>
              <w:t>×</w:t>
            </w:r>
            <w:r>
              <w:rPr>
                <w:rFonts w:hint="eastAsia"/>
                <w:color w:val="auto"/>
                <w:sz w:val="24"/>
              </w:rPr>
              <w:t>26床</w:t>
            </w:r>
            <w:r>
              <w:rPr>
                <w:color w:val="auto"/>
                <w:sz w:val="24"/>
              </w:rPr>
              <w:t>×100%=</w:t>
            </w:r>
            <w:r>
              <w:rPr>
                <w:rFonts w:hint="eastAsia"/>
                <w:color w:val="auto"/>
                <w:sz w:val="24"/>
              </w:rPr>
              <w:t>16.9</w:t>
            </w:r>
            <w:r>
              <w:rPr>
                <w:color w:val="auto"/>
                <w:sz w:val="24"/>
              </w:rPr>
              <w:t>kg/d；门诊医疗废物产生量（公斤/天）=门诊医疗废物产生系数（公斤/人次·天）×门诊人数（人次），则本项目</w:t>
            </w:r>
            <w:r>
              <w:rPr>
                <w:rFonts w:hint="eastAsia"/>
                <w:color w:val="auto"/>
                <w:sz w:val="24"/>
              </w:rPr>
              <w:t>建成后纳古卫生院</w:t>
            </w:r>
            <w:r>
              <w:rPr>
                <w:color w:val="auto"/>
                <w:sz w:val="24"/>
              </w:rPr>
              <w:t>门诊医疗废物产生量=0.02×</w:t>
            </w:r>
            <w:r>
              <w:rPr>
                <w:rFonts w:hint="eastAsia"/>
                <w:color w:val="auto"/>
                <w:sz w:val="24"/>
              </w:rPr>
              <w:t>10</w:t>
            </w:r>
            <w:r>
              <w:rPr>
                <w:color w:val="auto"/>
                <w:sz w:val="24"/>
              </w:rPr>
              <w:t>=</w:t>
            </w:r>
            <w:r>
              <w:rPr>
                <w:rFonts w:hint="eastAsia"/>
                <w:color w:val="auto"/>
                <w:sz w:val="24"/>
              </w:rPr>
              <w:t>0.2</w:t>
            </w:r>
            <w:r>
              <w:rPr>
                <w:color w:val="auto"/>
                <w:sz w:val="24"/>
              </w:rPr>
              <w:t>kg/d。</w:t>
            </w:r>
            <w:r>
              <w:rPr>
                <w:rFonts w:hint="eastAsia"/>
                <w:color w:val="auto"/>
                <w:sz w:val="24"/>
              </w:rPr>
              <w:t>因此，本</w:t>
            </w:r>
            <w:r>
              <w:rPr>
                <w:color w:val="auto"/>
                <w:sz w:val="24"/>
              </w:rPr>
              <w:t>项目</w:t>
            </w:r>
            <w:r>
              <w:rPr>
                <w:rFonts w:hint="eastAsia"/>
                <w:color w:val="auto"/>
                <w:sz w:val="24"/>
              </w:rPr>
              <w:t>建成后纳古卫生院</w:t>
            </w:r>
            <w:r>
              <w:rPr>
                <w:color w:val="auto"/>
                <w:sz w:val="24"/>
              </w:rPr>
              <w:t>医疗废物</w:t>
            </w:r>
            <w:r>
              <w:rPr>
                <w:rFonts w:hint="eastAsia"/>
                <w:color w:val="auto"/>
                <w:sz w:val="24"/>
              </w:rPr>
              <w:t>共计</w:t>
            </w:r>
            <w:r>
              <w:rPr>
                <w:color w:val="auto"/>
                <w:sz w:val="24"/>
              </w:rPr>
              <w:t>产生量为</w:t>
            </w:r>
            <w:r>
              <w:rPr>
                <w:rFonts w:hint="eastAsia"/>
                <w:color w:val="auto"/>
                <w:sz w:val="24"/>
              </w:rPr>
              <w:t>17.1</w:t>
            </w:r>
            <w:r>
              <w:rPr>
                <w:color w:val="auto"/>
                <w:sz w:val="24"/>
              </w:rPr>
              <w:t>kg/d，约</w:t>
            </w:r>
            <w:r>
              <w:rPr>
                <w:rFonts w:hint="eastAsia"/>
                <w:color w:val="auto"/>
                <w:sz w:val="24"/>
              </w:rPr>
              <w:t>6.24</w:t>
            </w:r>
            <w:r>
              <w:rPr>
                <w:color w:val="auto"/>
                <w:sz w:val="24"/>
              </w:rPr>
              <w:t>t/a。</w:t>
            </w:r>
            <w:r>
              <w:rPr>
                <w:rFonts w:hint="eastAsia"/>
                <w:color w:val="auto"/>
                <w:sz w:val="24"/>
              </w:rPr>
              <w:t>医疗废物分类收集包装，依托纳古卫生院医疗废物暂存间暂存，定期交玉溪兴洁垃圾处理有限公司处置。</w:t>
            </w:r>
          </w:p>
          <w:p w14:paraId="2501850D">
            <w:pPr>
              <w:spacing w:line="360" w:lineRule="auto"/>
              <w:ind w:firstLine="480" w:firstLineChars="200"/>
              <w:rPr>
                <w:color w:val="auto"/>
                <w:sz w:val="24"/>
              </w:rPr>
            </w:pPr>
            <w:r>
              <w:rPr>
                <w:color w:val="auto"/>
                <w:sz w:val="24"/>
              </w:rPr>
              <w:t>本项目</w:t>
            </w:r>
            <w:r>
              <w:rPr>
                <w:rFonts w:hint="eastAsia"/>
                <w:color w:val="auto"/>
                <w:sz w:val="24"/>
              </w:rPr>
              <w:t>四街卫生院</w:t>
            </w:r>
            <w:r>
              <w:rPr>
                <w:color w:val="auto"/>
                <w:sz w:val="24"/>
              </w:rPr>
              <w:t>病床医疗废物产生量为0</w:t>
            </w:r>
            <w:r>
              <w:rPr>
                <w:rFonts w:hint="eastAsia"/>
                <w:color w:val="auto"/>
                <w:sz w:val="24"/>
              </w:rPr>
              <w:t>.65</w:t>
            </w:r>
            <w:r>
              <w:rPr>
                <w:color w:val="auto"/>
                <w:sz w:val="24"/>
              </w:rPr>
              <w:t>×</w:t>
            </w:r>
            <w:r>
              <w:rPr>
                <w:rFonts w:hint="eastAsia"/>
                <w:color w:val="auto"/>
                <w:sz w:val="24"/>
              </w:rPr>
              <w:t>25床</w:t>
            </w:r>
            <w:r>
              <w:rPr>
                <w:color w:val="auto"/>
                <w:sz w:val="24"/>
              </w:rPr>
              <w:t>×100%=</w:t>
            </w:r>
            <w:r>
              <w:rPr>
                <w:rFonts w:hint="eastAsia"/>
                <w:color w:val="auto"/>
                <w:sz w:val="24"/>
              </w:rPr>
              <w:t>16.25</w:t>
            </w:r>
            <w:r>
              <w:rPr>
                <w:color w:val="auto"/>
                <w:sz w:val="24"/>
              </w:rPr>
              <w:t>kg/d；门诊医疗废物产生量（公斤/天）=门诊医疗废物产生系数（公斤/人次·天）×门诊人数（人次），则本项目</w:t>
            </w:r>
            <w:r>
              <w:rPr>
                <w:rFonts w:hint="eastAsia"/>
                <w:color w:val="auto"/>
                <w:sz w:val="24"/>
              </w:rPr>
              <w:t>建成后四街卫生院</w:t>
            </w:r>
            <w:r>
              <w:rPr>
                <w:color w:val="auto"/>
                <w:sz w:val="24"/>
              </w:rPr>
              <w:t>门诊医疗废物产生量=0.02×</w:t>
            </w:r>
            <w:r>
              <w:rPr>
                <w:rFonts w:hint="eastAsia"/>
                <w:color w:val="auto"/>
                <w:sz w:val="24"/>
              </w:rPr>
              <w:t>30</w:t>
            </w:r>
            <w:r>
              <w:rPr>
                <w:color w:val="auto"/>
                <w:sz w:val="24"/>
              </w:rPr>
              <w:t>=</w:t>
            </w:r>
            <w:r>
              <w:rPr>
                <w:rFonts w:hint="eastAsia"/>
                <w:color w:val="auto"/>
                <w:sz w:val="24"/>
              </w:rPr>
              <w:t>0.6</w:t>
            </w:r>
            <w:r>
              <w:rPr>
                <w:color w:val="auto"/>
                <w:sz w:val="24"/>
              </w:rPr>
              <w:t>kg/d。</w:t>
            </w:r>
            <w:r>
              <w:rPr>
                <w:rFonts w:hint="eastAsia"/>
                <w:color w:val="auto"/>
                <w:sz w:val="24"/>
              </w:rPr>
              <w:t>因此，本</w:t>
            </w:r>
            <w:r>
              <w:rPr>
                <w:color w:val="auto"/>
                <w:sz w:val="24"/>
              </w:rPr>
              <w:t>项目</w:t>
            </w:r>
            <w:r>
              <w:rPr>
                <w:rFonts w:hint="eastAsia"/>
                <w:color w:val="auto"/>
                <w:sz w:val="24"/>
              </w:rPr>
              <w:t>建成后四街卫生院</w:t>
            </w:r>
            <w:r>
              <w:rPr>
                <w:color w:val="auto"/>
                <w:sz w:val="24"/>
              </w:rPr>
              <w:t>医疗废物</w:t>
            </w:r>
            <w:r>
              <w:rPr>
                <w:rFonts w:hint="eastAsia"/>
                <w:color w:val="auto"/>
                <w:sz w:val="24"/>
              </w:rPr>
              <w:t>共计</w:t>
            </w:r>
            <w:r>
              <w:rPr>
                <w:color w:val="auto"/>
                <w:sz w:val="24"/>
              </w:rPr>
              <w:t>产生量为</w:t>
            </w:r>
            <w:r>
              <w:rPr>
                <w:rFonts w:hint="eastAsia"/>
                <w:color w:val="auto"/>
                <w:sz w:val="24"/>
              </w:rPr>
              <w:t>16.85</w:t>
            </w:r>
            <w:r>
              <w:rPr>
                <w:color w:val="auto"/>
                <w:sz w:val="24"/>
              </w:rPr>
              <w:t>kg/d，约</w:t>
            </w:r>
            <w:r>
              <w:rPr>
                <w:rFonts w:hint="eastAsia"/>
                <w:color w:val="auto"/>
                <w:sz w:val="24"/>
              </w:rPr>
              <w:t>6.15</w:t>
            </w:r>
            <w:r>
              <w:rPr>
                <w:color w:val="auto"/>
                <w:sz w:val="24"/>
              </w:rPr>
              <w:t>t/a。</w:t>
            </w:r>
            <w:r>
              <w:rPr>
                <w:rFonts w:hint="eastAsia"/>
                <w:color w:val="auto"/>
                <w:sz w:val="24"/>
              </w:rPr>
              <w:t>医疗废物分类收集包装，依托四街卫生院医疗废物暂存间暂存，定期交玉溪兴洁垃圾处理有限公司处置。</w:t>
            </w:r>
          </w:p>
          <w:p w14:paraId="465A177E">
            <w:pPr>
              <w:spacing w:line="360" w:lineRule="auto"/>
              <w:ind w:firstLine="480" w:firstLineChars="200"/>
              <w:rPr>
                <w:color w:val="auto"/>
                <w:sz w:val="24"/>
              </w:rPr>
            </w:pPr>
            <w:r>
              <w:rPr>
                <w:color w:val="auto"/>
                <w:sz w:val="24"/>
              </w:rPr>
              <w:t>本项目</w:t>
            </w:r>
            <w:r>
              <w:rPr>
                <w:rFonts w:hint="eastAsia"/>
                <w:color w:val="auto"/>
                <w:sz w:val="24"/>
              </w:rPr>
              <w:t>九龙卫生院</w:t>
            </w:r>
            <w:r>
              <w:rPr>
                <w:color w:val="auto"/>
                <w:sz w:val="24"/>
              </w:rPr>
              <w:t>病床医疗废物产生量为0</w:t>
            </w:r>
            <w:r>
              <w:rPr>
                <w:rFonts w:hint="eastAsia"/>
                <w:color w:val="auto"/>
                <w:sz w:val="24"/>
              </w:rPr>
              <w:t>.65</w:t>
            </w:r>
            <w:r>
              <w:rPr>
                <w:color w:val="auto"/>
                <w:sz w:val="24"/>
              </w:rPr>
              <w:t>×</w:t>
            </w:r>
            <w:r>
              <w:rPr>
                <w:rFonts w:hint="eastAsia"/>
                <w:color w:val="auto"/>
                <w:sz w:val="24"/>
              </w:rPr>
              <w:t>27床</w:t>
            </w:r>
            <w:r>
              <w:rPr>
                <w:color w:val="auto"/>
                <w:sz w:val="24"/>
              </w:rPr>
              <w:t>×100%=</w:t>
            </w:r>
            <w:r>
              <w:rPr>
                <w:rFonts w:hint="eastAsia"/>
                <w:color w:val="auto"/>
                <w:sz w:val="24"/>
              </w:rPr>
              <w:t>17.55</w:t>
            </w:r>
            <w:r>
              <w:rPr>
                <w:color w:val="auto"/>
                <w:sz w:val="24"/>
              </w:rPr>
              <w:t>kg/d；门诊医疗废物产生量（公斤/天）=门诊医疗废物产生系数（公斤/人次·天）×门诊人数（人次），则本项目</w:t>
            </w:r>
            <w:r>
              <w:rPr>
                <w:rFonts w:hint="eastAsia"/>
                <w:color w:val="auto"/>
                <w:sz w:val="24"/>
              </w:rPr>
              <w:t>建成后九龙卫生院</w:t>
            </w:r>
            <w:r>
              <w:rPr>
                <w:color w:val="auto"/>
                <w:sz w:val="24"/>
              </w:rPr>
              <w:t>门诊医疗废物产生量=0.02×</w:t>
            </w:r>
            <w:r>
              <w:rPr>
                <w:rFonts w:hint="eastAsia"/>
                <w:color w:val="auto"/>
                <w:sz w:val="24"/>
              </w:rPr>
              <w:t>21</w:t>
            </w:r>
            <w:r>
              <w:rPr>
                <w:color w:val="auto"/>
                <w:sz w:val="24"/>
              </w:rPr>
              <w:t>=</w:t>
            </w:r>
            <w:r>
              <w:rPr>
                <w:rFonts w:hint="eastAsia"/>
                <w:color w:val="auto"/>
                <w:sz w:val="24"/>
              </w:rPr>
              <w:t>0.42</w:t>
            </w:r>
            <w:r>
              <w:rPr>
                <w:color w:val="auto"/>
                <w:sz w:val="24"/>
              </w:rPr>
              <w:t>kg/d。</w:t>
            </w:r>
            <w:r>
              <w:rPr>
                <w:rFonts w:hint="eastAsia"/>
                <w:color w:val="auto"/>
                <w:sz w:val="24"/>
              </w:rPr>
              <w:t>因此，本</w:t>
            </w:r>
            <w:r>
              <w:rPr>
                <w:color w:val="auto"/>
                <w:sz w:val="24"/>
              </w:rPr>
              <w:t>项目</w:t>
            </w:r>
            <w:r>
              <w:rPr>
                <w:rFonts w:hint="eastAsia"/>
                <w:color w:val="auto"/>
                <w:sz w:val="24"/>
              </w:rPr>
              <w:t>建成后九龙卫生院</w:t>
            </w:r>
            <w:r>
              <w:rPr>
                <w:color w:val="auto"/>
                <w:sz w:val="24"/>
              </w:rPr>
              <w:t>医疗废物</w:t>
            </w:r>
            <w:r>
              <w:rPr>
                <w:rFonts w:hint="eastAsia"/>
                <w:color w:val="auto"/>
                <w:sz w:val="24"/>
              </w:rPr>
              <w:t>共计</w:t>
            </w:r>
            <w:r>
              <w:rPr>
                <w:color w:val="auto"/>
                <w:sz w:val="24"/>
              </w:rPr>
              <w:t>产生量为</w:t>
            </w:r>
            <w:r>
              <w:rPr>
                <w:rFonts w:hint="eastAsia"/>
                <w:color w:val="auto"/>
                <w:sz w:val="24"/>
              </w:rPr>
              <w:t>17.97</w:t>
            </w:r>
            <w:r>
              <w:rPr>
                <w:color w:val="auto"/>
                <w:sz w:val="24"/>
              </w:rPr>
              <w:t>kg/d，约</w:t>
            </w:r>
            <w:r>
              <w:rPr>
                <w:rFonts w:hint="eastAsia"/>
                <w:color w:val="auto"/>
                <w:sz w:val="24"/>
              </w:rPr>
              <w:t>6.56</w:t>
            </w:r>
            <w:r>
              <w:rPr>
                <w:color w:val="auto"/>
                <w:sz w:val="24"/>
              </w:rPr>
              <w:t>t/a。</w:t>
            </w:r>
            <w:r>
              <w:rPr>
                <w:rFonts w:hint="eastAsia"/>
                <w:color w:val="auto"/>
                <w:sz w:val="24"/>
              </w:rPr>
              <w:t xml:space="preserve">医疗废物分类收集包装，依托九龙卫生院医疗废物暂存间暂存，定期交玉溪兴洁垃圾处理有限公司处置。  </w:t>
            </w:r>
          </w:p>
          <w:p w14:paraId="09441977">
            <w:pPr>
              <w:spacing w:line="360" w:lineRule="auto"/>
              <w:ind w:firstLine="480" w:firstLineChars="200"/>
              <w:rPr>
                <w:color w:val="auto"/>
                <w:sz w:val="24"/>
              </w:rPr>
            </w:pPr>
            <w:r>
              <w:rPr>
                <w:color w:val="auto"/>
                <w:sz w:val="24"/>
              </w:rPr>
              <w:t>本项目</w:t>
            </w:r>
            <w:r>
              <w:rPr>
                <w:rFonts w:hint="eastAsia"/>
                <w:color w:val="auto"/>
                <w:sz w:val="24"/>
              </w:rPr>
              <w:t>杨广卫生院</w:t>
            </w:r>
            <w:r>
              <w:rPr>
                <w:color w:val="auto"/>
                <w:sz w:val="24"/>
              </w:rPr>
              <w:t>病床医疗废物产生量为0</w:t>
            </w:r>
            <w:r>
              <w:rPr>
                <w:rFonts w:hint="eastAsia"/>
                <w:color w:val="auto"/>
                <w:sz w:val="24"/>
              </w:rPr>
              <w:t>.65</w:t>
            </w:r>
            <w:r>
              <w:rPr>
                <w:color w:val="auto"/>
                <w:sz w:val="24"/>
              </w:rPr>
              <w:t>×</w:t>
            </w:r>
            <w:r>
              <w:rPr>
                <w:rFonts w:hint="eastAsia"/>
                <w:color w:val="auto"/>
                <w:sz w:val="24"/>
              </w:rPr>
              <w:t>18床</w:t>
            </w:r>
            <w:r>
              <w:rPr>
                <w:color w:val="auto"/>
                <w:sz w:val="24"/>
              </w:rPr>
              <w:t>×100%=</w:t>
            </w:r>
            <w:r>
              <w:rPr>
                <w:rFonts w:hint="eastAsia"/>
                <w:color w:val="auto"/>
                <w:sz w:val="24"/>
              </w:rPr>
              <w:t>11.7</w:t>
            </w:r>
            <w:r>
              <w:rPr>
                <w:color w:val="auto"/>
                <w:sz w:val="24"/>
              </w:rPr>
              <w:t>kg/d；门诊医疗废物产生量（公斤/天）=门诊医疗废物产生系数（公斤/人次·天）×门诊人数（人次），则本项目</w:t>
            </w:r>
            <w:r>
              <w:rPr>
                <w:rFonts w:hint="eastAsia"/>
                <w:color w:val="auto"/>
                <w:sz w:val="24"/>
              </w:rPr>
              <w:t>建成后九龙卫生院</w:t>
            </w:r>
            <w:r>
              <w:rPr>
                <w:color w:val="auto"/>
                <w:sz w:val="24"/>
              </w:rPr>
              <w:t>门诊医疗废物产生量=0.02×</w:t>
            </w:r>
            <w:r>
              <w:rPr>
                <w:rFonts w:hint="eastAsia"/>
                <w:color w:val="auto"/>
                <w:sz w:val="24"/>
              </w:rPr>
              <w:t>10</w:t>
            </w:r>
            <w:r>
              <w:rPr>
                <w:color w:val="auto"/>
                <w:sz w:val="24"/>
              </w:rPr>
              <w:t>=</w:t>
            </w:r>
            <w:r>
              <w:rPr>
                <w:rFonts w:hint="eastAsia"/>
                <w:color w:val="auto"/>
                <w:sz w:val="24"/>
              </w:rPr>
              <w:t>0.2</w:t>
            </w:r>
            <w:r>
              <w:rPr>
                <w:color w:val="auto"/>
                <w:sz w:val="24"/>
              </w:rPr>
              <w:t>kg/d。</w:t>
            </w:r>
            <w:r>
              <w:rPr>
                <w:rFonts w:hint="eastAsia"/>
                <w:color w:val="auto"/>
                <w:sz w:val="24"/>
              </w:rPr>
              <w:t>因此，本</w:t>
            </w:r>
            <w:r>
              <w:rPr>
                <w:color w:val="auto"/>
                <w:sz w:val="24"/>
              </w:rPr>
              <w:t>项目</w:t>
            </w:r>
            <w:r>
              <w:rPr>
                <w:rFonts w:hint="eastAsia"/>
                <w:color w:val="auto"/>
                <w:sz w:val="24"/>
              </w:rPr>
              <w:t>建成后杨广卫生院</w:t>
            </w:r>
            <w:r>
              <w:rPr>
                <w:color w:val="auto"/>
                <w:sz w:val="24"/>
              </w:rPr>
              <w:t>医疗废物</w:t>
            </w:r>
            <w:r>
              <w:rPr>
                <w:rFonts w:hint="eastAsia"/>
                <w:color w:val="auto"/>
                <w:sz w:val="24"/>
              </w:rPr>
              <w:t>共计</w:t>
            </w:r>
            <w:r>
              <w:rPr>
                <w:color w:val="auto"/>
                <w:sz w:val="24"/>
              </w:rPr>
              <w:t>产生量为</w:t>
            </w:r>
            <w:r>
              <w:rPr>
                <w:rFonts w:hint="eastAsia"/>
                <w:color w:val="auto"/>
                <w:sz w:val="24"/>
              </w:rPr>
              <w:t>11.9</w:t>
            </w:r>
            <w:r>
              <w:rPr>
                <w:color w:val="auto"/>
                <w:sz w:val="24"/>
              </w:rPr>
              <w:t>kg/d，约</w:t>
            </w:r>
            <w:r>
              <w:rPr>
                <w:rFonts w:hint="eastAsia"/>
                <w:color w:val="auto"/>
                <w:sz w:val="24"/>
              </w:rPr>
              <w:t>4.34</w:t>
            </w:r>
            <w:r>
              <w:rPr>
                <w:color w:val="auto"/>
                <w:sz w:val="24"/>
              </w:rPr>
              <w:t>t/a。</w:t>
            </w:r>
            <w:r>
              <w:rPr>
                <w:rFonts w:hint="eastAsia"/>
                <w:color w:val="auto"/>
                <w:sz w:val="24"/>
              </w:rPr>
              <w:t xml:space="preserve">医疗废物分类收集包装，依托杨广卫生院医疗废物暂存间暂存，定期交玉溪兴洁垃圾处理有限公司处置。  </w:t>
            </w:r>
          </w:p>
          <w:p w14:paraId="149191CC">
            <w:pPr>
              <w:spacing w:line="360" w:lineRule="auto"/>
              <w:ind w:firstLine="482"/>
              <w:rPr>
                <w:b/>
                <w:color w:val="auto"/>
                <w:sz w:val="24"/>
              </w:rPr>
            </w:pPr>
            <w:r>
              <w:rPr>
                <w:rFonts w:hint="eastAsia"/>
                <w:color w:val="auto"/>
                <w:sz w:val="24"/>
              </w:rPr>
              <w:t xml:space="preserve">  </w:t>
            </w:r>
            <w:r>
              <w:rPr>
                <w:rFonts w:hint="eastAsia"/>
                <w:b/>
                <w:color w:val="auto"/>
                <w:sz w:val="24"/>
              </w:rPr>
              <w:t>2</w:t>
            </w:r>
            <w:r>
              <w:rPr>
                <w:rFonts w:hAnsi="宋体"/>
                <w:b/>
                <w:color w:val="auto"/>
                <w:sz w:val="24"/>
              </w:rPr>
              <w:t>）化粪池和污水处理设施污泥</w:t>
            </w:r>
          </w:p>
          <w:p w14:paraId="2F92EEFD">
            <w:pPr>
              <w:spacing w:line="360" w:lineRule="auto"/>
              <w:ind w:firstLine="480" w:firstLineChars="200"/>
              <w:rPr>
                <w:rFonts w:hint="eastAsia" w:hAnsi="宋体"/>
                <w:color w:val="auto"/>
                <w:sz w:val="24"/>
              </w:rPr>
            </w:pPr>
            <w:r>
              <w:rPr>
                <w:rFonts w:hint="eastAsia"/>
                <w:color w:val="auto"/>
                <w:sz w:val="24"/>
              </w:rPr>
              <w:t>本</w:t>
            </w:r>
            <w:r>
              <w:rPr>
                <w:rFonts w:hint="eastAsia" w:hAnsi="宋体"/>
                <w:color w:val="auto"/>
                <w:sz w:val="24"/>
              </w:rPr>
              <w:t>项目污水处理站在运行过程中会产生污泥，废水中含有病原微生物和寄生虫卵等，其中相当部分转移到了污泥中，使污泥也具有了传染性，按《国家危险废物名录（2025年版）》将其列为危险废物，危险废物类别为HW49 其他废物，废物代码为772-006-49（采用物理、化学、物理化学或生物方法处理或处置毒性或感染性危险废物过程中产生的废水处理污泥、残渣（液））</w:t>
            </w:r>
            <w:r>
              <w:rPr>
                <w:rFonts w:hint="eastAsia"/>
                <w:color w:val="auto"/>
                <w:sz w:val="24"/>
              </w:rPr>
              <w:t>。</w:t>
            </w:r>
          </w:p>
          <w:p w14:paraId="32E73C5F">
            <w:pPr>
              <w:spacing w:line="360" w:lineRule="auto"/>
              <w:ind w:firstLine="480" w:firstLineChars="200"/>
              <w:rPr>
                <w:rFonts w:hint="eastAsia" w:hAnsi="宋体"/>
                <w:color w:val="auto"/>
                <w:sz w:val="24"/>
              </w:rPr>
            </w:pPr>
            <w:r>
              <w:rPr>
                <w:rFonts w:hint="eastAsia" w:hAnsi="宋体"/>
                <w:color w:val="auto"/>
                <w:sz w:val="24"/>
              </w:rPr>
              <w:t>项目</w:t>
            </w:r>
            <w:r>
              <w:rPr>
                <w:rFonts w:hint="eastAsia"/>
                <w:color w:val="auto"/>
                <w:sz w:val="24"/>
              </w:rPr>
              <w:t>新建的</w:t>
            </w:r>
            <w:r>
              <w:rPr>
                <w:rFonts w:hint="eastAsia" w:hAnsi="宋体"/>
                <w:color w:val="auto"/>
                <w:sz w:val="24"/>
              </w:rPr>
              <w:t>污水处理站在对卫生院废水进行处理时会有污泥产生，卫生院污水处理过程产生的泥量与原水的悬浮固体及选用的处理工艺有关，一般卫生院污水处理构筑物产生的污泥量如下表。</w:t>
            </w:r>
          </w:p>
          <w:p w14:paraId="6C03E7E5">
            <w:pPr>
              <w:jc w:val="center"/>
              <w:rPr>
                <w:b/>
                <w:color w:val="auto"/>
                <w:sz w:val="24"/>
              </w:rPr>
            </w:pPr>
            <w:r>
              <w:rPr>
                <w:rFonts w:hAnsi="宋体"/>
                <w:b/>
                <w:color w:val="auto"/>
                <w:sz w:val="24"/>
              </w:rPr>
              <w:t>表</w:t>
            </w:r>
            <w:r>
              <w:rPr>
                <w:rFonts w:hint="eastAsia"/>
                <w:b/>
                <w:color w:val="auto"/>
                <w:sz w:val="24"/>
              </w:rPr>
              <w:t>4</w:t>
            </w:r>
            <w:r>
              <w:rPr>
                <w:b/>
                <w:color w:val="auto"/>
                <w:sz w:val="24"/>
              </w:rPr>
              <w:t>-</w:t>
            </w:r>
            <w:r>
              <w:rPr>
                <w:rFonts w:hint="eastAsia"/>
                <w:b/>
                <w:color w:val="auto"/>
                <w:sz w:val="24"/>
              </w:rPr>
              <w:t>38</w:t>
            </w:r>
            <w:r>
              <w:rPr>
                <w:rFonts w:hint="eastAsia" w:hAnsi="宋体"/>
                <w:b/>
                <w:color w:val="auto"/>
                <w:sz w:val="24"/>
              </w:rPr>
              <w:t>卫生院</w:t>
            </w:r>
            <w:r>
              <w:rPr>
                <w:rFonts w:hAnsi="宋体"/>
                <w:b/>
                <w:color w:val="auto"/>
                <w:sz w:val="24"/>
              </w:rPr>
              <w:t>污水处理过程中产生的污泥量平均值</w:t>
            </w:r>
          </w:p>
          <w:tbl>
            <w:tblPr>
              <w:tblStyle w:val="33"/>
              <w:tblW w:w="81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8"/>
              <w:gridCol w:w="1965"/>
              <w:gridCol w:w="1972"/>
              <w:gridCol w:w="1441"/>
              <w:gridCol w:w="1432"/>
            </w:tblGrid>
            <w:tr w14:paraId="39445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388" w:type="dxa"/>
                  <w:vMerge w:val="restart"/>
                  <w:tcBorders>
                    <w:top w:val="single" w:color="auto" w:sz="4" w:space="0"/>
                    <w:left w:val="single" w:color="auto" w:sz="4" w:space="0"/>
                    <w:bottom w:val="single" w:color="auto" w:sz="4" w:space="0"/>
                    <w:right w:val="single" w:color="auto" w:sz="4" w:space="0"/>
                  </w:tcBorders>
                  <w:vAlign w:val="center"/>
                </w:tcPr>
                <w:p w14:paraId="6CE41ECB">
                  <w:pPr>
                    <w:jc w:val="center"/>
                    <w:rPr>
                      <w:b/>
                      <w:color w:val="auto"/>
                      <w:spacing w:val="-6"/>
                      <w:szCs w:val="21"/>
                    </w:rPr>
                  </w:pPr>
                  <w:r>
                    <w:rPr>
                      <w:rFonts w:hAnsi="宋体"/>
                      <w:b/>
                      <w:color w:val="auto"/>
                      <w:spacing w:val="-6"/>
                      <w:szCs w:val="21"/>
                    </w:rPr>
                    <w:t>污泥来源</w:t>
                  </w:r>
                </w:p>
              </w:tc>
              <w:tc>
                <w:tcPr>
                  <w:tcW w:w="1965" w:type="dxa"/>
                  <w:vMerge w:val="restart"/>
                  <w:tcBorders>
                    <w:top w:val="single" w:color="auto" w:sz="4" w:space="0"/>
                    <w:left w:val="single" w:color="auto" w:sz="4" w:space="0"/>
                    <w:bottom w:val="single" w:color="auto" w:sz="4" w:space="0"/>
                    <w:right w:val="single" w:color="auto" w:sz="4" w:space="0"/>
                  </w:tcBorders>
                  <w:vAlign w:val="center"/>
                </w:tcPr>
                <w:p w14:paraId="067E5373">
                  <w:pPr>
                    <w:jc w:val="center"/>
                    <w:rPr>
                      <w:b/>
                      <w:color w:val="auto"/>
                      <w:spacing w:val="-6"/>
                      <w:szCs w:val="21"/>
                    </w:rPr>
                  </w:pPr>
                  <w:r>
                    <w:rPr>
                      <w:rFonts w:hAnsi="宋体"/>
                      <w:b/>
                      <w:color w:val="auto"/>
                      <w:spacing w:val="-6"/>
                      <w:szCs w:val="21"/>
                    </w:rPr>
                    <w:t>总固体</w:t>
                  </w:r>
                </w:p>
                <w:p w14:paraId="37542670">
                  <w:pPr>
                    <w:jc w:val="center"/>
                    <w:rPr>
                      <w:b/>
                      <w:color w:val="auto"/>
                      <w:spacing w:val="-6"/>
                      <w:szCs w:val="21"/>
                    </w:rPr>
                  </w:pPr>
                  <w:r>
                    <w:rPr>
                      <w:b/>
                      <w:color w:val="auto"/>
                      <w:spacing w:val="-6"/>
                      <w:szCs w:val="21"/>
                    </w:rPr>
                    <w:t>(g/</w:t>
                  </w:r>
                  <w:r>
                    <w:rPr>
                      <w:rFonts w:hAnsi="宋体"/>
                      <w:b/>
                      <w:color w:val="auto"/>
                      <w:spacing w:val="-6"/>
                      <w:szCs w:val="21"/>
                    </w:rPr>
                    <w:t>人</w:t>
                  </w:r>
                  <w:r>
                    <w:rPr>
                      <w:b/>
                      <w:color w:val="auto"/>
                      <w:spacing w:val="-6"/>
                      <w:szCs w:val="21"/>
                    </w:rPr>
                    <w:t>.</w:t>
                  </w:r>
                  <w:r>
                    <w:rPr>
                      <w:b/>
                      <w:color w:val="auto"/>
                      <w:spacing w:val="-6"/>
                      <w:szCs w:val="21"/>
                    </w:rPr>
                    <w:cr/>
                  </w:r>
                  <w:r>
                    <w:rPr>
                      <w:b/>
                      <w:color w:val="auto"/>
                      <w:spacing w:val="-6"/>
                      <w:szCs w:val="21"/>
                    </w:rPr>
                    <w:t>)</w:t>
                  </w:r>
                </w:p>
              </w:tc>
              <w:tc>
                <w:tcPr>
                  <w:tcW w:w="1972" w:type="dxa"/>
                  <w:vMerge w:val="restart"/>
                  <w:tcBorders>
                    <w:top w:val="single" w:color="auto" w:sz="4" w:space="0"/>
                    <w:left w:val="single" w:color="auto" w:sz="4" w:space="0"/>
                    <w:bottom w:val="single" w:color="auto" w:sz="4" w:space="0"/>
                    <w:right w:val="single" w:color="auto" w:sz="4" w:space="0"/>
                  </w:tcBorders>
                  <w:vAlign w:val="center"/>
                </w:tcPr>
                <w:p w14:paraId="3253715A">
                  <w:pPr>
                    <w:jc w:val="center"/>
                    <w:rPr>
                      <w:b/>
                      <w:color w:val="auto"/>
                      <w:spacing w:val="-6"/>
                      <w:szCs w:val="21"/>
                    </w:rPr>
                  </w:pPr>
                  <w:r>
                    <w:rPr>
                      <w:rFonts w:hAnsi="宋体"/>
                      <w:b/>
                      <w:color w:val="auto"/>
                      <w:spacing w:val="-6"/>
                      <w:szCs w:val="21"/>
                    </w:rPr>
                    <w:t>含水率</w:t>
                  </w:r>
                </w:p>
                <w:p w14:paraId="46305B4B">
                  <w:pPr>
                    <w:jc w:val="center"/>
                    <w:rPr>
                      <w:b/>
                      <w:color w:val="auto"/>
                      <w:spacing w:val="-6"/>
                      <w:szCs w:val="21"/>
                    </w:rPr>
                  </w:pPr>
                  <w:r>
                    <w:rPr>
                      <w:rFonts w:hAnsi="宋体"/>
                      <w:b/>
                      <w:color w:val="auto"/>
                      <w:spacing w:val="-6"/>
                      <w:szCs w:val="21"/>
                    </w:rPr>
                    <w:t>（</w:t>
                  </w:r>
                  <w:r>
                    <w:rPr>
                      <w:b/>
                      <w:color w:val="auto"/>
                      <w:spacing w:val="-6"/>
                      <w:szCs w:val="21"/>
                    </w:rPr>
                    <w:t>%</w:t>
                  </w:r>
                  <w:r>
                    <w:rPr>
                      <w:rFonts w:hAnsi="宋体"/>
                      <w:b/>
                      <w:color w:val="auto"/>
                      <w:spacing w:val="-6"/>
                      <w:szCs w:val="21"/>
                    </w:rPr>
                    <w:t>）</w:t>
                  </w:r>
                </w:p>
              </w:tc>
              <w:tc>
                <w:tcPr>
                  <w:tcW w:w="2873" w:type="dxa"/>
                  <w:gridSpan w:val="2"/>
                  <w:tcBorders>
                    <w:top w:val="single" w:color="auto" w:sz="4" w:space="0"/>
                    <w:left w:val="single" w:color="auto" w:sz="4" w:space="0"/>
                    <w:bottom w:val="single" w:color="auto" w:sz="4" w:space="0"/>
                    <w:right w:val="single" w:color="auto" w:sz="4" w:space="0"/>
                  </w:tcBorders>
                  <w:vAlign w:val="center"/>
                </w:tcPr>
                <w:p w14:paraId="482B1EAB">
                  <w:pPr>
                    <w:jc w:val="center"/>
                    <w:rPr>
                      <w:b/>
                      <w:color w:val="auto"/>
                      <w:spacing w:val="-6"/>
                      <w:szCs w:val="21"/>
                    </w:rPr>
                  </w:pPr>
                  <w:r>
                    <w:rPr>
                      <w:rFonts w:hAnsi="宋体"/>
                      <w:b/>
                      <w:color w:val="auto"/>
                      <w:spacing w:val="-6"/>
                      <w:szCs w:val="21"/>
                    </w:rPr>
                    <w:t>污泥体积</w:t>
                  </w:r>
                </w:p>
              </w:tc>
            </w:tr>
            <w:tr w14:paraId="202B3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388" w:type="dxa"/>
                  <w:vMerge w:val="continue"/>
                  <w:tcBorders>
                    <w:top w:val="single" w:color="auto" w:sz="4" w:space="0"/>
                    <w:left w:val="single" w:color="auto" w:sz="4" w:space="0"/>
                    <w:bottom w:val="single" w:color="auto" w:sz="4" w:space="0"/>
                    <w:right w:val="single" w:color="auto" w:sz="4" w:space="0"/>
                  </w:tcBorders>
                  <w:vAlign w:val="center"/>
                </w:tcPr>
                <w:p w14:paraId="0E02BEFA">
                  <w:pPr>
                    <w:jc w:val="center"/>
                    <w:rPr>
                      <w:b/>
                      <w:color w:val="auto"/>
                      <w:spacing w:val="-6"/>
                      <w:szCs w:val="21"/>
                    </w:rPr>
                  </w:pPr>
                </w:p>
              </w:tc>
              <w:tc>
                <w:tcPr>
                  <w:tcW w:w="1965" w:type="dxa"/>
                  <w:vMerge w:val="continue"/>
                  <w:tcBorders>
                    <w:top w:val="single" w:color="auto" w:sz="4" w:space="0"/>
                    <w:left w:val="single" w:color="auto" w:sz="4" w:space="0"/>
                    <w:bottom w:val="single" w:color="auto" w:sz="4" w:space="0"/>
                    <w:right w:val="single" w:color="auto" w:sz="4" w:space="0"/>
                  </w:tcBorders>
                  <w:vAlign w:val="center"/>
                </w:tcPr>
                <w:p w14:paraId="1A6525F5">
                  <w:pPr>
                    <w:jc w:val="center"/>
                    <w:rPr>
                      <w:b/>
                      <w:color w:val="auto"/>
                      <w:spacing w:val="-6"/>
                      <w:szCs w:val="21"/>
                    </w:rPr>
                  </w:pPr>
                </w:p>
              </w:tc>
              <w:tc>
                <w:tcPr>
                  <w:tcW w:w="1972" w:type="dxa"/>
                  <w:vMerge w:val="continue"/>
                  <w:tcBorders>
                    <w:top w:val="single" w:color="auto" w:sz="4" w:space="0"/>
                    <w:left w:val="single" w:color="auto" w:sz="4" w:space="0"/>
                    <w:bottom w:val="single" w:color="auto" w:sz="4" w:space="0"/>
                    <w:right w:val="single" w:color="auto" w:sz="4" w:space="0"/>
                  </w:tcBorders>
                  <w:vAlign w:val="center"/>
                </w:tcPr>
                <w:p w14:paraId="356DF721">
                  <w:pPr>
                    <w:jc w:val="center"/>
                    <w:rPr>
                      <w:b/>
                      <w:color w:val="auto"/>
                      <w:spacing w:val="-6"/>
                      <w:szCs w:val="21"/>
                    </w:rPr>
                  </w:pPr>
                </w:p>
              </w:tc>
              <w:tc>
                <w:tcPr>
                  <w:tcW w:w="1441" w:type="dxa"/>
                  <w:tcBorders>
                    <w:top w:val="single" w:color="auto" w:sz="4" w:space="0"/>
                    <w:left w:val="single" w:color="auto" w:sz="4" w:space="0"/>
                    <w:bottom w:val="single" w:color="auto" w:sz="4" w:space="0"/>
                    <w:right w:val="single" w:color="auto" w:sz="4" w:space="0"/>
                  </w:tcBorders>
                  <w:vAlign w:val="center"/>
                </w:tcPr>
                <w:p w14:paraId="56AE7FA2">
                  <w:pPr>
                    <w:jc w:val="center"/>
                    <w:rPr>
                      <w:b/>
                      <w:color w:val="auto"/>
                      <w:spacing w:val="-6"/>
                      <w:szCs w:val="21"/>
                    </w:rPr>
                  </w:pPr>
                  <w:r>
                    <w:rPr>
                      <w:b/>
                      <w:color w:val="auto"/>
                      <w:spacing w:val="-6"/>
                      <w:szCs w:val="21"/>
                    </w:rPr>
                    <w:t>(L/</w:t>
                  </w:r>
                  <w:r>
                    <w:rPr>
                      <w:rFonts w:hAnsi="宋体"/>
                      <w:b/>
                      <w:color w:val="auto"/>
                      <w:spacing w:val="-6"/>
                      <w:szCs w:val="21"/>
                    </w:rPr>
                    <w:t>人</w:t>
                  </w:r>
                  <w:r>
                    <w:rPr>
                      <w:b/>
                      <w:color w:val="auto"/>
                      <w:spacing w:val="-6"/>
                      <w:szCs w:val="21"/>
                    </w:rPr>
                    <w:t>.d)</w:t>
                  </w:r>
                </w:p>
              </w:tc>
              <w:tc>
                <w:tcPr>
                  <w:tcW w:w="1432" w:type="dxa"/>
                  <w:tcBorders>
                    <w:top w:val="single" w:color="auto" w:sz="4" w:space="0"/>
                    <w:left w:val="single" w:color="auto" w:sz="4" w:space="0"/>
                    <w:bottom w:val="single" w:color="auto" w:sz="4" w:space="0"/>
                    <w:right w:val="single" w:color="auto" w:sz="4" w:space="0"/>
                  </w:tcBorders>
                  <w:vAlign w:val="center"/>
                </w:tcPr>
                <w:p w14:paraId="7F635119">
                  <w:pPr>
                    <w:jc w:val="center"/>
                    <w:rPr>
                      <w:b/>
                      <w:color w:val="auto"/>
                      <w:spacing w:val="-6"/>
                      <w:szCs w:val="21"/>
                    </w:rPr>
                  </w:pPr>
                  <w:r>
                    <w:rPr>
                      <w:b/>
                      <w:color w:val="auto"/>
                      <w:spacing w:val="-6"/>
                      <w:szCs w:val="21"/>
                    </w:rPr>
                    <w:t>(L/</w:t>
                  </w:r>
                  <w:r>
                    <w:rPr>
                      <w:rFonts w:hAnsi="宋体"/>
                      <w:b/>
                      <w:color w:val="auto"/>
                      <w:spacing w:val="-6"/>
                      <w:szCs w:val="21"/>
                    </w:rPr>
                    <w:t>人</w:t>
                  </w:r>
                  <w:r>
                    <w:rPr>
                      <w:b/>
                      <w:color w:val="auto"/>
                      <w:spacing w:val="-6"/>
                      <w:szCs w:val="21"/>
                    </w:rPr>
                    <w:t>.a)</w:t>
                  </w:r>
                </w:p>
              </w:tc>
            </w:tr>
            <w:tr w14:paraId="64D48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14:paraId="35096A5A">
                  <w:pPr>
                    <w:jc w:val="center"/>
                    <w:rPr>
                      <w:color w:val="auto"/>
                      <w:spacing w:val="-6"/>
                      <w:szCs w:val="21"/>
                    </w:rPr>
                  </w:pPr>
                  <w:r>
                    <w:rPr>
                      <w:rFonts w:hAnsi="宋体"/>
                      <w:color w:val="auto"/>
                      <w:spacing w:val="-6"/>
                      <w:szCs w:val="21"/>
                    </w:rPr>
                    <w:t>初沉池</w:t>
                  </w:r>
                </w:p>
              </w:tc>
              <w:tc>
                <w:tcPr>
                  <w:tcW w:w="1965" w:type="dxa"/>
                  <w:tcBorders>
                    <w:top w:val="single" w:color="auto" w:sz="4" w:space="0"/>
                    <w:left w:val="single" w:color="auto" w:sz="4" w:space="0"/>
                    <w:bottom w:val="single" w:color="auto" w:sz="4" w:space="0"/>
                    <w:right w:val="single" w:color="auto" w:sz="4" w:space="0"/>
                  </w:tcBorders>
                  <w:vAlign w:val="center"/>
                </w:tcPr>
                <w:p w14:paraId="4541CA39">
                  <w:pPr>
                    <w:jc w:val="center"/>
                    <w:rPr>
                      <w:color w:val="auto"/>
                      <w:spacing w:val="-6"/>
                      <w:szCs w:val="21"/>
                    </w:rPr>
                  </w:pPr>
                  <w:r>
                    <w:rPr>
                      <w:color w:val="auto"/>
                      <w:spacing w:val="-6"/>
                      <w:szCs w:val="21"/>
                    </w:rPr>
                    <w:t>54</w:t>
                  </w:r>
                </w:p>
              </w:tc>
              <w:tc>
                <w:tcPr>
                  <w:tcW w:w="1972" w:type="dxa"/>
                  <w:tcBorders>
                    <w:top w:val="single" w:color="auto" w:sz="4" w:space="0"/>
                    <w:left w:val="single" w:color="auto" w:sz="4" w:space="0"/>
                    <w:bottom w:val="single" w:color="auto" w:sz="4" w:space="0"/>
                    <w:right w:val="single" w:color="auto" w:sz="4" w:space="0"/>
                  </w:tcBorders>
                  <w:vAlign w:val="center"/>
                </w:tcPr>
                <w:p w14:paraId="07F7CA25">
                  <w:pPr>
                    <w:jc w:val="center"/>
                    <w:rPr>
                      <w:color w:val="auto"/>
                      <w:spacing w:val="-6"/>
                      <w:szCs w:val="21"/>
                    </w:rPr>
                  </w:pPr>
                  <w:r>
                    <w:rPr>
                      <w:color w:val="auto"/>
                      <w:spacing w:val="-6"/>
                      <w:szCs w:val="21"/>
                    </w:rPr>
                    <w:t>92</w:t>
                  </w:r>
                  <w:r>
                    <w:rPr>
                      <w:rFonts w:hAnsi="宋体"/>
                      <w:color w:val="auto"/>
                      <w:spacing w:val="-6"/>
                      <w:szCs w:val="21"/>
                    </w:rPr>
                    <w:t>～</w:t>
                  </w:r>
                  <w:r>
                    <w:rPr>
                      <w:color w:val="auto"/>
                      <w:spacing w:val="-6"/>
                      <w:szCs w:val="21"/>
                    </w:rPr>
                    <w:t>95</w:t>
                  </w:r>
                </w:p>
              </w:tc>
              <w:tc>
                <w:tcPr>
                  <w:tcW w:w="1441" w:type="dxa"/>
                  <w:tcBorders>
                    <w:top w:val="single" w:color="auto" w:sz="4" w:space="0"/>
                    <w:left w:val="single" w:color="auto" w:sz="4" w:space="0"/>
                    <w:bottom w:val="single" w:color="auto" w:sz="4" w:space="0"/>
                    <w:right w:val="single" w:color="auto" w:sz="4" w:space="0"/>
                  </w:tcBorders>
                  <w:vAlign w:val="center"/>
                </w:tcPr>
                <w:p w14:paraId="4812B453">
                  <w:pPr>
                    <w:jc w:val="center"/>
                    <w:rPr>
                      <w:color w:val="auto"/>
                      <w:spacing w:val="-6"/>
                      <w:szCs w:val="21"/>
                    </w:rPr>
                  </w:pPr>
                  <w:r>
                    <w:rPr>
                      <w:color w:val="auto"/>
                      <w:spacing w:val="-6"/>
                      <w:szCs w:val="21"/>
                    </w:rPr>
                    <w:t>0.68</w:t>
                  </w:r>
                  <w:r>
                    <w:rPr>
                      <w:rFonts w:hAnsi="宋体"/>
                      <w:color w:val="auto"/>
                      <w:spacing w:val="-6"/>
                      <w:szCs w:val="21"/>
                    </w:rPr>
                    <w:t>～</w:t>
                  </w:r>
                  <w:r>
                    <w:rPr>
                      <w:color w:val="auto"/>
                      <w:spacing w:val="-6"/>
                      <w:szCs w:val="21"/>
                    </w:rPr>
                    <w:t>1.08</w:t>
                  </w:r>
                </w:p>
              </w:tc>
              <w:tc>
                <w:tcPr>
                  <w:tcW w:w="1432" w:type="dxa"/>
                  <w:tcBorders>
                    <w:top w:val="single" w:color="auto" w:sz="4" w:space="0"/>
                    <w:left w:val="single" w:color="auto" w:sz="4" w:space="0"/>
                    <w:bottom w:val="single" w:color="auto" w:sz="4" w:space="0"/>
                    <w:right w:val="single" w:color="auto" w:sz="4" w:space="0"/>
                  </w:tcBorders>
                  <w:vAlign w:val="center"/>
                </w:tcPr>
                <w:p w14:paraId="109CA78D">
                  <w:pPr>
                    <w:jc w:val="center"/>
                    <w:rPr>
                      <w:color w:val="auto"/>
                      <w:spacing w:val="-6"/>
                      <w:szCs w:val="21"/>
                    </w:rPr>
                  </w:pPr>
                  <w:r>
                    <w:rPr>
                      <w:color w:val="auto"/>
                      <w:spacing w:val="-6"/>
                      <w:szCs w:val="21"/>
                    </w:rPr>
                    <w:t>249</w:t>
                  </w:r>
                  <w:r>
                    <w:rPr>
                      <w:rFonts w:hAnsi="宋体"/>
                      <w:color w:val="auto"/>
                      <w:spacing w:val="-6"/>
                      <w:szCs w:val="21"/>
                    </w:rPr>
                    <w:t>～</w:t>
                  </w:r>
                  <w:r>
                    <w:rPr>
                      <w:color w:val="auto"/>
                      <w:spacing w:val="-6"/>
                      <w:szCs w:val="21"/>
                    </w:rPr>
                    <w:t>395</w:t>
                  </w:r>
                </w:p>
              </w:tc>
            </w:tr>
            <w:tr w14:paraId="0637BD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14:paraId="48281CB5">
                  <w:pPr>
                    <w:jc w:val="center"/>
                    <w:rPr>
                      <w:color w:val="auto"/>
                      <w:spacing w:val="-6"/>
                      <w:szCs w:val="21"/>
                    </w:rPr>
                  </w:pPr>
                  <w:r>
                    <w:rPr>
                      <w:rFonts w:hAnsi="宋体"/>
                      <w:color w:val="auto"/>
                      <w:spacing w:val="-6"/>
                      <w:szCs w:val="21"/>
                    </w:rPr>
                    <w:t>二沉池</w:t>
                  </w:r>
                </w:p>
              </w:tc>
              <w:tc>
                <w:tcPr>
                  <w:tcW w:w="1965" w:type="dxa"/>
                  <w:tcBorders>
                    <w:top w:val="single" w:color="auto" w:sz="4" w:space="0"/>
                    <w:left w:val="single" w:color="auto" w:sz="4" w:space="0"/>
                    <w:bottom w:val="single" w:color="auto" w:sz="4" w:space="0"/>
                    <w:right w:val="single" w:color="auto" w:sz="4" w:space="0"/>
                  </w:tcBorders>
                  <w:vAlign w:val="center"/>
                </w:tcPr>
                <w:p w14:paraId="45E22020">
                  <w:pPr>
                    <w:jc w:val="center"/>
                    <w:rPr>
                      <w:color w:val="auto"/>
                      <w:spacing w:val="-6"/>
                      <w:szCs w:val="21"/>
                    </w:rPr>
                  </w:pPr>
                  <w:r>
                    <w:rPr>
                      <w:color w:val="auto"/>
                      <w:spacing w:val="-6"/>
                      <w:szCs w:val="21"/>
                    </w:rPr>
                    <w:t>31</w:t>
                  </w:r>
                </w:p>
              </w:tc>
              <w:tc>
                <w:tcPr>
                  <w:tcW w:w="1972" w:type="dxa"/>
                  <w:tcBorders>
                    <w:top w:val="single" w:color="auto" w:sz="4" w:space="0"/>
                    <w:left w:val="single" w:color="auto" w:sz="4" w:space="0"/>
                    <w:bottom w:val="single" w:color="auto" w:sz="4" w:space="0"/>
                    <w:right w:val="single" w:color="auto" w:sz="4" w:space="0"/>
                  </w:tcBorders>
                  <w:vAlign w:val="center"/>
                </w:tcPr>
                <w:p w14:paraId="0EF73356">
                  <w:pPr>
                    <w:jc w:val="center"/>
                    <w:rPr>
                      <w:color w:val="auto"/>
                      <w:spacing w:val="-6"/>
                      <w:szCs w:val="21"/>
                    </w:rPr>
                  </w:pPr>
                  <w:r>
                    <w:rPr>
                      <w:color w:val="auto"/>
                      <w:spacing w:val="-6"/>
                      <w:szCs w:val="21"/>
                    </w:rPr>
                    <w:t>97</w:t>
                  </w:r>
                  <w:r>
                    <w:rPr>
                      <w:rFonts w:hAnsi="宋体"/>
                      <w:color w:val="auto"/>
                      <w:spacing w:val="-6"/>
                      <w:szCs w:val="21"/>
                    </w:rPr>
                    <w:t>～</w:t>
                  </w:r>
                  <w:r>
                    <w:rPr>
                      <w:color w:val="auto"/>
                      <w:spacing w:val="-6"/>
                      <w:szCs w:val="21"/>
                    </w:rPr>
                    <w:t>98.5</w:t>
                  </w:r>
                </w:p>
              </w:tc>
              <w:tc>
                <w:tcPr>
                  <w:tcW w:w="1441" w:type="dxa"/>
                  <w:tcBorders>
                    <w:top w:val="single" w:color="auto" w:sz="4" w:space="0"/>
                    <w:left w:val="single" w:color="auto" w:sz="4" w:space="0"/>
                    <w:bottom w:val="single" w:color="auto" w:sz="4" w:space="0"/>
                    <w:right w:val="single" w:color="auto" w:sz="4" w:space="0"/>
                  </w:tcBorders>
                  <w:vAlign w:val="center"/>
                </w:tcPr>
                <w:p w14:paraId="3C791733">
                  <w:pPr>
                    <w:jc w:val="center"/>
                    <w:rPr>
                      <w:color w:val="auto"/>
                      <w:spacing w:val="-6"/>
                      <w:szCs w:val="21"/>
                    </w:rPr>
                  </w:pPr>
                  <w:r>
                    <w:rPr>
                      <w:color w:val="auto"/>
                      <w:spacing w:val="-6"/>
                      <w:szCs w:val="21"/>
                    </w:rPr>
                    <w:t>1.04</w:t>
                  </w:r>
                  <w:r>
                    <w:rPr>
                      <w:rFonts w:hAnsi="宋体"/>
                      <w:color w:val="auto"/>
                      <w:spacing w:val="-6"/>
                      <w:szCs w:val="21"/>
                    </w:rPr>
                    <w:t>～</w:t>
                  </w:r>
                  <w:r>
                    <w:rPr>
                      <w:color w:val="auto"/>
                      <w:spacing w:val="-6"/>
                      <w:szCs w:val="21"/>
                    </w:rPr>
                    <w:t>2.07</w:t>
                  </w:r>
                </w:p>
              </w:tc>
              <w:tc>
                <w:tcPr>
                  <w:tcW w:w="1432" w:type="dxa"/>
                  <w:tcBorders>
                    <w:top w:val="single" w:color="auto" w:sz="4" w:space="0"/>
                    <w:left w:val="single" w:color="auto" w:sz="4" w:space="0"/>
                    <w:bottom w:val="single" w:color="auto" w:sz="4" w:space="0"/>
                    <w:right w:val="single" w:color="auto" w:sz="4" w:space="0"/>
                  </w:tcBorders>
                  <w:vAlign w:val="center"/>
                </w:tcPr>
                <w:p w14:paraId="0C7BD8C5">
                  <w:pPr>
                    <w:jc w:val="center"/>
                    <w:rPr>
                      <w:color w:val="auto"/>
                      <w:spacing w:val="-6"/>
                      <w:szCs w:val="21"/>
                    </w:rPr>
                  </w:pPr>
                  <w:r>
                    <w:rPr>
                      <w:color w:val="auto"/>
                      <w:spacing w:val="-6"/>
                      <w:szCs w:val="21"/>
                    </w:rPr>
                    <w:t>380</w:t>
                  </w:r>
                  <w:r>
                    <w:rPr>
                      <w:rFonts w:hAnsi="宋体"/>
                      <w:color w:val="auto"/>
                      <w:spacing w:val="-6"/>
                      <w:szCs w:val="21"/>
                    </w:rPr>
                    <w:t>～</w:t>
                  </w:r>
                  <w:r>
                    <w:rPr>
                      <w:color w:val="auto"/>
                      <w:spacing w:val="-6"/>
                      <w:szCs w:val="21"/>
                    </w:rPr>
                    <w:t>755</w:t>
                  </w:r>
                </w:p>
              </w:tc>
            </w:tr>
            <w:tr w14:paraId="7CAF9C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14:paraId="237B4E8E">
                  <w:pPr>
                    <w:jc w:val="center"/>
                    <w:rPr>
                      <w:color w:val="auto"/>
                      <w:spacing w:val="-6"/>
                      <w:szCs w:val="21"/>
                    </w:rPr>
                  </w:pPr>
                  <w:r>
                    <w:rPr>
                      <w:rFonts w:hAnsi="宋体"/>
                      <w:color w:val="auto"/>
                      <w:spacing w:val="-6"/>
                      <w:szCs w:val="21"/>
                    </w:rPr>
                    <w:t>混凝沉淀</w:t>
                  </w:r>
                </w:p>
              </w:tc>
              <w:tc>
                <w:tcPr>
                  <w:tcW w:w="1965" w:type="dxa"/>
                  <w:tcBorders>
                    <w:top w:val="single" w:color="auto" w:sz="4" w:space="0"/>
                    <w:left w:val="single" w:color="auto" w:sz="4" w:space="0"/>
                    <w:bottom w:val="single" w:color="auto" w:sz="4" w:space="0"/>
                    <w:right w:val="single" w:color="auto" w:sz="4" w:space="0"/>
                  </w:tcBorders>
                  <w:vAlign w:val="center"/>
                </w:tcPr>
                <w:p w14:paraId="4C8168D0">
                  <w:pPr>
                    <w:jc w:val="center"/>
                    <w:rPr>
                      <w:color w:val="auto"/>
                      <w:spacing w:val="-6"/>
                      <w:szCs w:val="21"/>
                    </w:rPr>
                  </w:pPr>
                  <w:r>
                    <w:rPr>
                      <w:color w:val="auto"/>
                      <w:spacing w:val="-6"/>
                      <w:szCs w:val="21"/>
                    </w:rPr>
                    <w:t>66</w:t>
                  </w:r>
                  <w:r>
                    <w:rPr>
                      <w:rFonts w:hAnsi="宋体"/>
                      <w:color w:val="auto"/>
                      <w:spacing w:val="-6"/>
                      <w:szCs w:val="21"/>
                    </w:rPr>
                    <w:t>～</w:t>
                  </w:r>
                  <w:r>
                    <w:rPr>
                      <w:color w:val="auto"/>
                      <w:spacing w:val="-6"/>
                      <w:szCs w:val="21"/>
                    </w:rPr>
                    <w:t>75</w:t>
                  </w:r>
                </w:p>
              </w:tc>
              <w:tc>
                <w:tcPr>
                  <w:tcW w:w="1972" w:type="dxa"/>
                  <w:tcBorders>
                    <w:top w:val="single" w:color="auto" w:sz="4" w:space="0"/>
                    <w:left w:val="single" w:color="auto" w:sz="4" w:space="0"/>
                    <w:bottom w:val="single" w:color="auto" w:sz="4" w:space="0"/>
                    <w:right w:val="single" w:color="auto" w:sz="4" w:space="0"/>
                  </w:tcBorders>
                  <w:vAlign w:val="center"/>
                </w:tcPr>
                <w:p w14:paraId="1B9EDB7E">
                  <w:pPr>
                    <w:jc w:val="center"/>
                    <w:rPr>
                      <w:color w:val="auto"/>
                      <w:spacing w:val="-6"/>
                      <w:szCs w:val="21"/>
                    </w:rPr>
                  </w:pPr>
                  <w:r>
                    <w:rPr>
                      <w:color w:val="auto"/>
                      <w:spacing w:val="-6"/>
                      <w:szCs w:val="21"/>
                    </w:rPr>
                    <w:t>93</w:t>
                  </w:r>
                  <w:r>
                    <w:rPr>
                      <w:rFonts w:hAnsi="宋体"/>
                      <w:color w:val="auto"/>
                      <w:spacing w:val="-6"/>
                      <w:szCs w:val="21"/>
                    </w:rPr>
                    <w:t>～</w:t>
                  </w:r>
                  <w:r>
                    <w:rPr>
                      <w:color w:val="auto"/>
                      <w:spacing w:val="-6"/>
                      <w:szCs w:val="21"/>
                    </w:rPr>
                    <w:t>97</w:t>
                  </w:r>
                </w:p>
              </w:tc>
              <w:tc>
                <w:tcPr>
                  <w:tcW w:w="1441" w:type="dxa"/>
                  <w:tcBorders>
                    <w:top w:val="single" w:color="auto" w:sz="4" w:space="0"/>
                    <w:left w:val="single" w:color="auto" w:sz="4" w:space="0"/>
                    <w:bottom w:val="single" w:color="auto" w:sz="4" w:space="0"/>
                    <w:right w:val="single" w:color="auto" w:sz="4" w:space="0"/>
                  </w:tcBorders>
                  <w:vAlign w:val="center"/>
                </w:tcPr>
                <w:p w14:paraId="385721C7">
                  <w:pPr>
                    <w:jc w:val="center"/>
                    <w:rPr>
                      <w:color w:val="auto"/>
                      <w:spacing w:val="-6"/>
                      <w:szCs w:val="21"/>
                    </w:rPr>
                  </w:pPr>
                  <w:r>
                    <w:rPr>
                      <w:color w:val="auto"/>
                      <w:spacing w:val="-6"/>
                      <w:szCs w:val="21"/>
                    </w:rPr>
                    <w:t>1.07</w:t>
                  </w:r>
                  <w:r>
                    <w:rPr>
                      <w:rFonts w:hAnsi="宋体"/>
                      <w:color w:val="auto"/>
                      <w:spacing w:val="-6"/>
                      <w:szCs w:val="21"/>
                    </w:rPr>
                    <w:t>～</w:t>
                  </w:r>
                  <w:r>
                    <w:rPr>
                      <w:color w:val="auto"/>
                      <w:spacing w:val="-6"/>
                      <w:szCs w:val="21"/>
                    </w:rPr>
                    <w:cr/>
                  </w:r>
                  <w:r>
                    <w:rPr>
                      <w:color w:val="auto"/>
                      <w:spacing w:val="-6"/>
                      <w:szCs w:val="21"/>
                    </w:rPr>
                    <w:t>.20</w:t>
                  </w:r>
                </w:p>
              </w:tc>
              <w:tc>
                <w:tcPr>
                  <w:tcW w:w="1432" w:type="dxa"/>
                  <w:tcBorders>
                    <w:top w:val="single" w:color="auto" w:sz="4" w:space="0"/>
                    <w:left w:val="single" w:color="auto" w:sz="4" w:space="0"/>
                    <w:bottom w:val="single" w:color="auto" w:sz="4" w:space="0"/>
                    <w:right w:val="single" w:color="auto" w:sz="4" w:space="0"/>
                  </w:tcBorders>
                  <w:vAlign w:val="center"/>
                </w:tcPr>
                <w:p w14:paraId="01B7A132">
                  <w:pPr>
                    <w:jc w:val="center"/>
                    <w:rPr>
                      <w:color w:val="auto"/>
                      <w:spacing w:val="-6"/>
                      <w:szCs w:val="21"/>
                    </w:rPr>
                  </w:pPr>
                  <w:r>
                    <w:rPr>
                      <w:color w:val="auto"/>
                      <w:spacing w:val="-6"/>
                      <w:szCs w:val="21"/>
                    </w:rPr>
                    <w:t>390</w:t>
                  </w:r>
                  <w:r>
                    <w:rPr>
                      <w:rFonts w:hAnsi="宋体"/>
                      <w:color w:val="auto"/>
                      <w:spacing w:val="-6"/>
                      <w:szCs w:val="21"/>
                    </w:rPr>
                    <w:t>～</w:t>
                  </w:r>
                  <w:r>
                    <w:rPr>
                      <w:color w:val="auto"/>
                      <w:spacing w:val="-6"/>
                      <w:szCs w:val="21"/>
                    </w:rPr>
                    <w:t>840</w:t>
                  </w:r>
                </w:p>
              </w:tc>
            </w:tr>
            <w:tr w14:paraId="166B5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14:paraId="781C9A28">
                  <w:pPr>
                    <w:jc w:val="center"/>
                    <w:rPr>
                      <w:color w:val="auto"/>
                      <w:spacing w:val="-6"/>
                      <w:szCs w:val="21"/>
                    </w:rPr>
                  </w:pPr>
                  <w:r>
                    <w:rPr>
                      <w:rFonts w:hAnsi="宋体"/>
                      <w:color w:val="auto"/>
                      <w:spacing w:val="-6"/>
                      <w:szCs w:val="21"/>
                    </w:rPr>
                    <w:t>化粪池污泥</w:t>
                  </w:r>
                </w:p>
              </w:tc>
              <w:tc>
                <w:tcPr>
                  <w:tcW w:w="6810" w:type="dxa"/>
                  <w:gridSpan w:val="4"/>
                  <w:tcBorders>
                    <w:top w:val="single" w:color="auto" w:sz="4" w:space="0"/>
                    <w:left w:val="single" w:color="auto" w:sz="4" w:space="0"/>
                    <w:bottom w:val="single" w:color="auto" w:sz="4" w:space="0"/>
                    <w:right w:val="single" w:color="auto" w:sz="4" w:space="0"/>
                  </w:tcBorders>
                  <w:vAlign w:val="center"/>
                </w:tcPr>
                <w:p w14:paraId="7C52FAC5">
                  <w:pPr>
                    <w:rPr>
                      <w:color w:val="auto"/>
                      <w:spacing w:val="-6"/>
                      <w:szCs w:val="21"/>
                    </w:rPr>
                  </w:pPr>
                  <w:r>
                    <w:rPr>
                      <w:rFonts w:hAnsi="宋体"/>
                      <w:color w:val="auto"/>
                      <w:spacing w:val="-6"/>
                      <w:szCs w:val="21"/>
                    </w:rPr>
                    <w:t>主要来自</w:t>
                  </w:r>
                  <w:r>
                    <w:rPr>
                      <w:rFonts w:hint="eastAsia" w:hAnsi="宋体"/>
                      <w:color w:val="auto"/>
                      <w:spacing w:val="-6"/>
                      <w:szCs w:val="21"/>
                    </w:rPr>
                    <w:t>卫生院</w:t>
                  </w:r>
                  <w:r>
                    <w:rPr>
                      <w:rFonts w:hAnsi="宋体"/>
                      <w:color w:val="auto"/>
                      <w:spacing w:val="-6"/>
                      <w:szCs w:val="21"/>
                    </w:rPr>
                    <w:t>医务人员及住院患者的粪便，污泥量取决于化粪池的清掏周期和每人每日的粪便量。每人每日的粪便量约为</w:t>
                  </w:r>
                  <w:r>
                    <w:rPr>
                      <w:color w:val="auto"/>
                      <w:spacing w:val="-6"/>
                      <w:szCs w:val="21"/>
                    </w:rPr>
                    <w:t>150g</w:t>
                  </w:r>
                  <w:r>
                    <w:rPr>
                      <w:rFonts w:hAnsi="宋体"/>
                      <w:color w:val="auto"/>
                      <w:spacing w:val="-6"/>
                      <w:szCs w:val="21"/>
                    </w:rPr>
                    <w:t>。</w:t>
                  </w:r>
                </w:p>
              </w:tc>
            </w:tr>
          </w:tbl>
          <w:p w14:paraId="2FD0A9C7">
            <w:pPr>
              <w:spacing w:line="360" w:lineRule="auto"/>
              <w:ind w:firstLine="480" w:firstLineChars="200"/>
              <w:rPr>
                <w:rFonts w:hint="eastAsia" w:hAnsi="宋体"/>
                <w:color w:val="auto"/>
                <w:sz w:val="24"/>
              </w:rPr>
            </w:pPr>
            <w:r>
              <w:rPr>
                <w:rFonts w:hint="eastAsia" w:hAnsi="宋体"/>
                <w:color w:val="auto"/>
                <w:sz w:val="24"/>
              </w:rPr>
              <w:t>项目污水处理站主要采用“水解酸化+生物接触氧化+消毒工艺”，设有二沉池，没有设置混凝沉淀池，主要根据二沉池的污泥系数进行计算。二沉池总固体值为31g/人.d。</w:t>
            </w:r>
          </w:p>
          <w:p w14:paraId="730E1434">
            <w:pPr>
              <w:spacing w:line="360" w:lineRule="auto"/>
              <w:ind w:firstLine="480" w:firstLineChars="200"/>
              <w:rPr>
                <w:color w:val="auto"/>
                <w:sz w:val="24"/>
              </w:rPr>
            </w:pPr>
            <w:r>
              <w:rPr>
                <w:rFonts w:hint="eastAsia" w:hAnsi="宋体"/>
                <w:color w:val="auto"/>
                <w:sz w:val="24"/>
              </w:rPr>
              <w:t>本项目建成后，纳古卫生院新增一座污水处理站和1个容易不小于9m³的化粪池。项目建成后，本项目卫生院废水经化粪池处理后进入本次自建的污水处理站处理。本项目投入使用后，纳古卫生院共有床位50床（现有24床+本项目新增26床），</w:t>
            </w:r>
            <w:r>
              <w:rPr>
                <w:color w:val="auto"/>
                <w:sz w:val="24"/>
              </w:rPr>
              <w:t>陪护人员按每床1人计，</w:t>
            </w:r>
            <w:r>
              <w:rPr>
                <w:rFonts w:hint="eastAsia" w:hAnsi="宋体"/>
                <w:color w:val="auto"/>
                <w:sz w:val="24"/>
              </w:rPr>
              <w:t>共计可接诊病人62人/d（现有项目接诊52人/d+本项目新增接诊10 人/d）；共计有职工29人，本次不新增职工。本项目污水处理过程中二沉池产生的污泥量约为（</w:t>
            </w:r>
            <w:r>
              <w:rPr>
                <w:rFonts w:hint="eastAsia"/>
                <w:color w:val="auto"/>
                <w:sz w:val="24"/>
              </w:rPr>
              <w:t>26</w:t>
            </w:r>
            <w:r>
              <w:rPr>
                <w:rFonts w:hint="eastAsia" w:hAnsi="宋体"/>
                <w:color w:val="auto"/>
                <w:sz w:val="24"/>
              </w:rPr>
              <w:t>+</w:t>
            </w:r>
            <w:r>
              <w:rPr>
                <w:rFonts w:hint="eastAsia"/>
                <w:color w:val="auto"/>
                <w:sz w:val="24"/>
              </w:rPr>
              <w:t>26</w:t>
            </w:r>
            <w:r>
              <w:rPr>
                <w:rFonts w:hint="eastAsia" w:hAnsi="宋体"/>
                <w:color w:val="auto"/>
                <w:sz w:val="24"/>
              </w:rPr>
              <w:t>+</w:t>
            </w:r>
            <w:r>
              <w:rPr>
                <w:rFonts w:hint="eastAsia"/>
                <w:color w:val="auto"/>
                <w:sz w:val="24"/>
              </w:rPr>
              <w:t>0</w:t>
            </w:r>
            <w:r>
              <w:rPr>
                <w:rFonts w:hint="eastAsia" w:hAnsi="宋体"/>
                <w:color w:val="auto"/>
                <w:sz w:val="24"/>
              </w:rPr>
              <w:t>+</w:t>
            </w:r>
            <w:r>
              <w:rPr>
                <w:rFonts w:hint="eastAsia"/>
                <w:color w:val="auto"/>
                <w:sz w:val="24"/>
              </w:rPr>
              <w:t>10</w:t>
            </w:r>
            <w:r>
              <w:rPr>
                <w:rFonts w:hint="eastAsia" w:hAnsi="宋体"/>
                <w:color w:val="auto"/>
                <w:sz w:val="24"/>
              </w:rPr>
              <w:t>×0.</w:t>
            </w:r>
            <w:r>
              <w:rPr>
                <w:rFonts w:hint="eastAsia"/>
                <w:color w:val="auto"/>
                <w:sz w:val="24"/>
              </w:rPr>
              <w:t>6</w:t>
            </w:r>
            <w:r>
              <w:rPr>
                <w:rFonts w:hint="eastAsia" w:hAnsi="宋体"/>
                <w:color w:val="auto"/>
                <w:sz w:val="24"/>
              </w:rPr>
              <w:t>）×31=</w:t>
            </w:r>
            <w:r>
              <w:rPr>
                <w:rFonts w:hint="eastAsia"/>
                <w:color w:val="auto"/>
                <w:sz w:val="24"/>
              </w:rPr>
              <w:t>1.8</w:t>
            </w:r>
            <w:r>
              <w:rPr>
                <w:rFonts w:hint="eastAsia" w:hAnsi="宋体"/>
                <w:color w:val="auto"/>
                <w:sz w:val="24"/>
              </w:rPr>
              <w:t>kg/d；化粪池污泥量为150×（</w:t>
            </w:r>
            <w:r>
              <w:rPr>
                <w:rFonts w:hint="eastAsia"/>
                <w:color w:val="auto"/>
                <w:sz w:val="24"/>
              </w:rPr>
              <w:t>26</w:t>
            </w:r>
            <w:r>
              <w:rPr>
                <w:rFonts w:hint="eastAsia" w:hAnsi="宋体"/>
                <w:color w:val="auto"/>
                <w:sz w:val="24"/>
              </w:rPr>
              <w:t>+</w:t>
            </w:r>
            <w:r>
              <w:rPr>
                <w:rFonts w:hint="eastAsia"/>
                <w:color w:val="auto"/>
                <w:sz w:val="24"/>
              </w:rPr>
              <w:t>26</w:t>
            </w:r>
            <w:r>
              <w:rPr>
                <w:rFonts w:hint="eastAsia" w:hAnsi="宋体"/>
                <w:color w:val="auto"/>
                <w:sz w:val="24"/>
              </w:rPr>
              <w:t>+</w:t>
            </w:r>
            <w:r>
              <w:rPr>
                <w:rFonts w:hint="eastAsia"/>
                <w:color w:val="auto"/>
                <w:sz w:val="24"/>
              </w:rPr>
              <w:t>0</w:t>
            </w:r>
            <w:r>
              <w:rPr>
                <w:rFonts w:hint="eastAsia" w:hAnsi="宋体"/>
                <w:color w:val="auto"/>
                <w:sz w:val="24"/>
              </w:rPr>
              <w:t>+10×0.</w:t>
            </w:r>
            <w:r>
              <w:rPr>
                <w:rFonts w:hint="eastAsia"/>
                <w:color w:val="auto"/>
                <w:sz w:val="24"/>
              </w:rPr>
              <w:t>6</w:t>
            </w:r>
            <w:r>
              <w:rPr>
                <w:rFonts w:hint="eastAsia" w:hAnsi="宋体"/>
                <w:color w:val="auto"/>
                <w:sz w:val="24"/>
              </w:rPr>
              <w:t>）＝8.7kg/d。则本项目</w:t>
            </w:r>
            <w:r>
              <w:rPr>
                <w:rFonts w:hint="eastAsia"/>
                <w:color w:val="auto"/>
                <w:sz w:val="24"/>
              </w:rPr>
              <w:t>干</w:t>
            </w:r>
            <w:r>
              <w:rPr>
                <w:rFonts w:hint="eastAsia" w:hAnsi="宋体"/>
                <w:color w:val="auto"/>
                <w:sz w:val="24"/>
              </w:rPr>
              <w:t>污泥产生量约为</w:t>
            </w:r>
            <w:r>
              <w:rPr>
                <w:rFonts w:hint="eastAsia"/>
                <w:color w:val="auto"/>
                <w:sz w:val="24"/>
              </w:rPr>
              <w:t>10.5</w:t>
            </w:r>
            <w:r>
              <w:rPr>
                <w:rFonts w:hint="eastAsia" w:hAnsi="宋体"/>
                <w:color w:val="auto"/>
                <w:sz w:val="24"/>
              </w:rPr>
              <w:t>kg/d，</w:t>
            </w:r>
            <w:r>
              <w:rPr>
                <w:rFonts w:hint="eastAsia"/>
                <w:color w:val="auto"/>
                <w:sz w:val="24"/>
              </w:rPr>
              <w:t>3.83</w:t>
            </w:r>
            <w:r>
              <w:rPr>
                <w:rFonts w:hint="eastAsia" w:hAnsi="宋体"/>
                <w:color w:val="auto"/>
                <w:sz w:val="24"/>
              </w:rPr>
              <w:t>t/a，</w:t>
            </w:r>
            <w:r>
              <w:rPr>
                <w:rFonts w:hint="eastAsia"/>
                <w:color w:val="auto"/>
                <w:sz w:val="24"/>
              </w:rPr>
              <w:t>含水率为95%，则产生的污泥量为174</w:t>
            </w:r>
            <w:r>
              <w:rPr>
                <w:rFonts w:hint="eastAsia" w:hAnsi="宋体"/>
                <w:color w:val="auto"/>
                <w:sz w:val="24"/>
              </w:rPr>
              <w:t>kg/d，</w:t>
            </w:r>
            <w:r>
              <w:rPr>
                <w:rFonts w:hint="eastAsia"/>
                <w:color w:val="auto"/>
                <w:sz w:val="24"/>
              </w:rPr>
              <w:t>63.51</w:t>
            </w:r>
            <w:r>
              <w:rPr>
                <w:rFonts w:hint="eastAsia" w:hAnsi="宋体"/>
                <w:color w:val="auto"/>
                <w:sz w:val="24"/>
              </w:rPr>
              <w:t>t/a</w:t>
            </w:r>
            <w:r>
              <w:rPr>
                <w:rFonts w:hint="eastAsia"/>
                <w:color w:val="auto"/>
                <w:sz w:val="24"/>
              </w:rPr>
              <w:t>。</w:t>
            </w:r>
          </w:p>
          <w:p w14:paraId="7E29F1B8">
            <w:pPr>
              <w:spacing w:line="360" w:lineRule="auto"/>
              <w:ind w:firstLine="480" w:firstLineChars="200"/>
              <w:rPr>
                <w:color w:val="auto"/>
                <w:sz w:val="24"/>
              </w:rPr>
            </w:pPr>
            <w:r>
              <w:rPr>
                <w:rFonts w:hint="eastAsia" w:hAnsi="宋体"/>
                <w:color w:val="auto"/>
                <w:sz w:val="24"/>
              </w:rPr>
              <w:t>本项目建成后，四街卫生院新增一座污水处理站和1个容易不小于9m³的化粪池。项目建成后，卫生院所有废水均进入本次自建的污水处理站处理。本项目投入使用后，四街卫生院共有床位40床（现有15床+本项目新增25床），</w:t>
            </w:r>
            <w:r>
              <w:rPr>
                <w:color w:val="auto"/>
                <w:sz w:val="24"/>
              </w:rPr>
              <w:t>陪护人员按每床1人计，</w:t>
            </w:r>
            <w:r>
              <w:rPr>
                <w:rFonts w:hint="eastAsia" w:hAnsi="宋体"/>
                <w:color w:val="auto"/>
                <w:sz w:val="24"/>
              </w:rPr>
              <w:t>共计可接诊病人180人/d（现有项目接诊150人/d+本项目新增接诊30人/d）；共计有职工54人，本次不新增职工。本项目污水处理过程中二沉池产生的污泥量约为（</w:t>
            </w:r>
            <w:r>
              <w:rPr>
                <w:rFonts w:hint="eastAsia"/>
                <w:color w:val="auto"/>
                <w:sz w:val="24"/>
              </w:rPr>
              <w:t>40</w:t>
            </w:r>
            <w:r>
              <w:rPr>
                <w:rFonts w:hint="eastAsia" w:hAnsi="宋体"/>
                <w:color w:val="auto"/>
                <w:sz w:val="24"/>
              </w:rPr>
              <w:t>+</w:t>
            </w:r>
            <w:r>
              <w:rPr>
                <w:rFonts w:hint="eastAsia"/>
                <w:color w:val="auto"/>
                <w:sz w:val="24"/>
              </w:rPr>
              <w:t>40</w:t>
            </w:r>
            <w:r>
              <w:rPr>
                <w:rFonts w:hint="eastAsia" w:hAnsi="宋体"/>
                <w:color w:val="auto"/>
                <w:sz w:val="24"/>
              </w:rPr>
              <w:t>+</w:t>
            </w:r>
            <w:r>
              <w:rPr>
                <w:rFonts w:hint="eastAsia"/>
                <w:color w:val="auto"/>
                <w:sz w:val="24"/>
              </w:rPr>
              <w:t>54</w:t>
            </w:r>
            <w:r>
              <w:rPr>
                <w:rFonts w:hint="eastAsia" w:hAnsi="宋体"/>
                <w:color w:val="auto"/>
                <w:sz w:val="24"/>
              </w:rPr>
              <w:t>+</w:t>
            </w:r>
            <w:r>
              <w:rPr>
                <w:rFonts w:hint="eastAsia"/>
                <w:color w:val="auto"/>
                <w:sz w:val="24"/>
              </w:rPr>
              <w:t>180</w:t>
            </w:r>
            <w:r>
              <w:rPr>
                <w:rFonts w:hint="eastAsia" w:hAnsi="宋体"/>
                <w:color w:val="auto"/>
                <w:sz w:val="24"/>
              </w:rPr>
              <w:t>×0.</w:t>
            </w:r>
            <w:r>
              <w:rPr>
                <w:rFonts w:hint="eastAsia"/>
                <w:color w:val="auto"/>
                <w:sz w:val="24"/>
              </w:rPr>
              <w:t>6</w:t>
            </w:r>
            <w:r>
              <w:rPr>
                <w:rFonts w:hint="eastAsia" w:hAnsi="宋体"/>
                <w:color w:val="auto"/>
                <w:sz w:val="24"/>
              </w:rPr>
              <w:t>）×31=</w:t>
            </w:r>
            <w:r>
              <w:rPr>
                <w:rFonts w:hint="eastAsia"/>
                <w:color w:val="auto"/>
                <w:sz w:val="24"/>
              </w:rPr>
              <w:t>7.50</w:t>
            </w:r>
            <w:r>
              <w:rPr>
                <w:rFonts w:hint="eastAsia" w:hAnsi="宋体"/>
                <w:color w:val="auto"/>
                <w:sz w:val="24"/>
              </w:rPr>
              <w:t>kg/d；化粪池污泥量为150×（</w:t>
            </w:r>
            <w:r>
              <w:rPr>
                <w:rFonts w:hint="eastAsia"/>
                <w:color w:val="auto"/>
                <w:sz w:val="24"/>
              </w:rPr>
              <w:t>25</w:t>
            </w:r>
            <w:r>
              <w:rPr>
                <w:rFonts w:hint="eastAsia" w:hAnsi="宋体"/>
                <w:color w:val="auto"/>
                <w:sz w:val="24"/>
              </w:rPr>
              <w:t>+</w:t>
            </w:r>
            <w:r>
              <w:rPr>
                <w:rFonts w:hint="eastAsia"/>
                <w:color w:val="auto"/>
                <w:sz w:val="24"/>
              </w:rPr>
              <w:t>25</w:t>
            </w:r>
            <w:r>
              <w:rPr>
                <w:rFonts w:hint="eastAsia" w:hAnsi="宋体"/>
                <w:color w:val="auto"/>
                <w:sz w:val="24"/>
              </w:rPr>
              <w:t>+</w:t>
            </w:r>
            <w:r>
              <w:rPr>
                <w:rFonts w:hint="eastAsia"/>
                <w:color w:val="auto"/>
                <w:sz w:val="24"/>
              </w:rPr>
              <w:t>0</w:t>
            </w:r>
            <w:r>
              <w:rPr>
                <w:rFonts w:hint="eastAsia" w:hAnsi="宋体"/>
                <w:color w:val="auto"/>
                <w:sz w:val="24"/>
              </w:rPr>
              <w:t>+30×0.</w:t>
            </w:r>
            <w:r>
              <w:rPr>
                <w:rFonts w:hint="eastAsia"/>
                <w:color w:val="auto"/>
                <w:sz w:val="24"/>
              </w:rPr>
              <w:t>6</w:t>
            </w:r>
            <w:r>
              <w:rPr>
                <w:rFonts w:hint="eastAsia" w:hAnsi="宋体"/>
                <w:color w:val="auto"/>
                <w:sz w:val="24"/>
              </w:rPr>
              <w:t>）＝10.2kg/d。则本项目</w:t>
            </w:r>
            <w:r>
              <w:rPr>
                <w:rFonts w:hint="eastAsia"/>
                <w:color w:val="auto"/>
                <w:sz w:val="24"/>
              </w:rPr>
              <w:t>干</w:t>
            </w:r>
            <w:r>
              <w:rPr>
                <w:rFonts w:hint="eastAsia" w:hAnsi="宋体"/>
                <w:color w:val="auto"/>
                <w:sz w:val="24"/>
              </w:rPr>
              <w:t>污泥产生量约为</w:t>
            </w:r>
            <w:r>
              <w:rPr>
                <w:rFonts w:hint="eastAsia"/>
                <w:color w:val="auto"/>
                <w:sz w:val="24"/>
              </w:rPr>
              <w:t>17.7</w:t>
            </w:r>
            <w:r>
              <w:rPr>
                <w:rFonts w:hint="eastAsia" w:hAnsi="宋体"/>
                <w:color w:val="auto"/>
                <w:sz w:val="24"/>
              </w:rPr>
              <w:t>kg/d，</w:t>
            </w:r>
            <w:r>
              <w:rPr>
                <w:rFonts w:hint="eastAsia"/>
                <w:color w:val="auto"/>
                <w:sz w:val="24"/>
              </w:rPr>
              <w:t>6.46</w:t>
            </w:r>
            <w:r>
              <w:rPr>
                <w:rFonts w:hint="eastAsia" w:hAnsi="宋体"/>
                <w:color w:val="auto"/>
                <w:sz w:val="24"/>
              </w:rPr>
              <w:t>t/a，</w:t>
            </w:r>
            <w:r>
              <w:rPr>
                <w:rFonts w:hint="eastAsia"/>
                <w:color w:val="auto"/>
                <w:sz w:val="24"/>
              </w:rPr>
              <w:t>含水率为95%，则产生的污泥量为354</w:t>
            </w:r>
            <w:r>
              <w:rPr>
                <w:rFonts w:hint="eastAsia" w:hAnsi="宋体"/>
                <w:color w:val="auto"/>
                <w:sz w:val="24"/>
              </w:rPr>
              <w:t>kg/d，</w:t>
            </w:r>
            <w:r>
              <w:rPr>
                <w:rFonts w:hint="eastAsia"/>
                <w:color w:val="auto"/>
                <w:sz w:val="24"/>
              </w:rPr>
              <w:t>129.21</w:t>
            </w:r>
            <w:r>
              <w:rPr>
                <w:rFonts w:hint="eastAsia" w:hAnsi="宋体"/>
                <w:color w:val="auto"/>
                <w:sz w:val="24"/>
              </w:rPr>
              <w:t>t/a</w:t>
            </w:r>
            <w:r>
              <w:rPr>
                <w:rFonts w:hint="eastAsia"/>
                <w:color w:val="auto"/>
                <w:sz w:val="24"/>
              </w:rPr>
              <w:t>。</w:t>
            </w:r>
          </w:p>
          <w:p w14:paraId="2A2B102A">
            <w:pPr>
              <w:spacing w:line="360" w:lineRule="auto"/>
              <w:ind w:firstLine="480" w:firstLineChars="200"/>
              <w:rPr>
                <w:color w:val="auto"/>
                <w:sz w:val="24"/>
              </w:rPr>
            </w:pPr>
            <w:r>
              <w:rPr>
                <w:rFonts w:hint="eastAsia" w:hAnsi="宋体"/>
                <w:color w:val="auto"/>
                <w:sz w:val="24"/>
              </w:rPr>
              <w:t>本项目建成后，九龙卫生院新增一座污水处理站和1个容易不小于9m³的化粪池。项目建成后，卫生院所有废水均进入本次自建的污水处理站处理。本项目投入使用后，九龙卫生院共有床位47床（现有20床+本项目新增27床），</w:t>
            </w:r>
            <w:r>
              <w:rPr>
                <w:color w:val="auto"/>
                <w:sz w:val="24"/>
              </w:rPr>
              <w:t>陪护人员按每床1人计，</w:t>
            </w:r>
            <w:r>
              <w:rPr>
                <w:rFonts w:hint="eastAsia" w:hAnsi="宋体"/>
                <w:color w:val="auto"/>
                <w:sz w:val="24"/>
              </w:rPr>
              <w:t>共计可接诊病人221人/d（现有项目接诊200人/d+本项目新增接诊21人/d）；共计有职工34人，本次不新增职工。本项目污水处理过程中二沉池产生的污泥量约为（</w:t>
            </w:r>
            <w:r>
              <w:rPr>
                <w:rFonts w:hint="eastAsia"/>
                <w:color w:val="auto"/>
                <w:sz w:val="24"/>
              </w:rPr>
              <w:t>47</w:t>
            </w:r>
            <w:r>
              <w:rPr>
                <w:rFonts w:hint="eastAsia" w:hAnsi="宋体"/>
                <w:color w:val="auto"/>
                <w:sz w:val="24"/>
              </w:rPr>
              <w:t>+</w:t>
            </w:r>
            <w:r>
              <w:rPr>
                <w:rFonts w:hint="eastAsia"/>
                <w:color w:val="auto"/>
                <w:sz w:val="24"/>
              </w:rPr>
              <w:t>47</w:t>
            </w:r>
            <w:r>
              <w:rPr>
                <w:rFonts w:hint="eastAsia" w:hAnsi="宋体"/>
                <w:color w:val="auto"/>
                <w:sz w:val="24"/>
              </w:rPr>
              <w:t>+</w:t>
            </w:r>
            <w:r>
              <w:rPr>
                <w:rFonts w:hint="eastAsia"/>
                <w:color w:val="auto"/>
                <w:sz w:val="24"/>
              </w:rPr>
              <w:t>34</w:t>
            </w:r>
            <w:r>
              <w:rPr>
                <w:rFonts w:hint="eastAsia" w:hAnsi="宋体"/>
                <w:color w:val="auto"/>
                <w:sz w:val="24"/>
              </w:rPr>
              <w:t>+</w:t>
            </w:r>
            <w:r>
              <w:rPr>
                <w:rFonts w:hint="eastAsia"/>
                <w:color w:val="auto"/>
                <w:sz w:val="24"/>
              </w:rPr>
              <w:t>221</w:t>
            </w:r>
            <w:r>
              <w:rPr>
                <w:rFonts w:hint="eastAsia" w:hAnsi="宋体"/>
                <w:color w:val="auto"/>
                <w:sz w:val="24"/>
              </w:rPr>
              <w:t>×0.</w:t>
            </w:r>
            <w:r>
              <w:rPr>
                <w:rFonts w:hint="eastAsia"/>
                <w:color w:val="auto"/>
                <w:sz w:val="24"/>
              </w:rPr>
              <w:t>6</w:t>
            </w:r>
            <w:r>
              <w:rPr>
                <w:rFonts w:hint="eastAsia" w:hAnsi="宋体"/>
                <w:color w:val="auto"/>
                <w:sz w:val="24"/>
              </w:rPr>
              <w:t>）×31=</w:t>
            </w:r>
            <w:r>
              <w:rPr>
                <w:rFonts w:hint="eastAsia"/>
                <w:color w:val="auto"/>
                <w:sz w:val="24"/>
              </w:rPr>
              <w:t>8.08</w:t>
            </w:r>
            <w:r>
              <w:rPr>
                <w:rFonts w:hint="eastAsia" w:hAnsi="宋体"/>
                <w:color w:val="auto"/>
                <w:sz w:val="24"/>
              </w:rPr>
              <w:t>kg/d；化粪池污泥量为150×（</w:t>
            </w:r>
            <w:r>
              <w:rPr>
                <w:rFonts w:hint="eastAsia"/>
                <w:color w:val="auto"/>
                <w:sz w:val="24"/>
              </w:rPr>
              <w:t>27</w:t>
            </w:r>
            <w:r>
              <w:rPr>
                <w:rFonts w:hint="eastAsia" w:hAnsi="宋体"/>
                <w:color w:val="auto"/>
                <w:sz w:val="24"/>
              </w:rPr>
              <w:t>+</w:t>
            </w:r>
            <w:r>
              <w:rPr>
                <w:rFonts w:hint="eastAsia"/>
                <w:color w:val="auto"/>
                <w:sz w:val="24"/>
              </w:rPr>
              <w:t>27</w:t>
            </w:r>
            <w:r>
              <w:rPr>
                <w:rFonts w:hint="eastAsia" w:hAnsi="宋体"/>
                <w:color w:val="auto"/>
                <w:sz w:val="24"/>
              </w:rPr>
              <w:t>+</w:t>
            </w:r>
            <w:r>
              <w:rPr>
                <w:rFonts w:hint="eastAsia"/>
                <w:color w:val="auto"/>
                <w:sz w:val="24"/>
              </w:rPr>
              <w:t>0</w:t>
            </w:r>
            <w:r>
              <w:rPr>
                <w:rFonts w:hint="eastAsia" w:hAnsi="宋体"/>
                <w:color w:val="auto"/>
                <w:sz w:val="24"/>
              </w:rPr>
              <w:t>+21×0.</w:t>
            </w:r>
            <w:r>
              <w:rPr>
                <w:rFonts w:hint="eastAsia"/>
                <w:color w:val="auto"/>
                <w:sz w:val="24"/>
              </w:rPr>
              <w:t>6</w:t>
            </w:r>
            <w:r>
              <w:rPr>
                <w:rFonts w:hint="eastAsia" w:hAnsi="宋体"/>
                <w:color w:val="auto"/>
                <w:sz w:val="24"/>
              </w:rPr>
              <w:t>）＝9.99kg/d。则本项目</w:t>
            </w:r>
            <w:r>
              <w:rPr>
                <w:rFonts w:hint="eastAsia"/>
                <w:color w:val="auto"/>
                <w:sz w:val="24"/>
              </w:rPr>
              <w:t>干</w:t>
            </w:r>
            <w:r>
              <w:rPr>
                <w:rFonts w:hint="eastAsia" w:hAnsi="宋体"/>
                <w:color w:val="auto"/>
                <w:sz w:val="24"/>
              </w:rPr>
              <w:t>污泥产生量约为</w:t>
            </w:r>
            <w:r>
              <w:rPr>
                <w:rFonts w:hint="eastAsia"/>
                <w:color w:val="auto"/>
                <w:sz w:val="24"/>
              </w:rPr>
              <w:t>18.07</w:t>
            </w:r>
            <w:r>
              <w:rPr>
                <w:rFonts w:hint="eastAsia" w:hAnsi="宋体"/>
                <w:color w:val="auto"/>
                <w:sz w:val="24"/>
              </w:rPr>
              <w:t>kg/d，</w:t>
            </w:r>
            <w:r>
              <w:rPr>
                <w:rFonts w:hint="eastAsia"/>
                <w:color w:val="auto"/>
                <w:sz w:val="24"/>
              </w:rPr>
              <w:t>6.6</w:t>
            </w:r>
            <w:r>
              <w:rPr>
                <w:rFonts w:hint="eastAsia" w:hAnsi="宋体"/>
                <w:color w:val="auto"/>
                <w:sz w:val="24"/>
              </w:rPr>
              <w:t>t/a，</w:t>
            </w:r>
            <w:r>
              <w:rPr>
                <w:rFonts w:hint="eastAsia"/>
                <w:color w:val="auto"/>
                <w:sz w:val="24"/>
              </w:rPr>
              <w:t>含水率为95%，则产生的污泥量为361.4</w:t>
            </w:r>
            <w:r>
              <w:rPr>
                <w:rFonts w:hint="eastAsia" w:hAnsi="宋体"/>
                <w:color w:val="auto"/>
                <w:sz w:val="24"/>
              </w:rPr>
              <w:t>kg/d，</w:t>
            </w:r>
            <w:r>
              <w:rPr>
                <w:rFonts w:hint="eastAsia"/>
                <w:color w:val="auto"/>
                <w:sz w:val="24"/>
              </w:rPr>
              <w:t>131.91</w:t>
            </w:r>
            <w:r>
              <w:rPr>
                <w:rFonts w:hint="eastAsia" w:hAnsi="宋体"/>
                <w:color w:val="auto"/>
                <w:sz w:val="24"/>
              </w:rPr>
              <w:t>t/a</w:t>
            </w:r>
            <w:r>
              <w:rPr>
                <w:rFonts w:hint="eastAsia"/>
                <w:color w:val="auto"/>
                <w:sz w:val="24"/>
              </w:rPr>
              <w:t>。</w:t>
            </w:r>
          </w:p>
          <w:p w14:paraId="5117D986">
            <w:pPr>
              <w:spacing w:line="360" w:lineRule="auto"/>
              <w:ind w:firstLine="480" w:firstLineChars="200"/>
              <w:rPr>
                <w:color w:val="auto"/>
                <w:sz w:val="24"/>
              </w:rPr>
            </w:pPr>
            <w:r>
              <w:rPr>
                <w:rFonts w:hint="eastAsia" w:hAnsi="宋体"/>
                <w:color w:val="auto"/>
                <w:sz w:val="24"/>
              </w:rPr>
              <w:t>本项目建成后，杨广卫生院新1个容易不小于9m³的化粪池，本项目卫生院废水经化粪池处理后进入本次自建的污水处理站处理。本项目投入使用后，杨广卫生院共有床位50床（现有32床+本项目新增18床），共计可接诊病人170人/d（现有项目接诊160人/d+本项目新增接诊10人/d），</w:t>
            </w:r>
            <w:r>
              <w:rPr>
                <w:rFonts w:hint="eastAsia"/>
                <w:color w:val="auto"/>
                <w:sz w:val="24"/>
              </w:rPr>
              <w:t>杨广卫生院</w:t>
            </w:r>
            <w:r>
              <w:rPr>
                <w:color w:val="auto"/>
                <w:sz w:val="24"/>
              </w:rPr>
              <w:t>全院有职工</w:t>
            </w:r>
            <w:r>
              <w:rPr>
                <w:rFonts w:hint="eastAsia"/>
                <w:color w:val="auto"/>
                <w:sz w:val="24"/>
              </w:rPr>
              <w:t>62</w:t>
            </w:r>
            <w:r>
              <w:rPr>
                <w:color w:val="auto"/>
                <w:sz w:val="24"/>
              </w:rPr>
              <w:t>人</w:t>
            </w:r>
            <w:r>
              <w:rPr>
                <w:rFonts w:hint="eastAsia"/>
                <w:color w:val="auto"/>
                <w:sz w:val="24"/>
              </w:rPr>
              <w:t>，本次不新增职工。本</w:t>
            </w:r>
            <w:r>
              <w:rPr>
                <w:rFonts w:hint="eastAsia" w:hAnsi="宋体"/>
                <w:color w:val="auto"/>
                <w:sz w:val="24"/>
              </w:rPr>
              <w:t>项目污水处理过程中二沉池产生的污泥量约为（</w:t>
            </w:r>
            <w:r>
              <w:rPr>
                <w:rFonts w:hint="eastAsia"/>
                <w:color w:val="auto"/>
                <w:sz w:val="24"/>
              </w:rPr>
              <w:t>18</w:t>
            </w:r>
            <w:r>
              <w:rPr>
                <w:rFonts w:hint="eastAsia" w:hAnsi="宋体"/>
                <w:color w:val="auto"/>
                <w:sz w:val="24"/>
              </w:rPr>
              <w:t>+</w:t>
            </w:r>
            <w:r>
              <w:rPr>
                <w:rFonts w:hint="eastAsia"/>
                <w:color w:val="auto"/>
                <w:sz w:val="24"/>
              </w:rPr>
              <w:t>18</w:t>
            </w:r>
            <w:r>
              <w:rPr>
                <w:rFonts w:hint="eastAsia" w:hAnsi="宋体"/>
                <w:color w:val="auto"/>
                <w:sz w:val="24"/>
              </w:rPr>
              <w:t>+</w:t>
            </w:r>
            <w:r>
              <w:rPr>
                <w:rFonts w:hint="eastAsia"/>
                <w:color w:val="auto"/>
                <w:sz w:val="24"/>
              </w:rPr>
              <w:t>0</w:t>
            </w:r>
            <w:r>
              <w:rPr>
                <w:rFonts w:hint="eastAsia" w:hAnsi="宋体"/>
                <w:color w:val="auto"/>
                <w:sz w:val="24"/>
              </w:rPr>
              <w:t>+</w:t>
            </w:r>
            <w:r>
              <w:rPr>
                <w:rFonts w:hint="eastAsia"/>
                <w:color w:val="auto"/>
                <w:sz w:val="24"/>
              </w:rPr>
              <w:t>10</w:t>
            </w:r>
            <w:r>
              <w:rPr>
                <w:rFonts w:hint="eastAsia" w:hAnsi="宋体"/>
                <w:color w:val="auto"/>
                <w:sz w:val="24"/>
              </w:rPr>
              <w:t>×0.</w:t>
            </w:r>
            <w:r>
              <w:rPr>
                <w:rFonts w:hint="eastAsia"/>
                <w:color w:val="auto"/>
                <w:sz w:val="24"/>
              </w:rPr>
              <w:t>6</w:t>
            </w:r>
            <w:r>
              <w:rPr>
                <w:rFonts w:hint="eastAsia" w:hAnsi="宋体"/>
                <w:color w:val="auto"/>
                <w:sz w:val="24"/>
              </w:rPr>
              <w:t>）×31=</w:t>
            </w:r>
            <w:r>
              <w:rPr>
                <w:rFonts w:hint="eastAsia"/>
                <w:color w:val="auto"/>
                <w:sz w:val="24"/>
              </w:rPr>
              <w:t>1.30</w:t>
            </w:r>
            <w:r>
              <w:rPr>
                <w:rFonts w:hint="eastAsia" w:hAnsi="宋体"/>
                <w:color w:val="auto"/>
                <w:sz w:val="24"/>
              </w:rPr>
              <w:t>kg/d；化粪池污泥量为150×（</w:t>
            </w:r>
            <w:r>
              <w:rPr>
                <w:rFonts w:hint="eastAsia"/>
                <w:color w:val="auto"/>
                <w:sz w:val="24"/>
              </w:rPr>
              <w:t>18+18</w:t>
            </w:r>
            <w:r>
              <w:rPr>
                <w:rFonts w:hint="eastAsia" w:hAnsi="宋体"/>
                <w:color w:val="auto"/>
                <w:sz w:val="24"/>
              </w:rPr>
              <w:t>+</w:t>
            </w:r>
            <w:r>
              <w:rPr>
                <w:rFonts w:hint="eastAsia"/>
                <w:color w:val="auto"/>
                <w:sz w:val="24"/>
              </w:rPr>
              <w:t>0</w:t>
            </w:r>
            <w:r>
              <w:rPr>
                <w:rFonts w:hint="eastAsia" w:hAnsi="宋体"/>
                <w:color w:val="auto"/>
                <w:sz w:val="24"/>
              </w:rPr>
              <w:t>+10×0.</w:t>
            </w:r>
            <w:r>
              <w:rPr>
                <w:rFonts w:hint="eastAsia"/>
                <w:color w:val="auto"/>
                <w:sz w:val="24"/>
              </w:rPr>
              <w:t>6</w:t>
            </w:r>
            <w:r>
              <w:rPr>
                <w:rFonts w:hint="eastAsia" w:hAnsi="宋体"/>
                <w:color w:val="auto"/>
                <w:sz w:val="24"/>
              </w:rPr>
              <w:t>）＝6.3kg/d。则本项目</w:t>
            </w:r>
            <w:r>
              <w:rPr>
                <w:rFonts w:hint="eastAsia"/>
                <w:color w:val="auto"/>
                <w:sz w:val="24"/>
              </w:rPr>
              <w:t>干</w:t>
            </w:r>
            <w:r>
              <w:rPr>
                <w:rFonts w:hint="eastAsia" w:hAnsi="宋体"/>
                <w:color w:val="auto"/>
                <w:sz w:val="24"/>
              </w:rPr>
              <w:t>污泥产生量约为</w:t>
            </w:r>
            <w:r>
              <w:rPr>
                <w:rFonts w:hint="eastAsia"/>
                <w:color w:val="auto"/>
                <w:sz w:val="24"/>
              </w:rPr>
              <w:t>7.6</w:t>
            </w:r>
            <w:r>
              <w:rPr>
                <w:rFonts w:hint="eastAsia" w:hAnsi="宋体"/>
                <w:color w:val="auto"/>
                <w:sz w:val="24"/>
              </w:rPr>
              <w:t>kg/d，</w:t>
            </w:r>
            <w:r>
              <w:rPr>
                <w:rFonts w:hint="eastAsia"/>
                <w:color w:val="auto"/>
                <w:sz w:val="24"/>
              </w:rPr>
              <w:t>2.77</w:t>
            </w:r>
            <w:r>
              <w:rPr>
                <w:rFonts w:hint="eastAsia" w:hAnsi="宋体"/>
                <w:color w:val="auto"/>
                <w:sz w:val="24"/>
              </w:rPr>
              <w:t>t/a，</w:t>
            </w:r>
            <w:r>
              <w:rPr>
                <w:rFonts w:hint="eastAsia"/>
                <w:color w:val="auto"/>
                <w:sz w:val="24"/>
              </w:rPr>
              <w:t>含水率为95%，则产生的污泥量为152</w:t>
            </w:r>
            <w:r>
              <w:rPr>
                <w:rFonts w:hint="eastAsia" w:hAnsi="宋体"/>
                <w:color w:val="auto"/>
                <w:sz w:val="24"/>
              </w:rPr>
              <w:t>kg/d，</w:t>
            </w:r>
            <w:r>
              <w:rPr>
                <w:rFonts w:hint="eastAsia"/>
                <w:color w:val="auto"/>
                <w:sz w:val="24"/>
              </w:rPr>
              <w:t>55.48</w:t>
            </w:r>
            <w:r>
              <w:rPr>
                <w:rFonts w:hint="eastAsia" w:hAnsi="宋体"/>
                <w:color w:val="auto"/>
                <w:sz w:val="24"/>
              </w:rPr>
              <w:t>t/a</w:t>
            </w:r>
            <w:r>
              <w:rPr>
                <w:rFonts w:hint="eastAsia"/>
                <w:color w:val="auto"/>
                <w:sz w:val="24"/>
              </w:rPr>
              <w:t>。</w:t>
            </w:r>
          </w:p>
          <w:p w14:paraId="1B00C159">
            <w:pPr>
              <w:spacing w:line="360" w:lineRule="auto"/>
              <w:ind w:firstLine="482"/>
              <w:rPr>
                <w:b/>
                <w:color w:val="auto"/>
                <w:sz w:val="24"/>
              </w:rPr>
            </w:pPr>
            <w:r>
              <w:rPr>
                <w:rFonts w:hint="eastAsia"/>
                <w:b/>
                <w:color w:val="auto"/>
                <w:sz w:val="24"/>
              </w:rPr>
              <w:t xml:space="preserve"> 3）中药渣</w:t>
            </w:r>
          </w:p>
          <w:p w14:paraId="07063ABE">
            <w:pPr>
              <w:spacing w:line="360" w:lineRule="auto"/>
              <w:ind w:firstLine="480" w:firstLineChars="200"/>
              <w:rPr>
                <w:color w:val="auto"/>
                <w:sz w:val="24"/>
              </w:rPr>
            </w:pPr>
            <w:r>
              <w:rPr>
                <w:rFonts w:hint="eastAsia"/>
                <w:color w:val="auto"/>
                <w:sz w:val="24"/>
              </w:rPr>
              <w:t>本项目扩建完后四街卫生院为病人提供中药煎煮服务，卫生院中药渣产生量约为0.38t/a（1.04kg/d）。中药渣不属于危险废物，收集后与生活垃圾一起交由</w:t>
            </w:r>
            <w:r>
              <w:rPr>
                <w:color w:val="auto"/>
                <w:sz w:val="24"/>
              </w:rPr>
              <w:t>环卫部门定时清运</w:t>
            </w:r>
            <w:r>
              <w:rPr>
                <w:rFonts w:hint="eastAsia"/>
                <w:color w:val="auto"/>
                <w:sz w:val="24"/>
              </w:rPr>
              <w:t>处置</w:t>
            </w:r>
            <w:r>
              <w:rPr>
                <w:color w:val="auto"/>
                <w:sz w:val="24"/>
              </w:rPr>
              <w:t>。</w:t>
            </w:r>
          </w:p>
          <w:p w14:paraId="15084279">
            <w:pPr>
              <w:spacing w:line="360" w:lineRule="auto"/>
              <w:ind w:firstLine="482" w:firstLineChars="200"/>
              <w:rPr>
                <w:b/>
                <w:color w:val="auto"/>
                <w:sz w:val="24"/>
              </w:rPr>
            </w:pPr>
            <w:r>
              <w:rPr>
                <w:rFonts w:hint="eastAsia"/>
                <w:b/>
                <w:color w:val="auto"/>
                <w:sz w:val="24"/>
              </w:rPr>
              <w:t>4</w:t>
            </w:r>
            <w:r>
              <w:rPr>
                <w:rFonts w:hAnsi="宋体"/>
                <w:b/>
                <w:color w:val="auto"/>
                <w:sz w:val="24"/>
              </w:rPr>
              <w:t>）</w:t>
            </w:r>
            <w:r>
              <w:rPr>
                <w:b/>
                <w:color w:val="auto"/>
                <w:sz w:val="24"/>
              </w:rPr>
              <w:t>生活垃圾</w:t>
            </w:r>
          </w:p>
          <w:p w14:paraId="78EADF50">
            <w:pPr>
              <w:spacing w:line="360" w:lineRule="auto"/>
              <w:ind w:firstLine="480" w:firstLineChars="200"/>
              <w:rPr>
                <w:color w:val="auto"/>
                <w:sz w:val="24"/>
              </w:rPr>
            </w:pPr>
            <w:r>
              <w:rPr>
                <w:rFonts w:hint="eastAsia"/>
                <w:color w:val="auto"/>
                <w:sz w:val="24"/>
              </w:rPr>
              <w:t>本项目</w:t>
            </w:r>
            <w:r>
              <w:rPr>
                <w:color w:val="auto"/>
                <w:sz w:val="24"/>
              </w:rPr>
              <w:t>生活垃圾主要由住院病人及陪护人员、门诊病人</w:t>
            </w:r>
            <w:r>
              <w:rPr>
                <w:rFonts w:hint="eastAsia"/>
                <w:color w:val="auto"/>
                <w:sz w:val="24"/>
              </w:rPr>
              <w:t>。</w:t>
            </w:r>
          </w:p>
          <w:p w14:paraId="65860B94">
            <w:pPr>
              <w:widowControl/>
              <w:spacing w:line="360" w:lineRule="auto"/>
              <w:ind w:firstLine="482" w:firstLineChars="200"/>
              <w:jc w:val="left"/>
              <w:rPr>
                <w:b/>
                <w:color w:val="auto"/>
                <w:sz w:val="24"/>
              </w:rPr>
            </w:pPr>
            <w:r>
              <w:rPr>
                <w:rFonts w:hint="eastAsia"/>
                <w:b/>
                <w:color w:val="auto"/>
                <w:sz w:val="24"/>
              </w:rPr>
              <w:t>①</w:t>
            </w:r>
            <w:r>
              <w:rPr>
                <w:b/>
                <w:color w:val="auto"/>
                <w:sz w:val="24"/>
              </w:rPr>
              <w:t>住院病人及陪护人员</w:t>
            </w:r>
            <w:r>
              <w:rPr>
                <w:rFonts w:hint="eastAsia"/>
                <w:b/>
                <w:color w:val="auto"/>
                <w:sz w:val="24"/>
              </w:rPr>
              <w:t>生活垃圾</w:t>
            </w:r>
          </w:p>
          <w:p w14:paraId="62770EFF">
            <w:pPr>
              <w:widowControl/>
              <w:spacing w:line="360" w:lineRule="auto"/>
              <w:ind w:firstLine="480" w:firstLineChars="200"/>
              <w:jc w:val="left"/>
              <w:rPr>
                <w:color w:val="auto"/>
                <w:sz w:val="24"/>
              </w:rPr>
            </w:pPr>
            <w:r>
              <w:rPr>
                <w:rFonts w:hint="eastAsia"/>
                <w:color w:val="auto"/>
                <w:sz w:val="24"/>
              </w:rPr>
              <w:t>本项目涉及4家卫生院，纳古卫生院本次新增</w:t>
            </w:r>
            <w:r>
              <w:rPr>
                <w:color w:val="auto"/>
                <w:sz w:val="24"/>
              </w:rPr>
              <w:t>床位</w:t>
            </w:r>
            <w:r>
              <w:rPr>
                <w:rFonts w:hint="eastAsia"/>
                <w:color w:val="auto"/>
                <w:sz w:val="24"/>
              </w:rPr>
              <w:t>26床，四街卫生院本次新增</w:t>
            </w:r>
            <w:r>
              <w:rPr>
                <w:color w:val="auto"/>
                <w:sz w:val="24"/>
              </w:rPr>
              <w:t>床位</w:t>
            </w:r>
            <w:r>
              <w:rPr>
                <w:rFonts w:hint="eastAsia"/>
                <w:color w:val="auto"/>
                <w:sz w:val="24"/>
              </w:rPr>
              <w:t>25床，九龙卫生院本次新增</w:t>
            </w:r>
            <w:r>
              <w:rPr>
                <w:color w:val="auto"/>
                <w:sz w:val="24"/>
              </w:rPr>
              <w:t>床位</w:t>
            </w:r>
            <w:r>
              <w:rPr>
                <w:rFonts w:hint="eastAsia"/>
                <w:color w:val="auto"/>
                <w:sz w:val="24"/>
              </w:rPr>
              <w:t>27床，杨广卫生院本次新增</w:t>
            </w:r>
            <w:r>
              <w:rPr>
                <w:color w:val="auto"/>
                <w:sz w:val="24"/>
              </w:rPr>
              <w:t>床位</w:t>
            </w:r>
            <w:r>
              <w:rPr>
                <w:rFonts w:hint="eastAsia"/>
                <w:color w:val="auto"/>
                <w:sz w:val="24"/>
              </w:rPr>
              <w:t>18床</w:t>
            </w:r>
            <w:r>
              <w:rPr>
                <w:color w:val="auto"/>
                <w:sz w:val="24"/>
              </w:rPr>
              <w:t>。按负荷量为100%计，陪护人员按每床1人计，住院病人按每病床每日生活垃圾按0.5kg计，陪护人员每日生活垃圾按0.2kg计算，则</w:t>
            </w:r>
            <w:r>
              <w:rPr>
                <w:rFonts w:hint="eastAsia"/>
                <w:color w:val="auto"/>
                <w:sz w:val="24"/>
              </w:rPr>
              <w:t>纳古卫生院</w:t>
            </w:r>
            <w:r>
              <w:rPr>
                <w:color w:val="auto"/>
                <w:sz w:val="24"/>
              </w:rPr>
              <w:t>住院病人生活垃圾产生量为</w:t>
            </w:r>
            <w:r>
              <w:rPr>
                <w:rFonts w:hint="eastAsia"/>
                <w:color w:val="auto"/>
                <w:sz w:val="24"/>
              </w:rPr>
              <w:t>13</w:t>
            </w:r>
            <w:r>
              <w:rPr>
                <w:color w:val="auto"/>
                <w:sz w:val="24"/>
              </w:rPr>
              <w:t>kg/d，陪护人员生活垃圾产生量为</w:t>
            </w:r>
            <w:r>
              <w:rPr>
                <w:rFonts w:hint="eastAsia"/>
                <w:color w:val="auto"/>
                <w:sz w:val="24"/>
              </w:rPr>
              <w:t>5.2</w:t>
            </w:r>
            <w:r>
              <w:rPr>
                <w:color w:val="auto"/>
                <w:sz w:val="24"/>
              </w:rPr>
              <w:t>kg/d，即</w:t>
            </w:r>
            <w:r>
              <w:rPr>
                <w:rFonts w:hint="eastAsia"/>
                <w:color w:val="auto"/>
                <w:sz w:val="24"/>
              </w:rPr>
              <w:t>纳古卫生院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18.2</w:t>
            </w:r>
            <w:r>
              <w:rPr>
                <w:color w:val="auto"/>
                <w:sz w:val="24"/>
              </w:rPr>
              <w:t>kg/d</w:t>
            </w:r>
            <w:r>
              <w:rPr>
                <w:rFonts w:hint="eastAsia"/>
                <w:color w:val="auto"/>
                <w:sz w:val="24"/>
              </w:rPr>
              <w:t>；四街生院</w:t>
            </w:r>
            <w:r>
              <w:rPr>
                <w:color w:val="auto"/>
                <w:sz w:val="24"/>
              </w:rPr>
              <w:t>住院病人生活垃圾产生量为</w:t>
            </w:r>
            <w:r>
              <w:rPr>
                <w:rFonts w:hint="eastAsia"/>
                <w:color w:val="auto"/>
                <w:sz w:val="24"/>
              </w:rPr>
              <w:t>12.5</w:t>
            </w:r>
            <w:r>
              <w:rPr>
                <w:color w:val="auto"/>
                <w:sz w:val="24"/>
              </w:rPr>
              <w:t>kg/d，陪护人员生活垃圾产生量为</w:t>
            </w:r>
            <w:r>
              <w:rPr>
                <w:rFonts w:hint="eastAsia"/>
                <w:color w:val="auto"/>
                <w:sz w:val="24"/>
              </w:rPr>
              <w:t>5</w:t>
            </w:r>
            <w:r>
              <w:rPr>
                <w:color w:val="auto"/>
                <w:sz w:val="24"/>
              </w:rPr>
              <w:t>kg/d，即</w:t>
            </w:r>
            <w:r>
              <w:rPr>
                <w:rFonts w:hint="eastAsia"/>
                <w:color w:val="auto"/>
                <w:sz w:val="24"/>
              </w:rPr>
              <w:t>四街卫生院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17.5</w:t>
            </w:r>
            <w:r>
              <w:rPr>
                <w:color w:val="auto"/>
                <w:sz w:val="24"/>
              </w:rPr>
              <w:t>kg/d</w:t>
            </w:r>
            <w:r>
              <w:rPr>
                <w:rFonts w:hint="eastAsia"/>
                <w:color w:val="auto"/>
                <w:sz w:val="24"/>
              </w:rPr>
              <w:t>；九龙生院</w:t>
            </w:r>
            <w:r>
              <w:rPr>
                <w:color w:val="auto"/>
                <w:sz w:val="24"/>
              </w:rPr>
              <w:t>住院病人生活垃圾产生量为</w:t>
            </w:r>
            <w:r>
              <w:rPr>
                <w:rFonts w:hint="eastAsia"/>
                <w:color w:val="auto"/>
                <w:sz w:val="24"/>
              </w:rPr>
              <w:t>13.5</w:t>
            </w:r>
            <w:r>
              <w:rPr>
                <w:color w:val="auto"/>
                <w:sz w:val="24"/>
              </w:rPr>
              <w:t>kg/d，陪护人员生活垃圾产生量为</w:t>
            </w:r>
            <w:r>
              <w:rPr>
                <w:rFonts w:hint="eastAsia"/>
                <w:color w:val="auto"/>
                <w:sz w:val="24"/>
              </w:rPr>
              <w:t>5.4</w:t>
            </w:r>
            <w:r>
              <w:rPr>
                <w:color w:val="auto"/>
                <w:sz w:val="24"/>
              </w:rPr>
              <w:t>kg/d，即</w:t>
            </w:r>
            <w:r>
              <w:rPr>
                <w:rFonts w:hint="eastAsia"/>
                <w:color w:val="auto"/>
                <w:sz w:val="24"/>
              </w:rPr>
              <w:t>九龙卫生院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18.9</w:t>
            </w:r>
            <w:r>
              <w:rPr>
                <w:color w:val="auto"/>
                <w:sz w:val="24"/>
              </w:rPr>
              <w:t>kg/d</w:t>
            </w:r>
            <w:r>
              <w:rPr>
                <w:rFonts w:hint="eastAsia"/>
                <w:color w:val="auto"/>
                <w:sz w:val="24"/>
              </w:rPr>
              <w:t>；杨广生院</w:t>
            </w:r>
            <w:r>
              <w:rPr>
                <w:color w:val="auto"/>
                <w:sz w:val="24"/>
              </w:rPr>
              <w:t>住院病人生活垃圾产生量为</w:t>
            </w:r>
            <w:r>
              <w:rPr>
                <w:rFonts w:hint="eastAsia"/>
                <w:color w:val="auto"/>
                <w:sz w:val="24"/>
              </w:rPr>
              <w:t>9</w:t>
            </w:r>
            <w:r>
              <w:rPr>
                <w:color w:val="auto"/>
                <w:sz w:val="24"/>
              </w:rPr>
              <w:t>kg/d，陪护人员生活垃圾产生量为</w:t>
            </w:r>
            <w:r>
              <w:rPr>
                <w:rFonts w:hint="eastAsia"/>
                <w:color w:val="auto"/>
                <w:sz w:val="24"/>
              </w:rPr>
              <w:t>3.6</w:t>
            </w:r>
            <w:r>
              <w:rPr>
                <w:color w:val="auto"/>
                <w:sz w:val="24"/>
              </w:rPr>
              <w:t>kg/d，即</w:t>
            </w:r>
            <w:r>
              <w:rPr>
                <w:rFonts w:hint="eastAsia"/>
                <w:color w:val="auto"/>
                <w:sz w:val="24"/>
              </w:rPr>
              <w:t>杨广卫生院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12.6</w:t>
            </w:r>
            <w:r>
              <w:rPr>
                <w:color w:val="auto"/>
                <w:sz w:val="24"/>
              </w:rPr>
              <w:t>kg/d</w:t>
            </w:r>
            <w:r>
              <w:rPr>
                <w:rFonts w:hint="eastAsia"/>
                <w:color w:val="auto"/>
                <w:sz w:val="24"/>
              </w:rPr>
              <w:t>。</w:t>
            </w:r>
          </w:p>
          <w:p w14:paraId="0C872B80">
            <w:pPr>
              <w:widowControl/>
              <w:spacing w:line="360" w:lineRule="auto"/>
              <w:ind w:firstLine="482" w:firstLineChars="200"/>
              <w:jc w:val="left"/>
              <w:rPr>
                <w:b/>
                <w:color w:val="auto"/>
                <w:sz w:val="24"/>
              </w:rPr>
            </w:pPr>
            <w:r>
              <w:rPr>
                <w:rFonts w:hint="eastAsia"/>
                <w:b/>
                <w:color w:val="auto"/>
                <w:sz w:val="24"/>
              </w:rPr>
              <w:t>②门诊</w:t>
            </w:r>
            <w:r>
              <w:rPr>
                <w:b/>
                <w:color w:val="auto"/>
                <w:sz w:val="24"/>
              </w:rPr>
              <w:t>病人</w:t>
            </w:r>
            <w:r>
              <w:rPr>
                <w:rFonts w:hint="eastAsia"/>
                <w:b/>
                <w:color w:val="auto"/>
                <w:sz w:val="24"/>
              </w:rPr>
              <w:t>生活垃圾</w:t>
            </w:r>
          </w:p>
          <w:p w14:paraId="389C7F54">
            <w:pPr>
              <w:widowControl/>
              <w:spacing w:line="360" w:lineRule="auto"/>
              <w:ind w:firstLine="480" w:firstLineChars="200"/>
              <w:jc w:val="left"/>
              <w:rPr>
                <w:color w:val="auto"/>
                <w:sz w:val="24"/>
              </w:rPr>
            </w:pPr>
            <w:r>
              <w:rPr>
                <w:color w:val="auto"/>
                <w:sz w:val="24"/>
              </w:rPr>
              <w:t>门诊垃圾按每人次产生0.2kg计，</w:t>
            </w:r>
            <w:r>
              <w:rPr>
                <w:rFonts w:hint="eastAsia"/>
                <w:color w:val="auto"/>
                <w:sz w:val="24"/>
              </w:rPr>
              <w:t>本项目建成后，</w:t>
            </w:r>
            <w:r>
              <w:rPr>
                <w:color w:val="auto"/>
                <w:sz w:val="24"/>
              </w:rPr>
              <w:t>项目</w:t>
            </w:r>
            <w:r>
              <w:rPr>
                <w:rFonts w:hint="eastAsia"/>
                <w:color w:val="auto"/>
                <w:sz w:val="24"/>
              </w:rPr>
              <w:t>纳古卫生院</w:t>
            </w:r>
            <w:r>
              <w:rPr>
                <w:color w:val="auto"/>
                <w:sz w:val="24"/>
              </w:rPr>
              <w:t>门诊</w:t>
            </w:r>
            <w:r>
              <w:rPr>
                <w:rFonts w:hint="eastAsia"/>
                <w:color w:val="auto"/>
                <w:sz w:val="24"/>
              </w:rPr>
              <w:t>人数新增10</w:t>
            </w:r>
            <w:r>
              <w:rPr>
                <w:color w:val="auto"/>
                <w:sz w:val="24"/>
              </w:rPr>
              <w:t>人·次/d，则门诊生活垃圾产生量为</w:t>
            </w:r>
            <w:r>
              <w:rPr>
                <w:rFonts w:hint="eastAsia"/>
                <w:color w:val="auto"/>
                <w:sz w:val="24"/>
              </w:rPr>
              <w:t>2</w:t>
            </w:r>
            <w:r>
              <w:rPr>
                <w:color w:val="auto"/>
                <w:sz w:val="24"/>
              </w:rPr>
              <w:t>kg/d</w:t>
            </w:r>
            <w:r>
              <w:rPr>
                <w:rFonts w:hint="eastAsia"/>
                <w:color w:val="auto"/>
                <w:sz w:val="24"/>
              </w:rPr>
              <w:t>、0.73t/a；</w:t>
            </w:r>
            <w:r>
              <w:rPr>
                <w:color w:val="auto"/>
                <w:sz w:val="24"/>
              </w:rPr>
              <w:t>项目</w:t>
            </w:r>
            <w:r>
              <w:rPr>
                <w:rFonts w:hint="eastAsia"/>
                <w:color w:val="auto"/>
                <w:sz w:val="24"/>
              </w:rPr>
              <w:t>四街卫生院</w:t>
            </w:r>
            <w:r>
              <w:rPr>
                <w:color w:val="auto"/>
                <w:sz w:val="24"/>
              </w:rPr>
              <w:t>门诊</w:t>
            </w:r>
            <w:r>
              <w:rPr>
                <w:rFonts w:hint="eastAsia"/>
                <w:color w:val="auto"/>
                <w:sz w:val="24"/>
              </w:rPr>
              <w:t>人数新增30</w:t>
            </w:r>
            <w:r>
              <w:rPr>
                <w:color w:val="auto"/>
                <w:sz w:val="24"/>
              </w:rPr>
              <w:t>人·次/d，则门诊生活垃圾产生量为</w:t>
            </w:r>
            <w:r>
              <w:rPr>
                <w:rFonts w:hint="eastAsia"/>
                <w:color w:val="auto"/>
                <w:sz w:val="24"/>
              </w:rPr>
              <w:t>6</w:t>
            </w:r>
            <w:r>
              <w:rPr>
                <w:color w:val="auto"/>
                <w:sz w:val="24"/>
              </w:rPr>
              <w:t>kg/d</w:t>
            </w:r>
            <w:r>
              <w:rPr>
                <w:rFonts w:hint="eastAsia"/>
                <w:color w:val="auto"/>
                <w:sz w:val="24"/>
              </w:rPr>
              <w:t>、2.19t/a；</w:t>
            </w:r>
            <w:r>
              <w:rPr>
                <w:color w:val="auto"/>
                <w:sz w:val="24"/>
              </w:rPr>
              <w:t>项目</w:t>
            </w:r>
            <w:r>
              <w:rPr>
                <w:rFonts w:hint="eastAsia"/>
                <w:color w:val="auto"/>
                <w:sz w:val="24"/>
              </w:rPr>
              <w:t>九龙卫生院</w:t>
            </w:r>
            <w:r>
              <w:rPr>
                <w:color w:val="auto"/>
                <w:sz w:val="24"/>
              </w:rPr>
              <w:t>门诊</w:t>
            </w:r>
            <w:r>
              <w:rPr>
                <w:rFonts w:hint="eastAsia"/>
                <w:color w:val="auto"/>
                <w:sz w:val="24"/>
              </w:rPr>
              <w:t>人数新增21</w:t>
            </w:r>
            <w:r>
              <w:rPr>
                <w:color w:val="auto"/>
                <w:sz w:val="24"/>
              </w:rPr>
              <w:t>人·次/d，则门诊生活垃圾产生量为</w:t>
            </w:r>
            <w:r>
              <w:rPr>
                <w:rFonts w:hint="eastAsia"/>
                <w:color w:val="auto"/>
                <w:sz w:val="24"/>
              </w:rPr>
              <w:t>4.2</w:t>
            </w:r>
            <w:r>
              <w:rPr>
                <w:color w:val="auto"/>
                <w:sz w:val="24"/>
              </w:rPr>
              <w:t>kg/d</w:t>
            </w:r>
            <w:r>
              <w:rPr>
                <w:rFonts w:hint="eastAsia"/>
                <w:color w:val="auto"/>
                <w:sz w:val="24"/>
              </w:rPr>
              <w:t>、1.53t/a；</w:t>
            </w:r>
            <w:r>
              <w:rPr>
                <w:color w:val="auto"/>
                <w:sz w:val="24"/>
              </w:rPr>
              <w:t>项目</w:t>
            </w:r>
            <w:r>
              <w:rPr>
                <w:rFonts w:hint="eastAsia"/>
                <w:color w:val="auto"/>
                <w:sz w:val="24"/>
              </w:rPr>
              <w:t>杨广卫生院</w:t>
            </w:r>
            <w:r>
              <w:rPr>
                <w:color w:val="auto"/>
                <w:sz w:val="24"/>
              </w:rPr>
              <w:t>门诊</w:t>
            </w:r>
            <w:r>
              <w:rPr>
                <w:rFonts w:hint="eastAsia"/>
                <w:color w:val="auto"/>
                <w:sz w:val="24"/>
              </w:rPr>
              <w:t>人数新增10</w:t>
            </w:r>
            <w:r>
              <w:rPr>
                <w:color w:val="auto"/>
                <w:sz w:val="24"/>
              </w:rPr>
              <w:t>人·次/d，则门诊生活垃圾产生量为</w:t>
            </w:r>
            <w:r>
              <w:rPr>
                <w:rFonts w:hint="eastAsia"/>
                <w:color w:val="auto"/>
                <w:sz w:val="24"/>
              </w:rPr>
              <w:t>2</w:t>
            </w:r>
            <w:r>
              <w:rPr>
                <w:color w:val="auto"/>
                <w:sz w:val="24"/>
              </w:rPr>
              <w:t>kg/d</w:t>
            </w:r>
            <w:r>
              <w:rPr>
                <w:rFonts w:hint="eastAsia"/>
                <w:color w:val="auto"/>
                <w:sz w:val="24"/>
              </w:rPr>
              <w:t>、0.73t/a</w:t>
            </w:r>
            <w:r>
              <w:rPr>
                <w:color w:val="auto"/>
                <w:sz w:val="24"/>
              </w:rPr>
              <w:t>。</w:t>
            </w:r>
          </w:p>
          <w:p w14:paraId="66CD8B56">
            <w:pPr>
              <w:spacing w:line="360" w:lineRule="auto"/>
              <w:ind w:firstLine="480"/>
              <w:jc w:val="left"/>
              <w:rPr>
                <w:b/>
                <w:color w:val="auto"/>
                <w:sz w:val="24"/>
              </w:rPr>
            </w:pPr>
            <w:r>
              <w:rPr>
                <w:rFonts w:hint="eastAsia"/>
                <w:color w:val="auto"/>
                <w:sz w:val="24"/>
              </w:rPr>
              <w:t>项目固废产排情况</w:t>
            </w:r>
            <w:r>
              <w:rPr>
                <w:color w:val="auto"/>
                <w:sz w:val="24"/>
              </w:rPr>
              <w:t>见表</w:t>
            </w:r>
            <w:r>
              <w:rPr>
                <w:rFonts w:hint="eastAsia"/>
                <w:color w:val="auto"/>
                <w:sz w:val="24"/>
              </w:rPr>
              <w:t>4-39，危险废物属性及环境危险特性见表4-40</w:t>
            </w:r>
            <w:r>
              <w:rPr>
                <w:color w:val="auto"/>
                <w:sz w:val="24"/>
              </w:rPr>
              <w:t>。</w:t>
            </w:r>
          </w:p>
          <w:p w14:paraId="76674991">
            <w:pPr>
              <w:widowControl/>
              <w:adjustRightInd w:val="0"/>
              <w:snapToGrid w:val="0"/>
              <w:ind w:firstLine="442" w:firstLineChars="200"/>
              <w:contextualSpacing/>
              <w:jc w:val="center"/>
              <w:rPr>
                <w:b/>
                <w:color w:val="auto"/>
                <w:spacing w:val="-10"/>
                <w:kern w:val="0"/>
                <w:sz w:val="24"/>
              </w:rPr>
            </w:pPr>
            <w:r>
              <w:rPr>
                <w:b/>
                <w:color w:val="auto"/>
                <w:spacing w:val="-10"/>
                <w:kern w:val="0"/>
                <w:sz w:val="24"/>
              </w:rPr>
              <w:t>表4-</w:t>
            </w:r>
            <w:r>
              <w:rPr>
                <w:rFonts w:hint="eastAsia"/>
                <w:b/>
                <w:color w:val="auto"/>
                <w:spacing w:val="-10"/>
                <w:kern w:val="0"/>
                <w:sz w:val="24"/>
              </w:rPr>
              <w:t xml:space="preserve">39  </w:t>
            </w:r>
            <w:r>
              <w:rPr>
                <w:b/>
                <w:color w:val="auto"/>
                <w:spacing w:val="-10"/>
                <w:kern w:val="0"/>
                <w:sz w:val="24"/>
              </w:rPr>
              <w:t>项目固废产生量情况一览表</w:t>
            </w:r>
          </w:p>
          <w:tbl>
            <w:tblPr>
              <w:tblStyle w:val="33"/>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795"/>
              <w:gridCol w:w="795"/>
              <w:gridCol w:w="1187"/>
              <w:gridCol w:w="1229"/>
              <w:gridCol w:w="828"/>
              <w:gridCol w:w="591"/>
              <w:gridCol w:w="1271"/>
              <w:gridCol w:w="1183"/>
            </w:tblGrid>
            <w:tr w14:paraId="265E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57" w:type="dxa"/>
                  <w:vAlign w:val="center"/>
                </w:tcPr>
                <w:p w14:paraId="737E2C05">
                  <w:pPr>
                    <w:jc w:val="center"/>
                    <w:rPr>
                      <w:b/>
                      <w:bCs/>
                      <w:color w:val="auto"/>
                      <w:szCs w:val="21"/>
                    </w:rPr>
                  </w:pPr>
                  <w:bookmarkStart w:id="82" w:name="_Hlk194507765"/>
                  <w:r>
                    <w:rPr>
                      <w:rFonts w:hint="eastAsia"/>
                      <w:b/>
                      <w:bCs/>
                      <w:color w:val="auto"/>
                      <w:szCs w:val="21"/>
                    </w:rPr>
                    <w:t>分区</w:t>
                  </w:r>
                </w:p>
              </w:tc>
              <w:tc>
                <w:tcPr>
                  <w:tcW w:w="795" w:type="dxa"/>
                  <w:vAlign w:val="center"/>
                </w:tcPr>
                <w:p w14:paraId="4A6BAED5">
                  <w:pPr>
                    <w:jc w:val="center"/>
                    <w:rPr>
                      <w:b/>
                      <w:bCs/>
                      <w:color w:val="auto"/>
                      <w:szCs w:val="21"/>
                    </w:rPr>
                  </w:pPr>
                  <w:r>
                    <w:rPr>
                      <w:rFonts w:hint="eastAsia"/>
                      <w:b/>
                      <w:bCs/>
                      <w:color w:val="auto"/>
                      <w:szCs w:val="21"/>
                    </w:rPr>
                    <w:t>属性</w:t>
                  </w:r>
                </w:p>
              </w:tc>
              <w:tc>
                <w:tcPr>
                  <w:tcW w:w="795" w:type="dxa"/>
                  <w:vAlign w:val="center"/>
                </w:tcPr>
                <w:p w14:paraId="201EF454">
                  <w:pPr>
                    <w:jc w:val="center"/>
                    <w:rPr>
                      <w:b/>
                      <w:bCs/>
                      <w:color w:val="auto"/>
                      <w:szCs w:val="21"/>
                    </w:rPr>
                  </w:pPr>
                  <w:r>
                    <w:rPr>
                      <w:rFonts w:hint="eastAsia"/>
                      <w:b/>
                      <w:bCs/>
                      <w:color w:val="auto"/>
                      <w:szCs w:val="21"/>
                    </w:rPr>
                    <w:t>危险废物种类</w:t>
                  </w:r>
                </w:p>
              </w:tc>
              <w:tc>
                <w:tcPr>
                  <w:tcW w:w="1187" w:type="dxa"/>
                  <w:vAlign w:val="center"/>
                </w:tcPr>
                <w:p w14:paraId="5E8FF0E9">
                  <w:pPr>
                    <w:jc w:val="center"/>
                    <w:rPr>
                      <w:b/>
                      <w:bCs/>
                      <w:color w:val="auto"/>
                      <w:szCs w:val="21"/>
                    </w:rPr>
                  </w:pPr>
                  <w:r>
                    <w:rPr>
                      <w:rFonts w:hint="eastAsia"/>
                      <w:b/>
                      <w:bCs/>
                      <w:color w:val="auto"/>
                      <w:szCs w:val="21"/>
                    </w:rPr>
                    <w:t>危险废物名称</w:t>
                  </w:r>
                </w:p>
              </w:tc>
              <w:tc>
                <w:tcPr>
                  <w:tcW w:w="1229" w:type="dxa"/>
                  <w:vAlign w:val="center"/>
                </w:tcPr>
                <w:p w14:paraId="531A15E7">
                  <w:pPr>
                    <w:jc w:val="center"/>
                    <w:rPr>
                      <w:b/>
                      <w:bCs/>
                      <w:color w:val="auto"/>
                      <w:szCs w:val="21"/>
                    </w:rPr>
                  </w:pPr>
                  <w:r>
                    <w:rPr>
                      <w:rFonts w:hint="eastAsia"/>
                      <w:b/>
                      <w:bCs/>
                      <w:color w:val="auto"/>
                      <w:szCs w:val="21"/>
                    </w:rPr>
                    <w:t>废物类别及代码</w:t>
                  </w:r>
                </w:p>
              </w:tc>
              <w:tc>
                <w:tcPr>
                  <w:tcW w:w="828" w:type="dxa"/>
                  <w:vAlign w:val="center"/>
                </w:tcPr>
                <w:p w14:paraId="2AC7110A">
                  <w:pPr>
                    <w:jc w:val="center"/>
                    <w:rPr>
                      <w:b/>
                      <w:bCs/>
                      <w:color w:val="auto"/>
                      <w:szCs w:val="21"/>
                    </w:rPr>
                  </w:pPr>
                  <w:r>
                    <w:rPr>
                      <w:rFonts w:hint="eastAsia"/>
                      <w:b/>
                      <w:bCs/>
                      <w:color w:val="auto"/>
                      <w:szCs w:val="21"/>
                    </w:rPr>
                    <w:t>产生量t/a</w:t>
                  </w:r>
                </w:p>
              </w:tc>
              <w:tc>
                <w:tcPr>
                  <w:tcW w:w="591" w:type="dxa"/>
                  <w:vAlign w:val="center"/>
                </w:tcPr>
                <w:p w14:paraId="31E58978">
                  <w:pPr>
                    <w:jc w:val="center"/>
                    <w:rPr>
                      <w:b/>
                      <w:bCs/>
                      <w:color w:val="auto"/>
                      <w:szCs w:val="21"/>
                    </w:rPr>
                  </w:pPr>
                  <w:r>
                    <w:rPr>
                      <w:rFonts w:hint="eastAsia"/>
                      <w:b/>
                      <w:bCs/>
                      <w:color w:val="auto"/>
                      <w:szCs w:val="21"/>
                    </w:rPr>
                    <w:t>物理状态</w:t>
                  </w:r>
                </w:p>
              </w:tc>
              <w:tc>
                <w:tcPr>
                  <w:tcW w:w="1271" w:type="dxa"/>
                  <w:vAlign w:val="center"/>
                </w:tcPr>
                <w:p w14:paraId="4DD79C75">
                  <w:pPr>
                    <w:jc w:val="center"/>
                    <w:rPr>
                      <w:b/>
                      <w:bCs/>
                      <w:color w:val="auto"/>
                      <w:szCs w:val="21"/>
                    </w:rPr>
                  </w:pPr>
                  <w:r>
                    <w:rPr>
                      <w:b/>
                      <w:bCs/>
                      <w:color w:val="auto"/>
                      <w:szCs w:val="21"/>
                    </w:rPr>
                    <w:t>贮存方式</w:t>
                  </w:r>
                </w:p>
              </w:tc>
              <w:tc>
                <w:tcPr>
                  <w:tcW w:w="1183" w:type="dxa"/>
                  <w:vAlign w:val="center"/>
                </w:tcPr>
                <w:p w14:paraId="639A0281">
                  <w:pPr>
                    <w:jc w:val="center"/>
                    <w:rPr>
                      <w:b/>
                      <w:bCs/>
                      <w:color w:val="auto"/>
                      <w:szCs w:val="21"/>
                    </w:rPr>
                  </w:pPr>
                  <w:r>
                    <w:rPr>
                      <w:rFonts w:hint="eastAsia"/>
                      <w:b/>
                      <w:bCs/>
                      <w:color w:val="auto"/>
                      <w:szCs w:val="21"/>
                    </w:rPr>
                    <w:t>处置方式</w:t>
                  </w:r>
                </w:p>
              </w:tc>
            </w:tr>
            <w:tr w14:paraId="6D82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57" w:type="dxa"/>
                  <w:vMerge w:val="restart"/>
                  <w:vAlign w:val="center"/>
                </w:tcPr>
                <w:p w14:paraId="22936D3F">
                  <w:pPr>
                    <w:jc w:val="center"/>
                    <w:rPr>
                      <w:color w:val="auto"/>
                      <w:szCs w:val="21"/>
                    </w:rPr>
                  </w:pPr>
                  <w:r>
                    <w:rPr>
                      <w:rFonts w:hint="eastAsia"/>
                      <w:color w:val="auto"/>
                      <w:szCs w:val="21"/>
                    </w:rPr>
                    <w:t>纳古卫生院</w:t>
                  </w:r>
                </w:p>
              </w:tc>
              <w:tc>
                <w:tcPr>
                  <w:tcW w:w="795" w:type="dxa"/>
                  <w:vMerge w:val="restart"/>
                  <w:vAlign w:val="center"/>
                </w:tcPr>
                <w:p w14:paraId="0CD2C349">
                  <w:pPr>
                    <w:jc w:val="center"/>
                    <w:rPr>
                      <w:color w:val="auto"/>
                      <w:szCs w:val="21"/>
                    </w:rPr>
                  </w:pPr>
                  <w:r>
                    <w:rPr>
                      <w:color w:val="auto"/>
                    </w:rPr>
                    <w:t>危险废物</w:t>
                  </w:r>
                </w:p>
              </w:tc>
              <w:tc>
                <w:tcPr>
                  <w:tcW w:w="795" w:type="dxa"/>
                  <w:vMerge w:val="restart"/>
                  <w:vAlign w:val="center"/>
                </w:tcPr>
                <w:p w14:paraId="0C9A803E">
                  <w:pPr>
                    <w:jc w:val="center"/>
                    <w:rPr>
                      <w:color w:val="auto"/>
                      <w:szCs w:val="21"/>
                    </w:rPr>
                  </w:pPr>
                  <w:r>
                    <w:rPr>
                      <w:rFonts w:hint="eastAsia"/>
                      <w:color w:val="auto"/>
                      <w:szCs w:val="21"/>
                    </w:rPr>
                    <w:t>HW01医疗废物</w:t>
                  </w:r>
                </w:p>
              </w:tc>
              <w:tc>
                <w:tcPr>
                  <w:tcW w:w="1187" w:type="dxa"/>
                  <w:vAlign w:val="center"/>
                </w:tcPr>
                <w:p w14:paraId="1E369142">
                  <w:pPr>
                    <w:jc w:val="center"/>
                    <w:rPr>
                      <w:color w:val="auto"/>
                      <w:szCs w:val="21"/>
                    </w:rPr>
                  </w:pPr>
                  <w:r>
                    <w:rPr>
                      <w:rFonts w:hint="eastAsia"/>
                      <w:color w:val="auto"/>
                      <w:szCs w:val="21"/>
                    </w:rPr>
                    <w:t>感染性废物</w:t>
                  </w:r>
                </w:p>
              </w:tc>
              <w:tc>
                <w:tcPr>
                  <w:tcW w:w="1229" w:type="dxa"/>
                  <w:vAlign w:val="center"/>
                </w:tcPr>
                <w:p w14:paraId="2E6F5670">
                  <w:pPr>
                    <w:jc w:val="center"/>
                    <w:rPr>
                      <w:color w:val="auto"/>
                      <w:szCs w:val="21"/>
                    </w:rPr>
                  </w:pPr>
                  <w:r>
                    <w:rPr>
                      <w:rFonts w:hint="eastAsia"/>
                      <w:color w:val="auto"/>
                      <w:szCs w:val="21"/>
                    </w:rPr>
                    <w:t>841-001-01</w:t>
                  </w:r>
                </w:p>
              </w:tc>
              <w:tc>
                <w:tcPr>
                  <w:tcW w:w="828" w:type="dxa"/>
                  <w:vMerge w:val="restart"/>
                  <w:vAlign w:val="center"/>
                </w:tcPr>
                <w:p w14:paraId="0053C8C7">
                  <w:pPr>
                    <w:jc w:val="center"/>
                    <w:rPr>
                      <w:color w:val="auto"/>
                      <w:szCs w:val="21"/>
                    </w:rPr>
                  </w:pPr>
                  <w:r>
                    <w:rPr>
                      <w:rFonts w:hint="eastAsia"/>
                      <w:color w:val="auto"/>
                      <w:szCs w:val="21"/>
                    </w:rPr>
                    <w:t>6.24</w:t>
                  </w:r>
                </w:p>
              </w:tc>
              <w:tc>
                <w:tcPr>
                  <w:tcW w:w="591" w:type="dxa"/>
                  <w:vAlign w:val="center"/>
                </w:tcPr>
                <w:p w14:paraId="294A35B6">
                  <w:pPr>
                    <w:jc w:val="center"/>
                    <w:rPr>
                      <w:color w:val="auto"/>
                      <w:szCs w:val="21"/>
                    </w:rPr>
                  </w:pPr>
                  <w:r>
                    <w:rPr>
                      <w:rFonts w:hint="eastAsia"/>
                      <w:color w:val="auto"/>
                      <w:szCs w:val="21"/>
                    </w:rPr>
                    <w:t>固态</w:t>
                  </w:r>
                </w:p>
              </w:tc>
              <w:tc>
                <w:tcPr>
                  <w:tcW w:w="1271" w:type="dxa"/>
                  <w:vMerge w:val="restart"/>
                  <w:vAlign w:val="center"/>
                </w:tcPr>
                <w:p w14:paraId="1EFB6289">
                  <w:pPr>
                    <w:jc w:val="center"/>
                    <w:rPr>
                      <w:color w:val="auto"/>
                      <w:szCs w:val="21"/>
                    </w:rPr>
                  </w:pPr>
                  <w:r>
                    <w:rPr>
                      <w:rFonts w:hint="eastAsia"/>
                      <w:color w:val="auto"/>
                      <w:szCs w:val="21"/>
                    </w:rPr>
                    <w:t>消毒、分类、毁形、收集包装，放入医疗废物暂存间暂存</w:t>
                  </w:r>
                </w:p>
              </w:tc>
              <w:tc>
                <w:tcPr>
                  <w:tcW w:w="1183" w:type="dxa"/>
                  <w:vMerge w:val="restart"/>
                  <w:vAlign w:val="center"/>
                </w:tcPr>
                <w:p w14:paraId="2CFFD459">
                  <w:pPr>
                    <w:jc w:val="center"/>
                    <w:rPr>
                      <w:color w:val="auto"/>
                      <w:szCs w:val="21"/>
                    </w:rPr>
                  </w:pPr>
                  <w:r>
                    <w:rPr>
                      <w:rFonts w:hint="eastAsia"/>
                      <w:color w:val="auto"/>
                      <w:szCs w:val="21"/>
                    </w:rPr>
                    <w:t>交由玉溪兴洁垃圾处理有限公司</w:t>
                  </w:r>
                </w:p>
              </w:tc>
            </w:tr>
            <w:tr w14:paraId="1DBF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957" w:type="dxa"/>
                  <w:vMerge w:val="continue"/>
                  <w:vAlign w:val="center"/>
                </w:tcPr>
                <w:p w14:paraId="34D687A7">
                  <w:pPr>
                    <w:jc w:val="center"/>
                    <w:rPr>
                      <w:color w:val="auto"/>
                      <w:szCs w:val="21"/>
                    </w:rPr>
                  </w:pPr>
                </w:p>
              </w:tc>
              <w:tc>
                <w:tcPr>
                  <w:tcW w:w="795" w:type="dxa"/>
                  <w:vMerge w:val="continue"/>
                  <w:vAlign w:val="center"/>
                </w:tcPr>
                <w:p w14:paraId="251EDB79">
                  <w:pPr>
                    <w:jc w:val="center"/>
                    <w:rPr>
                      <w:color w:val="auto"/>
                      <w:szCs w:val="21"/>
                    </w:rPr>
                  </w:pPr>
                </w:p>
              </w:tc>
              <w:tc>
                <w:tcPr>
                  <w:tcW w:w="795" w:type="dxa"/>
                  <w:vMerge w:val="continue"/>
                  <w:vAlign w:val="center"/>
                </w:tcPr>
                <w:p w14:paraId="2BD68793">
                  <w:pPr>
                    <w:jc w:val="center"/>
                    <w:rPr>
                      <w:color w:val="auto"/>
                      <w:szCs w:val="21"/>
                    </w:rPr>
                  </w:pPr>
                </w:p>
              </w:tc>
              <w:tc>
                <w:tcPr>
                  <w:tcW w:w="1187" w:type="dxa"/>
                  <w:vAlign w:val="center"/>
                </w:tcPr>
                <w:p w14:paraId="601BEB57">
                  <w:pPr>
                    <w:jc w:val="center"/>
                    <w:rPr>
                      <w:color w:val="auto"/>
                      <w:szCs w:val="21"/>
                    </w:rPr>
                  </w:pPr>
                  <w:r>
                    <w:rPr>
                      <w:rFonts w:hint="eastAsia"/>
                      <w:color w:val="auto"/>
                      <w:szCs w:val="21"/>
                    </w:rPr>
                    <w:t>损伤性废物</w:t>
                  </w:r>
                </w:p>
              </w:tc>
              <w:tc>
                <w:tcPr>
                  <w:tcW w:w="1229" w:type="dxa"/>
                  <w:vAlign w:val="center"/>
                </w:tcPr>
                <w:p w14:paraId="2A2059C0">
                  <w:pPr>
                    <w:jc w:val="center"/>
                    <w:rPr>
                      <w:color w:val="auto"/>
                      <w:szCs w:val="21"/>
                    </w:rPr>
                  </w:pPr>
                  <w:r>
                    <w:rPr>
                      <w:rFonts w:hint="eastAsia"/>
                      <w:color w:val="auto"/>
                      <w:szCs w:val="21"/>
                    </w:rPr>
                    <w:t>841-002-01</w:t>
                  </w:r>
                </w:p>
              </w:tc>
              <w:tc>
                <w:tcPr>
                  <w:tcW w:w="828" w:type="dxa"/>
                  <w:vMerge w:val="continue"/>
                  <w:vAlign w:val="center"/>
                </w:tcPr>
                <w:p w14:paraId="361FD8DE">
                  <w:pPr>
                    <w:jc w:val="center"/>
                    <w:rPr>
                      <w:color w:val="auto"/>
                      <w:szCs w:val="21"/>
                    </w:rPr>
                  </w:pPr>
                </w:p>
              </w:tc>
              <w:tc>
                <w:tcPr>
                  <w:tcW w:w="591" w:type="dxa"/>
                  <w:vAlign w:val="center"/>
                </w:tcPr>
                <w:p w14:paraId="7ECF8660">
                  <w:pPr>
                    <w:jc w:val="center"/>
                    <w:rPr>
                      <w:color w:val="auto"/>
                      <w:szCs w:val="21"/>
                    </w:rPr>
                  </w:pPr>
                  <w:r>
                    <w:rPr>
                      <w:rFonts w:hint="eastAsia"/>
                      <w:color w:val="auto"/>
                      <w:szCs w:val="21"/>
                    </w:rPr>
                    <w:t>固态</w:t>
                  </w:r>
                </w:p>
              </w:tc>
              <w:tc>
                <w:tcPr>
                  <w:tcW w:w="1271" w:type="dxa"/>
                  <w:vMerge w:val="continue"/>
                  <w:vAlign w:val="center"/>
                </w:tcPr>
                <w:p w14:paraId="7A6306E2">
                  <w:pPr>
                    <w:jc w:val="center"/>
                    <w:rPr>
                      <w:color w:val="auto"/>
                      <w:szCs w:val="21"/>
                    </w:rPr>
                  </w:pPr>
                </w:p>
              </w:tc>
              <w:tc>
                <w:tcPr>
                  <w:tcW w:w="1183" w:type="dxa"/>
                  <w:vMerge w:val="continue"/>
                  <w:vAlign w:val="center"/>
                </w:tcPr>
                <w:p w14:paraId="440C0F9A">
                  <w:pPr>
                    <w:jc w:val="center"/>
                    <w:rPr>
                      <w:color w:val="auto"/>
                      <w:szCs w:val="21"/>
                    </w:rPr>
                  </w:pPr>
                </w:p>
              </w:tc>
            </w:tr>
            <w:tr w14:paraId="38E1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57" w:type="dxa"/>
                  <w:vMerge w:val="continue"/>
                  <w:vAlign w:val="center"/>
                </w:tcPr>
                <w:p w14:paraId="50AEDF2D">
                  <w:pPr>
                    <w:jc w:val="center"/>
                    <w:rPr>
                      <w:color w:val="auto"/>
                      <w:szCs w:val="21"/>
                    </w:rPr>
                  </w:pPr>
                </w:p>
              </w:tc>
              <w:tc>
                <w:tcPr>
                  <w:tcW w:w="795" w:type="dxa"/>
                  <w:vMerge w:val="continue"/>
                  <w:vAlign w:val="center"/>
                </w:tcPr>
                <w:p w14:paraId="5FB49BEF">
                  <w:pPr>
                    <w:jc w:val="center"/>
                    <w:rPr>
                      <w:color w:val="auto"/>
                      <w:szCs w:val="21"/>
                    </w:rPr>
                  </w:pPr>
                </w:p>
              </w:tc>
              <w:tc>
                <w:tcPr>
                  <w:tcW w:w="795" w:type="dxa"/>
                  <w:vMerge w:val="continue"/>
                  <w:vAlign w:val="center"/>
                </w:tcPr>
                <w:p w14:paraId="2ECF10D1">
                  <w:pPr>
                    <w:jc w:val="center"/>
                    <w:rPr>
                      <w:color w:val="auto"/>
                      <w:szCs w:val="21"/>
                    </w:rPr>
                  </w:pPr>
                </w:p>
              </w:tc>
              <w:tc>
                <w:tcPr>
                  <w:tcW w:w="1187" w:type="dxa"/>
                  <w:vAlign w:val="center"/>
                </w:tcPr>
                <w:p w14:paraId="58C4F877">
                  <w:pPr>
                    <w:jc w:val="center"/>
                    <w:rPr>
                      <w:color w:val="auto"/>
                      <w:szCs w:val="21"/>
                    </w:rPr>
                  </w:pPr>
                  <w:r>
                    <w:rPr>
                      <w:rFonts w:hint="eastAsia"/>
                      <w:color w:val="auto"/>
                      <w:szCs w:val="21"/>
                    </w:rPr>
                    <w:t>化学性废物</w:t>
                  </w:r>
                </w:p>
              </w:tc>
              <w:tc>
                <w:tcPr>
                  <w:tcW w:w="1229" w:type="dxa"/>
                  <w:vAlign w:val="center"/>
                </w:tcPr>
                <w:p w14:paraId="177CE591">
                  <w:pPr>
                    <w:jc w:val="center"/>
                    <w:rPr>
                      <w:color w:val="auto"/>
                      <w:szCs w:val="21"/>
                    </w:rPr>
                  </w:pPr>
                  <w:r>
                    <w:rPr>
                      <w:rFonts w:hint="eastAsia"/>
                      <w:color w:val="auto"/>
                      <w:szCs w:val="21"/>
                    </w:rPr>
                    <w:t>841-004-01</w:t>
                  </w:r>
                </w:p>
              </w:tc>
              <w:tc>
                <w:tcPr>
                  <w:tcW w:w="828" w:type="dxa"/>
                  <w:vMerge w:val="continue"/>
                  <w:vAlign w:val="center"/>
                </w:tcPr>
                <w:p w14:paraId="2D7FBA94">
                  <w:pPr>
                    <w:jc w:val="center"/>
                    <w:rPr>
                      <w:color w:val="auto"/>
                      <w:szCs w:val="21"/>
                    </w:rPr>
                  </w:pPr>
                </w:p>
              </w:tc>
              <w:tc>
                <w:tcPr>
                  <w:tcW w:w="591" w:type="dxa"/>
                  <w:vAlign w:val="center"/>
                </w:tcPr>
                <w:p w14:paraId="18257D82">
                  <w:pPr>
                    <w:jc w:val="center"/>
                    <w:rPr>
                      <w:color w:val="auto"/>
                      <w:szCs w:val="21"/>
                    </w:rPr>
                  </w:pPr>
                  <w:r>
                    <w:rPr>
                      <w:rFonts w:hint="eastAsia"/>
                      <w:color w:val="auto"/>
                      <w:szCs w:val="21"/>
                    </w:rPr>
                    <w:t>固态</w:t>
                  </w:r>
                </w:p>
              </w:tc>
              <w:tc>
                <w:tcPr>
                  <w:tcW w:w="1271" w:type="dxa"/>
                  <w:vMerge w:val="continue"/>
                  <w:vAlign w:val="center"/>
                </w:tcPr>
                <w:p w14:paraId="714CB17A">
                  <w:pPr>
                    <w:jc w:val="center"/>
                    <w:rPr>
                      <w:color w:val="auto"/>
                      <w:szCs w:val="21"/>
                    </w:rPr>
                  </w:pPr>
                </w:p>
              </w:tc>
              <w:tc>
                <w:tcPr>
                  <w:tcW w:w="1183" w:type="dxa"/>
                  <w:vMerge w:val="continue"/>
                  <w:vAlign w:val="center"/>
                </w:tcPr>
                <w:p w14:paraId="26417994">
                  <w:pPr>
                    <w:jc w:val="center"/>
                    <w:rPr>
                      <w:color w:val="auto"/>
                      <w:szCs w:val="21"/>
                    </w:rPr>
                  </w:pPr>
                </w:p>
              </w:tc>
            </w:tr>
            <w:tr w14:paraId="2673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57" w:type="dxa"/>
                  <w:vMerge w:val="continue"/>
                  <w:vAlign w:val="center"/>
                </w:tcPr>
                <w:p w14:paraId="4B1E579C">
                  <w:pPr>
                    <w:jc w:val="center"/>
                    <w:rPr>
                      <w:color w:val="auto"/>
                      <w:szCs w:val="21"/>
                    </w:rPr>
                  </w:pPr>
                </w:p>
              </w:tc>
              <w:tc>
                <w:tcPr>
                  <w:tcW w:w="795" w:type="dxa"/>
                  <w:vMerge w:val="continue"/>
                  <w:vAlign w:val="center"/>
                </w:tcPr>
                <w:p w14:paraId="6613CF5D">
                  <w:pPr>
                    <w:jc w:val="center"/>
                    <w:rPr>
                      <w:color w:val="auto"/>
                      <w:szCs w:val="21"/>
                    </w:rPr>
                  </w:pPr>
                </w:p>
              </w:tc>
              <w:tc>
                <w:tcPr>
                  <w:tcW w:w="795" w:type="dxa"/>
                  <w:vMerge w:val="continue"/>
                  <w:vAlign w:val="center"/>
                </w:tcPr>
                <w:p w14:paraId="21071EDE">
                  <w:pPr>
                    <w:jc w:val="center"/>
                    <w:rPr>
                      <w:color w:val="auto"/>
                      <w:szCs w:val="21"/>
                    </w:rPr>
                  </w:pPr>
                </w:p>
              </w:tc>
              <w:tc>
                <w:tcPr>
                  <w:tcW w:w="1187" w:type="dxa"/>
                  <w:vAlign w:val="center"/>
                </w:tcPr>
                <w:p w14:paraId="2937FCB2">
                  <w:pPr>
                    <w:jc w:val="center"/>
                    <w:rPr>
                      <w:color w:val="auto"/>
                      <w:szCs w:val="21"/>
                    </w:rPr>
                  </w:pPr>
                  <w:r>
                    <w:rPr>
                      <w:rFonts w:hint="eastAsia"/>
                      <w:color w:val="auto"/>
                      <w:szCs w:val="21"/>
                    </w:rPr>
                    <w:t>药物性废物</w:t>
                  </w:r>
                </w:p>
              </w:tc>
              <w:tc>
                <w:tcPr>
                  <w:tcW w:w="1229" w:type="dxa"/>
                  <w:vAlign w:val="center"/>
                </w:tcPr>
                <w:p w14:paraId="63E60E88">
                  <w:pPr>
                    <w:jc w:val="center"/>
                    <w:rPr>
                      <w:color w:val="auto"/>
                      <w:szCs w:val="21"/>
                    </w:rPr>
                  </w:pPr>
                  <w:r>
                    <w:rPr>
                      <w:rFonts w:hint="eastAsia"/>
                      <w:color w:val="auto"/>
                      <w:szCs w:val="21"/>
                    </w:rPr>
                    <w:t>841-005-01</w:t>
                  </w:r>
                </w:p>
              </w:tc>
              <w:tc>
                <w:tcPr>
                  <w:tcW w:w="828" w:type="dxa"/>
                  <w:vMerge w:val="continue"/>
                  <w:vAlign w:val="center"/>
                </w:tcPr>
                <w:p w14:paraId="0BC85765">
                  <w:pPr>
                    <w:jc w:val="center"/>
                    <w:rPr>
                      <w:color w:val="auto"/>
                      <w:szCs w:val="21"/>
                    </w:rPr>
                  </w:pPr>
                </w:p>
              </w:tc>
              <w:tc>
                <w:tcPr>
                  <w:tcW w:w="591" w:type="dxa"/>
                  <w:vAlign w:val="center"/>
                </w:tcPr>
                <w:p w14:paraId="1FCD64F5">
                  <w:pPr>
                    <w:jc w:val="center"/>
                    <w:rPr>
                      <w:color w:val="auto"/>
                      <w:szCs w:val="21"/>
                    </w:rPr>
                  </w:pPr>
                  <w:r>
                    <w:rPr>
                      <w:rFonts w:hint="eastAsia"/>
                      <w:color w:val="auto"/>
                      <w:szCs w:val="21"/>
                    </w:rPr>
                    <w:t>固态</w:t>
                  </w:r>
                </w:p>
              </w:tc>
              <w:tc>
                <w:tcPr>
                  <w:tcW w:w="1271" w:type="dxa"/>
                  <w:vMerge w:val="continue"/>
                  <w:vAlign w:val="center"/>
                </w:tcPr>
                <w:p w14:paraId="25A6C560">
                  <w:pPr>
                    <w:jc w:val="center"/>
                    <w:rPr>
                      <w:color w:val="auto"/>
                      <w:szCs w:val="21"/>
                    </w:rPr>
                  </w:pPr>
                </w:p>
              </w:tc>
              <w:tc>
                <w:tcPr>
                  <w:tcW w:w="1183" w:type="dxa"/>
                  <w:vMerge w:val="continue"/>
                  <w:vAlign w:val="center"/>
                </w:tcPr>
                <w:p w14:paraId="09EEBA76">
                  <w:pPr>
                    <w:jc w:val="center"/>
                    <w:rPr>
                      <w:color w:val="auto"/>
                      <w:szCs w:val="21"/>
                    </w:rPr>
                  </w:pPr>
                </w:p>
              </w:tc>
            </w:tr>
            <w:tr w14:paraId="0C26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957" w:type="dxa"/>
                  <w:vMerge w:val="continue"/>
                  <w:vAlign w:val="center"/>
                </w:tcPr>
                <w:p w14:paraId="4A0CDEA8">
                  <w:pPr>
                    <w:jc w:val="center"/>
                    <w:rPr>
                      <w:color w:val="auto"/>
                      <w:szCs w:val="21"/>
                    </w:rPr>
                  </w:pPr>
                </w:p>
              </w:tc>
              <w:tc>
                <w:tcPr>
                  <w:tcW w:w="795" w:type="dxa"/>
                  <w:vMerge w:val="continue"/>
                  <w:vAlign w:val="center"/>
                </w:tcPr>
                <w:p w14:paraId="6AC6B410">
                  <w:pPr>
                    <w:jc w:val="center"/>
                    <w:rPr>
                      <w:color w:val="auto"/>
                      <w:szCs w:val="21"/>
                    </w:rPr>
                  </w:pPr>
                </w:p>
              </w:tc>
              <w:tc>
                <w:tcPr>
                  <w:tcW w:w="795" w:type="dxa"/>
                  <w:vAlign w:val="center"/>
                </w:tcPr>
                <w:p w14:paraId="63F6AC44">
                  <w:pPr>
                    <w:jc w:val="center"/>
                    <w:rPr>
                      <w:color w:val="auto"/>
                      <w:szCs w:val="21"/>
                    </w:rPr>
                  </w:pPr>
                  <w:r>
                    <w:rPr>
                      <w:rFonts w:hint="eastAsia"/>
                      <w:color w:val="auto"/>
                      <w:szCs w:val="21"/>
                    </w:rPr>
                    <w:t>HW49其他废物</w:t>
                  </w:r>
                </w:p>
              </w:tc>
              <w:tc>
                <w:tcPr>
                  <w:tcW w:w="1187" w:type="dxa"/>
                  <w:vAlign w:val="center"/>
                </w:tcPr>
                <w:p w14:paraId="093BA09F">
                  <w:pPr>
                    <w:jc w:val="center"/>
                    <w:rPr>
                      <w:color w:val="auto"/>
                      <w:szCs w:val="21"/>
                    </w:rPr>
                  </w:pPr>
                  <w:r>
                    <w:rPr>
                      <w:rFonts w:hint="eastAsia"/>
                      <w:color w:val="auto"/>
                      <w:szCs w:val="21"/>
                    </w:rPr>
                    <w:t>污水处理设施</w:t>
                  </w:r>
                </w:p>
              </w:tc>
              <w:tc>
                <w:tcPr>
                  <w:tcW w:w="1229" w:type="dxa"/>
                  <w:vAlign w:val="center"/>
                </w:tcPr>
                <w:p w14:paraId="4F8DA729">
                  <w:pPr>
                    <w:jc w:val="center"/>
                    <w:rPr>
                      <w:color w:val="auto"/>
                      <w:szCs w:val="21"/>
                    </w:rPr>
                  </w:pPr>
                  <w:r>
                    <w:rPr>
                      <w:rFonts w:hint="eastAsia"/>
                      <w:color w:val="auto"/>
                      <w:szCs w:val="21"/>
                    </w:rPr>
                    <w:t>772-006-49</w:t>
                  </w:r>
                </w:p>
              </w:tc>
              <w:tc>
                <w:tcPr>
                  <w:tcW w:w="828" w:type="dxa"/>
                  <w:vAlign w:val="center"/>
                </w:tcPr>
                <w:p w14:paraId="0852C0F7">
                  <w:pPr>
                    <w:jc w:val="center"/>
                    <w:rPr>
                      <w:color w:val="auto"/>
                      <w:szCs w:val="21"/>
                    </w:rPr>
                  </w:pPr>
                  <w:r>
                    <w:rPr>
                      <w:rFonts w:hint="eastAsia"/>
                      <w:color w:val="auto"/>
                      <w:szCs w:val="21"/>
                    </w:rPr>
                    <w:t>63.51</w:t>
                  </w:r>
                </w:p>
              </w:tc>
              <w:tc>
                <w:tcPr>
                  <w:tcW w:w="591" w:type="dxa"/>
                  <w:vAlign w:val="center"/>
                </w:tcPr>
                <w:p w14:paraId="69C17AE0">
                  <w:pPr>
                    <w:jc w:val="center"/>
                    <w:rPr>
                      <w:color w:val="auto"/>
                      <w:szCs w:val="21"/>
                    </w:rPr>
                  </w:pPr>
                  <w:r>
                    <w:rPr>
                      <w:rFonts w:hint="eastAsia"/>
                      <w:color w:val="auto"/>
                      <w:szCs w:val="21"/>
                    </w:rPr>
                    <w:t>固态</w:t>
                  </w:r>
                </w:p>
              </w:tc>
              <w:tc>
                <w:tcPr>
                  <w:tcW w:w="1271" w:type="dxa"/>
                  <w:vAlign w:val="center"/>
                </w:tcPr>
                <w:p w14:paraId="3E93D797">
                  <w:pPr>
                    <w:jc w:val="center"/>
                    <w:rPr>
                      <w:color w:val="auto"/>
                      <w:szCs w:val="21"/>
                    </w:rPr>
                  </w:pPr>
                </w:p>
                <w:p w14:paraId="48C28B21">
                  <w:pPr>
                    <w:jc w:val="center"/>
                    <w:rPr>
                      <w:color w:val="auto"/>
                      <w:szCs w:val="21"/>
                    </w:rPr>
                  </w:pPr>
                  <w:r>
                    <w:rPr>
                      <w:rFonts w:hint="eastAsia"/>
                      <w:color w:val="auto"/>
                      <w:szCs w:val="21"/>
                    </w:rPr>
                    <w:t>由环卫部门定期清掏脱水后由环卫部门交由有资质单位处置</w:t>
                  </w:r>
                </w:p>
              </w:tc>
              <w:tc>
                <w:tcPr>
                  <w:tcW w:w="1183" w:type="dxa"/>
                  <w:vAlign w:val="center"/>
                </w:tcPr>
                <w:p w14:paraId="6A605192">
                  <w:pPr>
                    <w:jc w:val="center"/>
                    <w:rPr>
                      <w:color w:val="auto"/>
                      <w:szCs w:val="21"/>
                    </w:rPr>
                  </w:pPr>
                  <w:r>
                    <w:rPr>
                      <w:rFonts w:hint="eastAsia"/>
                      <w:color w:val="auto"/>
                      <w:szCs w:val="21"/>
                    </w:rPr>
                    <w:t>交有资质单位处置</w:t>
                  </w:r>
                </w:p>
              </w:tc>
            </w:tr>
            <w:tr w14:paraId="259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2F9B0B7D">
                  <w:pPr>
                    <w:jc w:val="center"/>
                    <w:rPr>
                      <w:color w:val="auto"/>
                      <w:szCs w:val="21"/>
                    </w:rPr>
                  </w:pPr>
                </w:p>
              </w:tc>
              <w:tc>
                <w:tcPr>
                  <w:tcW w:w="795" w:type="dxa"/>
                  <w:vAlign w:val="center"/>
                </w:tcPr>
                <w:p w14:paraId="6A1483FD">
                  <w:pPr>
                    <w:jc w:val="center"/>
                    <w:rPr>
                      <w:color w:val="auto"/>
                      <w:szCs w:val="21"/>
                    </w:rPr>
                  </w:pPr>
                  <w:r>
                    <w:rPr>
                      <w:rFonts w:hint="eastAsia"/>
                      <w:color w:val="auto"/>
                    </w:rPr>
                    <w:t>一般固废</w:t>
                  </w:r>
                </w:p>
              </w:tc>
              <w:tc>
                <w:tcPr>
                  <w:tcW w:w="795" w:type="dxa"/>
                  <w:vAlign w:val="center"/>
                </w:tcPr>
                <w:p w14:paraId="301868FD">
                  <w:pPr>
                    <w:jc w:val="center"/>
                    <w:rPr>
                      <w:color w:val="auto"/>
                      <w:szCs w:val="21"/>
                    </w:rPr>
                  </w:pPr>
                  <w:r>
                    <w:rPr>
                      <w:rFonts w:hint="eastAsia"/>
                      <w:color w:val="auto"/>
                      <w:szCs w:val="21"/>
                    </w:rPr>
                    <w:t>生活垃圾</w:t>
                  </w:r>
                </w:p>
              </w:tc>
              <w:tc>
                <w:tcPr>
                  <w:tcW w:w="1187" w:type="dxa"/>
                  <w:vAlign w:val="center"/>
                </w:tcPr>
                <w:p w14:paraId="338070DA">
                  <w:pPr>
                    <w:jc w:val="center"/>
                    <w:rPr>
                      <w:color w:val="auto"/>
                      <w:szCs w:val="21"/>
                    </w:rPr>
                  </w:pPr>
                  <w:r>
                    <w:rPr>
                      <w:rFonts w:hint="eastAsia"/>
                      <w:color w:val="auto"/>
                      <w:szCs w:val="21"/>
                    </w:rPr>
                    <w:t>生活垃圾</w:t>
                  </w:r>
                </w:p>
              </w:tc>
              <w:tc>
                <w:tcPr>
                  <w:tcW w:w="1229" w:type="dxa"/>
                  <w:vAlign w:val="center"/>
                </w:tcPr>
                <w:p w14:paraId="617624D9">
                  <w:pPr>
                    <w:jc w:val="center"/>
                    <w:rPr>
                      <w:color w:val="auto"/>
                      <w:szCs w:val="21"/>
                    </w:rPr>
                  </w:pPr>
                  <w:r>
                    <w:rPr>
                      <w:rFonts w:hint="eastAsia"/>
                      <w:color w:val="auto"/>
                      <w:szCs w:val="21"/>
                    </w:rPr>
                    <w:t>900-999-99</w:t>
                  </w:r>
                </w:p>
              </w:tc>
              <w:tc>
                <w:tcPr>
                  <w:tcW w:w="828" w:type="dxa"/>
                  <w:vAlign w:val="center"/>
                </w:tcPr>
                <w:p w14:paraId="0C7087E1">
                  <w:pPr>
                    <w:jc w:val="center"/>
                    <w:rPr>
                      <w:color w:val="auto"/>
                      <w:szCs w:val="21"/>
                    </w:rPr>
                  </w:pPr>
                  <w:r>
                    <w:rPr>
                      <w:rFonts w:hint="eastAsia"/>
                      <w:color w:val="auto"/>
                      <w:szCs w:val="21"/>
                    </w:rPr>
                    <w:t>7.37</w:t>
                  </w:r>
                </w:p>
              </w:tc>
              <w:tc>
                <w:tcPr>
                  <w:tcW w:w="591" w:type="dxa"/>
                  <w:vAlign w:val="center"/>
                </w:tcPr>
                <w:p w14:paraId="54197D8E">
                  <w:pPr>
                    <w:jc w:val="center"/>
                    <w:rPr>
                      <w:color w:val="auto"/>
                      <w:szCs w:val="21"/>
                    </w:rPr>
                  </w:pPr>
                  <w:r>
                    <w:rPr>
                      <w:rFonts w:hint="eastAsia"/>
                      <w:color w:val="auto"/>
                      <w:szCs w:val="21"/>
                    </w:rPr>
                    <w:t>固态</w:t>
                  </w:r>
                </w:p>
              </w:tc>
              <w:tc>
                <w:tcPr>
                  <w:tcW w:w="1271" w:type="dxa"/>
                  <w:vAlign w:val="center"/>
                </w:tcPr>
                <w:p w14:paraId="70F2A0FA">
                  <w:pPr>
                    <w:jc w:val="center"/>
                    <w:rPr>
                      <w:color w:val="auto"/>
                      <w:szCs w:val="21"/>
                    </w:rPr>
                  </w:pPr>
                  <w:r>
                    <w:rPr>
                      <w:rFonts w:hint="eastAsia"/>
                      <w:color w:val="auto"/>
                      <w:szCs w:val="21"/>
                    </w:rPr>
                    <w:t>垃圾桶/箱收集</w:t>
                  </w:r>
                </w:p>
              </w:tc>
              <w:tc>
                <w:tcPr>
                  <w:tcW w:w="1183" w:type="dxa"/>
                  <w:vAlign w:val="center"/>
                </w:tcPr>
                <w:p w14:paraId="27168258">
                  <w:pPr>
                    <w:jc w:val="center"/>
                    <w:rPr>
                      <w:color w:val="auto"/>
                    </w:rPr>
                  </w:pPr>
                  <w:r>
                    <w:rPr>
                      <w:rFonts w:hint="eastAsia"/>
                      <w:color w:val="auto"/>
                      <w:szCs w:val="21"/>
                    </w:rPr>
                    <w:t>交由环卫部门清运处置</w:t>
                  </w:r>
                </w:p>
              </w:tc>
            </w:tr>
            <w:tr w14:paraId="206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restart"/>
                  <w:vAlign w:val="center"/>
                </w:tcPr>
                <w:p w14:paraId="1BA344A3">
                  <w:pPr>
                    <w:jc w:val="center"/>
                    <w:rPr>
                      <w:color w:val="auto"/>
                      <w:szCs w:val="21"/>
                    </w:rPr>
                  </w:pPr>
                  <w:r>
                    <w:rPr>
                      <w:rFonts w:hint="eastAsia"/>
                      <w:color w:val="auto"/>
                      <w:szCs w:val="21"/>
                    </w:rPr>
                    <w:t>四街卫生院</w:t>
                  </w:r>
                </w:p>
              </w:tc>
              <w:tc>
                <w:tcPr>
                  <w:tcW w:w="795" w:type="dxa"/>
                  <w:vMerge w:val="restart"/>
                  <w:vAlign w:val="center"/>
                </w:tcPr>
                <w:p w14:paraId="618CD0A5">
                  <w:pPr>
                    <w:jc w:val="center"/>
                    <w:rPr>
                      <w:color w:val="auto"/>
                    </w:rPr>
                  </w:pPr>
                  <w:r>
                    <w:rPr>
                      <w:rFonts w:hint="eastAsia"/>
                      <w:color w:val="auto"/>
                    </w:rPr>
                    <w:t>危险废物</w:t>
                  </w:r>
                </w:p>
              </w:tc>
              <w:tc>
                <w:tcPr>
                  <w:tcW w:w="795" w:type="dxa"/>
                  <w:vMerge w:val="restart"/>
                  <w:vAlign w:val="center"/>
                </w:tcPr>
                <w:p w14:paraId="722D22F4">
                  <w:pPr>
                    <w:jc w:val="center"/>
                    <w:rPr>
                      <w:color w:val="auto"/>
                      <w:szCs w:val="21"/>
                    </w:rPr>
                  </w:pPr>
                  <w:r>
                    <w:rPr>
                      <w:rFonts w:hint="eastAsia"/>
                      <w:color w:val="auto"/>
                      <w:szCs w:val="21"/>
                    </w:rPr>
                    <w:t>HW01医疗废物</w:t>
                  </w:r>
                </w:p>
              </w:tc>
              <w:tc>
                <w:tcPr>
                  <w:tcW w:w="1187" w:type="dxa"/>
                  <w:vAlign w:val="center"/>
                </w:tcPr>
                <w:p w14:paraId="48A2E2C0">
                  <w:pPr>
                    <w:jc w:val="center"/>
                    <w:rPr>
                      <w:color w:val="auto"/>
                      <w:szCs w:val="21"/>
                    </w:rPr>
                  </w:pPr>
                  <w:r>
                    <w:rPr>
                      <w:rFonts w:hint="eastAsia"/>
                      <w:color w:val="auto"/>
                      <w:szCs w:val="21"/>
                    </w:rPr>
                    <w:t>感染性废物</w:t>
                  </w:r>
                </w:p>
              </w:tc>
              <w:tc>
                <w:tcPr>
                  <w:tcW w:w="1229" w:type="dxa"/>
                  <w:vAlign w:val="center"/>
                </w:tcPr>
                <w:p w14:paraId="2BE1C02F">
                  <w:pPr>
                    <w:jc w:val="center"/>
                    <w:rPr>
                      <w:color w:val="auto"/>
                      <w:szCs w:val="21"/>
                    </w:rPr>
                  </w:pPr>
                  <w:r>
                    <w:rPr>
                      <w:rFonts w:hint="eastAsia"/>
                      <w:color w:val="auto"/>
                      <w:szCs w:val="21"/>
                    </w:rPr>
                    <w:t>841-001-01</w:t>
                  </w:r>
                </w:p>
              </w:tc>
              <w:tc>
                <w:tcPr>
                  <w:tcW w:w="828" w:type="dxa"/>
                  <w:vMerge w:val="restart"/>
                  <w:vAlign w:val="center"/>
                </w:tcPr>
                <w:p w14:paraId="0E969C26">
                  <w:pPr>
                    <w:jc w:val="center"/>
                    <w:rPr>
                      <w:color w:val="auto"/>
                      <w:szCs w:val="21"/>
                    </w:rPr>
                  </w:pPr>
                  <w:r>
                    <w:rPr>
                      <w:rFonts w:hint="eastAsia"/>
                      <w:color w:val="auto"/>
                      <w:szCs w:val="21"/>
                    </w:rPr>
                    <w:t>6.15</w:t>
                  </w:r>
                </w:p>
              </w:tc>
              <w:tc>
                <w:tcPr>
                  <w:tcW w:w="591" w:type="dxa"/>
                  <w:vAlign w:val="center"/>
                </w:tcPr>
                <w:p w14:paraId="42F125D0">
                  <w:pPr>
                    <w:jc w:val="center"/>
                    <w:rPr>
                      <w:color w:val="auto"/>
                      <w:szCs w:val="21"/>
                    </w:rPr>
                  </w:pPr>
                  <w:r>
                    <w:rPr>
                      <w:rFonts w:hint="eastAsia"/>
                      <w:color w:val="auto"/>
                      <w:szCs w:val="21"/>
                    </w:rPr>
                    <w:t>固态</w:t>
                  </w:r>
                </w:p>
              </w:tc>
              <w:tc>
                <w:tcPr>
                  <w:tcW w:w="1271" w:type="dxa"/>
                  <w:vMerge w:val="restart"/>
                  <w:vAlign w:val="center"/>
                </w:tcPr>
                <w:p w14:paraId="38446565">
                  <w:pPr>
                    <w:jc w:val="center"/>
                    <w:rPr>
                      <w:color w:val="auto"/>
                      <w:szCs w:val="21"/>
                    </w:rPr>
                  </w:pPr>
                  <w:r>
                    <w:rPr>
                      <w:rFonts w:hint="eastAsia"/>
                      <w:color w:val="auto"/>
                      <w:szCs w:val="21"/>
                    </w:rPr>
                    <w:t>消毒、分类、毁形、收集包装，放入医疗废物暂存间暂存</w:t>
                  </w:r>
                </w:p>
              </w:tc>
              <w:tc>
                <w:tcPr>
                  <w:tcW w:w="1183" w:type="dxa"/>
                  <w:vMerge w:val="restart"/>
                  <w:vAlign w:val="center"/>
                </w:tcPr>
                <w:p w14:paraId="32F29C73">
                  <w:pPr>
                    <w:jc w:val="center"/>
                    <w:rPr>
                      <w:color w:val="auto"/>
                    </w:rPr>
                  </w:pPr>
                  <w:r>
                    <w:rPr>
                      <w:rFonts w:hint="eastAsia"/>
                      <w:color w:val="auto"/>
                      <w:szCs w:val="21"/>
                    </w:rPr>
                    <w:t>交由玉溪兴洁垃圾处理有限公司</w:t>
                  </w:r>
                </w:p>
              </w:tc>
            </w:tr>
            <w:tr w14:paraId="57D1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6A3DE595">
                  <w:pPr>
                    <w:jc w:val="center"/>
                    <w:rPr>
                      <w:color w:val="auto"/>
                      <w:szCs w:val="21"/>
                    </w:rPr>
                  </w:pPr>
                </w:p>
              </w:tc>
              <w:tc>
                <w:tcPr>
                  <w:tcW w:w="795" w:type="dxa"/>
                  <w:vMerge w:val="continue"/>
                  <w:vAlign w:val="center"/>
                </w:tcPr>
                <w:p w14:paraId="639D7106">
                  <w:pPr>
                    <w:jc w:val="center"/>
                    <w:rPr>
                      <w:color w:val="auto"/>
                    </w:rPr>
                  </w:pPr>
                </w:p>
              </w:tc>
              <w:tc>
                <w:tcPr>
                  <w:tcW w:w="795" w:type="dxa"/>
                  <w:vMerge w:val="continue"/>
                  <w:vAlign w:val="center"/>
                </w:tcPr>
                <w:p w14:paraId="2A05E29A">
                  <w:pPr>
                    <w:jc w:val="center"/>
                    <w:rPr>
                      <w:color w:val="auto"/>
                      <w:szCs w:val="21"/>
                    </w:rPr>
                  </w:pPr>
                </w:p>
              </w:tc>
              <w:tc>
                <w:tcPr>
                  <w:tcW w:w="1187" w:type="dxa"/>
                  <w:vAlign w:val="center"/>
                </w:tcPr>
                <w:p w14:paraId="3ED2E53E">
                  <w:pPr>
                    <w:jc w:val="center"/>
                    <w:rPr>
                      <w:color w:val="auto"/>
                      <w:szCs w:val="21"/>
                    </w:rPr>
                  </w:pPr>
                  <w:r>
                    <w:rPr>
                      <w:rFonts w:hint="eastAsia"/>
                      <w:color w:val="auto"/>
                      <w:szCs w:val="21"/>
                    </w:rPr>
                    <w:t>损伤性废物</w:t>
                  </w:r>
                </w:p>
              </w:tc>
              <w:tc>
                <w:tcPr>
                  <w:tcW w:w="1229" w:type="dxa"/>
                  <w:vAlign w:val="center"/>
                </w:tcPr>
                <w:p w14:paraId="3BB15750">
                  <w:pPr>
                    <w:jc w:val="center"/>
                    <w:rPr>
                      <w:color w:val="auto"/>
                      <w:szCs w:val="21"/>
                    </w:rPr>
                  </w:pPr>
                  <w:r>
                    <w:rPr>
                      <w:rFonts w:hint="eastAsia"/>
                      <w:color w:val="auto"/>
                      <w:szCs w:val="21"/>
                    </w:rPr>
                    <w:t>841-002-01</w:t>
                  </w:r>
                </w:p>
              </w:tc>
              <w:tc>
                <w:tcPr>
                  <w:tcW w:w="828" w:type="dxa"/>
                  <w:vMerge w:val="continue"/>
                  <w:vAlign w:val="center"/>
                </w:tcPr>
                <w:p w14:paraId="1D6F5F19">
                  <w:pPr>
                    <w:jc w:val="center"/>
                    <w:rPr>
                      <w:color w:val="auto"/>
                      <w:szCs w:val="21"/>
                    </w:rPr>
                  </w:pPr>
                </w:p>
              </w:tc>
              <w:tc>
                <w:tcPr>
                  <w:tcW w:w="591" w:type="dxa"/>
                  <w:vAlign w:val="center"/>
                </w:tcPr>
                <w:p w14:paraId="549FFD0D">
                  <w:pPr>
                    <w:jc w:val="center"/>
                    <w:rPr>
                      <w:color w:val="auto"/>
                      <w:szCs w:val="21"/>
                    </w:rPr>
                  </w:pPr>
                  <w:r>
                    <w:rPr>
                      <w:rFonts w:hint="eastAsia"/>
                      <w:color w:val="auto"/>
                      <w:szCs w:val="21"/>
                    </w:rPr>
                    <w:t>固态</w:t>
                  </w:r>
                </w:p>
              </w:tc>
              <w:tc>
                <w:tcPr>
                  <w:tcW w:w="1271" w:type="dxa"/>
                  <w:vMerge w:val="continue"/>
                  <w:vAlign w:val="center"/>
                </w:tcPr>
                <w:p w14:paraId="18BBB3B1">
                  <w:pPr>
                    <w:jc w:val="center"/>
                    <w:rPr>
                      <w:color w:val="auto"/>
                      <w:szCs w:val="21"/>
                    </w:rPr>
                  </w:pPr>
                </w:p>
              </w:tc>
              <w:tc>
                <w:tcPr>
                  <w:tcW w:w="1183" w:type="dxa"/>
                  <w:vMerge w:val="continue"/>
                  <w:vAlign w:val="center"/>
                </w:tcPr>
                <w:p w14:paraId="73E94A37">
                  <w:pPr>
                    <w:rPr>
                      <w:color w:val="auto"/>
                    </w:rPr>
                  </w:pPr>
                </w:p>
              </w:tc>
            </w:tr>
            <w:tr w14:paraId="7841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0AEC7259">
                  <w:pPr>
                    <w:jc w:val="center"/>
                    <w:rPr>
                      <w:color w:val="auto"/>
                      <w:szCs w:val="21"/>
                    </w:rPr>
                  </w:pPr>
                </w:p>
              </w:tc>
              <w:tc>
                <w:tcPr>
                  <w:tcW w:w="795" w:type="dxa"/>
                  <w:vMerge w:val="continue"/>
                  <w:vAlign w:val="center"/>
                </w:tcPr>
                <w:p w14:paraId="2BEB7109">
                  <w:pPr>
                    <w:jc w:val="center"/>
                    <w:rPr>
                      <w:color w:val="auto"/>
                    </w:rPr>
                  </w:pPr>
                </w:p>
              </w:tc>
              <w:tc>
                <w:tcPr>
                  <w:tcW w:w="795" w:type="dxa"/>
                  <w:vMerge w:val="continue"/>
                  <w:vAlign w:val="center"/>
                </w:tcPr>
                <w:p w14:paraId="025C42A9">
                  <w:pPr>
                    <w:jc w:val="center"/>
                    <w:rPr>
                      <w:color w:val="auto"/>
                      <w:szCs w:val="21"/>
                    </w:rPr>
                  </w:pPr>
                </w:p>
              </w:tc>
              <w:tc>
                <w:tcPr>
                  <w:tcW w:w="1187" w:type="dxa"/>
                  <w:vAlign w:val="center"/>
                </w:tcPr>
                <w:p w14:paraId="2875FF73">
                  <w:pPr>
                    <w:jc w:val="center"/>
                    <w:rPr>
                      <w:color w:val="auto"/>
                      <w:szCs w:val="21"/>
                    </w:rPr>
                  </w:pPr>
                  <w:r>
                    <w:rPr>
                      <w:rFonts w:hint="eastAsia"/>
                      <w:color w:val="auto"/>
                      <w:szCs w:val="21"/>
                    </w:rPr>
                    <w:t>化学性废物</w:t>
                  </w:r>
                </w:p>
              </w:tc>
              <w:tc>
                <w:tcPr>
                  <w:tcW w:w="1229" w:type="dxa"/>
                  <w:vAlign w:val="center"/>
                </w:tcPr>
                <w:p w14:paraId="51D59F24">
                  <w:pPr>
                    <w:jc w:val="center"/>
                    <w:rPr>
                      <w:color w:val="auto"/>
                      <w:szCs w:val="21"/>
                    </w:rPr>
                  </w:pPr>
                  <w:r>
                    <w:rPr>
                      <w:rFonts w:hint="eastAsia"/>
                      <w:color w:val="auto"/>
                      <w:szCs w:val="21"/>
                    </w:rPr>
                    <w:t>841-004-01</w:t>
                  </w:r>
                </w:p>
              </w:tc>
              <w:tc>
                <w:tcPr>
                  <w:tcW w:w="828" w:type="dxa"/>
                  <w:vMerge w:val="continue"/>
                  <w:vAlign w:val="center"/>
                </w:tcPr>
                <w:p w14:paraId="0B471A0C">
                  <w:pPr>
                    <w:jc w:val="center"/>
                    <w:rPr>
                      <w:color w:val="auto"/>
                      <w:szCs w:val="21"/>
                    </w:rPr>
                  </w:pPr>
                </w:p>
              </w:tc>
              <w:tc>
                <w:tcPr>
                  <w:tcW w:w="591" w:type="dxa"/>
                  <w:vAlign w:val="center"/>
                </w:tcPr>
                <w:p w14:paraId="41BEFC66">
                  <w:pPr>
                    <w:jc w:val="center"/>
                    <w:rPr>
                      <w:color w:val="auto"/>
                      <w:szCs w:val="21"/>
                    </w:rPr>
                  </w:pPr>
                  <w:r>
                    <w:rPr>
                      <w:rFonts w:hint="eastAsia"/>
                      <w:color w:val="auto"/>
                      <w:szCs w:val="21"/>
                    </w:rPr>
                    <w:t>固态</w:t>
                  </w:r>
                </w:p>
              </w:tc>
              <w:tc>
                <w:tcPr>
                  <w:tcW w:w="1271" w:type="dxa"/>
                  <w:vMerge w:val="continue"/>
                  <w:vAlign w:val="center"/>
                </w:tcPr>
                <w:p w14:paraId="56E5BE2E">
                  <w:pPr>
                    <w:jc w:val="center"/>
                    <w:rPr>
                      <w:color w:val="auto"/>
                      <w:szCs w:val="21"/>
                    </w:rPr>
                  </w:pPr>
                </w:p>
              </w:tc>
              <w:tc>
                <w:tcPr>
                  <w:tcW w:w="1183" w:type="dxa"/>
                  <w:vMerge w:val="continue"/>
                  <w:vAlign w:val="center"/>
                </w:tcPr>
                <w:p w14:paraId="46BDBE7B">
                  <w:pPr>
                    <w:rPr>
                      <w:color w:val="auto"/>
                    </w:rPr>
                  </w:pPr>
                </w:p>
              </w:tc>
            </w:tr>
            <w:tr w14:paraId="3334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7CDB776F">
                  <w:pPr>
                    <w:jc w:val="center"/>
                    <w:rPr>
                      <w:color w:val="auto"/>
                      <w:szCs w:val="21"/>
                    </w:rPr>
                  </w:pPr>
                </w:p>
              </w:tc>
              <w:tc>
                <w:tcPr>
                  <w:tcW w:w="795" w:type="dxa"/>
                  <w:vMerge w:val="continue"/>
                  <w:vAlign w:val="center"/>
                </w:tcPr>
                <w:p w14:paraId="0A81D9EF">
                  <w:pPr>
                    <w:jc w:val="center"/>
                    <w:rPr>
                      <w:color w:val="auto"/>
                    </w:rPr>
                  </w:pPr>
                </w:p>
              </w:tc>
              <w:tc>
                <w:tcPr>
                  <w:tcW w:w="795" w:type="dxa"/>
                  <w:vMerge w:val="continue"/>
                  <w:vAlign w:val="center"/>
                </w:tcPr>
                <w:p w14:paraId="32925C00">
                  <w:pPr>
                    <w:jc w:val="center"/>
                    <w:rPr>
                      <w:color w:val="auto"/>
                      <w:szCs w:val="21"/>
                    </w:rPr>
                  </w:pPr>
                </w:p>
              </w:tc>
              <w:tc>
                <w:tcPr>
                  <w:tcW w:w="1187" w:type="dxa"/>
                  <w:vAlign w:val="center"/>
                </w:tcPr>
                <w:p w14:paraId="33E02BFD">
                  <w:pPr>
                    <w:jc w:val="center"/>
                    <w:rPr>
                      <w:color w:val="auto"/>
                      <w:szCs w:val="21"/>
                    </w:rPr>
                  </w:pPr>
                  <w:r>
                    <w:rPr>
                      <w:rFonts w:hint="eastAsia"/>
                      <w:color w:val="auto"/>
                      <w:szCs w:val="21"/>
                    </w:rPr>
                    <w:t>药物性废物</w:t>
                  </w:r>
                </w:p>
              </w:tc>
              <w:tc>
                <w:tcPr>
                  <w:tcW w:w="1229" w:type="dxa"/>
                  <w:vAlign w:val="center"/>
                </w:tcPr>
                <w:p w14:paraId="3A046765">
                  <w:pPr>
                    <w:jc w:val="center"/>
                    <w:rPr>
                      <w:color w:val="auto"/>
                      <w:szCs w:val="21"/>
                    </w:rPr>
                  </w:pPr>
                  <w:r>
                    <w:rPr>
                      <w:rFonts w:hint="eastAsia"/>
                      <w:color w:val="auto"/>
                      <w:szCs w:val="21"/>
                    </w:rPr>
                    <w:t>841-005-01</w:t>
                  </w:r>
                </w:p>
              </w:tc>
              <w:tc>
                <w:tcPr>
                  <w:tcW w:w="828" w:type="dxa"/>
                  <w:vMerge w:val="continue"/>
                  <w:vAlign w:val="center"/>
                </w:tcPr>
                <w:p w14:paraId="55FF6967">
                  <w:pPr>
                    <w:jc w:val="center"/>
                    <w:rPr>
                      <w:color w:val="auto"/>
                      <w:szCs w:val="21"/>
                    </w:rPr>
                  </w:pPr>
                </w:p>
              </w:tc>
              <w:tc>
                <w:tcPr>
                  <w:tcW w:w="591" w:type="dxa"/>
                  <w:vAlign w:val="center"/>
                </w:tcPr>
                <w:p w14:paraId="427B7AD8">
                  <w:pPr>
                    <w:jc w:val="center"/>
                    <w:rPr>
                      <w:color w:val="auto"/>
                      <w:szCs w:val="21"/>
                    </w:rPr>
                  </w:pPr>
                  <w:r>
                    <w:rPr>
                      <w:rFonts w:hint="eastAsia"/>
                      <w:color w:val="auto"/>
                      <w:szCs w:val="21"/>
                    </w:rPr>
                    <w:t>固态</w:t>
                  </w:r>
                </w:p>
              </w:tc>
              <w:tc>
                <w:tcPr>
                  <w:tcW w:w="1271" w:type="dxa"/>
                  <w:vMerge w:val="continue"/>
                  <w:vAlign w:val="center"/>
                </w:tcPr>
                <w:p w14:paraId="162495ED">
                  <w:pPr>
                    <w:jc w:val="center"/>
                    <w:rPr>
                      <w:color w:val="auto"/>
                      <w:szCs w:val="21"/>
                    </w:rPr>
                  </w:pPr>
                </w:p>
              </w:tc>
              <w:tc>
                <w:tcPr>
                  <w:tcW w:w="1183" w:type="dxa"/>
                  <w:vMerge w:val="continue"/>
                  <w:vAlign w:val="center"/>
                </w:tcPr>
                <w:p w14:paraId="14985654">
                  <w:pPr>
                    <w:pStyle w:val="14"/>
                    <w:rPr>
                      <w:color w:val="auto"/>
                    </w:rPr>
                  </w:pPr>
                </w:p>
              </w:tc>
            </w:tr>
            <w:tr w14:paraId="22A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03433693">
                  <w:pPr>
                    <w:jc w:val="center"/>
                    <w:rPr>
                      <w:color w:val="auto"/>
                      <w:szCs w:val="21"/>
                    </w:rPr>
                  </w:pPr>
                </w:p>
              </w:tc>
              <w:tc>
                <w:tcPr>
                  <w:tcW w:w="795" w:type="dxa"/>
                  <w:vMerge w:val="continue"/>
                  <w:vAlign w:val="center"/>
                </w:tcPr>
                <w:p w14:paraId="44916863">
                  <w:pPr>
                    <w:jc w:val="center"/>
                    <w:rPr>
                      <w:color w:val="auto"/>
                    </w:rPr>
                  </w:pPr>
                </w:p>
              </w:tc>
              <w:tc>
                <w:tcPr>
                  <w:tcW w:w="795" w:type="dxa"/>
                  <w:vAlign w:val="center"/>
                </w:tcPr>
                <w:p w14:paraId="195E86A5">
                  <w:pPr>
                    <w:jc w:val="center"/>
                    <w:rPr>
                      <w:color w:val="auto"/>
                      <w:szCs w:val="21"/>
                    </w:rPr>
                  </w:pPr>
                  <w:r>
                    <w:rPr>
                      <w:rFonts w:hint="eastAsia"/>
                      <w:color w:val="auto"/>
                      <w:szCs w:val="21"/>
                    </w:rPr>
                    <w:t>HW49其他废物</w:t>
                  </w:r>
                </w:p>
              </w:tc>
              <w:tc>
                <w:tcPr>
                  <w:tcW w:w="1187" w:type="dxa"/>
                  <w:vAlign w:val="center"/>
                </w:tcPr>
                <w:p w14:paraId="5A6028E7">
                  <w:pPr>
                    <w:jc w:val="center"/>
                    <w:rPr>
                      <w:color w:val="auto"/>
                      <w:szCs w:val="21"/>
                    </w:rPr>
                  </w:pPr>
                  <w:r>
                    <w:rPr>
                      <w:rFonts w:hint="eastAsia"/>
                      <w:color w:val="auto"/>
                      <w:szCs w:val="21"/>
                    </w:rPr>
                    <w:t>污水处理设施</w:t>
                  </w:r>
                </w:p>
              </w:tc>
              <w:tc>
                <w:tcPr>
                  <w:tcW w:w="1229" w:type="dxa"/>
                  <w:vAlign w:val="center"/>
                </w:tcPr>
                <w:p w14:paraId="360E1244">
                  <w:pPr>
                    <w:jc w:val="center"/>
                    <w:rPr>
                      <w:color w:val="auto"/>
                      <w:szCs w:val="21"/>
                    </w:rPr>
                  </w:pPr>
                  <w:r>
                    <w:rPr>
                      <w:rFonts w:hint="eastAsia"/>
                      <w:color w:val="auto"/>
                      <w:szCs w:val="21"/>
                    </w:rPr>
                    <w:t>772-006-49</w:t>
                  </w:r>
                </w:p>
              </w:tc>
              <w:tc>
                <w:tcPr>
                  <w:tcW w:w="828" w:type="dxa"/>
                  <w:vAlign w:val="center"/>
                </w:tcPr>
                <w:p w14:paraId="54DF8734">
                  <w:pPr>
                    <w:jc w:val="center"/>
                    <w:rPr>
                      <w:color w:val="auto"/>
                      <w:szCs w:val="21"/>
                    </w:rPr>
                  </w:pPr>
                  <w:r>
                    <w:rPr>
                      <w:rFonts w:hint="eastAsia"/>
                      <w:color w:val="auto"/>
                      <w:szCs w:val="21"/>
                    </w:rPr>
                    <w:t>129.21</w:t>
                  </w:r>
                </w:p>
              </w:tc>
              <w:tc>
                <w:tcPr>
                  <w:tcW w:w="591" w:type="dxa"/>
                  <w:vAlign w:val="center"/>
                </w:tcPr>
                <w:p w14:paraId="1E52C131">
                  <w:pPr>
                    <w:jc w:val="center"/>
                    <w:rPr>
                      <w:color w:val="auto"/>
                      <w:szCs w:val="21"/>
                    </w:rPr>
                  </w:pPr>
                  <w:r>
                    <w:rPr>
                      <w:rFonts w:hint="eastAsia"/>
                      <w:color w:val="auto"/>
                      <w:szCs w:val="21"/>
                    </w:rPr>
                    <w:t>固态</w:t>
                  </w:r>
                </w:p>
              </w:tc>
              <w:tc>
                <w:tcPr>
                  <w:tcW w:w="1271" w:type="dxa"/>
                  <w:vAlign w:val="center"/>
                </w:tcPr>
                <w:p w14:paraId="67CA2C78">
                  <w:pPr>
                    <w:jc w:val="center"/>
                    <w:rPr>
                      <w:color w:val="auto"/>
                      <w:szCs w:val="21"/>
                    </w:rPr>
                  </w:pPr>
                  <w:r>
                    <w:rPr>
                      <w:rFonts w:hint="eastAsia"/>
                      <w:color w:val="auto"/>
                      <w:szCs w:val="21"/>
                    </w:rPr>
                    <w:t>由环卫部门定期清掏脱水后由环卫部门交由有资质单位处置</w:t>
                  </w:r>
                </w:p>
              </w:tc>
              <w:tc>
                <w:tcPr>
                  <w:tcW w:w="1183" w:type="dxa"/>
                  <w:vAlign w:val="center"/>
                </w:tcPr>
                <w:p w14:paraId="5218F639">
                  <w:pPr>
                    <w:jc w:val="center"/>
                    <w:rPr>
                      <w:color w:val="auto"/>
                    </w:rPr>
                  </w:pPr>
                  <w:r>
                    <w:rPr>
                      <w:rFonts w:hint="eastAsia"/>
                      <w:color w:val="auto"/>
                      <w:szCs w:val="21"/>
                    </w:rPr>
                    <w:t>交有资质单位处置</w:t>
                  </w:r>
                </w:p>
              </w:tc>
            </w:tr>
            <w:tr w14:paraId="2114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0BCE0858">
                  <w:pPr>
                    <w:jc w:val="center"/>
                    <w:rPr>
                      <w:color w:val="auto"/>
                      <w:szCs w:val="21"/>
                    </w:rPr>
                  </w:pPr>
                </w:p>
              </w:tc>
              <w:tc>
                <w:tcPr>
                  <w:tcW w:w="795" w:type="dxa"/>
                  <w:vMerge w:val="restart"/>
                  <w:vAlign w:val="center"/>
                </w:tcPr>
                <w:p w14:paraId="7A22DE53">
                  <w:pPr>
                    <w:jc w:val="center"/>
                    <w:rPr>
                      <w:color w:val="auto"/>
                    </w:rPr>
                  </w:pPr>
                  <w:r>
                    <w:rPr>
                      <w:rFonts w:hint="eastAsia"/>
                      <w:color w:val="auto"/>
                    </w:rPr>
                    <w:t>一般固废</w:t>
                  </w:r>
                </w:p>
              </w:tc>
              <w:tc>
                <w:tcPr>
                  <w:tcW w:w="795" w:type="dxa"/>
                  <w:vAlign w:val="center"/>
                </w:tcPr>
                <w:p w14:paraId="26B8057F">
                  <w:pPr>
                    <w:jc w:val="center"/>
                    <w:rPr>
                      <w:color w:val="auto"/>
                      <w:szCs w:val="21"/>
                    </w:rPr>
                  </w:pPr>
                  <w:r>
                    <w:rPr>
                      <w:rFonts w:hint="eastAsia"/>
                      <w:color w:val="auto"/>
                      <w:szCs w:val="21"/>
                    </w:rPr>
                    <w:t>生活垃圾</w:t>
                  </w:r>
                </w:p>
              </w:tc>
              <w:tc>
                <w:tcPr>
                  <w:tcW w:w="1187" w:type="dxa"/>
                  <w:vAlign w:val="center"/>
                </w:tcPr>
                <w:p w14:paraId="7CB7AFFA">
                  <w:pPr>
                    <w:jc w:val="center"/>
                    <w:rPr>
                      <w:color w:val="auto"/>
                      <w:szCs w:val="21"/>
                    </w:rPr>
                  </w:pPr>
                  <w:r>
                    <w:rPr>
                      <w:rFonts w:hint="eastAsia"/>
                      <w:color w:val="auto"/>
                      <w:szCs w:val="21"/>
                    </w:rPr>
                    <w:t>生活垃圾</w:t>
                  </w:r>
                </w:p>
              </w:tc>
              <w:tc>
                <w:tcPr>
                  <w:tcW w:w="1229" w:type="dxa"/>
                  <w:vAlign w:val="center"/>
                </w:tcPr>
                <w:p w14:paraId="2DE6F7AB">
                  <w:pPr>
                    <w:jc w:val="center"/>
                    <w:rPr>
                      <w:color w:val="auto"/>
                      <w:szCs w:val="21"/>
                    </w:rPr>
                  </w:pPr>
                  <w:r>
                    <w:rPr>
                      <w:rFonts w:hint="eastAsia"/>
                      <w:color w:val="auto"/>
                      <w:szCs w:val="21"/>
                    </w:rPr>
                    <w:t>900-999-99</w:t>
                  </w:r>
                </w:p>
              </w:tc>
              <w:tc>
                <w:tcPr>
                  <w:tcW w:w="828" w:type="dxa"/>
                  <w:vAlign w:val="center"/>
                </w:tcPr>
                <w:p w14:paraId="10B819B0">
                  <w:pPr>
                    <w:jc w:val="center"/>
                    <w:rPr>
                      <w:color w:val="auto"/>
                      <w:szCs w:val="21"/>
                    </w:rPr>
                  </w:pPr>
                  <w:r>
                    <w:rPr>
                      <w:rFonts w:hint="eastAsia"/>
                      <w:color w:val="auto"/>
                      <w:szCs w:val="21"/>
                    </w:rPr>
                    <w:t>8.58</w:t>
                  </w:r>
                </w:p>
              </w:tc>
              <w:tc>
                <w:tcPr>
                  <w:tcW w:w="591" w:type="dxa"/>
                  <w:vAlign w:val="center"/>
                </w:tcPr>
                <w:p w14:paraId="01BE421E">
                  <w:pPr>
                    <w:jc w:val="center"/>
                    <w:rPr>
                      <w:color w:val="auto"/>
                      <w:szCs w:val="21"/>
                    </w:rPr>
                  </w:pPr>
                  <w:r>
                    <w:rPr>
                      <w:rFonts w:hint="eastAsia"/>
                      <w:color w:val="auto"/>
                      <w:szCs w:val="21"/>
                    </w:rPr>
                    <w:t>固态</w:t>
                  </w:r>
                </w:p>
              </w:tc>
              <w:tc>
                <w:tcPr>
                  <w:tcW w:w="1271" w:type="dxa"/>
                  <w:vAlign w:val="center"/>
                </w:tcPr>
                <w:p w14:paraId="7AFB2FD1">
                  <w:pPr>
                    <w:jc w:val="center"/>
                    <w:rPr>
                      <w:color w:val="auto"/>
                      <w:szCs w:val="21"/>
                    </w:rPr>
                  </w:pPr>
                  <w:r>
                    <w:rPr>
                      <w:rFonts w:hint="eastAsia"/>
                      <w:color w:val="auto"/>
                      <w:szCs w:val="21"/>
                    </w:rPr>
                    <w:t>垃圾桶/箱收集</w:t>
                  </w:r>
                </w:p>
              </w:tc>
              <w:tc>
                <w:tcPr>
                  <w:tcW w:w="1183" w:type="dxa"/>
                  <w:vAlign w:val="center"/>
                </w:tcPr>
                <w:p w14:paraId="11666A9A">
                  <w:pPr>
                    <w:jc w:val="center"/>
                    <w:rPr>
                      <w:color w:val="auto"/>
                    </w:rPr>
                  </w:pPr>
                  <w:r>
                    <w:rPr>
                      <w:rFonts w:hint="eastAsia"/>
                      <w:color w:val="auto"/>
                      <w:szCs w:val="21"/>
                    </w:rPr>
                    <w:t>交由环卫部门清运处置</w:t>
                  </w:r>
                </w:p>
              </w:tc>
            </w:tr>
            <w:tr w14:paraId="525E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260BDAF9">
                  <w:pPr>
                    <w:jc w:val="center"/>
                    <w:rPr>
                      <w:color w:val="auto"/>
                      <w:szCs w:val="21"/>
                    </w:rPr>
                  </w:pPr>
                </w:p>
              </w:tc>
              <w:tc>
                <w:tcPr>
                  <w:tcW w:w="795" w:type="dxa"/>
                  <w:vMerge w:val="continue"/>
                  <w:vAlign w:val="center"/>
                </w:tcPr>
                <w:p w14:paraId="2FDC425F">
                  <w:pPr>
                    <w:jc w:val="center"/>
                    <w:rPr>
                      <w:color w:val="auto"/>
                    </w:rPr>
                  </w:pPr>
                </w:p>
              </w:tc>
              <w:tc>
                <w:tcPr>
                  <w:tcW w:w="795" w:type="dxa"/>
                  <w:vAlign w:val="center"/>
                </w:tcPr>
                <w:p w14:paraId="2FEB0E07">
                  <w:pPr>
                    <w:jc w:val="center"/>
                    <w:rPr>
                      <w:color w:val="auto"/>
                      <w:szCs w:val="21"/>
                    </w:rPr>
                  </w:pPr>
                  <w:r>
                    <w:rPr>
                      <w:rFonts w:hint="eastAsia"/>
                      <w:color w:val="auto"/>
                      <w:szCs w:val="21"/>
                    </w:rPr>
                    <w:t>中药渣</w:t>
                  </w:r>
                </w:p>
              </w:tc>
              <w:tc>
                <w:tcPr>
                  <w:tcW w:w="1187" w:type="dxa"/>
                  <w:vAlign w:val="center"/>
                </w:tcPr>
                <w:p w14:paraId="67860260">
                  <w:pPr>
                    <w:jc w:val="center"/>
                    <w:rPr>
                      <w:color w:val="auto"/>
                      <w:szCs w:val="21"/>
                    </w:rPr>
                  </w:pPr>
                  <w:r>
                    <w:rPr>
                      <w:rFonts w:hint="eastAsia"/>
                      <w:color w:val="auto"/>
                      <w:szCs w:val="21"/>
                    </w:rPr>
                    <w:t>中药渣</w:t>
                  </w:r>
                </w:p>
              </w:tc>
              <w:tc>
                <w:tcPr>
                  <w:tcW w:w="1229" w:type="dxa"/>
                  <w:vAlign w:val="center"/>
                </w:tcPr>
                <w:p w14:paraId="1B1602EE">
                  <w:pPr>
                    <w:jc w:val="center"/>
                    <w:rPr>
                      <w:color w:val="auto"/>
                      <w:szCs w:val="21"/>
                    </w:rPr>
                  </w:pPr>
                  <w:r>
                    <w:rPr>
                      <w:rFonts w:hint="eastAsia"/>
                      <w:color w:val="auto"/>
                      <w:szCs w:val="21"/>
                    </w:rPr>
                    <w:t>842-001--99</w:t>
                  </w:r>
                </w:p>
              </w:tc>
              <w:tc>
                <w:tcPr>
                  <w:tcW w:w="828" w:type="dxa"/>
                  <w:vAlign w:val="center"/>
                </w:tcPr>
                <w:p w14:paraId="367B2713">
                  <w:pPr>
                    <w:jc w:val="center"/>
                    <w:rPr>
                      <w:color w:val="auto"/>
                      <w:szCs w:val="21"/>
                    </w:rPr>
                  </w:pPr>
                  <w:r>
                    <w:rPr>
                      <w:rFonts w:hint="eastAsia"/>
                      <w:color w:val="auto"/>
                      <w:szCs w:val="21"/>
                    </w:rPr>
                    <w:t>0.38</w:t>
                  </w:r>
                </w:p>
              </w:tc>
              <w:tc>
                <w:tcPr>
                  <w:tcW w:w="591" w:type="dxa"/>
                  <w:vAlign w:val="center"/>
                </w:tcPr>
                <w:p w14:paraId="2D96C9BD">
                  <w:pPr>
                    <w:jc w:val="center"/>
                    <w:rPr>
                      <w:color w:val="auto"/>
                      <w:szCs w:val="21"/>
                    </w:rPr>
                  </w:pPr>
                  <w:r>
                    <w:rPr>
                      <w:rFonts w:hint="eastAsia"/>
                      <w:color w:val="auto"/>
                      <w:szCs w:val="21"/>
                    </w:rPr>
                    <w:t>固态</w:t>
                  </w:r>
                </w:p>
              </w:tc>
              <w:tc>
                <w:tcPr>
                  <w:tcW w:w="1271" w:type="dxa"/>
                  <w:vAlign w:val="center"/>
                </w:tcPr>
                <w:p w14:paraId="0CC6163B">
                  <w:pPr>
                    <w:jc w:val="center"/>
                    <w:rPr>
                      <w:color w:val="auto"/>
                      <w:szCs w:val="21"/>
                    </w:rPr>
                  </w:pPr>
                  <w:r>
                    <w:rPr>
                      <w:rFonts w:hint="eastAsia"/>
                      <w:color w:val="auto"/>
                      <w:szCs w:val="21"/>
                    </w:rPr>
                    <w:t>垃圾桶/箱收集</w:t>
                  </w:r>
                </w:p>
              </w:tc>
              <w:tc>
                <w:tcPr>
                  <w:tcW w:w="1183" w:type="dxa"/>
                  <w:vAlign w:val="center"/>
                </w:tcPr>
                <w:p w14:paraId="264F7C40">
                  <w:pPr>
                    <w:jc w:val="center"/>
                    <w:rPr>
                      <w:color w:val="auto"/>
                      <w:szCs w:val="21"/>
                    </w:rPr>
                  </w:pPr>
                  <w:r>
                    <w:rPr>
                      <w:rFonts w:hint="eastAsia"/>
                      <w:color w:val="auto"/>
                      <w:szCs w:val="21"/>
                    </w:rPr>
                    <w:t>交由环卫部门清运处置</w:t>
                  </w:r>
                </w:p>
              </w:tc>
            </w:tr>
            <w:tr w14:paraId="79B7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restart"/>
                  <w:vAlign w:val="center"/>
                </w:tcPr>
                <w:p w14:paraId="08B6294C">
                  <w:pPr>
                    <w:jc w:val="center"/>
                    <w:rPr>
                      <w:color w:val="auto"/>
                      <w:szCs w:val="21"/>
                    </w:rPr>
                  </w:pPr>
                  <w:r>
                    <w:rPr>
                      <w:rFonts w:hint="eastAsia"/>
                      <w:color w:val="auto"/>
                      <w:szCs w:val="21"/>
                    </w:rPr>
                    <w:t>九龙卫生院</w:t>
                  </w:r>
                </w:p>
              </w:tc>
              <w:tc>
                <w:tcPr>
                  <w:tcW w:w="795" w:type="dxa"/>
                  <w:vMerge w:val="restart"/>
                  <w:vAlign w:val="center"/>
                </w:tcPr>
                <w:p w14:paraId="4F5AFDE2">
                  <w:pPr>
                    <w:jc w:val="center"/>
                    <w:rPr>
                      <w:color w:val="auto"/>
                    </w:rPr>
                  </w:pPr>
                  <w:r>
                    <w:rPr>
                      <w:rFonts w:hint="eastAsia"/>
                      <w:color w:val="auto"/>
                    </w:rPr>
                    <w:t>危险废物</w:t>
                  </w:r>
                </w:p>
              </w:tc>
              <w:tc>
                <w:tcPr>
                  <w:tcW w:w="795" w:type="dxa"/>
                  <w:vMerge w:val="restart"/>
                  <w:vAlign w:val="center"/>
                </w:tcPr>
                <w:p w14:paraId="70CAA68F">
                  <w:pPr>
                    <w:jc w:val="center"/>
                    <w:rPr>
                      <w:color w:val="auto"/>
                      <w:szCs w:val="21"/>
                    </w:rPr>
                  </w:pPr>
                  <w:r>
                    <w:rPr>
                      <w:rFonts w:hint="eastAsia"/>
                      <w:color w:val="auto"/>
                      <w:szCs w:val="21"/>
                    </w:rPr>
                    <w:t>HW01医疗废物</w:t>
                  </w:r>
                </w:p>
              </w:tc>
              <w:tc>
                <w:tcPr>
                  <w:tcW w:w="1187" w:type="dxa"/>
                  <w:vAlign w:val="center"/>
                </w:tcPr>
                <w:p w14:paraId="2964A586">
                  <w:pPr>
                    <w:jc w:val="center"/>
                    <w:rPr>
                      <w:color w:val="auto"/>
                      <w:szCs w:val="21"/>
                    </w:rPr>
                  </w:pPr>
                  <w:r>
                    <w:rPr>
                      <w:rFonts w:hint="eastAsia"/>
                      <w:color w:val="auto"/>
                      <w:szCs w:val="21"/>
                    </w:rPr>
                    <w:t>感染性废物</w:t>
                  </w:r>
                </w:p>
              </w:tc>
              <w:tc>
                <w:tcPr>
                  <w:tcW w:w="1229" w:type="dxa"/>
                  <w:vAlign w:val="center"/>
                </w:tcPr>
                <w:p w14:paraId="152EDCF9">
                  <w:pPr>
                    <w:jc w:val="center"/>
                    <w:rPr>
                      <w:color w:val="auto"/>
                      <w:szCs w:val="21"/>
                    </w:rPr>
                  </w:pPr>
                  <w:r>
                    <w:rPr>
                      <w:rFonts w:hint="eastAsia"/>
                      <w:color w:val="auto"/>
                      <w:szCs w:val="21"/>
                    </w:rPr>
                    <w:t>841-001-01</w:t>
                  </w:r>
                </w:p>
              </w:tc>
              <w:tc>
                <w:tcPr>
                  <w:tcW w:w="828" w:type="dxa"/>
                  <w:vMerge w:val="restart"/>
                  <w:vAlign w:val="center"/>
                </w:tcPr>
                <w:p w14:paraId="41E00763">
                  <w:pPr>
                    <w:jc w:val="center"/>
                    <w:rPr>
                      <w:color w:val="auto"/>
                      <w:szCs w:val="21"/>
                    </w:rPr>
                  </w:pPr>
                  <w:r>
                    <w:rPr>
                      <w:rFonts w:hint="eastAsia"/>
                      <w:color w:val="auto"/>
                      <w:szCs w:val="21"/>
                    </w:rPr>
                    <w:t>6.56</w:t>
                  </w:r>
                </w:p>
              </w:tc>
              <w:tc>
                <w:tcPr>
                  <w:tcW w:w="591" w:type="dxa"/>
                  <w:vAlign w:val="center"/>
                </w:tcPr>
                <w:p w14:paraId="4A882D04">
                  <w:pPr>
                    <w:jc w:val="center"/>
                    <w:rPr>
                      <w:color w:val="auto"/>
                      <w:szCs w:val="21"/>
                    </w:rPr>
                  </w:pPr>
                  <w:r>
                    <w:rPr>
                      <w:rFonts w:hint="eastAsia"/>
                      <w:color w:val="auto"/>
                      <w:szCs w:val="21"/>
                    </w:rPr>
                    <w:t>固态</w:t>
                  </w:r>
                </w:p>
              </w:tc>
              <w:tc>
                <w:tcPr>
                  <w:tcW w:w="1271" w:type="dxa"/>
                  <w:vMerge w:val="restart"/>
                  <w:vAlign w:val="center"/>
                </w:tcPr>
                <w:p w14:paraId="6533DA4D">
                  <w:pPr>
                    <w:jc w:val="center"/>
                    <w:rPr>
                      <w:color w:val="auto"/>
                      <w:szCs w:val="21"/>
                    </w:rPr>
                  </w:pPr>
                  <w:r>
                    <w:rPr>
                      <w:rFonts w:hint="eastAsia"/>
                      <w:color w:val="auto"/>
                      <w:szCs w:val="21"/>
                    </w:rPr>
                    <w:t>消毒、分类、毁形、收集包装，放入医疗废物暂存间暂存</w:t>
                  </w:r>
                </w:p>
              </w:tc>
              <w:tc>
                <w:tcPr>
                  <w:tcW w:w="1183" w:type="dxa"/>
                  <w:vMerge w:val="restart"/>
                  <w:vAlign w:val="center"/>
                </w:tcPr>
                <w:p w14:paraId="114AB2BD">
                  <w:pPr>
                    <w:jc w:val="center"/>
                    <w:rPr>
                      <w:color w:val="auto"/>
                      <w:szCs w:val="21"/>
                    </w:rPr>
                  </w:pPr>
                  <w:r>
                    <w:rPr>
                      <w:rFonts w:hint="eastAsia"/>
                      <w:color w:val="auto"/>
                      <w:szCs w:val="21"/>
                    </w:rPr>
                    <w:t>交由玉溪兴洁垃圾处理有限公司</w:t>
                  </w:r>
                </w:p>
              </w:tc>
            </w:tr>
            <w:tr w14:paraId="081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165A66FC">
                  <w:pPr>
                    <w:jc w:val="center"/>
                    <w:rPr>
                      <w:color w:val="auto"/>
                      <w:szCs w:val="21"/>
                    </w:rPr>
                  </w:pPr>
                </w:p>
              </w:tc>
              <w:tc>
                <w:tcPr>
                  <w:tcW w:w="795" w:type="dxa"/>
                  <w:vMerge w:val="continue"/>
                  <w:vAlign w:val="center"/>
                </w:tcPr>
                <w:p w14:paraId="252D9702">
                  <w:pPr>
                    <w:jc w:val="center"/>
                    <w:rPr>
                      <w:color w:val="auto"/>
                    </w:rPr>
                  </w:pPr>
                </w:p>
              </w:tc>
              <w:tc>
                <w:tcPr>
                  <w:tcW w:w="795" w:type="dxa"/>
                  <w:vMerge w:val="continue"/>
                  <w:vAlign w:val="center"/>
                </w:tcPr>
                <w:p w14:paraId="6106E9D0">
                  <w:pPr>
                    <w:jc w:val="center"/>
                    <w:rPr>
                      <w:color w:val="auto"/>
                      <w:szCs w:val="21"/>
                    </w:rPr>
                  </w:pPr>
                </w:p>
              </w:tc>
              <w:tc>
                <w:tcPr>
                  <w:tcW w:w="1187" w:type="dxa"/>
                  <w:vAlign w:val="center"/>
                </w:tcPr>
                <w:p w14:paraId="6144B258">
                  <w:pPr>
                    <w:jc w:val="center"/>
                    <w:rPr>
                      <w:color w:val="auto"/>
                      <w:szCs w:val="21"/>
                    </w:rPr>
                  </w:pPr>
                  <w:r>
                    <w:rPr>
                      <w:rFonts w:hint="eastAsia"/>
                      <w:color w:val="auto"/>
                      <w:szCs w:val="21"/>
                    </w:rPr>
                    <w:t>损伤性废物</w:t>
                  </w:r>
                </w:p>
              </w:tc>
              <w:tc>
                <w:tcPr>
                  <w:tcW w:w="1229" w:type="dxa"/>
                  <w:vAlign w:val="center"/>
                </w:tcPr>
                <w:p w14:paraId="237AB562">
                  <w:pPr>
                    <w:jc w:val="center"/>
                    <w:rPr>
                      <w:color w:val="auto"/>
                      <w:szCs w:val="21"/>
                    </w:rPr>
                  </w:pPr>
                  <w:r>
                    <w:rPr>
                      <w:rFonts w:hint="eastAsia"/>
                      <w:color w:val="auto"/>
                      <w:szCs w:val="21"/>
                    </w:rPr>
                    <w:t>841-002-01</w:t>
                  </w:r>
                </w:p>
              </w:tc>
              <w:tc>
                <w:tcPr>
                  <w:tcW w:w="828" w:type="dxa"/>
                  <w:vMerge w:val="continue"/>
                  <w:vAlign w:val="center"/>
                </w:tcPr>
                <w:p w14:paraId="358D3B28">
                  <w:pPr>
                    <w:jc w:val="center"/>
                    <w:rPr>
                      <w:color w:val="auto"/>
                      <w:szCs w:val="21"/>
                    </w:rPr>
                  </w:pPr>
                </w:p>
              </w:tc>
              <w:tc>
                <w:tcPr>
                  <w:tcW w:w="591" w:type="dxa"/>
                  <w:vAlign w:val="center"/>
                </w:tcPr>
                <w:p w14:paraId="06233D1C">
                  <w:pPr>
                    <w:jc w:val="center"/>
                    <w:rPr>
                      <w:color w:val="auto"/>
                      <w:szCs w:val="21"/>
                    </w:rPr>
                  </w:pPr>
                  <w:r>
                    <w:rPr>
                      <w:rFonts w:hint="eastAsia"/>
                      <w:color w:val="auto"/>
                      <w:szCs w:val="21"/>
                    </w:rPr>
                    <w:t>固态</w:t>
                  </w:r>
                </w:p>
              </w:tc>
              <w:tc>
                <w:tcPr>
                  <w:tcW w:w="1271" w:type="dxa"/>
                  <w:vMerge w:val="continue"/>
                  <w:vAlign w:val="center"/>
                </w:tcPr>
                <w:p w14:paraId="10EC0AE8">
                  <w:pPr>
                    <w:jc w:val="center"/>
                    <w:rPr>
                      <w:color w:val="auto"/>
                      <w:szCs w:val="21"/>
                    </w:rPr>
                  </w:pPr>
                </w:p>
              </w:tc>
              <w:tc>
                <w:tcPr>
                  <w:tcW w:w="1183" w:type="dxa"/>
                  <w:vMerge w:val="continue"/>
                  <w:vAlign w:val="center"/>
                </w:tcPr>
                <w:p w14:paraId="4A6B0E71">
                  <w:pPr>
                    <w:jc w:val="center"/>
                    <w:rPr>
                      <w:color w:val="auto"/>
                      <w:szCs w:val="21"/>
                    </w:rPr>
                  </w:pPr>
                </w:p>
              </w:tc>
            </w:tr>
            <w:tr w14:paraId="7DB7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4C258AB4">
                  <w:pPr>
                    <w:jc w:val="center"/>
                    <w:rPr>
                      <w:color w:val="auto"/>
                      <w:szCs w:val="21"/>
                    </w:rPr>
                  </w:pPr>
                </w:p>
              </w:tc>
              <w:tc>
                <w:tcPr>
                  <w:tcW w:w="795" w:type="dxa"/>
                  <w:vMerge w:val="continue"/>
                  <w:vAlign w:val="center"/>
                </w:tcPr>
                <w:p w14:paraId="5746FDC5">
                  <w:pPr>
                    <w:jc w:val="center"/>
                    <w:rPr>
                      <w:color w:val="auto"/>
                    </w:rPr>
                  </w:pPr>
                </w:p>
              </w:tc>
              <w:tc>
                <w:tcPr>
                  <w:tcW w:w="795" w:type="dxa"/>
                  <w:vMerge w:val="continue"/>
                  <w:vAlign w:val="center"/>
                </w:tcPr>
                <w:p w14:paraId="59825B5C">
                  <w:pPr>
                    <w:jc w:val="center"/>
                    <w:rPr>
                      <w:color w:val="auto"/>
                      <w:szCs w:val="21"/>
                    </w:rPr>
                  </w:pPr>
                </w:p>
              </w:tc>
              <w:tc>
                <w:tcPr>
                  <w:tcW w:w="1187" w:type="dxa"/>
                  <w:vAlign w:val="center"/>
                </w:tcPr>
                <w:p w14:paraId="78F7CEBB">
                  <w:pPr>
                    <w:jc w:val="center"/>
                    <w:rPr>
                      <w:color w:val="auto"/>
                      <w:szCs w:val="21"/>
                    </w:rPr>
                  </w:pPr>
                  <w:r>
                    <w:rPr>
                      <w:rFonts w:hint="eastAsia"/>
                      <w:color w:val="auto"/>
                      <w:szCs w:val="21"/>
                    </w:rPr>
                    <w:t>化学性废物</w:t>
                  </w:r>
                </w:p>
              </w:tc>
              <w:tc>
                <w:tcPr>
                  <w:tcW w:w="1229" w:type="dxa"/>
                  <w:vAlign w:val="center"/>
                </w:tcPr>
                <w:p w14:paraId="55C2D4DE">
                  <w:pPr>
                    <w:jc w:val="center"/>
                    <w:rPr>
                      <w:color w:val="auto"/>
                      <w:szCs w:val="21"/>
                    </w:rPr>
                  </w:pPr>
                  <w:r>
                    <w:rPr>
                      <w:rFonts w:hint="eastAsia"/>
                      <w:color w:val="auto"/>
                      <w:szCs w:val="21"/>
                    </w:rPr>
                    <w:t>841-004-01</w:t>
                  </w:r>
                </w:p>
              </w:tc>
              <w:tc>
                <w:tcPr>
                  <w:tcW w:w="828" w:type="dxa"/>
                  <w:vMerge w:val="continue"/>
                  <w:vAlign w:val="center"/>
                </w:tcPr>
                <w:p w14:paraId="2E6D2915">
                  <w:pPr>
                    <w:jc w:val="center"/>
                    <w:rPr>
                      <w:color w:val="auto"/>
                      <w:szCs w:val="21"/>
                    </w:rPr>
                  </w:pPr>
                </w:p>
              </w:tc>
              <w:tc>
                <w:tcPr>
                  <w:tcW w:w="591" w:type="dxa"/>
                  <w:vAlign w:val="center"/>
                </w:tcPr>
                <w:p w14:paraId="2CCDDBB4">
                  <w:pPr>
                    <w:jc w:val="center"/>
                    <w:rPr>
                      <w:color w:val="auto"/>
                      <w:szCs w:val="21"/>
                    </w:rPr>
                  </w:pPr>
                  <w:r>
                    <w:rPr>
                      <w:rFonts w:hint="eastAsia"/>
                      <w:color w:val="auto"/>
                      <w:szCs w:val="21"/>
                    </w:rPr>
                    <w:t>固态</w:t>
                  </w:r>
                </w:p>
              </w:tc>
              <w:tc>
                <w:tcPr>
                  <w:tcW w:w="1271" w:type="dxa"/>
                  <w:vMerge w:val="continue"/>
                  <w:vAlign w:val="center"/>
                </w:tcPr>
                <w:p w14:paraId="70725065">
                  <w:pPr>
                    <w:jc w:val="center"/>
                    <w:rPr>
                      <w:color w:val="auto"/>
                      <w:szCs w:val="21"/>
                    </w:rPr>
                  </w:pPr>
                </w:p>
              </w:tc>
              <w:tc>
                <w:tcPr>
                  <w:tcW w:w="1183" w:type="dxa"/>
                  <w:vMerge w:val="continue"/>
                  <w:vAlign w:val="center"/>
                </w:tcPr>
                <w:p w14:paraId="6C8321E2">
                  <w:pPr>
                    <w:jc w:val="center"/>
                    <w:rPr>
                      <w:color w:val="auto"/>
                      <w:szCs w:val="21"/>
                    </w:rPr>
                  </w:pPr>
                </w:p>
              </w:tc>
            </w:tr>
            <w:tr w14:paraId="3D07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0ED5AE93">
                  <w:pPr>
                    <w:jc w:val="center"/>
                    <w:rPr>
                      <w:color w:val="auto"/>
                      <w:szCs w:val="21"/>
                    </w:rPr>
                  </w:pPr>
                </w:p>
              </w:tc>
              <w:tc>
                <w:tcPr>
                  <w:tcW w:w="795" w:type="dxa"/>
                  <w:vMerge w:val="continue"/>
                  <w:vAlign w:val="center"/>
                </w:tcPr>
                <w:p w14:paraId="3696E3FE">
                  <w:pPr>
                    <w:jc w:val="center"/>
                    <w:rPr>
                      <w:color w:val="auto"/>
                    </w:rPr>
                  </w:pPr>
                </w:p>
              </w:tc>
              <w:tc>
                <w:tcPr>
                  <w:tcW w:w="795" w:type="dxa"/>
                  <w:vMerge w:val="continue"/>
                  <w:vAlign w:val="center"/>
                </w:tcPr>
                <w:p w14:paraId="55B54FA7">
                  <w:pPr>
                    <w:jc w:val="center"/>
                    <w:rPr>
                      <w:color w:val="auto"/>
                      <w:szCs w:val="21"/>
                    </w:rPr>
                  </w:pPr>
                </w:p>
              </w:tc>
              <w:tc>
                <w:tcPr>
                  <w:tcW w:w="1187" w:type="dxa"/>
                  <w:vAlign w:val="center"/>
                </w:tcPr>
                <w:p w14:paraId="27BDA557">
                  <w:pPr>
                    <w:jc w:val="center"/>
                    <w:rPr>
                      <w:color w:val="auto"/>
                      <w:szCs w:val="21"/>
                    </w:rPr>
                  </w:pPr>
                  <w:r>
                    <w:rPr>
                      <w:rFonts w:hint="eastAsia"/>
                      <w:color w:val="auto"/>
                      <w:szCs w:val="21"/>
                    </w:rPr>
                    <w:t>药物性废物</w:t>
                  </w:r>
                </w:p>
              </w:tc>
              <w:tc>
                <w:tcPr>
                  <w:tcW w:w="1229" w:type="dxa"/>
                  <w:vAlign w:val="center"/>
                </w:tcPr>
                <w:p w14:paraId="317CD51F">
                  <w:pPr>
                    <w:jc w:val="center"/>
                    <w:rPr>
                      <w:color w:val="auto"/>
                      <w:szCs w:val="21"/>
                    </w:rPr>
                  </w:pPr>
                  <w:r>
                    <w:rPr>
                      <w:rFonts w:hint="eastAsia"/>
                      <w:color w:val="auto"/>
                      <w:szCs w:val="21"/>
                    </w:rPr>
                    <w:t>841-005-01</w:t>
                  </w:r>
                </w:p>
              </w:tc>
              <w:tc>
                <w:tcPr>
                  <w:tcW w:w="828" w:type="dxa"/>
                  <w:vMerge w:val="continue"/>
                  <w:vAlign w:val="center"/>
                </w:tcPr>
                <w:p w14:paraId="1D08C9ED">
                  <w:pPr>
                    <w:jc w:val="center"/>
                    <w:rPr>
                      <w:color w:val="auto"/>
                      <w:szCs w:val="21"/>
                    </w:rPr>
                  </w:pPr>
                </w:p>
              </w:tc>
              <w:tc>
                <w:tcPr>
                  <w:tcW w:w="591" w:type="dxa"/>
                  <w:vAlign w:val="center"/>
                </w:tcPr>
                <w:p w14:paraId="75373D65">
                  <w:pPr>
                    <w:jc w:val="center"/>
                    <w:rPr>
                      <w:color w:val="auto"/>
                      <w:szCs w:val="21"/>
                    </w:rPr>
                  </w:pPr>
                  <w:r>
                    <w:rPr>
                      <w:rFonts w:hint="eastAsia"/>
                      <w:color w:val="auto"/>
                      <w:szCs w:val="21"/>
                    </w:rPr>
                    <w:t>固态</w:t>
                  </w:r>
                </w:p>
              </w:tc>
              <w:tc>
                <w:tcPr>
                  <w:tcW w:w="1271" w:type="dxa"/>
                  <w:vMerge w:val="continue"/>
                  <w:vAlign w:val="center"/>
                </w:tcPr>
                <w:p w14:paraId="633B43A6">
                  <w:pPr>
                    <w:jc w:val="center"/>
                    <w:rPr>
                      <w:color w:val="auto"/>
                      <w:szCs w:val="21"/>
                    </w:rPr>
                  </w:pPr>
                </w:p>
              </w:tc>
              <w:tc>
                <w:tcPr>
                  <w:tcW w:w="1183" w:type="dxa"/>
                  <w:vMerge w:val="continue"/>
                  <w:vAlign w:val="center"/>
                </w:tcPr>
                <w:p w14:paraId="739F3029">
                  <w:pPr>
                    <w:jc w:val="center"/>
                    <w:rPr>
                      <w:color w:val="auto"/>
                      <w:szCs w:val="21"/>
                    </w:rPr>
                  </w:pPr>
                </w:p>
              </w:tc>
            </w:tr>
            <w:tr w14:paraId="6AB6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66DB92A8">
                  <w:pPr>
                    <w:jc w:val="center"/>
                    <w:rPr>
                      <w:color w:val="auto"/>
                      <w:szCs w:val="21"/>
                    </w:rPr>
                  </w:pPr>
                </w:p>
              </w:tc>
              <w:tc>
                <w:tcPr>
                  <w:tcW w:w="795" w:type="dxa"/>
                  <w:vMerge w:val="continue"/>
                  <w:vAlign w:val="center"/>
                </w:tcPr>
                <w:p w14:paraId="10962D45">
                  <w:pPr>
                    <w:jc w:val="center"/>
                    <w:rPr>
                      <w:color w:val="auto"/>
                    </w:rPr>
                  </w:pPr>
                </w:p>
              </w:tc>
              <w:tc>
                <w:tcPr>
                  <w:tcW w:w="795" w:type="dxa"/>
                  <w:vAlign w:val="center"/>
                </w:tcPr>
                <w:p w14:paraId="6C537BAB">
                  <w:pPr>
                    <w:jc w:val="center"/>
                    <w:rPr>
                      <w:color w:val="auto"/>
                      <w:szCs w:val="21"/>
                    </w:rPr>
                  </w:pPr>
                  <w:r>
                    <w:rPr>
                      <w:rFonts w:hint="eastAsia"/>
                      <w:color w:val="auto"/>
                      <w:szCs w:val="21"/>
                    </w:rPr>
                    <w:t>HW49其他废物</w:t>
                  </w:r>
                </w:p>
              </w:tc>
              <w:tc>
                <w:tcPr>
                  <w:tcW w:w="1187" w:type="dxa"/>
                  <w:vAlign w:val="center"/>
                </w:tcPr>
                <w:p w14:paraId="59BC3386">
                  <w:pPr>
                    <w:jc w:val="center"/>
                    <w:rPr>
                      <w:color w:val="auto"/>
                      <w:szCs w:val="21"/>
                    </w:rPr>
                  </w:pPr>
                  <w:r>
                    <w:rPr>
                      <w:rFonts w:hint="eastAsia"/>
                      <w:color w:val="auto"/>
                      <w:szCs w:val="21"/>
                    </w:rPr>
                    <w:t>污水处理设施</w:t>
                  </w:r>
                </w:p>
              </w:tc>
              <w:tc>
                <w:tcPr>
                  <w:tcW w:w="1229" w:type="dxa"/>
                  <w:vAlign w:val="center"/>
                </w:tcPr>
                <w:p w14:paraId="241184CE">
                  <w:pPr>
                    <w:jc w:val="center"/>
                    <w:rPr>
                      <w:color w:val="auto"/>
                      <w:szCs w:val="21"/>
                    </w:rPr>
                  </w:pPr>
                  <w:r>
                    <w:rPr>
                      <w:rFonts w:hint="eastAsia"/>
                      <w:color w:val="auto"/>
                      <w:szCs w:val="21"/>
                    </w:rPr>
                    <w:t>772-006-49</w:t>
                  </w:r>
                </w:p>
              </w:tc>
              <w:tc>
                <w:tcPr>
                  <w:tcW w:w="828" w:type="dxa"/>
                  <w:vAlign w:val="center"/>
                </w:tcPr>
                <w:p w14:paraId="4F20A69B">
                  <w:pPr>
                    <w:jc w:val="center"/>
                    <w:rPr>
                      <w:color w:val="auto"/>
                      <w:szCs w:val="21"/>
                    </w:rPr>
                  </w:pPr>
                  <w:r>
                    <w:rPr>
                      <w:rFonts w:hint="eastAsia"/>
                      <w:color w:val="auto"/>
                      <w:szCs w:val="21"/>
                    </w:rPr>
                    <w:t>131.91</w:t>
                  </w:r>
                </w:p>
              </w:tc>
              <w:tc>
                <w:tcPr>
                  <w:tcW w:w="591" w:type="dxa"/>
                  <w:vAlign w:val="center"/>
                </w:tcPr>
                <w:p w14:paraId="32A464FF">
                  <w:pPr>
                    <w:jc w:val="center"/>
                    <w:rPr>
                      <w:color w:val="auto"/>
                      <w:szCs w:val="21"/>
                    </w:rPr>
                  </w:pPr>
                  <w:r>
                    <w:rPr>
                      <w:rFonts w:hint="eastAsia"/>
                      <w:color w:val="auto"/>
                      <w:szCs w:val="21"/>
                    </w:rPr>
                    <w:t>固态</w:t>
                  </w:r>
                </w:p>
              </w:tc>
              <w:tc>
                <w:tcPr>
                  <w:tcW w:w="1271" w:type="dxa"/>
                  <w:vAlign w:val="center"/>
                </w:tcPr>
                <w:p w14:paraId="67C3588F">
                  <w:pPr>
                    <w:jc w:val="center"/>
                    <w:rPr>
                      <w:color w:val="auto"/>
                      <w:szCs w:val="21"/>
                    </w:rPr>
                  </w:pPr>
                  <w:r>
                    <w:rPr>
                      <w:rFonts w:hint="eastAsia"/>
                      <w:color w:val="auto"/>
                      <w:szCs w:val="21"/>
                    </w:rPr>
                    <w:t>由环卫部门定期清掏脱水后由环卫部门交由有资质单位处置</w:t>
                  </w:r>
                </w:p>
              </w:tc>
              <w:tc>
                <w:tcPr>
                  <w:tcW w:w="1183" w:type="dxa"/>
                  <w:vAlign w:val="center"/>
                </w:tcPr>
                <w:p w14:paraId="4C29628E">
                  <w:pPr>
                    <w:jc w:val="center"/>
                    <w:rPr>
                      <w:color w:val="auto"/>
                      <w:szCs w:val="21"/>
                    </w:rPr>
                  </w:pPr>
                  <w:r>
                    <w:rPr>
                      <w:rFonts w:hint="eastAsia"/>
                      <w:color w:val="auto"/>
                      <w:szCs w:val="21"/>
                    </w:rPr>
                    <w:t>交有资质单位处置</w:t>
                  </w:r>
                </w:p>
              </w:tc>
            </w:tr>
            <w:tr w14:paraId="2541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7FA5B1BD">
                  <w:pPr>
                    <w:jc w:val="center"/>
                    <w:rPr>
                      <w:color w:val="auto"/>
                      <w:szCs w:val="21"/>
                    </w:rPr>
                  </w:pPr>
                </w:p>
              </w:tc>
              <w:tc>
                <w:tcPr>
                  <w:tcW w:w="795" w:type="dxa"/>
                  <w:vAlign w:val="center"/>
                </w:tcPr>
                <w:p w14:paraId="12A0A8A2">
                  <w:pPr>
                    <w:jc w:val="center"/>
                    <w:rPr>
                      <w:color w:val="auto"/>
                    </w:rPr>
                  </w:pPr>
                  <w:r>
                    <w:rPr>
                      <w:rFonts w:hint="eastAsia"/>
                      <w:color w:val="auto"/>
                    </w:rPr>
                    <w:t>一般固废</w:t>
                  </w:r>
                </w:p>
              </w:tc>
              <w:tc>
                <w:tcPr>
                  <w:tcW w:w="795" w:type="dxa"/>
                  <w:vAlign w:val="center"/>
                </w:tcPr>
                <w:p w14:paraId="387203D4">
                  <w:pPr>
                    <w:jc w:val="center"/>
                    <w:rPr>
                      <w:color w:val="auto"/>
                      <w:szCs w:val="21"/>
                    </w:rPr>
                  </w:pPr>
                  <w:r>
                    <w:rPr>
                      <w:rFonts w:hint="eastAsia"/>
                      <w:color w:val="auto"/>
                      <w:szCs w:val="21"/>
                    </w:rPr>
                    <w:t>生活垃圾</w:t>
                  </w:r>
                </w:p>
              </w:tc>
              <w:tc>
                <w:tcPr>
                  <w:tcW w:w="1187" w:type="dxa"/>
                  <w:vAlign w:val="center"/>
                </w:tcPr>
                <w:p w14:paraId="09099F9B">
                  <w:pPr>
                    <w:jc w:val="center"/>
                    <w:rPr>
                      <w:color w:val="auto"/>
                      <w:szCs w:val="21"/>
                    </w:rPr>
                  </w:pPr>
                  <w:r>
                    <w:rPr>
                      <w:rFonts w:hint="eastAsia"/>
                      <w:color w:val="auto"/>
                      <w:szCs w:val="21"/>
                    </w:rPr>
                    <w:t>生活垃圾</w:t>
                  </w:r>
                </w:p>
              </w:tc>
              <w:tc>
                <w:tcPr>
                  <w:tcW w:w="1229" w:type="dxa"/>
                  <w:vAlign w:val="center"/>
                </w:tcPr>
                <w:p w14:paraId="513CAAA4">
                  <w:pPr>
                    <w:jc w:val="center"/>
                    <w:rPr>
                      <w:color w:val="auto"/>
                      <w:szCs w:val="21"/>
                    </w:rPr>
                  </w:pPr>
                  <w:r>
                    <w:rPr>
                      <w:rFonts w:hint="eastAsia"/>
                      <w:color w:val="auto"/>
                      <w:szCs w:val="21"/>
                    </w:rPr>
                    <w:t>900-999-99</w:t>
                  </w:r>
                </w:p>
              </w:tc>
              <w:tc>
                <w:tcPr>
                  <w:tcW w:w="828" w:type="dxa"/>
                  <w:vAlign w:val="center"/>
                </w:tcPr>
                <w:p w14:paraId="1F6B2B4C">
                  <w:pPr>
                    <w:jc w:val="center"/>
                    <w:rPr>
                      <w:color w:val="auto"/>
                      <w:szCs w:val="21"/>
                    </w:rPr>
                  </w:pPr>
                  <w:r>
                    <w:rPr>
                      <w:rFonts w:hint="eastAsia"/>
                      <w:color w:val="auto"/>
                      <w:szCs w:val="21"/>
                    </w:rPr>
                    <w:t>8.43</w:t>
                  </w:r>
                </w:p>
              </w:tc>
              <w:tc>
                <w:tcPr>
                  <w:tcW w:w="591" w:type="dxa"/>
                  <w:vAlign w:val="center"/>
                </w:tcPr>
                <w:p w14:paraId="6D68D4A7">
                  <w:pPr>
                    <w:jc w:val="center"/>
                    <w:rPr>
                      <w:color w:val="auto"/>
                      <w:szCs w:val="21"/>
                    </w:rPr>
                  </w:pPr>
                  <w:r>
                    <w:rPr>
                      <w:rFonts w:hint="eastAsia"/>
                      <w:color w:val="auto"/>
                      <w:szCs w:val="21"/>
                    </w:rPr>
                    <w:t>固态</w:t>
                  </w:r>
                </w:p>
              </w:tc>
              <w:tc>
                <w:tcPr>
                  <w:tcW w:w="1271" w:type="dxa"/>
                  <w:vAlign w:val="center"/>
                </w:tcPr>
                <w:p w14:paraId="69B306E6">
                  <w:pPr>
                    <w:jc w:val="center"/>
                    <w:rPr>
                      <w:color w:val="auto"/>
                      <w:szCs w:val="21"/>
                    </w:rPr>
                  </w:pPr>
                  <w:r>
                    <w:rPr>
                      <w:rFonts w:hint="eastAsia"/>
                      <w:color w:val="auto"/>
                      <w:szCs w:val="21"/>
                    </w:rPr>
                    <w:t>垃圾桶/箱收集</w:t>
                  </w:r>
                </w:p>
              </w:tc>
              <w:tc>
                <w:tcPr>
                  <w:tcW w:w="1183" w:type="dxa"/>
                  <w:vAlign w:val="center"/>
                </w:tcPr>
                <w:p w14:paraId="141C85B1">
                  <w:pPr>
                    <w:jc w:val="center"/>
                    <w:rPr>
                      <w:color w:val="auto"/>
                      <w:szCs w:val="21"/>
                    </w:rPr>
                  </w:pPr>
                  <w:r>
                    <w:rPr>
                      <w:rFonts w:hint="eastAsia"/>
                      <w:color w:val="auto"/>
                      <w:szCs w:val="21"/>
                    </w:rPr>
                    <w:t>交由环卫部门清运处置</w:t>
                  </w:r>
                </w:p>
              </w:tc>
            </w:tr>
            <w:tr w14:paraId="0805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restart"/>
                  <w:vAlign w:val="center"/>
                </w:tcPr>
                <w:p w14:paraId="5EB7E2FD">
                  <w:pPr>
                    <w:jc w:val="center"/>
                    <w:rPr>
                      <w:color w:val="auto"/>
                      <w:szCs w:val="21"/>
                    </w:rPr>
                  </w:pPr>
                  <w:r>
                    <w:rPr>
                      <w:rFonts w:hint="eastAsia"/>
                      <w:color w:val="auto"/>
                      <w:szCs w:val="21"/>
                    </w:rPr>
                    <w:t>杨广卫生院</w:t>
                  </w:r>
                </w:p>
              </w:tc>
              <w:tc>
                <w:tcPr>
                  <w:tcW w:w="795" w:type="dxa"/>
                  <w:vMerge w:val="restart"/>
                  <w:vAlign w:val="center"/>
                </w:tcPr>
                <w:p w14:paraId="4F8BF19B">
                  <w:pPr>
                    <w:jc w:val="center"/>
                    <w:rPr>
                      <w:color w:val="auto"/>
                    </w:rPr>
                  </w:pPr>
                  <w:r>
                    <w:rPr>
                      <w:rFonts w:hint="eastAsia"/>
                      <w:color w:val="auto"/>
                    </w:rPr>
                    <w:t>危险废物</w:t>
                  </w:r>
                </w:p>
              </w:tc>
              <w:tc>
                <w:tcPr>
                  <w:tcW w:w="795" w:type="dxa"/>
                  <w:vMerge w:val="restart"/>
                  <w:vAlign w:val="center"/>
                </w:tcPr>
                <w:p w14:paraId="46C09E27">
                  <w:pPr>
                    <w:jc w:val="center"/>
                    <w:rPr>
                      <w:color w:val="auto"/>
                      <w:szCs w:val="21"/>
                    </w:rPr>
                  </w:pPr>
                  <w:r>
                    <w:rPr>
                      <w:rFonts w:hint="eastAsia"/>
                      <w:color w:val="auto"/>
                      <w:szCs w:val="21"/>
                    </w:rPr>
                    <w:t>HW01医疗废物</w:t>
                  </w:r>
                </w:p>
              </w:tc>
              <w:tc>
                <w:tcPr>
                  <w:tcW w:w="1187" w:type="dxa"/>
                  <w:vAlign w:val="center"/>
                </w:tcPr>
                <w:p w14:paraId="668005A6">
                  <w:pPr>
                    <w:jc w:val="center"/>
                    <w:rPr>
                      <w:color w:val="auto"/>
                      <w:szCs w:val="21"/>
                    </w:rPr>
                  </w:pPr>
                  <w:r>
                    <w:rPr>
                      <w:rFonts w:hint="eastAsia"/>
                      <w:color w:val="auto"/>
                      <w:szCs w:val="21"/>
                    </w:rPr>
                    <w:t>感染性废物</w:t>
                  </w:r>
                </w:p>
              </w:tc>
              <w:tc>
                <w:tcPr>
                  <w:tcW w:w="1229" w:type="dxa"/>
                  <w:vAlign w:val="center"/>
                </w:tcPr>
                <w:p w14:paraId="58659615">
                  <w:pPr>
                    <w:jc w:val="center"/>
                    <w:rPr>
                      <w:color w:val="auto"/>
                      <w:szCs w:val="21"/>
                    </w:rPr>
                  </w:pPr>
                  <w:r>
                    <w:rPr>
                      <w:rFonts w:hint="eastAsia"/>
                      <w:color w:val="auto"/>
                      <w:szCs w:val="21"/>
                    </w:rPr>
                    <w:t>841-001-01</w:t>
                  </w:r>
                </w:p>
              </w:tc>
              <w:tc>
                <w:tcPr>
                  <w:tcW w:w="828" w:type="dxa"/>
                  <w:vMerge w:val="restart"/>
                  <w:vAlign w:val="center"/>
                </w:tcPr>
                <w:p w14:paraId="4C3B893B">
                  <w:pPr>
                    <w:jc w:val="center"/>
                    <w:rPr>
                      <w:color w:val="auto"/>
                      <w:szCs w:val="21"/>
                    </w:rPr>
                  </w:pPr>
                  <w:r>
                    <w:rPr>
                      <w:rFonts w:hint="eastAsia"/>
                      <w:color w:val="auto"/>
                      <w:szCs w:val="21"/>
                    </w:rPr>
                    <w:t>4.34</w:t>
                  </w:r>
                </w:p>
              </w:tc>
              <w:tc>
                <w:tcPr>
                  <w:tcW w:w="591" w:type="dxa"/>
                  <w:vAlign w:val="center"/>
                </w:tcPr>
                <w:p w14:paraId="230C81F7">
                  <w:pPr>
                    <w:jc w:val="center"/>
                    <w:rPr>
                      <w:color w:val="auto"/>
                      <w:szCs w:val="21"/>
                    </w:rPr>
                  </w:pPr>
                  <w:r>
                    <w:rPr>
                      <w:rFonts w:hint="eastAsia"/>
                      <w:color w:val="auto"/>
                      <w:szCs w:val="21"/>
                    </w:rPr>
                    <w:t>固态</w:t>
                  </w:r>
                </w:p>
              </w:tc>
              <w:tc>
                <w:tcPr>
                  <w:tcW w:w="1271" w:type="dxa"/>
                  <w:vMerge w:val="restart"/>
                  <w:vAlign w:val="center"/>
                </w:tcPr>
                <w:p w14:paraId="31E298EE">
                  <w:pPr>
                    <w:jc w:val="center"/>
                    <w:rPr>
                      <w:color w:val="auto"/>
                      <w:szCs w:val="21"/>
                    </w:rPr>
                  </w:pPr>
                  <w:r>
                    <w:rPr>
                      <w:rFonts w:hint="eastAsia"/>
                      <w:color w:val="auto"/>
                      <w:szCs w:val="21"/>
                    </w:rPr>
                    <w:t>消毒、分类、毁形、收集包装，放入医疗废物暂存间暂存</w:t>
                  </w:r>
                </w:p>
              </w:tc>
              <w:tc>
                <w:tcPr>
                  <w:tcW w:w="1183" w:type="dxa"/>
                  <w:vMerge w:val="restart"/>
                  <w:vAlign w:val="center"/>
                </w:tcPr>
                <w:p w14:paraId="5D119EC7">
                  <w:pPr>
                    <w:jc w:val="center"/>
                    <w:rPr>
                      <w:color w:val="auto"/>
                      <w:szCs w:val="21"/>
                    </w:rPr>
                  </w:pPr>
                  <w:r>
                    <w:rPr>
                      <w:rFonts w:hint="eastAsia"/>
                      <w:color w:val="auto"/>
                      <w:szCs w:val="21"/>
                    </w:rPr>
                    <w:t>交由玉溪兴洁垃圾处理有限公司</w:t>
                  </w:r>
                </w:p>
              </w:tc>
            </w:tr>
            <w:tr w14:paraId="4BA7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46DA4569">
                  <w:pPr>
                    <w:jc w:val="center"/>
                    <w:rPr>
                      <w:color w:val="auto"/>
                      <w:szCs w:val="21"/>
                    </w:rPr>
                  </w:pPr>
                </w:p>
              </w:tc>
              <w:tc>
                <w:tcPr>
                  <w:tcW w:w="795" w:type="dxa"/>
                  <w:vMerge w:val="continue"/>
                  <w:vAlign w:val="center"/>
                </w:tcPr>
                <w:p w14:paraId="3EA5A137">
                  <w:pPr>
                    <w:jc w:val="center"/>
                    <w:rPr>
                      <w:color w:val="auto"/>
                    </w:rPr>
                  </w:pPr>
                </w:p>
              </w:tc>
              <w:tc>
                <w:tcPr>
                  <w:tcW w:w="795" w:type="dxa"/>
                  <w:vMerge w:val="continue"/>
                  <w:vAlign w:val="center"/>
                </w:tcPr>
                <w:p w14:paraId="73268D2D">
                  <w:pPr>
                    <w:jc w:val="center"/>
                    <w:rPr>
                      <w:color w:val="auto"/>
                      <w:szCs w:val="21"/>
                    </w:rPr>
                  </w:pPr>
                </w:p>
              </w:tc>
              <w:tc>
                <w:tcPr>
                  <w:tcW w:w="1187" w:type="dxa"/>
                  <w:vAlign w:val="center"/>
                </w:tcPr>
                <w:p w14:paraId="2902DB27">
                  <w:pPr>
                    <w:jc w:val="center"/>
                    <w:rPr>
                      <w:color w:val="auto"/>
                      <w:szCs w:val="21"/>
                    </w:rPr>
                  </w:pPr>
                  <w:r>
                    <w:rPr>
                      <w:rFonts w:hint="eastAsia"/>
                      <w:color w:val="auto"/>
                      <w:szCs w:val="21"/>
                    </w:rPr>
                    <w:t>损伤性废物</w:t>
                  </w:r>
                </w:p>
              </w:tc>
              <w:tc>
                <w:tcPr>
                  <w:tcW w:w="1229" w:type="dxa"/>
                  <w:vAlign w:val="center"/>
                </w:tcPr>
                <w:p w14:paraId="6D9E3EE8">
                  <w:pPr>
                    <w:jc w:val="center"/>
                    <w:rPr>
                      <w:color w:val="auto"/>
                      <w:szCs w:val="21"/>
                    </w:rPr>
                  </w:pPr>
                  <w:r>
                    <w:rPr>
                      <w:rFonts w:hint="eastAsia"/>
                      <w:color w:val="auto"/>
                      <w:szCs w:val="21"/>
                    </w:rPr>
                    <w:t>841-002-01</w:t>
                  </w:r>
                </w:p>
              </w:tc>
              <w:tc>
                <w:tcPr>
                  <w:tcW w:w="828" w:type="dxa"/>
                  <w:vMerge w:val="continue"/>
                  <w:vAlign w:val="center"/>
                </w:tcPr>
                <w:p w14:paraId="6AE03F04">
                  <w:pPr>
                    <w:jc w:val="center"/>
                    <w:rPr>
                      <w:color w:val="auto"/>
                      <w:szCs w:val="21"/>
                    </w:rPr>
                  </w:pPr>
                </w:p>
              </w:tc>
              <w:tc>
                <w:tcPr>
                  <w:tcW w:w="591" w:type="dxa"/>
                  <w:vAlign w:val="center"/>
                </w:tcPr>
                <w:p w14:paraId="37DE7CA8">
                  <w:pPr>
                    <w:jc w:val="center"/>
                    <w:rPr>
                      <w:color w:val="auto"/>
                      <w:szCs w:val="21"/>
                    </w:rPr>
                  </w:pPr>
                  <w:r>
                    <w:rPr>
                      <w:rFonts w:hint="eastAsia"/>
                      <w:color w:val="auto"/>
                      <w:szCs w:val="21"/>
                    </w:rPr>
                    <w:t>固态</w:t>
                  </w:r>
                </w:p>
              </w:tc>
              <w:tc>
                <w:tcPr>
                  <w:tcW w:w="1271" w:type="dxa"/>
                  <w:vMerge w:val="continue"/>
                  <w:vAlign w:val="center"/>
                </w:tcPr>
                <w:p w14:paraId="6D610AC7">
                  <w:pPr>
                    <w:jc w:val="center"/>
                    <w:rPr>
                      <w:color w:val="auto"/>
                      <w:szCs w:val="21"/>
                    </w:rPr>
                  </w:pPr>
                </w:p>
              </w:tc>
              <w:tc>
                <w:tcPr>
                  <w:tcW w:w="1183" w:type="dxa"/>
                  <w:vMerge w:val="continue"/>
                  <w:vAlign w:val="center"/>
                </w:tcPr>
                <w:p w14:paraId="3EE754A7">
                  <w:pPr>
                    <w:jc w:val="center"/>
                    <w:rPr>
                      <w:color w:val="auto"/>
                      <w:szCs w:val="21"/>
                    </w:rPr>
                  </w:pPr>
                </w:p>
              </w:tc>
            </w:tr>
            <w:tr w14:paraId="553A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6D71BBCC">
                  <w:pPr>
                    <w:jc w:val="center"/>
                    <w:rPr>
                      <w:color w:val="auto"/>
                      <w:szCs w:val="21"/>
                    </w:rPr>
                  </w:pPr>
                </w:p>
              </w:tc>
              <w:tc>
                <w:tcPr>
                  <w:tcW w:w="795" w:type="dxa"/>
                  <w:vMerge w:val="continue"/>
                  <w:vAlign w:val="center"/>
                </w:tcPr>
                <w:p w14:paraId="3F3E67B0">
                  <w:pPr>
                    <w:jc w:val="center"/>
                    <w:rPr>
                      <w:color w:val="auto"/>
                    </w:rPr>
                  </w:pPr>
                </w:p>
              </w:tc>
              <w:tc>
                <w:tcPr>
                  <w:tcW w:w="795" w:type="dxa"/>
                  <w:vMerge w:val="continue"/>
                  <w:vAlign w:val="center"/>
                </w:tcPr>
                <w:p w14:paraId="581C980A">
                  <w:pPr>
                    <w:jc w:val="center"/>
                    <w:rPr>
                      <w:color w:val="auto"/>
                      <w:szCs w:val="21"/>
                    </w:rPr>
                  </w:pPr>
                </w:p>
              </w:tc>
              <w:tc>
                <w:tcPr>
                  <w:tcW w:w="1187" w:type="dxa"/>
                  <w:vAlign w:val="center"/>
                </w:tcPr>
                <w:p w14:paraId="5C018DF3">
                  <w:pPr>
                    <w:jc w:val="center"/>
                    <w:rPr>
                      <w:color w:val="auto"/>
                      <w:szCs w:val="21"/>
                    </w:rPr>
                  </w:pPr>
                  <w:r>
                    <w:rPr>
                      <w:rFonts w:hint="eastAsia"/>
                      <w:color w:val="auto"/>
                      <w:szCs w:val="21"/>
                    </w:rPr>
                    <w:t>化学性废物</w:t>
                  </w:r>
                </w:p>
              </w:tc>
              <w:tc>
                <w:tcPr>
                  <w:tcW w:w="1229" w:type="dxa"/>
                  <w:vAlign w:val="center"/>
                </w:tcPr>
                <w:p w14:paraId="42AF86B5">
                  <w:pPr>
                    <w:jc w:val="center"/>
                    <w:rPr>
                      <w:color w:val="auto"/>
                      <w:szCs w:val="21"/>
                    </w:rPr>
                  </w:pPr>
                  <w:r>
                    <w:rPr>
                      <w:rFonts w:hint="eastAsia"/>
                      <w:color w:val="auto"/>
                      <w:szCs w:val="21"/>
                    </w:rPr>
                    <w:t>841-004-01</w:t>
                  </w:r>
                </w:p>
              </w:tc>
              <w:tc>
                <w:tcPr>
                  <w:tcW w:w="828" w:type="dxa"/>
                  <w:vMerge w:val="continue"/>
                  <w:vAlign w:val="center"/>
                </w:tcPr>
                <w:p w14:paraId="62CFA904">
                  <w:pPr>
                    <w:jc w:val="center"/>
                    <w:rPr>
                      <w:color w:val="auto"/>
                      <w:szCs w:val="21"/>
                    </w:rPr>
                  </w:pPr>
                </w:p>
              </w:tc>
              <w:tc>
                <w:tcPr>
                  <w:tcW w:w="591" w:type="dxa"/>
                  <w:vAlign w:val="center"/>
                </w:tcPr>
                <w:p w14:paraId="5393E16F">
                  <w:pPr>
                    <w:jc w:val="center"/>
                    <w:rPr>
                      <w:color w:val="auto"/>
                      <w:szCs w:val="21"/>
                    </w:rPr>
                  </w:pPr>
                  <w:r>
                    <w:rPr>
                      <w:rFonts w:hint="eastAsia"/>
                      <w:color w:val="auto"/>
                      <w:szCs w:val="21"/>
                    </w:rPr>
                    <w:t>固态</w:t>
                  </w:r>
                </w:p>
              </w:tc>
              <w:tc>
                <w:tcPr>
                  <w:tcW w:w="1271" w:type="dxa"/>
                  <w:vMerge w:val="continue"/>
                  <w:vAlign w:val="center"/>
                </w:tcPr>
                <w:p w14:paraId="6B3C3723">
                  <w:pPr>
                    <w:jc w:val="center"/>
                    <w:rPr>
                      <w:color w:val="auto"/>
                      <w:szCs w:val="21"/>
                    </w:rPr>
                  </w:pPr>
                </w:p>
              </w:tc>
              <w:tc>
                <w:tcPr>
                  <w:tcW w:w="1183" w:type="dxa"/>
                  <w:vMerge w:val="continue"/>
                  <w:vAlign w:val="center"/>
                </w:tcPr>
                <w:p w14:paraId="001C356D">
                  <w:pPr>
                    <w:jc w:val="center"/>
                    <w:rPr>
                      <w:color w:val="auto"/>
                      <w:szCs w:val="21"/>
                    </w:rPr>
                  </w:pPr>
                </w:p>
              </w:tc>
            </w:tr>
            <w:tr w14:paraId="75D6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379793D2">
                  <w:pPr>
                    <w:jc w:val="center"/>
                    <w:rPr>
                      <w:color w:val="auto"/>
                      <w:szCs w:val="21"/>
                    </w:rPr>
                  </w:pPr>
                </w:p>
              </w:tc>
              <w:tc>
                <w:tcPr>
                  <w:tcW w:w="795" w:type="dxa"/>
                  <w:vMerge w:val="continue"/>
                  <w:vAlign w:val="center"/>
                </w:tcPr>
                <w:p w14:paraId="4D0EA14D">
                  <w:pPr>
                    <w:jc w:val="center"/>
                    <w:rPr>
                      <w:color w:val="auto"/>
                    </w:rPr>
                  </w:pPr>
                </w:p>
              </w:tc>
              <w:tc>
                <w:tcPr>
                  <w:tcW w:w="795" w:type="dxa"/>
                  <w:vMerge w:val="continue"/>
                  <w:vAlign w:val="center"/>
                </w:tcPr>
                <w:p w14:paraId="454EE1C9">
                  <w:pPr>
                    <w:jc w:val="center"/>
                    <w:rPr>
                      <w:color w:val="auto"/>
                      <w:szCs w:val="21"/>
                    </w:rPr>
                  </w:pPr>
                </w:p>
              </w:tc>
              <w:tc>
                <w:tcPr>
                  <w:tcW w:w="1187" w:type="dxa"/>
                  <w:vAlign w:val="center"/>
                </w:tcPr>
                <w:p w14:paraId="7E38BB8D">
                  <w:pPr>
                    <w:jc w:val="center"/>
                    <w:rPr>
                      <w:color w:val="auto"/>
                      <w:szCs w:val="21"/>
                    </w:rPr>
                  </w:pPr>
                  <w:r>
                    <w:rPr>
                      <w:rFonts w:hint="eastAsia"/>
                      <w:color w:val="auto"/>
                      <w:szCs w:val="21"/>
                    </w:rPr>
                    <w:t>药物性废物</w:t>
                  </w:r>
                </w:p>
              </w:tc>
              <w:tc>
                <w:tcPr>
                  <w:tcW w:w="1229" w:type="dxa"/>
                  <w:vAlign w:val="center"/>
                </w:tcPr>
                <w:p w14:paraId="618000C3">
                  <w:pPr>
                    <w:jc w:val="center"/>
                    <w:rPr>
                      <w:color w:val="auto"/>
                      <w:szCs w:val="21"/>
                    </w:rPr>
                  </w:pPr>
                  <w:r>
                    <w:rPr>
                      <w:rFonts w:hint="eastAsia"/>
                      <w:color w:val="auto"/>
                      <w:szCs w:val="21"/>
                    </w:rPr>
                    <w:t>841-005-01</w:t>
                  </w:r>
                </w:p>
              </w:tc>
              <w:tc>
                <w:tcPr>
                  <w:tcW w:w="828" w:type="dxa"/>
                  <w:vMerge w:val="continue"/>
                  <w:vAlign w:val="center"/>
                </w:tcPr>
                <w:p w14:paraId="06AA3274">
                  <w:pPr>
                    <w:jc w:val="center"/>
                    <w:rPr>
                      <w:color w:val="auto"/>
                      <w:szCs w:val="21"/>
                    </w:rPr>
                  </w:pPr>
                </w:p>
              </w:tc>
              <w:tc>
                <w:tcPr>
                  <w:tcW w:w="591" w:type="dxa"/>
                  <w:vAlign w:val="center"/>
                </w:tcPr>
                <w:p w14:paraId="4A5E380C">
                  <w:pPr>
                    <w:jc w:val="center"/>
                    <w:rPr>
                      <w:color w:val="auto"/>
                      <w:szCs w:val="21"/>
                    </w:rPr>
                  </w:pPr>
                  <w:r>
                    <w:rPr>
                      <w:rFonts w:hint="eastAsia"/>
                      <w:color w:val="auto"/>
                      <w:szCs w:val="21"/>
                    </w:rPr>
                    <w:t>固态</w:t>
                  </w:r>
                </w:p>
              </w:tc>
              <w:tc>
                <w:tcPr>
                  <w:tcW w:w="1271" w:type="dxa"/>
                  <w:vMerge w:val="continue"/>
                  <w:vAlign w:val="center"/>
                </w:tcPr>
                <w:p w14:paraId="1B990F22">
                  <w:pPr>
                    <w:jc w:val="center"/>
                    <w:rPr>
                      <w:color w:val="auto"/>
                      <w:szCs w:val="21"/>
                    </w:rPr>
                  </w:pPr>
                </w:p>
              </w:tc>
              <w:tc>
                <w:tcPr>
                  <w:tcW w:w="1183" w:type="dxa"/>
                  <w:vMerge w:val="continue"/>
                  <w:vAlign w:val="center"/>
                </w:tcPr>
                <w:p w14:paraId="59E65EF8">
                  <w:pPr>
                    <w:jc w:val="center"/>
                    <w:rPr>
                      <w:color w:val="auto"/>
                      <w:szCs w:val="21"/>
                    </w:rPr>
                  </w:pPr>
                </w:p>
              </w:tc>
            </w:tr>
            <w:tr w14:paraId="0479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3829D86C">
                  <w:pPr>
                    <w:jc w:val="center"/>
                    <w:rPr>
                      <w:color w:val="auto"/>
                      <w:szCs w:val="21"/>
                    </w:rPr>
                  </w:pPr>
                </w:p>
              </w:tc>
              <w:tc>
                <w:tcPr>
                  <w:tcW w:w="795" w:type="dxa"/>
                  <w:vMerge w:val="continue"/>
                  <w:vAlign w:val="center"/>
                </w:tcPr>
                <w:p w14:paraId="38607CE1">
                  <w:pPr>
                    <w:jc w:val="center"/>
                    <w:rPr>
                      <w:color w:val="auto"/>
                    </w:rPr>
                  </w:pPr>
                </w:p>
              </w:tc>
              <w:tc>
                <w:tcPr>
                  <w:tcW w:w="795" w:type="dxa"/>
                  <w:vAlign w:val="center"/>
                </w:tcPr>
                <w:p w14:paraId="68A38ED0">
                  <w:pPr>
                    <w:jc w:val="center"/>
                    <w:rPr>
                      <w:color w:val="auto"/>
                      <w:szCs w:val="21"/>
                    </w:rPr>
                  </w:pPr>
                  <w:r>
                    <w:rPr>
                      <w:rFonts w:hint="eastAsia"/>
                      <w:color w:val="auto"/>
                      <w:szCs w:val="21"/>
                    </w:rPr>
                    <w:t>HW49其他废物</w:t>
                  </w:r>
                </w:p>
              </w:tc>
              <w:tc>
                <w:tcPr>
                  <w:tcW w:w="1187" w:type="dxa"/>
                  <w:vAlign w:val="center"/>
                </w:tcPr>
                <w:p w14:paraId="65AAC1EA">
                  <w:pPr>
                    <w:jc w:val="center"/>
                    <w:rPr>
                      <w:color w:val="auto"/>
                      <w:szCs w:val="21"/>
                    </w:rPr>
                  </w:pPr>
                  <w:r>
                    <w:rPr>
                      <w:rFonts w:hint="eastAsia"/>
                      <w:color w:val="auto"/>
                      <w:szCs w:val="21"/>
                    </w:rPr>
                    <w:t>污水处理设施</w:t>
                  </w:r>
                </w:p>
              </w:tc>
              <w:tc>
                <w:tcPr>
                  <w:tcW w:w="1229" w:type="dxa"/>
                  <w:vAlign w:val="center"/>
                </w:tcPr>
                <w:p w14:paraId="62DE0D9D">
                  <w:pPr>
                    <w:jc w:val="center"/>
                    <w:rPr>
                      <w:color w:val="auto"/>
                      <w:szCs w:val="21"/>
                    </w:rPr>
                  </w:pPr>
                  <w:r>
                    <w:rPr>
                      <w:rFonts w:hint="eastAsia"/>
                      <w:color w:val="auto"/>
                      <w:szCs w:val="21"/>
                    </w:rPr>
                    <w:t>772-006-49</w:t>
                  </w:r>
                </w:p>
              </w:tc>
              <w:tc>
                <w:tcPr>
                  <w:tcW w:w="828" w:type="dxa"/>
                  <w:vAlign w:val="center"/>
                </w:tcPr>
                <w:p w14:paraId="7BBD378B">
                  <w:pPr>
                    <w:jc w:val="center"/>
                    <w:rPr>
                      <w:color w:val="auto"/>
                      <w:szCs w:val="21"/>
                    </w:rPr>
                  </w:pPr>
                  <w:r>
                    <w:rPr>
                      <w:rFonts w:hint="eastAsia"/>
                      <w:color w:val="auto"/>
                      <w:szCs w:val="21"/>
                    </w:rPr>
                    <w:t>55.48</w:t>
                  </w:r>
                </w:p>
              </w:tc>
              <w:tc>
                <w:tcPr>
                  <w:tcW w:w="591" w:type="dxa"/>
                  <w:vAlign w:val="center"/>
                </w:tcPr>
                <w:p w14:paraId="2508C4D6">
                  <w:pPr>
                    <w:jc w:val="center"/>
                    <w:rPr>
                      <w:color w:val="auto"/>
                      <w:szCs w:val="21"/>
                    </w:rPr>
                  </w:pPr>
                  <w:r>
                    <w:rPr>
                      <w:rFonts w:hint="eastAsia"/>
                      <w:color w:val="auto"/>
                      <w:szCs w:val="21"/>
                    </w:rPr>
                    <w:t>固态</w:t>
                  </w:r>
                </w:p>
              </w:tc>
              <w:tc>
                <w:tcPr>
                  <w:tcW w:w="1271" w:type="dxa"/>
                  <w:vAlign w:val="center"/>
                </w:tcPr>
                <w:p w14:paraId="5C740A9A">
                  <w:pPr>
                    <w:jc w:val="center"/>
                    <w:rPr>
                      <w:color w:val="auto"/>
                      <w:szCs w:val="21"/>
                    </w:rPr>
                  </w:pPr>
                  <w:r>
                    <w:rPr>
                      <w:rFonts w:hint="eastAsia"/>
                      <w:color w:val="auto"/>
                      <w:szCs w:val="21"/>
                    </w:rPr>
                    <w:t>由环卫部门定期清掏脱水后由环卫部门交由有资质单位处置</w:t>
                  </w:r>
                </w:p>
              </w:tc>
              <w:tc>
                <w:tcPr>
                  <w:tcW w:w="1183" w:type="dxa"/>
                  <w:vAlign w:val="center"/>
                </w:tcPr>
                <w:p w14:paraId="6AC78D02">
                  <w:pPr>
                    <w:jc w:val="center"/>
                    <w:rPr>
                      <w:color w:val="auto"/>
                      <w:szCs w:val="21"/>
                    </w:rPr>
                  </w:pPr>
                  <w:r>
                    <w:rPr>
                      <w:rFonts w:hint="eastAsia"/>
                      <w:color w:val="auto"/>
                      <w:szCs w:val="21"/>
                    </w:rPr>
                    <w:t>交有资质单位处置</w:t>
                  </w:r>
                </w:p>
              </w:tc>
            </w:tr>
            <w:tr w14:paraId="0C99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457588D0">
                  <w:pPr>
                    <w:jc w:val="center"/>
                    <w:rPr>
                      <w:color w:val="auto"/>
                      <w:szCs w:val="21"/>
                    </w:rPr>
                  </w:pPr>
                </w:p>
              </w:tc>
              <w:tc>
                <w:tcPr>
                  <w:tcW w:w="795" w:type="dxa"/>
                  <w:vAlign w:val="center"/>
                </w:tcPr>
                <w:p w14:paraId="490E5AE5">
                  <w:pPr>
                    <w:jc w:val="center"/>
                    <w:rPr>
                      <w:color w:val="auto"/>
                    </w:rPr>
                  </w:pPr>
                  <w:r>
                    <w:rPr>
                      <w:rFonts w:hint="eastAsia"/>
                      <w:color w:val="auto"/>
                    </w:rPr>
                    <w:t>一般固废</w:t>
                  </w:r>
                </w:p>
              </w:tc>
              <w:tc>
                <w:tcPr>
                  <w:tcW w:w="795" w:type="dxa"/>
                  <w:vAlign w:val="center"/>
                </w:tcPr>
                <w:p w14:paraId="46C1DA09">
                  <w:pPr>
                    <w:jc w:val="center"/>
                    <w:rPr>
                      <w:color w:val="auto"/>
                      <w:szCs w:val="21"/>
                    </w:rPr>
                  </w:pPr>
                  <w:r>
                    <w:rPr>
                      <w:rFonts w:hint="eastAsia"/>
                      <w:color w:val="auto"/>
                      <w:szCs w:val="21"/>
                    </w:rPr>
                    <w:t>生活垃圾</w:t>
                  </w:r>
                </w:p>
              </w:tc>
              <w:tc>
                <w:tcPr>
                  <w:tcW w:w="1187" w:type="dxa"/>
                  <w:vAlign w:val="center"/>
                </w:tcPr>
                <w:p w14:paraId="15D652C1">
                  <w:pPr>
                    <w:jc w:val="center"/>
                    <w:rPr>
                      <w:color w:val="auto"/>
                      <w:szCs w:val="21"/>
                    </w:rPr>
                  </w:pPr>
                  <w:r>
                    <w:rPr>
                      <w:rFonts w:hint="eastAsia"/>
                      <w:color w:val="auto"/>
                      <w:szCs w:val="21"/>
                    </w:rPr>
                    <w:t>生活垃圾</w:t>
                  </w:r>
                </w:p>
              </w:tc>
              <w:tc>
                <w:tcPr>
                  <w:tcW w:w="1229" w:type="dxa"/>
                  <w:vAlign w:val="center"/>
                </w:tcPr>
                <w:p w14:paraId="5A317487">
                  <w:pPr>
                    <w:jc w:val="center"/>
                    <w:rPr>
                      <w:color w:val="auto"/>
                      <w:szCs w:val="21"/>
                    </w:rPr>
                  </w:pPr>
                  <w:r>
                    <w:rPr>
                      <w:rFonts w:hint="eastAsia"/>
                      <w:color w:val="auto"/>
                      <w:szCs w:val="21"/>
                    </w:rPr>
                    <w:t>900-999-99</w:t>
                  </w:r>
                </w:p>
              </w:tc>
              <w:tc>
                <w:tcPr>
                  <w:tcW w:w="828" w:type="dxa"/>
                  <w:vAlign w:val="center"/>
                </w:tcPr>
                <w:p w14:paraId="365044A6">
                  <w:pPr>
                    <w:jc w:val="center"/>
                    <w:rPr>
                      <w:color w:val="auto"/>
                      <w:szCs w:val="21"/>
                    </w:rPr>
                  </w:pPr>
                  <w:r>
                    <w:rPr>
                      <w:rFonts w:hint="eastAsia"/>
                      <w:color w:val="auto"/>
                      <w:szCs w:val="21"/>
                    </w:rPr>
                    <w:t>5.33</w:t>
                  </w:r>
                </w:p>
              </w:tc>
              <w:tc>
                <w:tcPr>
                  <w:tcW w:w="591" w:type="dxa"/>
                  <w:vAlign w:val="center"/>
                </w:tcPr>
                <w:p w14:paraId="40665378">
                  <w:pPr>
                    <w:jc w:val="center"/>
                    <w:rPr>
                      <w:color w:val="auto"/>
                      <w:szCs w:val="21"/>
                    </w:rPr>
                  </w:pPr>
                  <w:r>
                    <w:rPr>
                      <w:rFonts w:hint="eastAsia"/>
                      <w:color w:val="auto"/>
                      <w:szCs w:val="21"/>
                    </w:rPr>
                    <w:t>固态</w:t>
                  </w:r>
                </w:p>
              </w:tc>
              <w:tc>
                <w:tcPr>
                  <w:tcW w:w="1271" w:type="dxa"/>
                  <w:vAlign w:val="center"/>
                </w:tcPr>
                <w:p w14:paraId="309D0128">
                  <w:pPr>
                    <w:jc w:val="center"/>
                    <w:rPr>
                      <w:color w:val="auto"/>
                      <w:szCs w:val="21"/>
                    </w:rPr>
                  </w:pPr>
                  <w:r>
                    <w:rPr>
                      <w:rFonts w:hint="eastAsia"/>
                      <w:color w:val="auto"/>
                      <w:szCs w:val="21"/>
                    </w:rPr>
                    <w:t>垃圾桶/箱收集</w:t>
                  </w:r>
                </w:p>
              </w:tc>
              <w:tc>
                <w:tcPr>
                  <w:tcW w:w="1183" w:type="dxa"/>
                  <w:vAlign w:val="center"/>
                </w:tcPr>
                <w:p w14:paraId="124217DA">
                  <w:pPr>
                    <w:jc w:val="center"/>
                    <w:rPr>
                      <w:color w:val="auto"/>
                      <w:szCs w:val="21"/>
                    </w:rPr>
                  </w:pPr>
                  <w:r>
                    <w:rPr>
                      <w:rFonts w:hint="eastAsia"/>
                      <w:color w:val="auto"/>
                      <w:szCs w:val="21"/>
                    </w:rPr>
                    <w:t>交由环卫部门清运处置</w:t>
                  </w:r>
                </w:p>
              </w:tc>
            </w:tr>
            <w:bookmarkEnd w:id="82"/>
          </w:tbl>
          <w:p w14:paraId="01B99E8C">
            <w:pPr>
              <w:rPr>
                <w:color w:val="auto"/>
              </w:rPr>
            </w:pPr>
          </w:p>
          <w:p w14:paraId="49040E91">
            <w:pPr>
              <w:pStyle w:val="31"/>
              <w:spacing w:before="0" w:after="0" w:line="360" w:lineRule="auto"/>
              <w:ind w:right="0" w:firstLine="0" w:firstLineChars="0"/>
              <w:jc w:val="center"/>
              <w:rPr>
                <w:color w:val="auto"/>
                <w:sz w:val="32"/>
                <w:szCs w:val="32"/>
              </w:rPr>
            </w:pPr>
            <w:r>
              <w:rPr>
                <w:b/>
                <w:color w:val="auto"/>
                <w:sz w:val="24"/>
                <w:szCs w:val="32"/>
              </w:rPr>
              <w:t>表4-</w:t>
            </w:r>
            <w:r>
              <w:rPr>
                <w:rFonts w:hint="eastAsia"/>
                <w:b/>
                <w:color w:val="auto"/>
                <w:sz w:val="24"/>
                <w:szCs w:val="32"/>
              </w:rPr>
              <w:t>40</w:t>
            </w:r>
            <w:r>
              <w:rPr>
                <w:b/>
                <w:color w:val="auto"/>
                <w:sz w:val="24"/>
                <w:szCs w:val="32"/>
              </w:rPr>
              <w:t>危险废物属性及环境危险特性一览表</w:t>
            </w:r>
          </w:p>
          <w:tbl>
            <w:tblPr>
              <w:tblStyle w:val="33"/>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727"/>
              <w:gridCol w:w="3600"/>
              <w:gridCol w:w="1553"/>
            </w:tblGrid>
            <w:tr w14:paraId="4B47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dxa"/>
                  <w:tcBorders>
                    <w:top w:val="single" w:color="auto" w:sz="4" w:space="0"/>
                    <w:left w:val="single" w:color="auto" w:sz="4" w:space="0"/>
                    <w:bottom w:val="single" w:color="auto" w:sz="4" w:space="0"/>
                    <w:right w:val="single" w:color="auto" w:sz="4" w:space="0"/>
                  </w:tcBorders>
                  <w:vAlign w:val="center"/>
                </w:tcPr>
                <w:p w14:paraId="3BAFA2E0">
                  <w:pPr>
                    <w:jc w:val="center"/>
                    <w:rPr>
                      <w:b/>
                      <w:bCs/>
                      <w:color w:val="auto"/>
                      <w:szCs w:val="21"/>
                    </w:rPr>
                  </w:pPr>
                  <w:r>
                    <w:rPr>
                      <w:b/>
                      <w:bCs/>
                      <w:color w:val="auto"/>
                      <w:szCs w:val="21"/>
                    </w:rPr>
                    <w:t>名称</w:t>
                  </w:r>
                </w:p>
              </w:tc>
              <w:tc>
                <w:tcPr>
                  <w:tcW w:w="1727" w:type="dxa"/>
                  <w:tcBorders>
                    <w:top w:val="single" w:color="auto" w:sz="4" w:space="0"/>
                    <w:left w:val="single" w:color="auto" w:sz="4" w:space="0"/>
                    <w:bottom w:val="single" w:color="auto" w:sz="4" w:space="0"/>
                    <w:right w:val="single" w:color="auto" w:sz="4" w:space="0"/>
                  </w:tcBorders>
                  <w:vAlign w:val="center"/>
                </w:tcPr>
                <w:p w14:paraId="5C083FD1">
                  <w:pPr>
                    <w:jc w:val="center"/>
                    <w:rPr>
                      <w:b/>
                      <w:bCs/>
                      <w:color w:val="auto"/>
                      <w:szCs w:val="21"/>
                    </w:rPr>
                  </w:pPr>
                  <w:r>
                    <w:rPr>
                      <w:b/>
                      <w:bCs/>
                      <w:color w:val="auto"/>
                      <w:szCs w:val="21"/>
                    </w:rPr>
                    <w:t>废物类别</w:t>
                  </w:r>
                </w:p>
              </w:tc>
              <w:tc>
                <w:tcPr>
                  <w:tcW w:w="3600" w:type="dxa"/>
                  <w:tcBorders>
                    <w:top w:val="single" w:color="auto" w:sz="4" w:space="0"/>
                    <w:left w:val="single" w:color="auto" w:sz="4" w:space="0"/>
                    <w:bottom w:val="single" w:color="auto" w:sz="4" w:space="0"/>
                    <w:right w:val="single" w:color="auto" w:sz="4" w:space="0"/>
                  </w:tcBorders>
                  <w:vAlign w:val="center"/>
                </w:tcPr>
                <w:p w14:paraId="438529F7">
                  <w:pPr>
                    <w:jc w:val="center"/>
                    <w:rPr>
                      <w:b/>
                      <w:bCs/>
                      <w:color w:val="auto"/>
                      <w:szCs w:val="21"/>
                    </w:rPr>
                  </w:pPr>
                  <w:r>
                    <w:rPr>
                      <w:b/>
                      <w:bCs/>
                      <w:color w:val="auto"/>
                      <w:szCs w:val="21"/>
                    </w:rPr>
                    <w:t>废物代码</w:t>
                  </w:r>
                </w:p>
              </w:tc>
              <w:tc>
                <w:tcPr>
                  <w:tcW w:w="1553" w:type="dxa"/>
                  <w:tcBorders>
                    <w:top w:val="single" w:color="auto" w:sz="4" w:space="0"/>
                    <w:left w:val="single" w:color="auto" w:sz="4" w:space="0"/>
                    <w:bottom w:val="single" w:color="auto" w:sz="4" w:space="0"/>
                    <w:right w:val="single" w:color="auto" w:sz="4" w:space="0"/>
                  </w:tcBorders>
                  <w:vAlign w:val="center"/>
                </w:tcPr>
                <w:p w14:paraId="66A7B7ED">
                  <w:pPr>
                    <w:jc w:val="center"/>
                    <w:rPr>
                      <w:b/>
                      <w:bCs/>
                      <w:color w:val="auto"/>
                      <w:szCs w:val="21"/>
                    </w:rPr>
                  </w:pPr>
                  <w:r>
                    <w:rPr>
                      <w:b/>
                      <w:bCs/>
                      <w:color w:val="auto"/>
                      <w:szCs w:val="21"/>
                    </w:rPr>
                    <w:t>危险特性</w:t>
                  </w:r>
                </w:p>
              </w:tc>
            </w:tr>
            <w:tr w14:paraId="28A3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00" w:type="dxa"/>
                  <w:vMerge w:val="restart"/>
                  <w:tcBorders>
                    <w:top w:val="single" w:color="auto" w:sz="4" w:space="0"/>
                    <w:left w:val="single" w:color="auto" w:sz="4" w:space="0"/>
                    <w:right w:val="single" w:color="auto" w:sz="4" w:space="0"/>
                  </w:tcBorders>
                  <w:vAlign w:val="center"/>
                </w:tcPr>
                <w:p w14:paraId="24115F09">
                  <w:pPr>
                    <w:autoSpaceDE w:val="0"/>
                    <w:autoSpaceDN w:val="0"/>
                    <w:jc w:val="center"/>
                    <w:rPr>
                      <w:color w:val="auto"/>
                    </w:rPr>
                  </w:pPr>
                  <w:r>
                    <w:rPr>
                      <w:color w:val="auto"/>
                      <w:szCs w:val="21"/>
                    </w:rPr>
                    <w:t>医疗废物</w:t>
                  </w:r>
                </w:p>
              </w:tc>
              <w:tc>
                <w:tcPr>
                  <w:tcW w:w="1727" w:type="dxa"/>
                  <w:vMerge w:val="restart"/>
                  <w:tcBorders>
                    <w:top w:val="single" w:color="auto" w:sz="4" w:space="0"/>
                    <w:left w:val="single" w:color="auto" w:sz="4" w:space="0"/>
                    <w:right w:val="single" w:color="auto" w:sz="4" w:space="0"/>
                  </w:tcBorders>
                  <w:vAlign w:val="center"/>
                </w:tcPr>
                <w:p w14:paraId="49779BA9">
                  <w:pPr>
                    <w:jc w:val="center"/>
                    <w:rPr>
                      <w:color w:val="auto"/>
                      <w:szCs w:val="21"/>
                    </w:rPr>
                  </w:pPr>
                  <w:r>
                    <w:rPr>
                      <w:color w:val="auto"/>
                    </w:rPr>
                    <w:t>HW01医疗废物</w:t>
                  </w:r>
                </w:p>
              </w:tc>
              <w:tc>
                <w:tcPr>
                  <w:tcW w:w="3600" w:type="dxa"/>
                  <w:tcBorders>
                    <w:top w:val="single" w:color="auto" w:sz="4" w:space="0"/>
                    <w:left w:val="single" w:color="auto" w:sz="4" w:space="0"/>
                    <w:bottom w:val="single" w:color="auto" w:sz="4" w:space="0"/>
                    <w:right w:val="single" w:color="auto" w:sz="4" w:space="0"/>
                  </w:tcBorders>
                  <w:vAlign w:val="center"/>
                </w:tcPr>
                <w:p w14:paraId="0C9B6F80">
                  <w:pPr>
                    <w:jc w:val="center"/>
                    <w:rPr>
                      <w:color w:val="auto"/>
                      <w:szCs w:val="21"/>
                    </w:rPr>
                  </w:pPr>
                  <w:r>
                    <w:rPr>
                      <w:rFonts w:hint="eastAsia"/>
                      <w:color w:val="auto"/>
                      <w:szCs w:val="21"/>
                    </w:rPr>
                    <w:t>841-001-01感染性废物</w:t>
                  </w:r>
                </w:p>
              </w:tc>
              <w:tc>
                <w:tcPr>
                  <w:tcW w:w="1553" w:type="dxa"/>
                  <w:tcBorders>
                    <w:top w:val="single" w:color="auto" w:sz="4" w:space="0"/>
                    <w:left w:val="single" w:color="auto" w:sz="4" w:space="0"/>
                    <w:right w:val="single" w:color="auto" w:sz="4" w:space="0"/>
                  </w:tcBorders>
                  <w:vAlign w:val="center"/>
                </w:tcPr>
                <w:p w14:paraId="42113174">
                  <w:pPr>
                    <w:jc w:val="center"/>
                    <w:rPr>
                      <w:color w:val="auto"/>
                      <w:szCs w:val="21"/>
                    </w:rPr>
                  </w:pPr>
                  <w:r>
                    <w:rPr>
                      <w:rFonts w:hint="eastAsia"/>
                      <w:color w:val="auto"/>
                      <w:szCs w:val="21"/>
                    </w:rPr>
                    <w:t>In（感染性）</w:t>
                  </w:r>
                </w:p>
              </w:tc>
            </w:tr>
            <w:tr w14:paraId="3F9F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00" w:type="dxa"/>
                  <w:vMerge w:val="continue"/>
                  <w:tcBorders>
                    <w:left w:val="single" w:color="auto" w:sz="4" w:space="0"/>
                    <w:right w:val="single" w:color="auto" w:sz="4" w:space="0"/>
                  </w:tcBorders>
                  <w:vAlign w:val="center"/>
                </w:tcPr>
                <w:p w14:paraId="130C464E">
                  <w:pPr>
                    <w:autoSpaceDE w:val="0"/>
                    <w:autoSpaceDN w:val="0"/>
                    <w:jc w:val="center"/>
                    <w:rPr>
                      <w:color w:val="auto"/>
                      <w:szCs w:val="21"/>
                    </w:rPr>
                  </w:pPr>
                </w:p>
              </w:tc>
              <w:tc>
                <w:tcPr>
                  <w:tcW w:w="1727" w:type="dxa"/>
                  <w:vMerge w:val="continue"/>
                  <w:tcBorders>
                    <w:left w:val="single" w:color="auto" w:sz="4" w:space="0"/>
                    <w:right w:val="single" w:color="auto" w:sz="4" w:space="0"/>
                  </w:tcBorders>
                  <w:vAlign w:val="center"/>
                </w:tcPr>
                <w:p w14:paraId="58F1DAF4">
                  <w:pPr>
                    <w:jc w:val="center"/>
                    <w:rPr>
                      <w:color w:val="auto"/>
                    </w:rPr>
                  </w:pPr>
                </w:p>
              </w:tc>
              <w:tc>
                <w:tcPr>
                  <w:tcW w:w="3600" w:type="dxa"/>
                  <w:tcBorders>
                    <w:top w:val="single" w:color="auto" w:sz="4" w:space="0"/>
                    <w:left w:val="single" w:color="auto" w:sz="4" w:space="0"/>
                    <w:bottom w:val="single" w:color="auto" w:sz="4" w:space="0"/>
                    <w:right w:val="single" w:color="auto" w:sz="4" w:space="0"/>
                  </w:tcBorders>
                  <w:vAlign w:val="center"/>
                </w:tcPr>
                <w:p w14:paraId="51699A75">
                  <w:pPr>
                    <w:jc w:val="center"/>
                    <w:rPr>
                      <w:color w:val="auto"/>
                      <w:szCs w:val="21"/>
                    </w:rPr>
                  </w:pPr>
                  <w:r>
                    <w:rPr>
                      <w:rFonts w:hint="eastAsia"/>
                      <w:color w:val="auto"/>
                      <w:szCs w:val="21"/>
                    </w:rPr>
                    <w:t>841-002-01损伤性废物</w:t>
                  </w:r>
                </w:p>
              </w:tc>
              <w:tc>
                <w:tcPr>
                  <w:tcW w:w="1553" w:type="dxa"/>
                  <w:tcBorders>
                    <w:left w:val="single" w:color="auto" w:sz="4" w:space="0"/>
                    <w:right w:val="single" w:color="auto" w:sz="4" w:space="0"/>
                  </w:tcBorders>
                  <w:vAlign w:val="center"/>
                </w:tcPr>
                <w:p w14:paraId="5B574FD9">
                  <w:pPr>
                    <w:jc w:val="center"/>
                    <w:rPr>
                      <w:color w:val="auto"/>
                      <w:szCs w:val="21"/>
                    </w:rPr>
                  </w:pPr>
                  <w:r>
                    <w:rPr>
                      <w:rFonts w:hint="eastAsia"/>
                      <w:color w:val="auto"/>
                      <w:szCs w:val="21"/>
                    </w:rPr>
                    <w:t>In（感染性）</w:t>
                  </w:r>
                </w:p>
              </w:tc>
            </w:tr>
            <w:tr w14:paraId="7774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00" w:type="dxa"/>
                  <w:vMerge w:val="continue"/>
                  <w:tcBorders>
                    <w:left w:val="single" w:color="auto" w:sz="4" w:space="0"/>
                    <w:right w:val="single" w:color="auto" w:sz="4" w:space="0"/>
                  </w:tcBorders>
                  <w:vAlign w:val="center"/>
                </w:tcPr>
                <w:p w14:paraId="53D1EC87">
                  <w:pPr>
                    <w:autoSpaceDE w:val="0"/>
                    <w:autoSpaceDN w:val="0"/>
                    <w:jc w:val="center"/>
                    <w:rPr>
                      <w:color w:val="auto"/>
                      <w:szCs w:val="21"/>
                    </w:rPr>
                  </w:pPr>
                </w:p>
              </w:tc>
              <w:tc>
                <w:tcPr>
                  <w:tcW w:w="1727" w:type="dxa"/>
                  <w:vMerge w:val="continue"/>
                  <w:tcBorders>
                    <w:left w:val="single" w:color="auto" w:sz="4" w:space="0"/>
                    <w:right w:val="single" w:color="auto" w:sz="4" w:space="0"/>
                  </w:tcBorders>
                  <w:vAlign w:val="center"/>
                </w:tcPr>
                <w:p w14:paraId="376BD527">
                  <w:pPr>
                    <w:jc w:val="center"/>
                    <w:rPr>
                      <w:color w:val="auto"/>
                    </w:rPr>
                  </w:pPr>
                </w:p>
              </w:tc>
              <w:tc>
                <w:tcPr>
                  <w:tcW w:w="3600" w:type="dxa"/>
                  <w:tcBorders>
                    <w:top w:val="single" w:color="auto" w:sz="4" w:space="0"/>
                    <w:left w:val="single" w:color="auto" w:sz="4" w:space="0"/>
                    <w:bottom w:val="single" w:color="auto" w:sz="4" w:space="0"/>
                    <w:right w:val="single" w:color="auto" w:sz="4" w:space="0"/>
                  </w:tcBorders>
                  <w:vAlign w:val="center"/>
                </w:tcPr>
                <w:p w14:paraId="3EDD1867">
                  <w:pPr>
                    <w:jc w:val="center"/>
                    <w:rPr>
                      <w:color w:val="auto"/>
                      <w:szCs w:val="21"/>
                    </w:rPr>
                  </w:pPr>
                  <w:r>
                    <w:rPr>
                      <w:rFonts w:hint="eastAsia"/>
                      <w:color w:val="auto"/>
                      <w:szCs w:val="21"/>
                    </w:rPr>
                    <w:t>841-004-01化学性废物</w:t>
                  </w:r>
                </w:p>
              </w:tc>
              <w:tc>
                <w:tcPr>
                  <w:tcW w:w="1553" w:type="dxa"/>
                  <w:tcBorders>
                    <w:left w:val="single" w:color="auto" w:sz="4" w:space="0"/>
                    <w:right w:val="single" w:color="auto" w:sz="4" w:space="0"/>
                  </w:tcBorders>
                  <w:vAlign w:val="center"/>
                </w:tcPr>
                <w:p w14:paraId="42FDFC16">
                  <w:pPr>
                    <w:jc w:val="center"/>
                    <w:rPr>
                      <w:color w:val="auto"/>
                      <w:szCs w:val="21"/>
                    </w:rPr>
                  </w:pPr>
                  <w:r>
                    <w:rPr>
                      <w:rFonts w:hint="eastAsia"/>
                      <w:color w:val="auto"/>
                      <w:szCs w:val="21"/>
                    </w:rPr>
                    <w:t>T（毒性）</w:t>
                  </w:r>
                </w:p>
                <w:p w14:paraId="24BCBB93">
                  <w:pPr>
                    <w:jc w:val="center"/>
                    <w:rPr>
                      <w:color w:val="auto"/>
                      <w:szCs w:val="21"/>
                    </w:rPr>
                  </w:pPr>
                  <w:r>
                    <w:rPr>
                      <w:rFonts w:hint="eastAsia"/>
                      <w:color w:val="auto"/>
                      <w:szCs w:val="21"/>
                    </w:rPr>
                    <w:t>/C（腐蚀性）/I（易燃性）/R（反应性）</w:t>
                  </w:r>
                </w:p>
              </w:tc>
            </w:tr>
            <w:tr w14:paraId="363C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00" w:type="dxa"/>
                  <w:vMerge w:val="continue"/>
                  <w:tcBorders>
                    <w:left w:val="single" w:color="auto" w:sz="4" w:space="0"/>
                    <w:bottom w:val="single" w:color="auto" w:sz="4" w:space="0"/>
                    <w:right w:val="single" w:color="auto" w:sz="4" w:space="0"/>
                  </w:tcBorders>
                  <w:vAlign w:val="center"/>
                </w:tcPr>
                <w:p w14:paraId="53F333E6">
                  <w:pPr>
                    <w:autoSpaceDE w:val="0"/>
                    <w:autoSpaceDN w:val="0"/>
                    <w:jc w:val="center"/>
                    <w:rPr>
                      <w:color w:val="auto"/>
                      <w:szCs w:val="21"/>
                    </w:rPr>
                  </w:pPr>
                </w:p>
              </w:tc>
              <w:tc>
                <w:tcPr>
                  <w:tcW w:w="1727" w:type="dxa"/>
                  <w:vMerge w:val="continue"/>
                  <w:tcBorders>
                    <w:left w:val="single" w:color="auto" w:sz="4" w:space="0"/>
                    <w:bottom w:val="single" w:color="auto" w:sz="4" w:space="0"/>
                    <w:right w:val="single" w:color="auto" w:sz="4" w:space="0"/>
                  </w:tcBorders>
                  <w:vAlign w:val="center"/>
                </w:tcPr>
                <w:p w14:paraId="341AD732">
                  <w:pPr>
                    <w:jc w:val="center"/>
                    <w:rPr>
                      <w:color w:val="auto"/>
                    </w:rPr>
                  </w:pPr>
                </w:p>
              </w:tc>
              <w:tc>
                <w:tcPr>
                  <w:tcW w:w="3600" w:type="dxa"/>
                  <w:tcBorders>
                    <w:top w:val="single" w:color="auto" w:sz="4" w:space="0"/>
                    <w:left w:val="single" w:color="auto" w:sz="4" w:space="0"/>
                    <w:bottom w:val="single" w:color="auto" w:sz="4" w:space="0"/>
                    <w:right w:val="single" w:color="auto" w:sz="4" w:space="0"/>
                  </w:tcBorders>
                  <w:vAlign w:val="center"/>
                </w:tcPr>
                <w:p w14:paraId="04BE6E70">
                  <w:pPr>
                    <w:jc w:val="center"/>
                    <w:rPr>
                      <w:color w:val="auto"/>
                      <w:szCs w:val="21"/>
                    </w:rPr>
                  </w:pPr>
                  <w:r>
                    <w:rPr>
                      <w:rFonts w:hint="eastAsia"/>
                      <w:color w:val="auto"/>
                      <w:szCs w:val="21"/>
                    </w:rPr>
                    <w:t>841-005-01药物性废物</w:t>
                  </w:r>
                </w:p>
              </w:tc>
              <w:tc>
                <w:tcPr>
                  <w:tcW w:w="1553" w:type="dxa"/>
                  <w:tcBorders>
                    <w:left w:val="single" w:color="auto" w:sz="4" w:space="0"/>
                    <w:bottom w:val="single" w:color="auto" w:sz="4" w:space="0"/>
                    <w:right w:val="single" w:color="auto" w:sz="4" w:space="0"/>
                  </w:tcBorders>
                  <w:vAlign w:val="center"/>
                </w:tcPr>
                <w:p w14:paraId="189F66ED">
                  <w:pPr>
                    <w:jc w:val="center"/>
                    <w:rPr>
                      <w:color w:val="auto"/>
                      <w:szCs w:val="21"/>
                    </w:rPr>
                  </w:pPr>
                  <w:r>
                    <w:rPr>
                      <w:color w:val="auto"/>
                      <w:szCs w:val="21"/>
                    </w:rPr>
                    <w:t>T</w:t>
                  </w:r>
                  <w:r>
                    <w:rPr>
                      <w:rFonts w:hint="eastAsia"/>
                      <w:color w:val="auto"/>
                      <w:szCs w:val="21"/>
                    </w:rPr>
                    <w:t>（毒性）</w:t>
                  </w:r>
                </w:p>
              </w:tc>
            </w:tr>
            <w:tr w14:paraId="6710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dxa"/>
                  <w:tcBorders>
                    <w:top w:val="single" w:color="auto" w:sz="4" w:space="0"/>
                    <w:left w:val="single" w:color="auto" w:sz="4" w:space="0"/>
                    <w:bottom w:val="single" w:color="auto" w:sz="4" w:space="0"/>
                    <w:right w:val="single" w:color="auto" w:sz="4" w:space="0"/>
                  </w:tcBorders>
                  <w:vAlign w:val="center"/>
                </w:tcPr>
                <w:p w14:paraId="44622640">
                  <w:pPr>
                    <w:autoSpaceDE w:val="0"/>
                    <w:autoSpaceDN w:val="0"/>
                    <w:jc w:val="center"/>
                    <w:rPr>
                      <w:color w:val="auto"/>
                    </w:rPr>
                  </w:pPr>
                  <w:r>
                    <w:rPr>
                      <w:bCs/>
                      <w:color w:val="auto"/>
                    </w:rPr>
                    <w:t>化粪池和</w:t>
                  </w:r>
                  <w:r>
                    <w:rPr>
                      <w:rFonts w:hint="eastAsia"/>
                      <w:bCs/>
                      <w:color w:val="auto"/>
                    </w:rPr>
                    <w:t>污水处理设施</w:t>
                  </w:r>
                  <w:r>
                    <w:rPr>
                      <w:color w:val="auto"/>
                      <w:szCs w:val="21"/>
                    </w:rPr>
                    <w:t>污泥</w:t>
                  </w:r>
                </w:p>
              </w:tc>
              <w:tc>
                <w:tcPr>
                  <w:tcW w:w="1727" w:type="dxa"/>
                  <w:tcBorders>
                    <w:top w:val="single" w:color="auto" w:sz="4" w:space="0"/>
                    <w:left w:val="single" w:color="auto" w:sz="4" w:space="0"/>
                    <w:bottom w:val="single" w:color="auto" w:sz="4" w:space="0"/>
                    <w:right w:val="single" w:color="auto" w:sz="4" w:space="0"/>
                  </w:tcBorders>
                  <w:vAlign w:val="center"/>
                </w:tcPr>
                <w:p w14:paraId="04624802">
                  <w:pPr>
                    <w:jc w:val="center"/>
                    <w:rPr>
                      <w:color w:val="auto"/>
                      <w:szCs w:val="21"/>
                    </w:rPr>
                  </w:pPr>
                  <w:r>
                    <w:rPr>
                      <w:color w:val="auto"/>
                      <w:szCs w:val="21"/>
                    </w:rPr>
                    <w:t>HW49</w:t>
                  </w:r>
                  <w:r>
                    <w:rPr>
                      <w:rFonts w:hint="eastAsia"/>
                      <w:color w:val="auto"/>
                      <w:szCs w:val="21"/>
                    </w:rPr>
                    <w:t>其他废物</w:t>
                  </w:r>
                </w:p>
              </w:tc>
              <w:tc>
                <w:tcPr>
                  <w:tcW w:w="3600" w:type="dxa"/>
                  <w:tcBorders>
                    <w:top w:val="single" w:color="auto" w:sz="4" w:space="0"/>
                    <w:left w:val="single" w:color="auto" w:sz="4" w:space="0"/>
                    <w:bottom w:val="single" w:color="auto" w:sz="4" w:space="0"/>
                    <w:right w:val="single" w:color="auto" w:sz="4" w:space="0"/>
                  </w:tcBorders>
                  <w:vAlign w:val="center"/>
                </w:tcPr>
                <w:p w14:paraId="497137A3">
                  <w:pPr>
                    <w:jc w:val="center"/>
                    <w:rPr>
                      <w:color w:val="auto"/>
                      <w:szCs w:val="21"/>
                    </w:rPr>
                  </w:pPr>
                  <w:r>
                    <w:rPr>
                      <w:rFonts w:hint="eastAsia"/>
                      <w:bCs/>
                      <w:color w:val="auto"/>
                      <w:szCs w:val="21"/>
                    </w:rPr>
                    <w:t>772-006-49采用物理、化学、物理化学或生物方法处理或处置毒性或感染性危险废物过程中产生的废水处理污泥、残渣（液）</w:t>
                  </w:r>
                </w:p>
              </w:tc>
              <w:tc>
                <w:tcPr>
                  <w:tcW w:w="1553" w:type="dxa"/>
                  <w:tcBorders>
                    <w:top w:val="single" w:color="auto" w:sz="4" w:space="0"/>
                    <w:left w:val="single" w:color="auto" w:sz="4" w:space="0"/>
                    <w:bottom w:val="single" w:color="auto" w:sz="4" w:space="0"/>
                    <w:right w:val="single" w:color="auto" w:sz="4" w:space="0"/>
                  </w:tcBorders>
                  <w:vAlign w:val="center"/>
                </w:tcPr>
                <w:p w14:paraId="177049ED">
                  <w:pPr>
                    <w:jc w:val="center"/>
                    <w:rPr>
                      <w:color w:val="auto"/>
                      <w:szCs w:val="21"/>
                    </w:rPr>
                  </w:pPr>
                  <w:r>
                    <w:rPr>
                      <w:color w:val="auto"/>
                      <w:szCs w:val="21"/>
                    </w:rPr>
                    <w:t>T</w:t>
                  </w:r>
                  <w:r>
                    <w:rPr>
                      <w:rFonts w:hint="eastAsia"/>
                      <w:color w:val="auto"/>
                      <w:szCs w:val="21"/>
                    </w:rPr>
                    <w:t xml:space="preserve">（毒性）/ </w:t>
                  </w:r>
                </w:p>
                <w:p w14:paraId="49D0B72E">
                  <w:pPr>
                    <w:jc w:val="center"/>
                    <w:rPr>
                      <w:color w:val="auto"/>
                      <w:szCs w:val="21"/>
                    </w:rPr>
                  </w:pPr>
                  <w:r>
                    <w:rPr>
                      <w:rFonts w:hint="eastAsia"/>
                      <w:color w:val="auto"/>
                      <w:szCs w:val="21"/>
                    </w:rPr>
                    <w:t>In（感染性）</w:t>
                  </w:r>
                </w:p>
              </w:tc>
            </w:tr>
          </w:tbl>
          <w:p w14:paraId="72D05B29">
            <w:pPr>
              <w:spacing w:line="360" w:lineRule="auto"/>
              <w:ind w:firstLine="442" w:firstLineChars="200"/>
              <w:jc w:val="left"/>
              <w:rPr>
                <w:color w:val="auto"/>
                <w:sz w:val="24"/>
              </w:rPr>
            </w:pPr>
            <w:r>
              <w:rPr>
                <w:rFonts w:hint="eastAsia"/>
                <w:b/>
                <w:bCs/>
                <w:color w:val="auto"/>
                <w:spacing w:val="-10"/>
                <w:sz w:val="24"/>
              </w:rPr>
              <w:t>2</w:t>
            </w:r>
            <w:r>
              <w:rPr>
                <w:b/>
                <w:bCs/>
                <w:color w:val="auto"/>
                <w:spacing w:val="-10"/>
                <w:sz w:val="24"/>
              </w:rPr>
              <w:t>、环境管理要求</w:t>
            </w:r>
          </w:p>
          <w:p w14:paraId="3E4633DF">
            <w:pPr>
              <w:pStyle w:val="32"/>
              <w:spacing w:after="0" w:line="360" w:lineRule="auto"/>
              <w:ind w:left="0" w:leftChars="0" w:firstLine="480"/>
              <w:jc w:val="left"/>
              <w:rPr>
                <w:color w:val="auto"/>
              </w:rPr>
            </w:pPr>
            <w:r>
              <w:rPr>
                <w:color w:val="auto"/>
              </w:rPr>
              <w:t>1）固体废物贮存、处置场按《</w:t>
            </w:r>
            <w:r>
              <w:rPr>
                <w:rFonts w:hint="eastAsia"/>
                <w:color w:val="auto"/>
              </w:rPr>
              <w:t>危险废物识别标志设置技术规范</w:t>
            </w:r>
            <w:r>
              <w:rPr>
                <w:color w:val="auto"/>
              </w:rPr>
              <w:t>》</w:t>
            </w:r>
            <w:r>
              <w:rPr>
                <w:rFonts w:hint="eastAsia"/>
                <w:color w:val="auto"/>
              </w:rPr>
              <w:t>（HJ1276-2022）</w:t>
            </w:r>
            <w:r>
              <w:rPr>
                <w:color w:val="auto"/>
              </w:rPr>
              <w:t>设置图形标志。危险废物装载容器和包装物张贴标签；收集、贮存、运输、利用、处置危险废物的设施、场所设置危险废物警示标志和危险废物标签，标识标志正确、清晰、完好。</w:t>
            </w:r>
          </w:p>
          <w:p w14:paraId="2640D525">
            <w:pPr>
              <w:pStyle w:val="32"/>
              <w:spacing w:after="0" w:line="360" w:lineRule="auto"/>
              <w:ind w:left="0" w:leftChars="0" w:firstLine="480"/>
              <w:jc w:val="left"/>
              <w:rPr>
                <w:color w:val="auto"/>
              </w:rPr>
            </w:pPr>
            <w:r>
              <w:rPr>
                <w:color w:val="auto"/>
              </w:rPr>
              <w:t>2）应制定危险废物管理计划，管理计划内容包括所产生的全部危险废物种类，根据实际生产情况预测产生量并提出减少产生量的措施。</w:t>
            </w:r>
          </w:p>
          <w:p w14:paraId="203DABD5">
            <w:pPr>
              <w:pStyle w:val="32"/>
              <w:spacing w:after="0" w:line="360" w:lineRule="auto"/>
              <w:ind w:left="0" w:leftChars="0" w:firstLine="480"/>
              <w:jc w:val="left"/>
              <w:rPr>
                <w:color w:val="auto"/>
              </w:rPr>
            </w:pPr>
            <w:r>
              <w:rPr>
                <w:color w:val="auto"/>
              </w:rPr>
              <w:t>3）医疗废物的处置、管理、分类收集、运送与暂时储存、人员培训和职业安全防护</w:t>
            </w:r>
            <w:r>
              <w:rPr>
                <w:rFonts w:hint="eastAsia"/>
                <w:color w:val="auto"/>
              </w:rPr>
              <w:t>符合</w:t>
            </w:r>
            <w:r>
              <w:rPr>
                <w:color w:val="auto"/>
              </w:rPr>
              <w:t>《医疗废物管理条例》、《医疗卫生机构医疗废物管理办法》</w:t>
            </w:r>
            <w:r>
              <w:rPr>
                <w:rFonts w:hint="eastAsia"/>
                <w:color w:val="auto"/>
              </w:rPr>
              <w:t>相关规定，</w:t>
            </w:r>
            <w:r>
              <w:rPr>
                <w:color w:val="auto"/>
              </w:rPr>
              <w:t>危险废物贮存设施符合《危险废物贮存污染控制标准》的有关要求。</w:t>
            </w:r>
          </w:p>
          <w:p w14:paraId="78F5D77A">
            <w:pPr>
              <w:pStyle w:val="32"/>
              <w:spacing w:after="0" w:line="360" w:lineRule="auto"/>
              <w:ind w:left="0" w:leftChars="0" w:firstLine="480"/>
              <w:jc w:val="left"/>
              <w:rPr>
                <w:color w:val="auto"/>
              </w:rPr>
            </w:pPr>
            <w:r>
              <w:rPr>
                <w:color w:val="auto"/>
              </w:rPr>
              <w:t>4</w:t>
            </w:r>
            <w:r>
              <w:rPr>
                <w:rFonts w:hint="eastAsia"/>
                <w:color w:val="auto"/>
              </w:rPr>
              <w:t>）按照危险废物特性分类进行收集、贮存。不同种类的危险废物分开存放，有明显间隔，摆放整齐划一，每一类危险废物单独设置标识牌，不存放除危险废物和应急工具以外的物品。</w:t>
            </w:r>
          </w:p>
          <w:p w14:paraId="0A586001">
            <w:pPr>
              <w:pStyle w:val="32"/>
              <w:spacing w:after="0" w:line="360" w:lineRule="auto"/>
              <w:ind w:left="0" w:leftChars="0" w:firstLine="480"/>
              <w:jc w:val="left"/>
              <w:rPr>
                <w:color w:val="auto"/>
              </w:rPr>
            </w:pPr>
            <w:r>
              <w:rPr>
                <w:rFonts w:hint="eastAsia"/>
                <w:color w:val="auto"/>
              </w:rPr>
              <w:t>5</w:t>
            </w:r>
            <w:r>
              <w:rPr>
                <w:color w:val="auto"/>
              </w:rPr>
              <w:t>）建设单位应结合自身实际生产情况，如实记载危险废物的种类、产生量、流向、贮存、利用处置等信息，定期汇总，并分类装订成册，由专人管理，防止遗失。</w:t>
            </w:r>
          </w:p>
          <w:p w14:paraId="7B67C36D">
            <w:pPr>
              <w:pStyle w:val="32"/>
              <w:spacing w:after="0" w:line="360" w:lineRule="auto"/>
              <w:ind w:left="0" w:leftChars="0" w:firstLine="480"/>
              <w:jc w:val="left"/>
              <w:rPr>
                <w:color w:val="auto"/>
              </w:rPr>
            </w:pPr>
            <w:r>
              <w:rPr>
                <w:rFonts w:hint="eastAsia"/>
                <w:color w:val="auto"/>
              </w:rPr>
              <w:t>6</w:t>
            </w:r>
            <w:r>
              <w:rPr>
                <w:color w:val="auto"/>
              </w:rPr>
              <w:t>）签订危险废物转移合同，且合同在有效期内。并办理危险废物转移联单，且转移联单上的危险废物种类、数量与实际产生情况相符，至少保存5年。</w:t>
            </w:r>
          </w:p>
          <w:p w14:paraId="56C12E39">
            <w:pPr>
              <w:pStyle w:val="31"/>
              <w:spacing w:line="360" w:lineRule="auto"/>
              <w:ind w:firstLine="480" w:firstLineChars="200"/>
              <w:rPr>
                <w:color w:val="auto"/>
                <w:sz w:val="24"/>
              </w:rPr>
            </w:pPr>
            <w:r>
              <w:rPr>
                <w:rFonts w:hint="eastAsia"/>
                <w:color w:val="auto"/>
                <w:sz w:val="24"/>
              </w:rPr>
              <w:t>7）根据</w:t>
            </w:r>
            <w:r>
              <w:rPr>
                <w:color w:val="auto"/>
                <w:sz w:val="24"/>
              </w:rPr>
              <w:t>《医疗机构水污染排放标准》（GB18466-2005）中“5.3化粪池</w:t>
            </w:r>
            <w:r>
              <w:rPr>
                <w:rFonts w:hint="eastAsia"/>
                <w:color w:val="auto"/>
                <w:sz w:val="24"/>
              </w:rPr>
              <w:t>、污水站</w:t>
            </w:r>
            <w:r>
              <w:rPr>
                <w:color w:val="auto"/>
                <w:sz w:val="24"/>
              </w:rPr>
              <w:t>，清掏周期为180</w:t>
            </w:r>
            <w:r>
              <w:rPr>
                <w:rFonts w:hint="eastAsia"/>
                <w:color w:val="auto"/>
                <w:sz w:val="24"/>
              </w:rPr>
              <w:t>～</w:t>
            </w:r>
            <w:r>
              <w:rPr>
                <w:color w:val="auto"/>
                <w:sz w:val="24"/>
              </w:rPr>
              <w:t>360</w:t>
            </w:r>
            <w:r>
              <w:rPr>
                <w:rFonts w:hint="eastAsia"/>
                <w:color w:val="auto"/>
                <w:sz w:val="24"/>
              </w:rPr>
              <w:t>天</w:t>
            </w:r>
            <w:r>
              <w:rPr>
                <w:color w:val="auto"/>
                <w:sz w:val="24"/>
              </w:rPr>
              <w:t>”</w:t>
            </w:r>
            <w:r>
              <w:rPr>
                <w:rFonts w:hint="eastAsia"/>
                <w:color w:val="auto"/>
                <w:sz w:val="24"/>
              </w:rPr>
              <w:t>，污泥需按时清掏处置。</w:t>
            </w:r>
          </w:p>
          <w:p w14:paraId="4C1723D6">
            <w:pPr>
              <w:pStyle w:val="31"/>
              <w:snapToGrid/>
              <w:spacing w:before="0" w:after="0" w:line="360" w:lineRule="auto"/>
              <w:ind w:right="0" w:firstLine="442" w:firstLineChars="200"/>
              <w:jc w:val="left"/>
              <w:rPr>
                <w:color w:val="auto"/>
                <w:sz w:val="24"/>
                <w:szCs w:val="24"/>
              </w:rPr>
            </w:pPr>
            <w:r>
              <w:rPr>
                <w:b/>
                <w:bCs/>
                <w:color w:val="auto"/>
                <w:spacing w:val="-10"/>
                <w:sz w:val="24"/>
                <w:szCs w:val="24"/>
              </w:rPr>
              <w:t>4、固体废物环境影响分析</w:t>
            </w:r>
          </w:p>
          <w:p w14:paraId="2EC6AE7F">
            <w:pPr>
              <w:pStyle w:val="14"/>
              <w:widowControl w:val="0"/>
              <w:adjustRightInd w:val="0"/>
              <w:spacing w:before="0" w:after="0" w:line="360" w:lineRule="auto"/>
              <w:ind w:right="0" w:firstLine="482" w:firstLineChars="200"/>
              <w:rPr>
                <w:color w:val="auto"/>
                <w:kern w:val="2"/>
                <w:sz w:val="24"/>
                <w:szCs w:val="24"/>
              </w:rPr>
            </w:pPr>
            <w:r>
              <w:rPr>
                <w:rFonts w:hint="eastAsia"/>
                <w:b/>
                <w:bCs/>
                <w:color w:val="auto"/>
                <w:sz w:val="24"/>
              </w:rPr>
              <w:t>（1）一般固废</w:t>
            </w:r>
          </w:p>
          <w:p w14:paraId="17210B3E">
            <w:pPr>
              <w:pStyle w:val="14"/>
              <w:widowControl w:val="0"/>
              <w:adjustRightInd w:val="0"/>
              <w:spacing w:before="0" w:after="0" w:line="360" w:lineRule="auto"/>
              <w:ind w:right="0" w:firstLine="480" w:firstLineChars="200"/>
              <w:rPr>
                <w:color w:val="auto"/>
              </w:rPr>
            </w:pPr>
            <w:r>
              <w:rPr>
                <w:rFonts w:hint="eastAsia"/>
                <w:color w:val="auto"/>
                <w:kern w:val="2"/>
                <w:sz w:val="24"/>
                <w:szCs w:val="24"/>
              </w:rPr>
              <w:t>本项目产生的一般固废主要为生活垃圾。生活垃圾采用密闭式垃圾收集桶/箱收集暂存，可有效降低垃圾恶臭对环境的影响，经收集后</w:t>
            </w:r>
            <w:r>
              <w:rPr>
                <w:color w:val="auto"/>
                <w:kern w:val="2"/>
                <w:sz w:val="24"/>
                <w:szCs w:val="24"/>
              </w:rPr>
              <w:t>委托</w:t>
            </w:r>
            <w:r>
              <w:rPr>
                <w:rFonts w:hint="eastAsia"/>
                <w:color w:val="auto"/>
                <w:kern w:val="2"/>
                <w:sz w:val="24"/>
                <w:szCs w:val="24"/>
              </w:rPr>
              <w:t>当地</w:t>
            </w:r>
            <w:r>
              <w:rPr>
                <w:color w:val="auto"/>
                <w:kern w:val="2"/>
                <w:sz w:val="24"/>
                <w:szCs w:val="24"/>
              </w:rPr>
              <w:t>环卫部门定期</w:t>
            </w:r>
            <w:r>
              <w:rPr>
                <w:rFonts w:hint="eastAsia"/>
                <w:color w:val="auto"/>
                <w:kern w:val="2"/>
                <w:sz w:val="24"/>
                <w:szCs w:val="24"/>
              </w:rPr>
              <w:t>清运合理可行；因此，固废对环境的影响较小</w:t>
            </w:r>
            <w:r>
              <w:rPr>
                <w:color w:val="auto"/>
                <w:kern w:val="2"/>
                <w:sz w:val="24"/>
                <w:szCs w:val="24"/>
              </w:rPr>
              <w:t>。</w:t>
            </w:r>
          </w:p>
          <w:p w14:paraId="69B8F97A">
            <w:pPr>
              <w:pStyle w:val="32"/>
              <w:spacing w:after="0" w:line="360" w:lineRule="auto"/>
              <w:ind w:left="0" w:leftChars="0" w:firstLine="482"/>
              <w:rPr>
                <w:b/>
                <w:bCs/>
                <w:color w:val="auto"/>
              </w:rPr>
            </w:pPr>
            <w:r>
              <w:rPr>
                <w:rFonts w:hint="eastAsia"/>
                <w:b/>
                <w:bCs/>
                <w:color w:val="auto"/>
              </w:rPr>
              <w:t>（2</w:t>
            </w:r>
            <w:r>
              <w:rPr>
                <w:b/>
                <w:bCs/>
                <w:color w:val="auto"/>
              </w:rPr>
              <w:t>）</w:t>
            </w:r>
            <w:r>
              <w:rPr>
                <w:rFonts w:hint="eastAsia"/>
                <w:b/>
                <w:bCs/>
                <w:color w:val="auto"/>
              </w:rPr>
              <w:t>危险废物</w:t>
            </w:r>
          </w:p>
          <w:p w14:paraId="7847A0BF">
            <w:pPr>
              <w:pStyle w:val="32"/>
              <w:spacing w:after="0" w:line="360" w:lineRule="auto"/>
              <w:ind w:left="0" w:leftChars="0" w:firstLine="480"/>
              <w:rPr>
                <w:color w:val="auto"/>
              </w:rPr>
            </w:pPr>
            <w:r>
              <w:rPr>
                <w:color w:val="auto"/>
              </w:rPr>
              <w:t>本项目产生的危险废物主要为</w:t>
            </w:r>
            <w:r>
              <w:rPr>
                <w:rFonts w:hint="eastAsia"/>
                <w:color w:val="auto"/>
              </w:rPr>
              <w:t>医疗废物、</w:t>
            </w:r>
            <w:r>
              <w:rPr>
                <w:bCs/>
                <w:color w:val="auto"/>
              </w:rPr>
              <w:t>化粪池和</w:t>
            </w:r>
            <w:r>
              <w:rPr>
                <w:rFonts w:hint="eastAsia"/>
                <w:bCs/>
                <w:color w:val="auto"/>
              </w:rPr>
              <w:t>污水处理站</w:t>
            </w:r>
            <w:r>
              <w:rPr>
                <w:color w:val="auto"/>
              </w:rPr>
              <w:t>污泥</w:t>
            </w:r>
            <w:r>
              <w:rPr>
                <w:rFonts w:hint="eastAsia"/>
                <w:color w:val="auto"/>
              </w:rPr>
              <w:t>。项目涉及的4个卫生院，均设置了1间危废/医废暂存间（纳古卫生院危废/医废暂存间建筑面积10㎡，四街卫生院危废/医废暂存间15㎡，九龙卫生院危废/医废暂存间10㎡，杨广卫生院危废/医废暂存间10㎡），且危废/医废暂存间设置了</w:t>
            </w:r>
            <w:r>
              <w:rPr>
                <w:rStyle w:val="126"/>
                <w:color w:val="auto"/>
                <w:sz w:val="24"/>
              </w:rPr>
              <w:t>标牌标识</w:t>
            </w:r>
            <w:r>
              <w:rPr>
                <w:rStyle w:val="126"/>
                <w:rFonts w:hint="eastAsia"/>
                <w:color w:val="auto"/>
                <w:sz w:val="24"/>
              </w:rPr>
              <w:t>。根据《医疗卫生机构医疗废物管理办法》，项目医疗废物2天清运一次，项目依托的医疗废物暂存间，可容纳卫生院全院产生的医疗废物，污水处理设施污泥收由环卫部门定期清掏脱水后交由有资质单位处置</w:t>
            </w:r>
            <w:r>
              <w:rPr>
                <w:color w:val="auto"/>
              </w:rPr>
              <w:t>，</w:t>
            </w:r>
            <w:r>
              <w:rPr>
                <w:rStyle w:val="126"/>
                <w:color w:val="auto"/>
                <w:sz w:val="24"/>
              </w:rPr>
              <w:t>医疗固废</w:t>
            </w:r>
            <w:r>
              <w:rPr>
                <w:color w:val="auto"/>
              </w:rPr>
              <w:t>暂存间设置</w:t>
            </w:r>
            <w:r>
              <w:rPr>
                <w:rFonts w:hint="eastAsia"/>
                <w:color w:val="auto"/>
              </w:rPr>
              <w:t>了</w:t>
            </w:r>
            <w:r>
              <w:rPr>
                <w:color w:val="auto"/>
              </w:rPr>
              <w:t>规范标识标牌，采取重点防渗措施，采用水泥+2mm厚HDPE+环氧树脂，渗透系数≤10</w:t>
            </w:r>
            <w:r>
              <w:rPr>
                <w:color w:val="auto"/>
                <w:vertAlign w:val="superscript"/>
              </w:rPr>
              <w:t>-10</w:t>
            </w:r>
            <w:r>
              <w:rPr>
                <w:color w:val="auto"/>
              </w:rPr>
              <w:t>cm/s</w:t>
            </w:r>
            <w:r>
              <w:rPr>
                <w:rFonts w:hint="eastAsia"/>
                <w:color w:val="auto"/>
              </w:rPr>
              <w:t>；可有效防止医疗废物泄漏对地下水及土壤造成影响。医疗废物经暂存后交由有资质的玉溪兴洁垃圾处理有限公司清运处置，</w:t>
            </w:r>
            <w:r>
              <w:rPr>
                <w:bCs/>
                <w:color w:val="auto"/>
              </w:rPr>
              <w:t>化粪池和</w:t>
            </w:r>
            <w:r>
              <w:rPr>
                <w:rStyle w:val="126"/>
                <w:rFonts w:hint="eastAsia"/>
                <w:color w:val="auto"/>
                <w:sz w:val="24"/>
              </w:rPr>
              <w:t>污水处理设施污泥收由环卫部门定期清掏脱水后由环卫部门交由有资质单位处置</w:t>
            </w:r>
            <w:r>
              <w:rPr>
                <w:rFonts w:hint="eastAsia"/>
                <w:color w:val="auto"/>
              </w:rPr>
              <w:t>，处置去向合理。</w:t>
            </w:r>
          </w:p>
          <w:p w14:paraId="6EEEC103">
            <w:pPr>
              <w:widowControl/>
              <w:spacing w:line="360" w:lineRule="auto"/>
              <w:ind w:firstLine="480" w:firstLineChars="200"/>
              <w:jc w:val="left"/>
              <w:rPr>
                <w:color w:val="auto"/>
                <w:sz w:val="24"/>
              </w:rPr>
            </w:pPr>
            <w:r>
              <w:rPr>
                <w:color w:val="auto"/>
                <w:kern w:val="0"/>
                <w:sz w:val="24"/>
                <w:lang w:bidi="ar"/>
              </w:rPr>
              <w:t>综上所述，项目产生的固废处置率达100%，固体废物对环境影响较小。建设单位在运行过程中应严格按照环境管理的要求执行，保证固体废物合理处置。</w:t>
            </w:r>
          </w:p>
          <w:p w14:paraId="586F7338">
            <w:pPr>
              <w:adjustRightInd w:val="0"/>
              <w:snapToGrid w:val="0"/>
              <w:spacing w:line="360" w:lineRule="auto"/>
              <w:ind w:firstLine="442" w:firstLineChars="200"/>
              <w:rPr>
                <w:b/>
                <w:color w:val="auto"/>
                <w:spacing w:val="-10"/>
                <w:kern w:val="0"/>
                <w:sz w:val="24"/>
              </w:rPr>
            </w:pPr>
            <w:r>
              <w:rPr>
                <w:rFonts w:hint="eastAsia"/>
                <w:b/>
                <w:color w:val="auto"/>
                <w:spacing w:val="-10"/>
                <w:kern w:val="0"/>
                <w:sz w:val="24"/>
              </w:rPr>
              <w:t>五</w:t>
            </w:r>
            <w:r>
              <w:rPr>
                <w:b/>
                <w:color w:val="auto"/>
                <w:spacing w:val="-10"/>
                <w:kern w:val="0"/>
                <w:sz w:val="24"/>
              </w:rPr>
              <w:t>、地下水环境影响分析</w:t>
            </w:r>
            <w:r>
              <w:rPr>
                <w:rFonts w:hint="eastAsia"/>
                <w:b/>
                <w:color w:val="auto"/>
                <w:spacing w:val="-10"/>
                <w:kern w:val="0"/>
                <w:sz w:val="24"/>
              </w:rPr>
              <w:t xml:space="preserve"> </w:t>
            </w:r>
          </w:p>
          <w:p w14:paraId="46A4112C">
            <w:pPr>
              <w:adjustRightInd w:val="0"/>
              <w:snapToGrid w:val="0"/>
              <w:spacing w:line="360" w:lineRule="auto"/>
              <w:ind w:firstLine="440" w:firstLineChars="200"/>
              <w:rPr>
                <w:rFonts w:hint="eastAsia" w:ascii="宋体" w:hAnsi="宋体" w:cs="宋体"/>
                <w:bCs/>
                <w:color w:val="auto"/>
                <w:spacing w:val="-10"/>
                <w:sz w:val="24"/>
                <w:lang w:val="zh-CN"/>
              </w:rPr>
            </w:pPr>
            <w:r>
              <w:rPr>
                <w:rFonts w:hint="eastAsia" w:ascii="宋体" w:hAnsi="宋体" w:cs="宋体"/>
                <w:bCs/>
                <w:color w:val="auto"/>
                <w:spacing w:val="-10"/>
                <w:sz w:val="24"/>
                <w:lang w:val="zh-CN"/>
              </w:rPr>
              <w:t>本项目</w:t>
            </w:r>
            <w:r>
              <w:rPr>
                <w:rFonts w:hint="eastAsia" w:ascii="宋体" w:hAnsi="宋体" w:cs="宋体"/>
                <w:bCs/>
                <w:color w:val="auto"/>
                <w:spacing w:val="-10"/>
                <w:sz w:val="24"/>
              </w:rPr>
              <w:t>为卫生院建设项目，涉及4个卫生院，</w:t>
            </w:r>
            <w:r>
              <w:rPr>
                <w:rFonts w:hint="eastAsia"/>
                <w:color w:val="auto"/>
                <w:sz w:val="24"/>
                <w:lang w:val="zh-CN"/>
              </w:rPr>
              <w:t>本项目</w:t>
            </w:r>
            <w:r>
              <w:rPr>
                <w:rFonts w:hint="eastAsia"/>
                <w:color w:val="auto"/>
                <w:sz w:val="24"/>
              </w:rPr>
              <w:t>每一个卫生院产生的医疗废物均依托各自卫生院已有的医疗废物暂存间</w:t>
            </w:r>
            <w:r>
              <w:rPr>
                <w:rFonts w:hint="eastAsia" w:ascii="宋体" w:hAnsi="宋体" w:cs="宋体"/>
                <w:bCs/>
                <w:color w:val="auto"/>
                <w:spacing w:val="-10"/>
                <w:sz w:val="24"/>
                <w:lang w:val="zh-CN"/>
              </w:rPr>
              <w:t>；</w:t>
            </w:r>
            <w:r>
              <w:rPr>
                <w:rFonts w:hint="eastAsia" w:ascii="宋体" w:hAnsi="宋体" w:cs="宋体"/>
                <w:bCs/>
                <w:color w:val="auto"/>
                <w:spacing w:val="-10"/>
                <w:sz w:val="24"/>
              </w:rPr>
              <w:t>危废暂存间、</w:t>
            </w:r>
            <w:r>
              <w:rPr>
                <w:rFonts w:hint="eastAsia" w:ascii="宋体" w:hAnsi="宋体" w:cs="宋体"/>
                <w:bCs/>
                <w:color w:val="auto"/>
                <w:spacing w:val="-10"/>
                <w:sz w:val="24"/>
                <w:lang w:val="zh-CN"/>
              </w:rPr>
              <w:t>化粪池</w:t>
            </w:r>
            <w:r>
              <w:rPr>
                <w:rFonts w:hint="eastAsia" w:ascii="宋体" w:hAnsi="宋体" w:cs="宋体"/>
                <w:bCs/>
                <w:color w:val="auto"/>
                <w:spacing w:val="-10"/>
                <w:sz w:val="24"/>
              </w:rPr>
              <w:t>、污水处理站</w:t>
            </w:r>
            <w:r>
              <w:rPr>
                <w:rFonts w:hint="eastAsia" w:ascii="宋体" w:hAnsi="宋体" w:cs="宋体"/>
                <w:bCs/>
                <w:color w:val="auto"/>
                <w:spacing w:val="-10"/>
                <w:sz w:val="24"/>
                <w:lang w:val="zh-CN"/>
              </w:rPr>
              <w:t>的废水发生</w:t>
            </w:r>
            <w:r>
              <w:rPr>
                <w:rFonts w:hint="eastAsia" w:ascii="宋体" w:hAnsi="宋体" w:cs="宋体"/>
                <w:bCs/>
                <w:color w:val="auto"/>
                <w:spacing w:val="-10"/>
                <w:sz w:val="24"/>
              </w:rPr>
              <w:t>泄漏会造成地下水影响</w:t>
            </w:r>
            <w:r>
              <w:rPr>
                <w:rFonts w:hint="eastAsia" w:ascii="宋体" w:hAnsi="宋体" w:cs="宋体"/>
                <w:bCs/>
                <w:color w:val="auto"/>
                <w:spacing w:val="-10"/>
                <w:sz w:val="24"/>
                <w:lang w:val="zh-CN"/>
              </w:rPr>
              <w:t>，故本次环评提出对各污染源进行防渗处理。</w:t>
            </w:r>
            <w:r>
              <w:rPr>
                <w:rFonts w:hint="eastAsia" w:ascii="宋体" w:hAnsi="宋体" w:cs="宋体"/>
                <w:bCs/>
                <w:color w:val="auto"/>
                <w:spacing w:val="-10"/>
                <w:sz w:val="24"/>
              </w:rPr>
              <w:t>分区防控措施如下：</w:t>
            </w:r>
          </w:p>
          <w:p w14:paraId="1F33990E">
            <w:pPr>
              <w:adjustRightInd w:val="0"/>
              <w:snapToGrid w:val="0"/>
              <w:spacing w:line="360" w:lineRule="auto"/>
              <w:ind w:firstLine="440" w:firstLineChars="200"/>
              <w:rPr>
                <w:rFonts w:hint="eastAsia" w:ascii="宋体" w:hAnsi="宋体" w:cs="宋体"/>
                <w:bCs/>
                <w:color w:val="auto"/>
                <w:spacing w:val="-10"/>
                <w:sz w:val="24"/>
              </w:rPr>
            </w:pPr>
            <w:r>
              <w:rPr>
                <w:rFonts w:hint="eastAsia" w:ascii="宋体" w:hAnsi="宋体" w:cs="宋体"/>
                <w:bCs/>
                <w:color w:val="auto"/>
                <w:spacing w:val="-10"/>
                <w:sz w:val="24"/>
              </w:rPr>
              <w:t>本项目防渗分为重点防渗区、一般防渗区和简单防渗区。</w:t>
            </w:r>
          </w:p>
          <w:p w14:paraId="19838049">
            <w:pPr>
              <w:adjustRightInd w:val="0"/>
              <w:snapToGrid w:val="0"/>
              <w:spacing w:line="360" w:lineRule="auto"/>
              <w:ind w:firstLine="440" w:firstLineChars="200"/>
              <w:rPr>
                <w:bCs/>
                <w:color w:val="auto"/>
                <w:spacing w:val="-10"/>
                <w:sz w:val="24"/>
              </w:rPr>
            </w:pPr>
            <w:r>
              <w:rPr>
                <w:rFonts w:hint="eastAsia" w:ascii="宋体" w:hAnsi="宋体" w:cs="宋体"/>
                <w:bCs/>
                <w:color w:val="auto"/>
                <w:spacing w:val="-10"/>
                <w:sz w:val="24"/>
              </w:rPr>
              <w:t>重点防渗区：医疗废物暂存间（依托各卫生院医疗废物暂存间）、地面及裙角均</w:t>
            </w:r>
            <w:r>
              <w:rPr>
                <w:rFonts w:hint="eastAsia" w:ascii="宋体" w:hAnsi="宋体" w:cs="宋体"/>
                <w:bCs/>
                <w:color w:val="auto"/>
                <w:spacing w:val="-10"/>
                <w:sz w:val="24"/>
                <w:lang w:val="zh-CN"/>
              </w:rPr>
              <w:t>采用水泥+2mm厚HDPE+环氧树脂</w:t>
            </w:r>
            <w:r>
              <w:rPr>
                <w:rFonts w:hint="eastAsia" w:ascii="宋体" w:hAnsi="宋体" w:cs="宋体"/>
                <w:bCs/>
                <w:color w:val="auto"/>
                <w:spacing w:val="-10"/>
                <w:sz w:val="24"/>
              </w:rPr>
              <w:t>，渗透系数</w:t>
            </w:r>
            <w:r>
              <w:rPr>
                <w:bCs/>
                <w:color w:val="auto"/>
                <w:spacing w:val="-10"/>
                <w:sz w:val="24"/>
              </w:rPr>
              <w:t>≤10</w:t>
            </w:r>
            <w:r>
              <w:rPr>
                <w:bCs/>
                <w:color w:val="auto"/>
                <w:spacing w:val="-10"/>
                <w:sz w:val="24"/>
                <w:vertAlign w:val="superscript"/>
              </w:rPr>
              <w:t>-10</w:t>
            </w:r>
            <w:r>
              <w:rPr>
                <w:bCs/>
                <w:color w:val="auto"/>
                <w:spacing w:val="-10"/>
                <w:sz w:val="24"/>
              </w:rPr>
              <w:t>cm/s</w:t>
            </w:r>
            <w:r>
              <w:rPr>
                <w:bCs/>
                <w:color w:val="auto"/>
                <w:sz w:val="24"/>
              </w:rPr>
              <w:t>（保存影像资料）</w:t>
            </w:r>
            <w:r>
              <w:rPr>
                <w:bCs/>
                <w:color w:val="auto"/>
                <w:spacing w:val="-10"/>
                <w:sz w:val="24"/>
              </w:rPr>
              <w:t>；</w:t>
            </w:r>
          </w:p>
          <w:p w14:paraId="64DD2DF5">
            <w:pPr>
              <w:adjustRightInd w:val="0"/>
              <w:snapToGrid w:val="0"/>
              <w:spacing w:line="360" w:lineRule="auto"/>
              <w:ind w:firstLine="440" w:firstLineChars="200"/>
              <w:rPr>
                <w:bCs/>
                <w:color w:val="auto"/>
                <w:spacing w:val="-10"/>
                <w:sz w:val="24"/>
              </w:rPr>
            </w:pPr>
            <w:r>
              <w:rPr>
                <w:bCs/>
                <w:color w:val="auto"/>
                <w:spacing w:val="-10"/>
                <w:sz w:val="24"/>
              </w:rPr>
              <w:t>一般防渗区：化粪池及池底均采用等效黏土层（厚度≥1.5m）进行一般防渗，渗透系数≤10</w:t>
            </w:r>
            <w:r>
              <w:rPr>
                <w:bCs/>
                <w:color w:val="auto"/>
                <w:spacing w:val="-10"/>
                <w:sz w:val="24"/>
                <w:vertAlign w:val="superscript"/>
              </w:rPr>
              <w:t>-7</w:t>
            </w:r>
            <w:r>
              <w:rPr>
                <w:bCs/>
                <w:color w:val="auto"/>
                <w:spacing w:val="-10"/>
                <w:sz w:val="24"/>
              </w:rPr>
              <w:t>cm/s。</w:t>
            </w:r>
          </w:p>
          <w:p w14:paraId="14390E1C">
            <w:pPr>
              <w:adjustRightInd w:val="0"/>
              <w:snapToGrid w:val="0"/>
              <w:spacing w:line="360" w:lineRule="auto"/>
              <w:ind w:firstLine="440" w:firstLineChars="200"/>
              <w:rPr>
                <w:rFonts w:hint="eastAsia" w:ascii="宋体" w:hAnsi="宋体" w:cs="宋体"/>
                <w:bCs/>
                <w:color w:val="auto"/>
                <w:spacing w:val="-10"/>
                <w:sz w:val="24"/>
              </w:rPr>
            </w:pPr>
            <w:r>
              <w:rPr>
                <w:rFonts w:hint="eastAsia" w:ascii="宋体" w:hAnsi="宋体" w:cs="宋体"/>
                <w:bCs/>
                <w:color w:val="auto"/>
                <w:spacing w:val="-10"/>
                <w:sz w:val="24"/>
              </w:rPr>
              <w:t>简单防渗区（院区道路及其他区域）：按常规工程进行设计和建设，进行一般地面硬化。</w:t>
            </w:r>
          </w:p>
          <w:p w14:paraId="6BDF168B">
            <w:pPr>
              <w:adjustRightInd w:val="0"/>
              <w:snapToGrid w:val="0"/>
              <w:spacing w:line="360" w:lineRule="auto"/>
              <w:ind w:firstLine="440" w:firstLineChars="200"/>
              <w:rPr>
                <w:rFonts w:hint="eastAsia" w:ascii="宋体" w:hAnsi="宋体" w:cs="宋体"/>
                <w:bCs/>
                <w:color w:val="auto"/>
                <w:spacing w:val="-10"/>
                <w:sz w:val="24"/>
              </w:rPr>
            </w:pPr>
            <w:r>
              <w:rPr>
                <w:rFonts w:hint="eastAsia" w:ascii="宋体" w:hAnsi="宋体" w:cs="宋体"/>
                <w:bCs/>
                <w:color w:val="auto"/>
                <w:spacing w:val="-10"/>
                <w:sz w:val="24"/>
              </w:rPr>
              <w:t>项目建设过程中采取防渗措施可有效防止风险物质下渗进入地下水，通过加强定期检查消除污染隐患；发现有污染物泄漏或渗漏，及时修补。因此本项目的建设运行对地下水影响可控。</w:t>
            </w:r>
          </w:p>
          <w:p w14:paraId="6870D28C">
            <w:pPr>
              <w:spacing w:line="360" w:lineRule="auto"/>
              <w:ind w:firstLine="442" w:firstLineChars="200"/>
              <w:rPr>
                <w:b/>
                <w:bCs/>
                <w:color w:val="auto"/>
                <w:sz w:val="24"/>
              </w:rPr>
            </w:pPr>
            <w:r>
              <w:rPr>
                <w:rFonts w:hint="eastAsia"/>
                <w:b/>
                <w:color w:val="auto"/>
                <w:spacing w:val="-10"/>
                <w:kern w:val="0"/>
                <w:sz w:val="24"/>
              </w:rPr>
              <w:t>六</w:t>
            </w:r>
            <w:r>
              <w:rPr>
                <w:b/>
                <w:color w:val="auto"/>
                <w:spacing w:val="-10"/>
                <w:kern w:val="0"/>
                <w:sz w:val="24"/>
              </w:rPr>
              <w:t>、土壤环境影响分析</w:t>
            </w:r>
            <w:r>
              <w:rPr>
                <w:rFonts w:hint="eastAsia"/>
                <w:b/>
                <w:color w:val="auto"/>
                <w:spacing w:val="-10"/>
                <w:kern w:val="0"/>
                <w:sz w:val="24"/>
              </w:rPr>
              <w:t xml:space="preserve">  </w:t>
            </w:r>
          </w:p>
          <w:p w14:paraId="4B4A2F08">
            <w:pPr>
              <w:pStyle w:val="32"/>
              <w:spacing w:after="0" w:line="360" w:lineRule="auto"/>
              <w:ind w:left="0" w:leftChars="0" w:firstLine="480"/>
              <w:jc w:val="left"/>
              <w:rPr>
                <w:color w:val="auto"/>
                <w:lang w:val="zh-CN"/>
              </w:rPr>
            </w:pPr>
            <w:r>
              <w:rPr>
                <w:color w:val="auto"/>
                <w:lang w:val="zh-CN"/>
              </w:rPr>
              <w:t>本项目</w:t>
            </w:r>
            <w:r>
              <w:rPr>
                <w:rFonts w:hint="eastAsia"/>
                <w:color w:val="auto"/>
              </w:rPr>
              <w:t>医疗废物暂存间</w:t>
            </w:r>
            <w:r>
              <w:rPr>
                <w:rFonts w:hint="eastAsia"/>
                <w:color w:val="auto"/>
                <w:lang w:val="zh-CN"/>
              </w:rPr>
              <w:t>收集的</w:t>
            </w:r>
            <w:r>
              <w:rPr>
                <w:rFonts w:hint="eastAsia"/>
                <w:color w:val="auto"/>
              </w:rPr>
              <w:t>医疗废物、</w:t>
            </w:r>
            <w:r>
              <w:rPr>
                <w:bCs/>
                <w:color w:val="auto"/>
              </w:rPr>
              <w:t>化粪池和</w:t>
            </w:r>
            <w:r>
              <w:rPr>
                <w:rFonts w:hint="eastAsia"/>
                <w:bCs/>
                <w:color w:val="auto"/>
              </w:rPr>
              <w:t>污水处理站</w:t>
            </w:r>
            <w:r>
              <w:rPr>
                <w:color w:val="auto"/>
              </w:rPr>
              <w:t>污泥</w:t>
            </w:r>
            <w:r>
              <w:rPr>
                <w:color w:val="auto"/>
                <w:lang w:val="zh-CN"/>
              </w:rPr>
              <w:t>发生泄漏会对土壤造成一定的影响，经</w:t>
            </w:r>
            <w:r>
              <w:rPr>
                <w:rStyle w:val="96"/>
                <w:rFonts w:hint="default" w:ascii="Times New Roman" w:hAnsi="Times New Roman"/>
                <w:color w:val="auto"/>
              </w:rPr>
              <w:t>采取本环评提出的相关防渗措施后，可有效防止风险物质下渗进入土壤，通过加强定期检查消除污染隐患；发现有污染物泄漏，及时修补。因此本项目的建设运行对土壤影响</w:t>
            </w:r>
            <w:r>
              <w:rPr>
                <w:color w:val="auto"/>
              </w:rPr>
              <w:t>可控。</w:t>
            </w:r>
          </w:p>
          <w:p w14:paraId="77FB2E81">
            <w:pPr>
              <w:spacing w:line="360" w:lineRule="auto"/>
              <w:ind w:firstLine="482" w:firstLineChars="200"/>
              <w:rPr>
                <w:color w:val="auto"/>
                <w:sz w:val="24"/>
              </w:rPr>
            </w:pPr>
            <w:r>
              <w:rPr>
                <w:rFonts w:hint="eastAsia"/>
                <w:b/>
                <w:bCs/>
                <w:color w:val="auto"/>
                <w:sz w:val="24"/>
              </w:rPr>
              <w:t>七</w:t>
            </w:r>
            <w:r>
              <w:rPr>
                <w:b/>
                <w:bCs/>
                <w:color w:val="auto"/>
                <w:sz w:val="24"/>
              </w:rPr>
              <w:t>、生态环境影响</w:t>
            </w:r>
            <w:r>
              <w:rPr>
                <w:rFonts w:hint="eastAsia"/>
                <w:b/>
                <w:bCs/>
                <w:color w:val="auto"/>
                <w:sz w:val="24"/>
              </w:rPr>
              <w:t>及景观影响分析</w:t>
            </w:r>
          </w:p>
          <w:p w14:paraId="7A33FA94">
            <w:pPr>
              <w:spacing w:line="360" w:lineRule="auto"/>
              <w:ind w:firstLine="480" w:firstLineChars="200"/>
              <w:rPr>
                <w:bCs/>
                <w:color w:val="auto"/>
                <w:kern w:val="0"/>
                <w:sz w:val="24"/>
              </w:rPr>
            </w:pPr>
            <w:r>
              <w:rPr>
                <w:rFonts w:hint="eastAsia"/>
                <w:color w:val="auto"/>
                <w:kern w:val="0"/>
                <w:sz w:val="24"/>
              </w:rPr>
              <w:t>本项目为卫生院建设项目，每个卫生院的选址均在原址上进行建设，</w:t>
            </w:r>
            <w:r>
              <w:rPr>
                <w:rFonts w:hint="eastAsia"/>
                <w:color w:val="auto"/>
                <w:sz w:val="24"/>
              </w:rPr>
              <w:t>用地</w:t>
            </w:r>
            <w:r>
              <w:rPr>
                <w:color w:val="auto"/>
                <w:sz w:val="24"/>
              </w:rPr>
              <w:t>为政府部门划拨的建设用地</w:t>
            </w:r>
            <w:r>
              <w:rPr>
                <w:rFonts w:hint="eastAsia"/>
                <w:color w:val="auto"/>
                <w:sz w:val="24"/>
              </w:rPr>
              <w:t>，项目用地性质为医疗卫生用地，用地范围内不涉及生态红线</w:t>
            </w:r>
            <w:r>
              <w:rPr>
                <w:color w:val="auto"/>
                <w:sz w:val="24"/>
              </w:rPr>
              <w:t>。项目周边无文物保护、风景名胜等环境敏感目标；项目不在饮用水源保护区内，不存在重大环境制约因素</w:t>
            </w:r>
            <w:r>
              <w:rPr>
                <w:rFonts w:hint="eastAsia"/>
                <w:color w:val="auto"/>
                <w:sz w:val="24"/>
              </w:rPr>
              <w:t>，项目用地范围内不涉及生态红线</w:t>
            </w:r>
            <w:r>
              <w:rPr>
                <w:rFonts w:hint="eastAsia"/>
                <w:bCs/>
                <w:color w:val="auto"/>
                <w:kern w:val="0"/>
                <w:sz w:val="24"/>
              </w:rPr>
              <w:t>，</w:t>
            </w:r>
            <w:r>
              <w:rPr>
                <w:rFonts w:hint="eastAsia"/>
                <w:color w:val="auto"/>
                <w:kern w:val="0"/>
                <w:sz w:val="24"/>
              </w:rPr>
              <w:t>故本项目对生态环境影响较小。</w:t>
            </w:r>
          </w:p>
          <w:p w14:paraId="3720F960">
            <w:pPr>
              <w:pStyle w:val="58"/>
              <w:adjustRightInd/>
              <w:spacing w:line="360" w:lineRule="auto"/>
              <w:ind w:firstLine="482" w:firstLineChars="200"/>
              <w:rPr>
                <w:rFonts w:ascii="Times New Roman" w:eastAsia="宋体" w:cs="Times New Roman"/>
                <w:b/>
                <w:bCs/>
                <w:color w:val="auto"/>
              </w:rPr>
            </w:pPr>
            <w:r>
              <w:rPr>
                <w:rFonts w:hint="eastAsia" w:ascii="Times New Roman" w:eastAsia="宋体" w:cs="Times New Roman"/>
                <w:b/>
                <w:bCs/>
                <w:color w:val="auto"/>
              </w:rPr>
              <w:t>八</w:t>
            </w:r>
            <w:r>
              <w:rPr>
                <w:rFonts w:ascii="Times New Roman" w:eastAsia="宋体" w:cs="Times New Roman"/>
                <w:b/>
                <w:bCs/>
                <w:color w:val="auto"/>
              </w:rPr>
              <w:t>、环境风险分析</w:t>
            </w:r>
          </w:p>
          <w:p w14:paraId="070BAA3A">
            <w:pPr>
              <w:adjustRightInd w:val="0"/>
              <w:snapToGrid w:val="0"/>
              <w:spacing w:line="360" w:lineRule="auto"/>
              <w:ind w:firstLine="480"/>
              <w:rPr>
                <w:color w:val="auto"/>
                <w:sz w:val="24"/>
              </w:rPr>
            </w:pPr>
            <w:r>
              <w:rPr>
                <w:color w:val="auto"/>
                <w:sz w:val="24"/>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658E1815">
            <w:pPr>
              <w:adjustRightInd w:val="0"/>
              <w:snapToGrid w:val="0"/>
              <w:spacing w:line="360" w:lineRule="auto"/>
              <w:ind w:firstLine="480"/>
              <w:rPr>
                <w:color w:val="auto"/>
                <w:sz w:val="24"/>
              </w:rPr>
            </w:pPr>
            <w:r>
              <w:rPr>
                <w:color w:val="auto"/>
                <w:sz w:val="24"/>
              </w:rPr>
              <w:t>物质环境急性损害防控为目标，对建设项目的环境风险进行分析、预测和评估，提出环境风险预防、控制、减缓措施，明确环境风险监控及应急要求，为建设项目环境风险防控提供科学依据。</w:t>
            </w:r>
          </w:p>
          <w:p w14:paraId="173ED37E">
            <w:pPr>
              <w:pStyle w:val="4"/>
              <w:keepNext w:val="0"/>
              <w:keepLines w:val="0"/>
              <w:adjustRightInd w:val="0"/>
              <w:snapToGrid w:val="0"/>
              <w:spacing w:before="0" w:after="0" w:line="360" w:lineRule="auto"/>
              <w:ind w:firstLine="482" w:firstLineChars="200"/>
              <w:rPr>
                <w:color w:val="auto"/>
                <w:sz w:val="24"/>
                <w:szCs w:val="24"/>
              </w:rPr>
            </w:pPr>
            <w:bookmarkStart w:id="83" w:name="_Toc25150"/>
            <w:r>
              <w:rPr>
                <w:color w:val="auto"/>
                <w:sz w:val="24"/>
                <w:szCs w:val="24"/>
              </w:rPr>
              <w:t>1、环境风险识别</w:t>
            </w:r>
            <w:bookmarkEnd w:id="83"/>
          </w:p>
          <w:p w14:paraId="604457E5">
            <w:pPr>
              <w:spacing w:line="360" w:lineRule="auto"/>
              <w:ind w:firstLine="480"/>
              <w:jc w:val="left"/>
              <w:rPr>
                <w:b/>
                <w:color w:val="auto"/>
                <w:sz w:val="24"/>
                <w:szCs w:val="32"/>
              </w:rPr>
            </w:pPr>
            <w:r>
              <w:rPr>
                <w:color w:val="auto"/>
                <w:kern w:val="0"/>
                <w:sz w:val="24"/>
              </w:rPr>
              <w:t>通过收集资料整理，本项目涉及的风险物质理化性质</w:t>
            </w:r>
            <w:r>
              <w:rPr>
                <w:rFonts w:hint="eastAsia"/>
                <w:color w:val="auto"/>
                <w:kern w:val="0"/>
                <w:sz w:val="24"/>
              </w:rPr>
              <w:t>详</w:t>
            </w:r>
            <w:r>
              <w:rPr>
                <w:color w:val="auto"/>
                <w:kern w:val="0"/>
                <w:sz w:val="24"/>
              </w:rPr>
              <w:t>见</w:t>
            </w:r>
            <w:r>
              <w:rPr>
                <w:rFonts w:hint="eastAsia"/>
                <w:color w:val="auto"/>
                <w:kern w:val="0"/>
                <w:sz w:val="24"/>
              </w:rPr>
              <w:t>下</w:t>
            </w:r>
            <w:r>
              <w:rPr>
                <w:color w:val="auto"/>
                <w:kern w:val="0"/>
                <w:sz w:val="24"/>
              </w:rPr>
              <w:t>表</w:t>
            </w:r>
            <w:r>
              <w:rPr>
                <w:rFonts w:hint="eastAsia"/>
                <w:color w:val="auto"/>
                <w:kern w:val="0"/>
                <w:sz w:val="24"/>
              </w:rPr>
              <w:t>：</w:t>
            </w:r>
          </w:p>
          <w:p w14:paraId="38ECE534">
            <w:pPr>
              <w:ind w:firstLine="422"/>
              <w:jc w:val="center"/>
              <w:rPr>
                <w:b/>
                <w:color w:val="auto"/>
                <w:sz w:val="24"/>
                <w:szCs w:val="32"/>
              </w:rPr>
            </w:pPr>
            <w:r>
              <w:rPr>
                <w:b/>
                <w:color w:val="auto"/>
                <w:sz w:val="24"/>
                <w:szCs w:val="32"/>
              </w:rPr>
              <w:t>表4-</w:t>
            </w:r>
            <w:r>
              <w:rPr>
                <w:rFonts w:hint="eastAsia"/>
                <w:b/>
                <w:color w:val="auto"/>
                <w:sz w:val="24"/>
                <w:szCs w:val="32"/>
              </w:rPr>
              <w:t>41</w:t>
            </w:r>
            <w:r>
              <w:rPr>
                <w:b/>
                <w:color w:val="auto"/>
                <w:sz w:val="24"/>
                <w:szCs w:val="32"/>
              </w:rPr>
              <w:t xml:space="preserve"> 项目</w:t>
            </w:r>
            <w:r>
              <w:rPr>
                <w:rFonts w:hint="eastAsia"/>
                <w:b/>
                <w:color w:val="auto"/>
                <w:sz w:val="24"/>
                <w:szCs w:val="32"/>
              </w:rPr>
              <w:t>乙醇、二氧化氯</w:t>
            </w:r>
            <w:r>
              <w:rPr>
                <w:b/>
                <w:color w:val="auto"/>
                <w:sz w:val="24"/>
                <w:szCs w:val="32"/>
              </w:rPr>
              <w:t>风险物质理化特性一览表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386"/>
              <w:gridCol w:w="3376"/>
              <w:gridCol w:w="1817"/>
              <w:gridCol w:w="1814"/>
            </w:tblGrid>
            <w:tr w14:paraId="621D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70" w:type="dxa"/>
                  <w:gridSpan w:val="2"/>
                  <w:vMerge w:val="restart"/>
                  <w:vAlign w:val="center"/>
                </w:tcPr>
                <w:p w14:paraId="7321BCC7">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项目</w:t>
                  </w:r>
                </w:p>
              </w:tc>
              <w:tc>
                <w:tcPr>
                  <w:tcW w:w="7007" w:type="dxa"/>
                  <w:gridSpan w:val="3"/>
                  <w:vAlign w:val="center"/>
                </w:tcPr>
                <w:p w14:paraId="705403AB">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物质名称</w:t>
                  </w:r>
                </w:p>
              </w:tc>
            </w:tr>
            <w:tr w14:paraId="38CE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70" w:type="dxa"/>
                  <w:gridSpan w:val="2"/>
                  <w:vMerge w:val="continue"/>
                  <w:vAlign w:val="center"/>
                </w:tcPr>
                <w:p w14:paraId="27B00CAE">
                  <w:pPr>
                    <w:pStyle w:val="56"/>
                    <w:spacing w:line="240" w:lineRule="auto"/>
                    <w:ind w:firstLine="0" w:firstLineChars="0"/>
                    <w:rPr>
                      <w:rFonts w:hint="eastAsia" w:ascii="宋体" w:hAnsi="宋体" w:eastAsia="宋体" w:cs="宋体"/>
                      <w:b/>
                      <w:color w:val="auto"/>
                      <w:sz w:val="21"/>
                      <w:szCs w:val="21"/>
                    </w:rPr>
                  </w:pPr>
                  <w:bookmarkStart w:id="84" w:name="_Hlk194508156"/>
                </w:p>
              </w:tc>
              <w:tc>
                <w:tcPr>
                  <w:tcW w:w="3376" w:type="dxa"/>
                  <w:vAlign w:val="center"/>
                </w:tcPr>
                <w:p w14:paraId="27E32D41">
                  <w:pPr>
                    <w:jc w:val="center"/>
                    <w:rPr>
                      <w:rFonts w:hint="eastAsia" w:ascii="宋体" w:hAnsi="宋体" w:cs="宋体"/>
                      <w:b/>
                      <w:color w:val="auto"/>
                      <w:szCs w:val="21"/>
                    </w:rPr>
                  </w:pPr>
                  <w:r>
                    <w:rPr>
                      <w:rFonts w:hint="eastAsia" w:ascii="宋体" w:hAnsi="宋体" w:cs="宋体"/>
                      <w:b/>
                      <w:color w:val="auto"/>
                      <w:szCs w:val="21"/>
                    </w:rPr>
                    <w:t>乙醇</w:t>
                  </w:r>
                </w:p>
              </w:tc>
              <w:tc>
                <w:tcPr>
                  <w:tcW w:w="1817" w:type="dxa"/>
                  <w:vAlign w:val="center"/>
                </w:tcPr>
                <w:p w14:paraId="514BD960">
                  <w:pPr>
                    <w:jc w:val="center"/>
                    <w:rPr>
                      <w:rFonts w:hint="eastAsia" w:ascii="宋体" w:hAnsi="宋体" w:cs="宋体"/>
                      <w:b/>
                      <w:color w:val="auto"/>
                      <w:szCs w:val="21"/>
                    </w:rPr>
                  </w:pPr>
                  <w:r>
                    <w:rPr>
                      <w:rFonts w:hint="eastAsia" w:ascii="宋体" w:hAnsi="宋体" w:cs="宋体"/>
                      <w:b/>
                      <w:color w:val="auto"/>
                      <w:szCs w:val="21"/>
                    </w:rPr>
                    <w:t>二氧化氯</w:t>
                  </w:r>
                </w:p>
              </w:tc>
              <w:tc>
                <w:tcPr>
                  <w:tcW w:w="1814" w:type="dxa"/>
                  <w:vAlign w:val="center"/>
                </w:tcPr>
                <w:p w14:paraId="65DF0BA5">
                  <w:pPr>
                    <w:jc w:val="center"/>
                    <w:rPr>
                      <w:rFonts w:hint="eastAsia" w:ascii="宋体" w:hAnsi="宋体" w:cs="宋体"/>
                      <w:b/>
                      <w:color w:val="auto"/>
                      <w:szCs w:val="21"/>
                    </w:rPr>
                  </w:pPr>
                  <w:r>
                    <w:rPr>
                      <w:rFonts w:hint="eastAsia" w:ascii="宋体" w:hAnsi="宋体" w:cs="宋体"/>
                      <w:b/>
                      <w:color w:val="auto"/>
                      <w:szCs w:val="21"/>
                    </w:rPr>
                    <w:t>氧气</w:t>
                  </w:r>
                </w:p>
              </w:tc>
            </w:tr>
            <w:bookmarkEnd w:id="84"/>
            <w:tr w14:paraId="763E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84" w:type="dxa"/>
                  <w:vMerge w:val="restart"/>
                  <w:vAlign w:val="center"/>
                </w:tcPr>
                <w:p w14:paraId="684F0F69">
                  <w:pPr>
                    <w:jc w:val="center"/>
                    <w:rPr>
                      <w:rFonts w:hint="eastAsia" w:ascii="宋体" w:hAnsi="宋体" w:cs="宋体"/>
                      <w:b/>
                      <w:color w:val="auto"/>
                      <w:szCs w:val="21"/>
                    </w:rPr>
                  </w:pPr>
                  <w:r>
                    <w:rPr>
                      <w:rFonts w:hint="eastAsia" w:ascii="宋体" w:hAnsi="宋体" w:cs="宋体"/>
                      <w:b/>
                      <w:color w:val="auto"/>
                      <w:szCs w:val="21"/>
                    </w:rPr>
                    <w:t>物理特性</w:t>
                  </w:r>
                </w:p>
              </w:tc>
              <w:tc>
                <w:tcPr>
                  <w:tcW w:w="1386" w:type="dxa"/>
                  <w:vAlign w:val="center"/>
                </w:tcPr>
                <w:p w14:paraId="3C0F2BC0">
                  <w:pPr>
                    <w:jc w:val="center"/>
                    <w:rPr>
                      <w:rFonts w:hint="eastAsia" w:ascii="宋体" w:hAnsi="宋体" w:cs="宋体"/>
                      <w:b/>
                      <w:color w:val="auto"/>
                      <w:szCs w:val="21"/>
                    </w:rPr>
                  </w:pPr>
                  <w:r>
                    <w:rPr>
                      <w:rFonts w:hint="eastAsia" w:ascii="宋体" w:hAnsi="宋体" w:cs="宋体"/>
                      <w:b/>
                      <w:color w:val="auto"/>
                      <w:szCs w:val="21"/>
                    </w:rPr>
                    <w:t>分子量</w:t>
                  </w:r>
                </w:p>
              </w:tc>
              <w:tc>
                <w:tcPr>
                  <w:tcW w:w="3376" w:type="dxa"/>
                  <w:vAlign w:val="center"/>
                </w:tcPr>
                <w:p w14:paraId="2D0E4137">
                  <w:pPr>
                    <w:jc w:val="center"/>
                    <w:rPr>
                      <w:rFonts w:hint="eastAsia" w:ascii="宋体" w:hAnsi="宋体" w:cs="宋体"/>
                      <w:color w:val="auto"/>
                      <w:szCs w:val="21"/>
                    </w:rPr>
                  </w:pPr>
                  <w:r>
                    <w:rPr>
                      <w:rFonts w:hint="eastAsia" w:ascii="宋体" w:hAnsi="宋体" w:cs="宋体"/>
                      <w:color w:val="auto"/>
                      <w:szCs w:val="21"/>
                    </w:rPr>
                    <w:t>46.07</w:t>
                  </w:r>
                </w:p>
              </w:tc>
              <w:tc>
                <w:tcPr>
                  <w:tcW w:w="1817" w:type="dxa"/>
                  <w:vAlign w:val="center"/>
                </w:tcPr>
                <w:p w14:paraId="16E89401">
                  <w:pPr>
                    <w:jc w:val="center"/>
                    <w:rPr>
                      <w:rFonts w:hint="eastAsia" w:ascii="宋体" w:hAnsi="宋体" w:cs="宋体"/>
                      <w:color w:val="auto"/>
                      <w:szCs w:val="21"/>
                    </w:rPr>
                  </w:pPr>
                  <w:r>
                    <w:rPr>
                      <w:rFonts w:hint="eastAsia" w:ascii="宋体" w:hAnsi="宋体" w:cs="宋体"/>
                      <w:color w:val="auto"/>
                      <w:szCs w:val="21"/>
                    </w:rPr>
                    <w:t>87</w:t>
                  </w:r>
                </w:p>
              </w:tc>
              <w:tc>
                <w:tcPr>
                  <w:tcW w:w="1814" w:type="dxa"/>
                  <w:vAlign w:val="center"/>
                </w:tcPr>
                <w:p w14:paraId="7382A69A">
                  <w:pPr>
                    <w:adjustRightInd w:val="0"/>
                    <w:snapToGrid w:val="0"/>
                    <w:jc w:val="center"/>
                    <w:rPr>
                      <w:rFonts w:hint="eastAsia" w:ascii="宋体" w:hAnsi="宋体" w:cs="宋体"/>
                      <w:color w:val="auto"/>
                      <w:szCs w:val="21"/>
                    </w:rPr>
                  </w:pPr>
                  <w:r>
                    <w:rPr>
                      <w:color w:val="auto"/>
                      <w:szCs w:val="21"/>
                    </w:rPr>
                    <w:t>32</w:t>
                  </w:r>
                </w:p>
              </w:tc>
            </w:tr>
            <w:tr w14:paraId="1A0D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484" w:type="dxa"/>
                  <w:vMerge w:val="continue"/>
                  <w:vAlign w:val="center"/>
                </w:tcPr>
                <w:p w14:paraId="52819AF7">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5122D078">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相对密度（水=1）</w:t>
                  </w:r>
                </w:p>
              </w:tc>
              <w:tc>
                <w:tcPr>
                  <w:tcW w:w="3376" w:type="dxa"/>
                  <w:vAlign w:val="center"/>
                </w:tcPr>
                <w:p w14:paraId="3FA46429">
                  <w:pPr>
                    <w:jc w:val="center"/>
                    <w:rPr>
                      <w:rFonts w:hint="eastAsia" w:ascii="宋体" w:hAnsi="宋体" w:cs="宋体"/>
                      <w:color w:val="auto"/>
                      <w:szCs w:val="21"/>
                    </w:rPr>
                  </w:pPr>
                  <w:r>
                    <w:rPr>
                      <w:rFonts w:hint="eastAsia" w:ascii="宋体" w:hAnsi="宋体" w:cs="宋体"/>
                      <w:color w:val="auto"/>
                      <w:szCs w:val="21"/>
                    </w:rPr>
                    <w:t>1.59(空气=1)</w:t>
                  </w:r>
                </w:p>
              </w:tc>
              <w:tc>
                <w:tcPr>
                  <w:tcW w:w="1817" w:type="dxa"/>
                  <w:vAlign w:val="center"/>
                </w:tcPr>
                <w:p w14:paraId="20A34732">
                  <w:pPr>
                    <w:jc w:val="center"/>
                    <w:rPr>
                      <w:rFonts w:hint="eastAsia" w:ascii="宋体" w:hAnsi="宋体" w:cs="宋体"/>
                      <w:color w:val="auto"/>
                      <w:szCs w:val="21"/>
                    </w:rPr>
                  </w:pPr>
                  <w:r>
                    <w:rPr>
                      <w:rFonts w:hint="eastAsia" w:ascii="宋体" w:hAnsi="宋体" w:cs="宋体"/>
                      <w:color w:val="auto"/>
                      <w:szCs w:val="21"/>
                    </w:rPr>
                    <w:t>空气2.3，水3.09（11℃）</w:t>
                  </w:r>
                </w:p>
              </w:tc>
              <w:tc>
                <w:tcPr>
                  <w:tcW w:w="1814" w:type="dxa"/>
                  <w:vAlign w:val="center"/>
                </w:tcPr>
                <w:p w14:paraId="32EF1BE3">
                  <w:pPr>
                    <w:adjustRightInd w:val="0"/>
                    <w:snapToGrid w:val="0"/>
                    <w:jc w:val="center"/>
                    <w:rPr>
                      <w:rFonts w:hint="eastAsia" w:ascii="宋体" w:hAnsi="宋体" w:cs="宋体"/>
                      <w:color w:val="auto"/>
                      <w:szCs w:val="21"/>
                    </w:rPr>
                  </w:pPr>
                  <w:r>
                    <w:rPr>
                      <w:color w:val="auto"/>
                      <w:szCs w:val="21"/>
                    </w:rPr>
                    <w:t>1.14</w:t>
                  </w:r>
                </w:p>
              </w:tc>
            </w:tr>
            <w:tr w14:paraId="220D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484" w:type="dxa"/>
                  <w:vMerge w:val="continue"/>
                  <w:vAlign w:val="center"/>
                </w:tcPr>
                <w:p w14:paraId="170C7A0C">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54B2EF5B">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外观</w:t>
                  </w:r>
                </w:p>
              </w:tc>
              <w:tc>
                <w:tcPr>
                  <w:tcW w:w="3376" w:type="dxa"/>
                  <w:vAlign w:val="center"/>
                </w:tcPr>
                <w:p w14:paraId="6F955D75">
                  <w:pPr>
                    <w:jc w:val="center"/>
                    <w:rPr>
                      <w:rFonts w:hint="eastAsia" w:ascii="宋体" w:hAnsi="宋体" w:cs="宋体"/>
                      <w:color w:val="auto"/>
                      <w:szCs w:val="21"/>
                    </w:rPr>
                  </w:pPr>
                  <w:r>
                    <w:rPr>
                      <w:rFonts w:hint="eastAsia" w:ascii="宋体" w:hAnsi="宋体" w:cs="宋体"/>
                      <w:color w:val="auto"/>
                      <w:szCs w:val="21"/>
                    </w:rPr>
                    <w:t>无色透明液体，有芳香气味</w:t>
                  </w:r>
                </w:p>
              </w:tc>
              <w:tc>
                <w:tcPr>
                  <w:tcW w:w="1817" w:type="dxa"/>
                  <w:vAlign w:val="center"/>
                </w:tcPr>
                <w:p w14:paraId="502F44D1">
                  <w:pPr>
                    <w:jc w:val="center"/>
                    <w:rPr>
                      <w:rFonts w:hint="eastAsia" w:ascii="宋体" w:hAnsi="宋体" w:cs="宋体"/>
                      <w:color w:val="auto"/>
                      <w:szCs w:val="21"/>
                      <w:shd w:val="clear" w:color="auto" w:fill="FFFFFF"/>
                    </w:rPr>
                  </w:pPr>
                  <w:r>
                    <w:rPr>
                      <w:rFonts w:hint="eastAsia" w:ascii="宋体" w:hAnsi="宋体" w:cs="宋体"/>
                      <w:color w:val="auto"/>
                      <w:szCs w:val="21"/>
                    </w:rPr>
                    <w:t>一种随温度升高颜色由黄绿色到橙色的气体</w:t>
                  </w:r>
                </w:p>
              </w:tc>
              <w:tc>
                <w:tcPr>
                  <w:tcW w:w="1814" w:type="dxa"/>
                  <w:vAlign w:val="center"/>
                </w:tcPr>
                <w:p w14:paraId="406FF4BF">
                  <w:pPr>
                    <w:adjustRightInd w:val="0"/>
                    <w:snapToGrid w:val="0"/>
                    <w:jc w:val="center"/>
                    <w:rPr>
                      <w:rFonts w:hint="eastAsia" w:ascii="宋体" w:hAnsi="宋体" w:cs="宋体"/>
                      <w:color w:val="auto"/>
                      <w:szCs w:val="21"/>
                    </w:rPr>
                  </w:pPr>
                  <w:r>
                    <w:rPr>
                      <w:rFonts w:hAnsi="宋体"/>
                      <w:color w:val="auto"/>
                      <w:szCs w:val="21"/>
                    </w:rPr>
                    <w:t>无色无臭气体</w:t>
                  </w:r>
                </w:p>
              </w:tc>
            </w:tr>
            <w:tr w14:paraId="0850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84" w:type="dxa"/>
                  <w:vMerge w:val="restart"/>
                  <w:vAlign w:val="center"/>
                </w:tcPr>
                <w:p w14:paraId="6A1EC326">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危险特性</w:t>
                  </w:r>
                </w:p>
              </w:tc>
              <w:tc>
                <w:tcPr>
                  <w:tcW w:w="1386" w:type="dxa"/>
                  <w:vAlign w:val="center"/>
                </w:tcPr>
                <w:p w14:paraId="39317334">
                  <w:pPr>
                    <w:jc w:val="center"/>
                    <w:rPr>
                      <w:rFonts w:hint="eastAsia" w:ascii="宋体" w:hAnsi="宋体" w:cs="宋体"/>
                      <w:b/>
                      <w:color w:val="auto"/>
                      <w:szCs w:val="21"/>
                    </w:rPr>
                  </w:pPr>
                  <w:r>
                    <w:rPr>
                      <w:rFonts w:hint="eastAsia" w:ascii="宋体" w:hAnsi="宋体" w:cs="宋体"/>
                      <w:b/>
                      <w:color w:val="auto"/>
                      <w:szCs w:val="21"/>
                    </w:rPr>
                    <w:t>沸点（℃）</w:t>
                  </w:r>
                </w:p>
              </w:tc>
              <w:tc>
                <w:tcPr>
                  <w:tcW w:w="3376" w:type="dxa"/>
                  <w:vAlign w:val="center"/>
                </w:tcPr>
                <w:p w14:paraId="391D6908">
                  <w:pPr>
                    <w:jc w:val="center"/>
                    <w:rPr>
                      <w:rFonts w:hint="eastAsia" w:ascii="宋体" w:hAnsi="宋体" w:cs="宋体"/>
                      <w:color w:val="auto"/>
                      <w:szCs w:val="21"/>
                    </w:rPr>
                  </w:pPr>
                  <w:r>
                    <w:rPr>
                      <w:rFonts w:hint="eastAsia" w:ascii="宋体" w:hAnsi="宋体" w:cs="宋体"/>
                      <w:color w:val="auto"/>
                      <w:szCs w:val="21"/>
                    </w:rPr>
                    <w:t>78.3</w:t>
                  </w:r>
                </w:p>
              </w:tc>
              <w:tc>
                <w:tcPr>
                  <w:tcW w:w="1817" w:type="dxa"/>
                  <w:vAlign w:val="center"/>
                </w:tcPr>
                <w:p w14:paraId="38533B43">
                  <w:pPr>
                    <w:jc w:val="center"/>
                    <w:rPr>
                      <w:rFonts w:hint="eastAsia" w:ascii="宋体" w:hAnsi="宋体" w:cs="宋体"/>
                      <w:color w:val="auto"/>
                      <w:szCs w:val="21"/>
                    </w:rPr>
                  </w:pPr>
                  <w:r>
                    <w:rPr>
                      <w:rFonts w:hint="eastAsia" w:ascii="宋体" w:hAnsi="宋体" w:cs="宋体"/>
                      <w:color w:val="auto"/>
                      <w:szCs w:val="21"/>
                    </w:rPr>
                    <w:t>11</w:t>
                  </w:r>
                </w:p>
              </w:tc>
              <w:tc>
                <w:tcPr>
                  <w:tcW w:w="1814" w:type="dxa"/>
                  <w:vAlign w:val="center"/>
                </w:tcPr>
                <w:p w14:paraId="6C154DA2">
                  <w:pPr>
                    <w:adjustRightInd w:val="0"/>
                    <w:snapToGrid w:val="0"/>
                    <w:jc w:val="center"/>
                    <w:rPr>
                      <w:rFonts w:hint="eastAsia" w:ascii="宋体" w:hAnsi="宋体" w:cs="宋体"/>
                      <w:color w:val="auto"/>
                      <w:szCs w:val="21"/>
                    </w:rPr>
                  </w:pPr>
                  <w:r>
                    <w:rPr>
                      <w:color w:val="auto"/>
                      <w:szCs w:val="21"/>
                    </w:rPr>
                    <w:t>-182.83</w:t>
                  </w:r>
                </w:p>
              </w:tc>
            </w:tr>
            <w:tr w14:paraId="0ED3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84" w:type="dxa"/>
                  <w:vMerge w:val="continue"/>
                  <w:vAlign w:val="center"/>
                </w:tcPr>
                <w:p w14:paraId="05F33616">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5E6E9C7E">
                  <w:pPr>
                    <w:jc w:val="center"/>
                    <w:rPr>
                      <w:rFonts w:hint="eastAsia" w:ascii="宋体" w:hAnsi="宋体" w:cs="宋体"/>
                      <w:b/>
                      <w:color w:val="auto"/>
                      <w:szCs w:val="21"/>
                    </w:rPr>
                  </w:pPr>
                  <w:r>
                    <w:rPr>
                      <w:rFonts w:hint="eastAsia" w:ascii="宋体" w:hAnsi="宋体" w:cs="宋体"/>
                      <w:b/>
                      <w:color w:val="auto"/>
                      <w:szCs w:val="21"/>
                    </w:rPr>
                    <w:t>熔点（℃）</w:t>
                  </w:r>
                </w:p>
              </w:tc>
              <w:tc>
                <w:tcPr>
                  <w:tcW w:w="3376" w:type="dxa"/>
                  <w:vAlign w:val="center"/>
                </w:tcPr>
                <w:p w14:paraId="547677F2">
                  <w:pPr>
                    <w:jc w:val="center"/>
                    <w:rPr>
                      <w:rFonts w:hint="eastAsia" w:ascii="宋体" w:hAnsi="宋体" w:cs="宋体"/>
                      <w:color w:val="auto"/>
                      <w:szCs w:val="21"/>
                    </w:rPr>
                  </w:pPr>
                  <w:r>
                    <w:rPr>
                      <w:rFonts w:hint="eastAsia" w:ascii="宋体" w:hAnsi="宋体" w:cs="宋体"/>
                      <w:color w:val="auto"/>
                      <w:szCs w:val="21"/>
                    </w:rPr>
                    <w:t>-114.1</w:t>
                  </w:r>
                </w:p>
              </w:tc>
              <w:tc>
                <w:tcPr>
                  <w:tcW w:w="1817" w:type="dxa"/>
                  <w:vAlign w:val="center"/>
                </w:tcPr>
                <w:p w14:paraId="5FE46783">
                  <w:pPr>
                    <w:jc w:val="center"/>
                    <w:rPr>
                      <w:rFonts w:hint="eastAsia" w:ascii="宋体" w:hAnsi="宋体" w:cs="宋体"/>
                      <w:color w:val="auto"/>
                      <w:szCs w:val="21"/>
                    </w:rPr>
                  </w:pPr>
                  <w:r>
                    <w:rPr>
                      <w:rFonts w:hint="eastAsia" w:ascii="宋体" w:hAnsi="宋体" w:cs="宋体"/>
                      <w:color w:val="auto"/>
                      <w:szCs w:val="21"/>
                    </w:rPr>
                    <w:t>-59</w:t>
                  </w:r>
                </w:p>
              </w:tc>
              <w:tc>
                <w:tcPr>
                  <w:tcW w:w="1814" w:type="dxa"/>
                  <w:vAlign w:val="center"/>
                </w:tcPr>
                <w:p w14:paraId="5863FC4F">
                  <w:pPr>
                    <w:adjustRightInd w:val="0"/>
                    <w:snapToGrid w:val="0"/>
                    <w:jc w:val="center"/>
                    <w:rPr>
                      <w:rFonts w:hint="eastAsia" w:ascii="宋体" w:hAnsi="宋体" w:cs="宋体"/>
                      <w:color w:val="auto"/>
                      <w:szCs w:val="21"/>
                    </w:rPr>
                  </w:pPr>
                  <w:r>
                    <w:rPr>
                      <w:color w:val="auto"/>
                      <w:szCs w:val="21"/>
                    </w:rPr>
                    <w:t>-218.8</w:t>
                  </w:r>
                </w:p>
              </w:tc>
            </w:tr>
            <w:tr w14:paraId="4F65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84" w:type="dxa"/>
                  <w:vMerge w:val="continue"/>
                  <w:vAlign w:val="center"/>
                </w:tcPr>
                <w:p w14:paraId="57C67750">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73DC26F4">
                  <w:pPr>
                    <w:jc w:val="center"/>
                    <w:rPr>
                      <w:rFonts w:hint="eastAsia" w:ascii="宋体" w:hAnsi="宋体" w:cs="宋体"/>
                      <w:b/>
                      <w:color w:val="auto"/>
                      <w:szCs w:val="21"/>
                    </w:rPr>
                  </w:pPr>
                  <w:r>
                    <w:rPr>
                      <w:rFonts w:hint="eastAsia" w:ascii="宋体" w:hAnsi="宋体" w:cs="宋体"/>
                      <w:b/>
                      <w:color w:val="auto"/>
                      <w:szCs w:val="21"/>
                    </w:rPr>
                    <w:t>可燃性</w:t>
                  </w:r>
                </w:p>
              </w:tc>
              <w:tc>
                <w:tcPr>
                  <w:tcW w:w="3376" w:type="dxa"/>
                  <w:vAlign w:val="center"/>
                </w:tcPr>
                <w:p w14:paraId="5FCF583F">
                  <w:pPr>
                    <w:jc w:val="center"/>
                    <w:rPr>
                      <w:rFonts w:hint="eastAsia" w:ascii="宋体" w:hAnsi="宋体" w:cs="宋体"/>
                      <w:color w:val="auto"/>
                      <w:szCs w:val="21"/>
                    </w:rPr>
                  </w:pPr>
                  <w:r>
                    <w:rPr>
                      <w:rFonts w:hint="eastAsia" w:ascii="宋体" w:hAnsi="宋体" w:cs="宋体"/>
                      <w:color w:val="auto"/>
                      <w:szCs w:val="21"/>
                    </w:rPr>
                    <w:t>可燃</w:t>
                  </w:r>
                </w:p>
              </w:tc>
              <w:tc>
                <w:tcPr>
                  <w:tcW w:w="1817" w:type="dxa"/>
                  <w:vAlign w:val="center"/>
                </w:tcPr>
                <w:p w14:paraId="30796199">
                  <w:pPr>
                    <w:jc w:val="center"/>
                    <w:rPr>
                      <w:rFonts w:hint="eastAsia" w:ascii="宋体" w:hAnsi="宋体" w:cs="宋体"/>
                      <w:color w:val="auto"/>
                      <w:szCs w:val="21"/>
                    </w:rPr>
                  </w:pPr>
                  <w:r>
                    <w:rPr>
                      <w:rFonts w:hint="eastAsia" w:ascii="宋体" w:hAnsi="宋体" w:cs="宋体"/>
                      <w:color w:val="auto"/>
                      <w:szCs w:val="21"/>
                    </w:rPr>
                    <w:t>--</w:t>
                  </w:r>
                </w:p>
              </w:tc>
              <w:tc>
                <w:tcPr>
                  <w:tcW w:w="1814" w:type="dxa"/>
                  <w:vAlign w:val="center"/>
                </w:tcPr>
                <w:p w14:paraId="3BA1F5F6">
                  <w:pPr>
                    <w:adjustRightInd w:val="0"/>
                    <w:snapToGrid w:val="0"/>
                    <w:jc w:val="center"/>
                    <w:rPr>
                      <w:rFonts w:hint="eastAsia" w:ascii="宋体" w:hAnsi="宋体" w:cs="宋体"/>
                      <w:color w:val="auto"/>
                      <w:szCs w:val="21"/>
                    </w:rPr>
                  </w:pPr>
                  <w:r>
                    <w:rPr>
                      <w:rFonts w:hAnsi="宋体"/>
                      <w:color w:val="auto"/>
                      <w:szCs w:val="21"/>
                    </w:rPr>
                    <w:t>不燃</w:t>
                  </w:r>
                </w:p>
              </w:tc>
            </w:tr>
            <w:tr w14:paraId="28C6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84" w:type="dxa"/>
                  <w:vMerge w:val="continue"/>
                  <w:vAlign w:val="center"/>
                </w:tcPr>
                <w:p w14:paraId="0ACBECC7">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4C473A93">
                  <w:pPr>
                    <w:jc w:val="center"/>
                    <w:rPr>
                      <w:rFonts w:hint="eastAsia" w:ascii="宋体" w:hAnsi="宋体" w:cs="宋体"/>
                      <w:b/>
                      <w:color w:val="auto"/>
                      <w:szCs w:val="21"/>
                    </w:rPr>
                  </w:pPr>
                  <w:r>
                    <w:rPr>
                      <w:rFonts w:hint="eastAsia" w:ascii="宋体" w:hAnsi="宋体" w:cs="宋体"/>
                      <w:b/>
                      <w:color w:val="auto"/>
                      <w:szCs w:val="21"/>
                    </w:rPr>
                    <w:t>爆炸危险度</w:t>
                  </w:r>
                </w:p>
              </w:tc>
              <w:tc>
                <w:tcPr>
                  <w:tcW w:w="3376" w:type="dxa"/>
                  <w:vAlign w:val="center"/>
                </w:tcPr>
                <w:p w14:paraId="639F00A7">
                  <w:pPr>
                    <w:jc w:val="center"/>
                    <w:rPr>
                      <w:rFonts w:hint="eastAsia" w:ascii="宋体" w:hAnsi="宋体" w:cs="宋体"/>
                      <w:color w:val="auto"/>
                      <w:szCs w:val="21"/>
                    </w:rPr>
                  </w:pPr>
                  <w:r>
                    <w:rPr>
                      <w:rFonts w:hint="eastAsia" w:ascii="宋体" w:hAnsi="宋体" w:cs="宋体"/>
                      <w:color w:val="auto"/>
                      <w:szCs w:val="21"/>
                    </w:rPr>
                    <w:t>易挥发，易燃烧，刺激性</w:t>
                  </w:r>
                </w:p>
              </w:tc>
              <w:tc>
                <w:tcPr>
                  <w:tcW w:w="1817" w:type="dxa"/>
                  <w:vAlign w:val="center"/>
                </w:tcPr>
                <w:p w14:paraId="65E8EC0B">
                  <w:pPr>
                    <w:jc w:val="center"/>
                    <w:rPr>
                      <w:rFonts w:hint="eastAsia" w:ascii="宋体" w:hAnsi="宋体" w:cs="宋体"/>
                      <w:color w:val="auto"/>
                      <w:szCs w:val="21"/>
                    </w:rPr>
                  </w:pPr>
                  <w:r>
                    <w:rPr>
                      <w:rFonts w:hint="eastAsia" w:ascii="宋体" w:hAnsi="宋体" w:cs="宋体"/>
                      <w:color w:val="auto"/>
                      <w:szCs w:val="21"/>
                    </w:rPr>
                    <w:t>纯二氧化氯的液体与气体性质极不稳定，在空气中二氧化氯浓度超过10%时就有很高的爆炸性</w:t>
                  </w:r>
                </w:p>
              </w:tc>
              <w:tc>
                <w:tcPr>
                  <w:tcW w:w="1814" w:type="dxa"/>
                  <w:vAlign w:val="center"/>
                </w:tcPr>
                <w:p w14:paraId="33B458FC">
                  <w:pPr>
                    <w:adjustRightInd w:val="0"/>
                    <w:snapToGrid w:val="0"/>
                    <w:jc w:val="center"/>
                    <w:rPr>
                      <w:rFonts w:hint="eastAsia" w:ascii="宋体" w:hAnsi="宋体" w:cs="宋体"/>
                      <w:color w:val="auto"/>
                      <w:szCs w:val="21"/>
                    </w:rPr>
                  </w:pPr>
                  <w:r>
                    <w:rPr>
                      <w:rFonts w:hAnsi="宋体"/>
                      <w:color w:val="auto"/>
                      <w:szCs w:val="21"/>
                    </w:rPr>
                    <w:t>助燃</w:t>
                  </w:r>
                </w:p>
              </w:tc>
            </w:tr>
            <w:tr w14:paraId="7601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484" w:type="dxa"/>
                  <w:vMerge w:val="continue"/>
                  <w:vAlign w:val="center"/>
                </w:tcPr>
                <w:p w14:paraId="622D6D5D">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03C975A9">
                  <w:pPr>
                    <w:jc w:val="center"/>
                    <w:rPr>
                      <w:rFonts w:hint="eastAsia" w:ascii="宋体" w:hAnsi="宋体" w:cs="宋体"/>
                      <w:b/>
                      <w:color w:val="auto"/>
                      <w:szCs w:val="21"/>
                    </w:rPr>
                  </w:pPr>
                  <w:r>
                    <w:rPr>
                      <w:rFonts w:hint="eastAsia" w:ascii="宋体" w:hAnsi="宋体" w:cs="宋体"/>
                      <w:b/>
                      <w:color w:val="auto"/>
                      <w:szCs w:val="21"/>
                    </w:rPr>
                    <w:t>危险特性</w:t>
                  </w:r>
                </w:p>
              </w:tc>
              <w:tc>
                <w:tcPr>
                  <w:tcW w:w="3376" w:type="dxa"/>
                  <w:vAlign w:val="center"/>
                </w:tcPr>
                <w:p w14:paraId="62B384F2">
                  <w:pPr>
                    <w:widowControl/>
                    <w:jc w:val="center"/>
                    <w:rPr>
                      <w:rFonts w:hint="eastAsia" w:ascii="宋体" w:hAnsi="宋体" w:cs="宋体"/>
                      <w:color w:val="auto"/>
                      <w:szCs w:val="21"/>
                    </w:rPr>
                  </w:pPr>
                  <w:r>
                    <w:rPr>
                      <w:rFonts w:hint="eastAsia" w:ascii="宋体" w:hAnsi="宋体" w:cs="宋体"/>
                      <w:color w:val="auto"/>
                      <w:szCs w:val="21"/>
                    </w:rPr>
                    <w:t>易挥发，易燃烧，刺激性。其蒸气与空气混合成爆炸性气体。遇到高热、明火能燃烧或爆炸，与氧化剂</w:t>
                  </w:r>
                  <w:r>
                    <w:rPr>
                      <w:color w:val="auto"/>
                    </w:rPr>
                    <w:fldChar w:fldCharType="begin"/>
                  </w:r>
                  <w:r>
                    <w:rPr>
                      <w:color w:val="auto"/>
                    </w:rPr>
                    <w:instrText xml:space="preserve"> HYPERLINK "https://baike.baidu.com/item/%E9%93%AC%E9%85%B8/1569068?fromModule=lemma_inlink" \t "https://baike.baidu.com/item/%E4%B9%99%E9%86%87/_blank" </w:instrText>
                  </w:r>
                  <w:r>
                    <w:rPr>
                      <w:color w:val="auto"/>
                    </w:rPr>
                    <w:fldChar w:fldCharType="separate"/>
                  </w:r>
                  <w:r>
                    <w:rPr>
                      <w:rFonts w:hint="eastAsia" w:ascii="宋体" w:hAnsi="宋体" w:cs="宋体"/>
                      <w:color w:val="auto"/>
                      <w:szCs w:val="21"/>
                    </w:rPr>
                    <w:t>铬酸</w:t>
                  </w:r>
                  <w:r>
                    <w:rPr>
                      <w:rFonts w:hint="eastAsia" w:ascii="宋体" w:hAnsi="宋体" w:cs="宋体"/>
                      <w:color w:val="auto"/>
                      <w:szCs w:val="21"/>
                    </w:rPr>
                    <w:fldChar w:fldCharType="end"/>
                  </w:r>
                  <w:r>
                    <w:rPr>
                      <w:rFonts w:hint="eastAsia" w:ascii="宋体" w:hAnsi="宋体" w:cs="宋体"/>
                      <w:color w:val="auto"/>
                      <w:szCs w:val="21"/>
                    </w:rPr>
                    <w:t>、</w:t>
                  </w:r>
                  <w:r>
                    <w:rPr>
                      <w:color w:val="auto"/>
                    </w:rPr>
                    <w:fldChar w:fldCharType="begin"/>
                  </w:r>
                  <w:r>
                    <w:rPr>
                      <w:color w:val="auto"/>
                    </w:rPr>
                    <w:instrText xml:space="preserve"> HYPERLINK "https://baike.baidu.com/item/%E6%AC%A1%E6%B0%AF%E9%85%B8%E9%92%99/7603952?fromModule=lemma_inlink" \t "https://baike.baidu.com/item/%E4%B9%99%E9%86%87/_blank" </w:instrText>
                  </w:r>
                  <w:r>
                    <w:rPr>
                      <w:color w:val="auto"/>
                    </w:rPr>
                    <w:fldChar w:fldCharType="separate"/>
                  </w:r>
                  <w:r>
                    <w:rPr>
                      <w:rFonts w:hint="eastAsia" w:ascii="宋体" w:hAnsi="宋体" w:cs="宋体"/>
                      <w:color w:val="auto"/>
                      <w:szCs w:val="21"/>
                    </w:rPr>
                    <w:t>次氯酸钙</w:t>
                  </w:r>
                  <w:r>
                    <w:rPr>
                      <w:rFonts w:hint="eastAsia" w:ascii="宋体" w:hAnsi="宋体" w:cs="宋体"/>
                      <w:color w:val="auto"/>
                      <w:szCs w:val="21"/>
                    </w:rPr>
                    <w:fldChar w:fldCharType="end"/>
                  </w:r>
                  <w:r>
                    <w:rPr>
                      <w:rFonts w:hint="eastAsia" w:ascii="宋体" w:hAnsi="宋体" w:cs="宋体"/>
                      <w:color w:val="auto"/>
                      <w:szCs w:val="21"/>
                    </w:rPr>
                    <w:t>、</w:t>
                  </w:r>
                  <w:r>
                    <w:rPr>
                      <w:color w:val="auto"/>
                    </w:rPr>
                    <w:fldChar w:fldCharType="begin"/>
                  </w:r>
                  <w:r>
                    <w:rPr>
                      <w:color w:val="auto"/>
                    </w:rPr>
                    <w:instrText xml:space="preserve"> HYPERLINK "https://baike.baidu.com/item/%E8%BF%87%E6%B0%A7%E5%8C%96%E6%B0%A2/2230959?fromModule=lemma_inlink" \t "https://baike.baidu.com/item/%E4%B9%99%E9%86%87/_blank" </w:instrText>
                  </w:r>
                  <w:r>
                    <w:rPr>
                      <w:color w:val="auto"/>
                    </w:rPr>
                    <w:fldChar w:fldCharType="separate"/>
                  </w:r>
                  <w:r>
                    <w:rPr>
                      <w:rFonts w:hint="eastAsia" w:ascii="宋体" w:hAnsi="宋体" w:cs="宋体"/>
                      <w:color w:val="auto"/>
                      <w:szCs w:val="21"/>
                    </w:rPr>
                    <w:t>过氧化氢</w:t>
                  </w:r>
                  <w:r>
                    <w:rPr>
                      <w:rFonts w:hint="eastAsia" w:ascii="宋体" w:hAnsi="宋体" w:cs="宋体"/>
                      <w:color w:val="auto"/>
                      <w:szCs w:val="21"/>
                    </w:rPr>
                    <w:fldChar w:fldCharType="end"/>
                  </w:r>
                  <w:r>
                    <w:rPr>
                      <w:rFonts w:hint="eastAsia" w:ascii="宋体" w:hAnsi="宋体" w:cs="宋体"/>
                      <w:color w:val="auto"/>
                      <w:szCs w:val="21"/>
                    </w:rPr>
                    <w:t>、</w:t>
                  </w:r>
                  <w:r>
                    <w:rPr>
                      <w:color w:val="auto"/>
                    </w:rPr>
                    <w:fldChar w:fldCharType="begin"/>
                  </w:r>
                  <w:r>
                    <w:rPr>
                      <w:color w:val="auto"/>
                    </w:rPr>
                    <w:instrText xml:space="preserve"> HYPERLINK "https://baike.baidu.com/item/%E7%A1%9D%E9%85%B8/890250?fromModule=lemma_inlink" \t "https://baike.baidu.com/item/%E4%B9%99%E9%86%87/_blank" </w:instrText>
                  </w:r>
                  <w:r>
                    <w:rPr>
                      <w:color w:val="auto"/>
                    </w:rPr>
                    <w:fldChar w:fldCharType="separate"/>
                  </w:r>
                  <w:r>
                    <w:rPr>
                      <w:rFonts w:hint="eastAsia" w:ascii="宋体" w:hAnsi="宋体" w:cs="宋体"/>
                      <w:color w:val="auto"/>
                      <w:szCs w:val="21"/>
                    </w:rPr>
                    <w:t>硝酸</w:t>
                  </w:r>
                  <w:r>
                    <w:rPr>
                      <w:rFonts w:hint="eastAsia" w:ascii="宋体" w:hAnsi="宋体" w:cs="宋体"/>
                      <w:color w:val="auto"/>
                      <w:szCs w:val="21"/>
                    </w:rPr>
                    <w:fldChar w:fldCharType="end"/>
                  </w:r>
                  <w:r>
                    <w:rPr>
                      <w:rFonts w:hint="eastAsia" w:ascii="宋体" w:hAnsi="宋体" w:cs="宋体"/>
                      <w:color w:val="auto"/>
                      <w:szCs w:val="21"/>
                    </w:rPr>
                    <w:t>、</w:t>
                  </w:r>
                  <w:r>
                    <w:rPr>
                      <w:color w:val="auto"/>
                    </w:rPr>
                    <w:fldChar w:fldCharType="begin"/>
                  </w:r>
                  <w:r>
                    <w:rPr>
                      <w:color w:val="auto"/>
                    </w:rPr>
                    <w:instrText xml:space="preserve"> HYPERLINK "https://baike.baidu.com/item/%E7%A1%9D%E9%85%B8%E9%93%B6/3051704?fromModule=lemma_inlink" \t "https://baike.baidu.com/item/%E4%B9%99%E9%86%87/_blank" </w:instrText>
                  </w:r>
                  <w:r>
                    <w:rPr>
                      <w:color w:val="auto"/>
                    </w:rPr>
                    <w:fldChar w:fldCharType="separate"/>
                  </w:r>
                  <w:r>
                    <w:rPr>
                      <w:rFonts w:hint="eastAsia" w:ascii="宋体" w:hAnsi="宋体" w:cs="宋体"/>
                      <w:color w:val="auto"/>
                      <w:szCs w:val="21"/>
                    </w:rPr>
                    <w:t>硝酸银</w:t>
                  </w:r>
                  <w:r>
                    <w:rPr>
                      <w:rFonts w:hint="eastAsia" w:ascii="宋体" w:hAnsi="宋体" w:cs="宋体"/>
                      <w:color w:val="auto"/>
                      <w:szCs w:val="21"/>
                    </w:rPr>
                    <w:fldChar w:fldCharType="end"/>
                  </w:r>
                  <w:r>
                    <w:rPr>
                      <w:rFonts w:hint="eastAsia" w:ascii="宋体" w:hAnsi="宋体" w:cs="宋体"/>
                      <w:color w:val="auto"/>
                      <w:szCs w:val="21"/>
                    </w:rPr>
                    <w:t>、过氯酸盐等反应剧烈，有发生燃烧爆炸的危险。在火场中，受热的容器有爆炸危险。其蒸气比空气重，能在较低处扩散到相当远的地方，遇明火会引着回燃。</w:t>
                  </w:r>
                </w:p>
              </w:tc>
              <w:tc>
                <w:tcPr>
                  <w:tcW w:w="1817" w:type="dxa"/>
                  <w:vAlign w:val="center"/>
                </w:tcPr>
                <w:p w14:paraId="1C002CBB">
                  <w:pPr>
                    <w:jc w:val="center"/>
                    <w:rPr>
                      <w:rFonts w:hint="eastAsia" w:ascii="宋体" w:hAnsi="宋体" w:cs="宋体"/>
                      <w:color w:val="auto"/>
                      <w:szCs w:val="21"/>
                    </w:rPr>
                  </w:pPr>
                  <w:r>
                    <w:rPr>
                      <w:rFonts w:hint="eastAsia" w:ascii="宋体" w:hAnsi="宋体" w:cs="宋体"/>
                      <w:color w:val="auto"/>
                      <w:szCs w:val="21"/>
                    </w:rPr>
                    <w:t>由于二氧化氯的化学性质非常活泼，见光或受热而分解时或与易被氧化的物质接触时往往会发生爆炸</w:t>
                  </w:r>
                </w:p>
              </w:tc>
              <w:tc>
                <w:tcPr>
                  <w:tcW w:w="1814" w:type="dxa"/>
                  <w:vAlign w:val="center"/>
                </w:tcPr>
                <w:p w14:paraId="4DC0BC3A">
                  <w:pPr>
                    <w:adjustRightInd w:val="0"/>
                    <w:snapToGrid w:val="0"/>
                    <w:jc w:val="center"/>
                    <w:rPr>
                      <w:rFonts w:hint="eastAsia" w:ascii="宋体" w:hAnsi="宋体" w:cs="宋体"/>
                      <w:color w:val="auto"/>
                      <w:szCs w:val="21"/>
                    </w:rPr>
                  </w:pPr>
                  <w:r>
                    <w:rPr>
                      <w:rFonts w:hAnsi="宋体"/>
                      <w:color w:val="auto"/>
                      <w:szCs w:val="21"/>
                    </w:rPr>
                    <w:t>是易燃物、可燃物燃烧爆炸的基本要素之一，能氧化大多数活性物质，与易燃物（如乙炔、甲烷等）形成爆炸性的混合物</w:t>
                  </w:r>
                </w:p>
              </w:tc>
            </w:tr>
            <w:tr w14:paraId="66CC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84" w:type="dxa"/>
                  <w:vMerge w:val="restart"/>
                  <w:vAlign w:val="center"/>
                </w:tcPr>
                <w:p w14:paraId="4170255E">
                  <w:pPr>
                    <w:jc w:val="center"/>
                    <w:rPr>
                      <w:rFonts w:hint="eastAsia" w:ascii="宋体" w:hAnsi="宋体" w:cs="宋体"/>
                      <w:b/>
                      <w:color w:val="auto"/>
                      <w:szCs w:val="21"/>
                    </w:rPr>
                  </w:pPr>
                  <w:r>
                    <w:rPr>
                      <w:rFonts w:hint="eastAsia" w:ascii="宋体" w:hAnsi="宋体" w:cs="宋体"/>
                      <w:b/>
                      <w:color w:val="auto"/>
                      <w:szCs w:val="21"/>
                    </w:rPr>
                    <w:t>毒性特征</w:t>
                  </w:r>
                </w:p>
              </w:tc>
              <w:tc>
                <w:tcPr>
                  <w:tcW w:w="1386" w:type="dxa"/>
                  <w:vAlign w:val="center"/>
                </w:tcPr>
                <w:p w14:paraId="0656511B">
                  <w:pPr>
                    <w:jc w:val="center"/>
                    <w:rPr>
                      <w:rFonts w:hint="eastAsia" w:ascii="宋体" w:hAnsi="宋体" w:cs="宋体"/>
                      <w:b/>
                      <w:color w:val="auto"/>
                      <w:szCs w:val="21"/>
                    </w:rPr>
                  </w:pPr>
                  <w:r>
                    <w:rPr>
                      <w:rFonts w:hint="eastAsia" w:ascii="宋体" w:hAnsi="宋体" w:cs="宋体"/>
                      <w:b/>
                      <w:color w:val="auto"/>
                      <w:szCs w:val="21"/>
                    </w:rPr>
                    <w:t>毒性分级</w:t>
                  </w:r>
                </w:p>
              </w:tc>
              <w:tc>
                <w:tcPr>
                  <w:tcW w:w="3376" w:type="dxa"/>
                  <w:vAlign w:val="center"/>
                </w:tcPr>
                <w:p w14:paraId="38723700">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color w:val="auto"/>
                      <w:sz w:val="21"/>
                      <w:szCs w:val="21"/>
                    </w:rPr>
                    <w:t>--</w:t>
                  </w:r>
                </w:p>
              </w:tc>
              <w:tc>
                <w:tcPr>
                  <w:tcW w:w="1817" w:type="dxa"/>
                  <w:vAlign w:val="center"/>
                </w:tcPr>
                <w:p w14:paraId="10B4CBB3">
                  <w:pPr>
                    <w:jc w:val="center"/>
                    <w:rPr>
                      <w:rFonts w:hint="eastAsia" w:ascii="宋体" w:hAnsi="宋体" w:cs="宋体"/>
                      <w:color w:val="auto"/>
                      <w:szCs w:val="21"/>
                    </w:rPr>
                  </w:pPr>
                  <w:r>
                    <w:rPr>
                      <w:rFonts w:hint="eastAsia" w:ascii="宋体" w:hAnsi="宋体" w:cs="宋体"/>
                      <w:color w:val="auto"/>
                      <w:szCs w:val="21"/>
                    </w:rPr>
                    <w:t>--</w:t>
                  </w:r>
                </w:p>
              </w:tc>
              <w:tc>
                <w:tcPr>
                  <w:tcW w:w="1814" w:type="dxa"/>
                  <w:vAlign w:val="center"/>
                </w:tcPr>
                <w:p w14:paraId="02F75D8F">
                  <w:pPr>
                    <w:jc w:val="center"/>
                    <w:rPr>
                      <w:rFonts w:hint="eastAsia" w:ascii="宋体" w:hAnsi="宋体" w:cs="宋体"/>
                      <w:color w:val="auto"/>
                      <w:szCs w:val="21"/>
                    </w:rPr>
                  </w:pPr>
                  <w:r>
                    <w:rPr>
                      <w:rFonts w:hint="eastAsia" w:ascii="宋体" w:hAnsi="宋体" w:cs="宋体"/>
                      <w:color w:val="auto"/>
                      <w:szCs w:val="21"/>
                    </w:rPr>
                    <w:t>-</w:t>
                  </w:r>
                </w:p>
              </w:tc>
            </w:tr>
            <w:tr w14:paraId="61B5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84" w:type="dxa"/>
                  <w:vMerge w:val="continue"/>
                  <w:vAlign w:val="center"/>
                </w:tcPr>
                <w:p w14:paraId="5ED42310">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0B520737">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半致死量</w:t>
                  </w:r>
                </w:p>
              </w:tc>
              <w:tc>
                <w:tcPr>
                  <w:tcW w:w="3376" w:type="dxa"/>
                  <w:vAlign w:val="center"/>
                </w:tcPr>
                <w:p w14:paraId="64EB79C2">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color w:val="auto"/>
                      <w:sz w:val="21"/>
                      <w:szCs w:val="21"/>
                    </w:rPr>
                    <w:t>小鼠经口1～1.5 g/(kg·d)，2周，阳性</w:t>
                  </w:r>
                </w:p>
              </w:tc>
              <w:tc>
                <w:tcPr>
                  <w:tcW w:w="1817" w:type="dxa"/>
                  <w:vAlign w:val="center"/>
                </w:tcPr>
                <w:p w14:paraId="38AAEAD5">
                  <w:pPr>
                    <w:jc w:val="center"/>
                    <w:rPr>
                      <w:rFonts w:hint="eastAsia" w:ascii="宋体" w:hAnsi="宋体" w:cs="宋体"/>
                      <w:color w:val="auto"/>
                      <w:szCs w:val="21"/>
                    </w:rPr>
                  </w:pPr>
                  <w:r>
                    <w:rPr>
                      <w:rFonts w:hint="eastAsia" w:ascii="宋体" w:hAnsi="宋体" w:cs="宋体"/>
                      <w:color w:val="auto"/>
                      <w:szCs w:val="21"/>
                    </w:rPr>
                    <w:t>--</w:t>
                  </w:r>
                </w:p>
              </w:tc>
              <w:tc>
                <w:tcPr>
                  <w:tcW w:w="1814" w:type="dxa"/>
                  <w:vAlign w:val="center"/>
                </w:tcPr>
                <w:p w14:paraId="0FFFC1AD">
                  <w:pPr>
                    <w:jc w:val="center"/>
                    <w:rPr>
                      <w:rFonts w:hint="eastAsia" w:ascii="宋体" w:hAnsi="宋体" w:cs="宋体"/>
                      <w:color w:val="auto"/>
                      <w:szCs w:val="21"/>
                    </w:rPr>
                  </w:pPr>
                  <w:r>
                    <w:rPr>
                      <w:rFonts w:hint="eastAsia" w:ascii="宋体" w:hAnsi="宋体" w:cs="宋体"/>
                      <w:color w:val="auto"/>
                      <w:szCs w:val="21"/>
                    </w:rPr>
                    <w:t>-</w:t>
                  </w:r>
                </w:p>
              </w:tc>
            </w:tr>
          </w:tbl>
          <w:p w14:paraId="1629B3F0">
            <w:pPr>
              <w:spacing w:line="360" w:lineRule="auto"/>
              <w:ind w:firstLine="482" w:firstLineChars="200"/>
              <w:jc w:val="left"/>
              <w:rPr>
                <w:b/>
                <w:bCs/>
                <w:color w:val="auto"/>
                <w:sz w:val="24"/>
              </w:rPr>
            </w:pPr>
            <w:r>
              <w:rPr>
                <w:rFonts w:hint="eastAsia"/>
                <w:b/>
                <w:bCs/>
                <w:color w:val="auto"/>
                <w:sz w:val="24"/>
              </w:rPr>
              <w:t>2、</w:t>
            </w:r>
            <w:r>
              <w:rPr>
                <w:b/>
                <w:bCs/>
                <w:color w:val="auto"/>
                <w:sz w:val="24"/>
              </w:rPr>
              <w:t>风险潜势</w:t>
            </w:r>
          </w:p>
          <w:p w14:paraId="58E8B0B0">
            <w:pPr>
              <w:spacing w:line="360" w:lineRule="auto"/>
              <w:ind w:firstLine="482"/>
              <w:rPr>
                <w:color w:val="auto"/>
                <w:sz w:val="24"/>
              </w:rPr>
            </w:pPr>
            <w:r>
              <w:rPr>
                <w:rFonts w:hint="eastAsia"/>
                <w:color w:val="auto"/>
                <w:sz w:val="24"/>
              </w:rPr>
              <w:t>经过收集资料整理，</w:t>
            </w:r>
            <w:r>
              <w:rPr>
                <w:rStyle w:val="45"/>
                <w:rFonts w:hint="eastAsia"/>
                <w:color w:val="auto"/>
                <w:sz w:val="24"/>
              </w:rPr>
              <w:t>对照</w:t>
            </w:r>
            <w:r>
              <w:rPr>
                <w:rFonts w:hint="eastAsia"/>
                <w:color w:val="auto"/>
                <w:sz w:val="24"/>
              </w:rPr>
              <w:t>《建设项目环境风险评价技术导则》（</w:t>
            </w:r>
            <w:r>
              <w:rPr>
                <w:color w:val="auto"/>
                <w:sz w:val="24"/>
              </w:rPr>
              <w:t>HJ169</w:t>
            </w:r>
            <w:r>
              <w:rPr>
                <w:rFonts w:hint="eastAsia"/>
                <w:color w:val="auto"/>
                <w:sz w:val="24"/>
              </w:rPr>
              <w:t>－</w:t>
            </w:r>
            <w:r>
              <w:rPr>
                <w:color w:val="auto"/>
                <w:sz w:val="24"/>
              </w:rPr>
              <w:t>2018</w:t>
            </w:r>
            <w:r>
              <w:rPr>
                <w:rFonts w:hint="eastAsia"/>
                <w:color w:val="auto"/>
                <w:sz w:val="24"/>
              </w:rPr>
              <w:t>）相关附录，本次将乙醇、二氧化氯（消毒剂）作为环境风险物质。本项目供养中心依托原有项目，不在本项目内储存液态氧，液态氧的环境风险较小。</w:t>
            </w:r>
          </w:p>
          <w:p w14:paraId="71CF3A1C">
            <w:pPr>
              <w:spacing w:line="360" w:lineRule="auto"/>
              <w:ind w:firstLine="480" w:firstLineChars="200"/>
              <w:rPr>
                <w:color w:val="auto"/>
                <w:sz w:val="24"/>
              </w:rPr>
            </w:pPr>
            <w:r>
              <w:rPr>
                <w:color w:val="auto"/>
                <w:sz w:val="24"/>
              </w:rPr>
              <w:t>项目所涉及的每种危险物质在厂界内的最大存在总量与对应临界量的比值为Q，当只涉及一种危险物质时，计算该物质的总量与其临界量比值，当存在多种危险物质时，按下列公式计算Q值：</w:t>
            </w:r>
          </w:p>
          <w:p w14:paraId="35F52CC6">
            <w:pPr>
              <w:spacing w:line="360" w:lineRule="auto"/>
              <w:ind w:firstLine="420"/>
              <w:jc w:val="center"/>
              <w:rPr>
                <w:color w:val="auto"/>
                <w:sz w:val="24"/>
              </w:rPr>
            </w:pPr>
            <w:r>
              <w:rPr>
                <w:color w:val="auto"/>
                <w:position w:val="-16"/>
              </w:rPr>
              <w:object>
                <v:shape id="_x0000_i1035" o:spt="75" type="#_x0000_t75" style="height:35.25pt;width:105.75pt;" o:ole="t" filled="f" o:preferrelative="t" stroked="f" coordsize="21600,21600">
                  <v:path/>
                  <v:fill on="f" focussize="0,0"/>
                  <v:stroke on="f" joinstyle="miter"/>
                  <v:imagedata r:id="rId38" o:title=""/>
                  <o:lock v:ext="edit" aspectratio="t"/>
                  <w10:wrap type="none"/>
                  <w10:anchorlock/>
                </v:shape>
                <o:OLEObject Type="Embed" ProgID="Equation.KSEE3" ShapeID="_x0000_i1035" DrawAspect="Content" ObjectID="_1468075735" r:id="rId37">
                  <o:LockedField>false</o:LockedField>
                </o:OLEObject>
              </w:object>
            </w:r>
          </w:p>
          <w:p w14:paraId="19C3714A">
            <w:pPr>
              <w:spacing w:line="360" w:lineRule="auto"/>
              <w:ind w:firstLine="480"/>
              <w:rPr>
                <w:color w:val="auto"/>
                <w:sz w:val="24"/>
              </w:rPr>
            </w:pPr>
            <w:r>
              <w:rPr>
                <w:color w:val="auto"/>
                <w:sz w:val="24"/>
              </w:rPr>
              <w:t>式中：q1，q2，…qn—每种危险物质的最大存在总量，t；</w:t>
            </w:r>
          </w:p>
          <w:p w14:paraId="79DDD0B0">
            <w:pPr>
              <w:spacing w:line="360" w:lineRule="auto"/>
              <w:ind w:firstLine="480"/>
              <w:rPr>
                <w:color w:val="auto"/>
                <w:sz w:val="24"/>
              </w:rPr>
            </w:pPr>
            <w:r>
              <w:rPr>
                <w:color w:val="auto"/>
                <w:sz w:val="24"/>
              </w:rPr>
              <w:t>Q1，Q2，…Qn—每种物质的临界量，t。可在HJ169-2018中附录B中查询。</w:t>
            </w:r>
          </w:p>
          <w:p w14:paraId="4D9BE19A">
            <w:pPr>
              <w:spacing w:line="360" w:lineRule="auto"/>
              <w:ind w:firstLine="480"/>
              <w:rPr>
                <w:color w:val="auto"/>
                <w:sz w:val="24"/>
              </w:rPr>
            </w:pPr>
            <w:r>
              <w:rPr>
                <w:color w:val="auto"/>
                <w:sz w:val="24"/>
              </w:rPr>
              <w:t>当Q＜1时，该项目环境风险潜势为</w:t>
            </w:r>
            <w:r>
              <w:rPr>
                <w:rFonts w:hint="eastAsia"/>
                <w:color w:val="auto"/>
                <w:sz w:val="24"/>
              </w:rPr>
              <w:t>Ⅰ</w:t>
            </w:r>
            <w:r>
              <w:rPr>
                <w:color w:val="auto"/>
                <w:sz w:val="24"/>
              </w:rPr>
              <w:t>。</w:t>
            </w:r>
          </w:p>
          <w:p w14:paraId="702ABFE9">
            <w:pPr>
              <w:spacing w:line="360" w:lineRule="auto"/>
              <w:ind w:firstLine="480"/>
              <w:rPr>
                <w:color w:val="auto"/>
                <w:sz w:val="24"/>
              </w:rPr>
            </w:pPr>
            <w:r>
              <w:rPr>
                <w:color w:val="auto"/>
                <w:sz w:val="24"/>
              </w:rPr>
              <w:t>当Q≥1时，将Q值划分为：（1）1≤Q＜10；（2）10≤Q＜100；（3）Q≥100。</w:t>
            </w:r>
          </w:p>
          <w:p w14:paraId="33114E39">
            <w:pPr>
              <w:spacing w:line="360" w:lineRule="auto"/>
              <w:jc w:val="center"/>
              <w:rPr>
                <w:b/>
                <w:bCs/>
                <w:color w:val="auto"/>
                <w:sz w:val="24"/>
                <w:szCs w:val="32"/>
              </w:rPr>
            </w:pPr>
            <w:r>
              <w:rPr>
                <w:b/>
                <w:bCs/>
                <w:color w:val="auto"/>
                <w:sz w:val="24"/>
                <w:szCs w:val="32"/>
              </w:rPr>
              <w:t>表4-</w:t>
            </w:r>
            <w:r>
              <w:rPr>
                <w:rFonts w:hint="eastAsia"/>
                <w:b/>
                <w:bCs/>
                <w:color w:val="auto"/>
                <w:sz w:val="24"/>
                <w:szCs w:val="32"/>
              </w:rPr>
              <w:t>42</w:t>
            </w:r>
            <w:r>
              <w:rPr>
                <w:b/>
                <w:bCs/>
                <w:color w:val="auto"/>
                <w:sz w:val="24"/>
                <w:szCs w:val="32"/>
              </w:rPr>
              <w:t xml:space="preserve"> 项目</w:t>
            </w:r>
            <w:r>
              <w:rPr>
                <w:rFonts w:hint="eastAsia"/>
                <w:b/>
                <w:bCs/>
                <w:color w:val="auto"/>
                <w:sz w:val="24"/>
                <w:szCs w:val="32"/>
              </w:rPr>
              <w:t>（四街卫生院）</w:t>
            </w:r>
            <w:r>
              <w:rPr>
                <w:b/>
                <w:bCs/>
                <w:color w:val="auto"/>
                <w:sz w:val="24"/>
                <w:szCs w:val="32"/>
              </w:rPr>
              <w:t>危险物质储量及临界值表</w:t>
            </w:r>
          </w:p>
          <w:tbl>
            <w:tblPr>
              <w:tblStyle w:val="33"/>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936"/>
              <w:gridCol w:w="1936"/>
              <w:gridCol w:w="1092"/>
              <w:gridCol w:w="1966"/>
            </w:tblGrid>
            <w:tr w14:paraId="7CE8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Align w:val="center"/>
                </w:tcPr>
                <w:p w14:paraId="39F2AEDC">
                  <w:pPr>
                    <w:jc w:val="center"/>
                    <w:rPr>
                      <w:b/>
                      <w:color w:val="auto"/>
                    </w:rPr>
                  </w:pPr>
                  <w:r>
                    <w:rPr>
                      <w:rFonts w:hint="eastAsia"/>
                      <w:b/>
                      <w:color w:val="auto"/>
                    </w:rPr>
                    <w:t>分区</w:t>
                  </w:r>
                </w:p>
              </w:tc>
              <w:tc>
                <w:tcPr>
                  <w:tcW w:w="1936" w:type="dxa"/>
                  <w:vAlign w:val="center"/>
                </w:tcPr>
                <w:p w14:paraId="2E2AF2B5">
                  <w:pPr>
                    <w:jc w:val="center"/>
                    <w:rPr>
                      <w:b/>
                      <w:color w:val="auto"/>
                    </w:rPr>
                  </w:pPr>
                  <w:r>
                    <w:rPr>
                      <w:rFonts w:hint="eastAsia"/>
                      <w:b/>
                      <w:color w:val="auto"/>
                    </w:rPr>
                    <w:t>物质名称</w:t>
                  </w:r>
                </w:p>
              </w:tc>
              <w:tc>
                <w:tcPr>
                  <w:tcW w:w="1936" w:type="dxa"/>
                  <w:vAlign w:val="center"/>
                </w:tcPr>
                <w:p w14:paraId="40ADD9DA">
                  <w:pPr>
                    <w:jc w:val="center"/>
                    <w:rPr>
                      <w:b/>
                      <w:color w:val="auto"/>
                    </w:rPr>
                  </w:pPr>
                  <w:r>
                    <w:rPr>
                      <w:rFonts w:hint="eastAsia"/>
                      <w:b/>
                      <w:color w:val="auto"/>
                    </w:rPr>
                    <w:t>最大储存量t</w:t>
                  </w:r>
                </w:p>
              </w:tc>
              <w:tc>
                <w:tcPr>
                  <w:tcW w:w="1092" w:type="dxa"/>
                  <w:vAlign w:val="center"/>
                </w:tcPr>
                <w:p w14:paraId="688B60B3">
                  <w:pPr>
                    <w:jc w:val="center"/>
                    <w:rPr>
                      <w:b/>
                      <w:color w:val="auto"/>
                    </w:rPr>
                  </w:pPr>
                  <w:r>
                    <w:rPr>
                      <w:rFonts w:hint="eastAsia"/>
                      <w:b/>
                      <w:color w:val="auto"/>
                    </w:rPr>
                    <w:t>临界量t</w:t>
                  </w:r>
                </w:p>
              </w:tc>
              <w:tc>
                <w:tcPr>
                  <w:tcW w:w="1966" w:type="dxa"/>
                  <w:vAlign w:val="center"/>
                </w:tcPr>
                <w:p w14:paraId="4609B16E">
                  <w:pPr>
                    <w:jc w:val="center"/>
                    <w:rPr>
                      <w:b/>
                      <w:color w:val="auto"/>
                    </w:rPr>
                  </w:pPr>
                  <w:r>
                    <w:rPr>
                      <w:b/>
                      <w:color w:val="auto"/>
                      <w:szCs w:val="21"/>
                    </w:rPr>
                    <w:t>比值</w:t>
                  </w:r>
                  <w:r>
                    <w:rPr>
                      <w:rFonts w:hint="eastAsia"/>
                      <w:b/>
                      <w:color w:val="auto"/>
                      <w:szCs w:val="21"/>
                    </w:rPr>
                    <w:t>（</w:t>
                  </w:r>
                  <w:r>
                    <w:rPr>
                      <w:b/>
                      <w:color w:val="auto"/>
                      <w:szCs w:val="21"/>
                    </w:rPr>
                    <w:t>Q)</w:t>
                  </w:r>
                </w:p>
              </w:tc>
            </w:tr>
            <w:tr w14:paraId="24B3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Merge w:val="restart"/>
                  <w:vAlign w:val="center"/>
                </w:tcPr>
                <w:p w14:paraId="062FE7D3">
                  <w:pPr>
                    <w:jc w:val="center"/>
                    <w:rPr>
                      <w:color w:val="auto"/>
                      <w:szCs w:val="21"/>
                    </w:rPr>
                  </w:pPr>
                  <w:r>
                    <w:rPr>
                      <w:rFonts w:hint="eastAsia"/>
                      <w:color w:val="auto"/>
                      <w:szCs w:val="21"/>
                    </w:rPr>
                    <w:t>四街卫生院</w:t>
                  </w:r>
                </w:p>
              </w:tc>
              <w:tc>
                <w:tcPr>
                  <w:tcW w:w="1936" w:type="dxa"/>
                  <w:vAlign w:val="center"/>
                </w:tcPr>
                <w:p w14:paraId="76DD4EF5">
                  <w:pPr>
                    <w:jc w:val="center"/>
                    <w:rPr>
                      <w:color w:val="auto"/>
                      <w:szCs w:val="21"/>
                    </w:rPr>
                  </w:pPr>
                  <w:r>
                    <w:rPr>
                      <w:rFonts w:hint="eastAsia"/>
                      <w:color w:val="auto"/>
                      <w:szCs w:val="21"/>
                    </w:rPr>
                    <w:t>乙醇</w:t>
                  </w:r>
                </w:p>
              </w:tc>
              <w:tc>
                <w:tcPr>
                  <w:tcW w:w="1936" w:type="dxa"/>
                  <w:vAlign w:val="center"/>
                </w:tcPr>
                <w:p w14:paraId="232B0DE2">
                  <w:pPr>
                    <w:jc w:val="center"/>
                    <w:rPr>
                      <w:color w:val="auto"/>
                      <w:szCs w:val="21"/>
                    </w:rPr>
                  </w:pPr>
                  <w:r>
                    <w:rPr>
                      <w:rFonts w:hint="eastAsia"/>
                      <w:color w:val="auto"/>
                      <w:szCs w:val="21"/>
                    </w:rPr>
                    <w:t>0.02</w:t>
                  </w:r>
                </w:p>
              </w:tc>
              <w:tc>
                <w:tcPr>
                  <w:tcW w:w="1092" w:type="dxa"/>
                  <w:vAlign w:val="center"/>
                </w:tcPr>
                <w:p w14:paraId="45C05AC3">
                  <w:pPr>
                    <w:jc w:val="center"/>
                    <w:rPr>
                      <w:color w:val="auto"/>
                      <w:szCs w:val="21"/>
                    </w:rPr>
                  </w:pPr>
                  <w:r>
                    <w:rPr>
                      <w:rFonts w:hint="eastAsia"/>
                      <w:color w:val="auto"/>
                      <w:szCs w:val="21"/>
                    </w:rPr>
                    <w:t>500</w:t>
                  </w:r>
                </w:p>
              </w:tc>
              <w:tc>
                <w:tcPr>
                  <w:tcW w:w="1966" w:type="dxa"/>
                  <w:vAlign w:val="center"/>
                </w:tcPr>
                <w:p w14:paraId="7F66C580">
                  <w:pPr>
                    <w:jc w:val="center"/>
                    <w:rPr>
                      <w:color w:val="auto"/>
                    </w:rPr>
                  </w:pPr>
                  <w:r>
                    <w:rPr>
                      <w:rFonts w:hint="eastAsia"/>
                      <w:color w:val="auto"/>
                    </w:rPr>
                    <w:t>0.00004</w:t>
                  </w:r>
                </w:p>
              </w:tc>
            </w:tr>
            <w:tr w14:paraId="3B28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1D91FC5E">
                  <w:pPr>
                    <w:jc w:val="center"/>
                    <w:rPr>
                      <w:color w:val="auto"/>
                      <w:szCs w:val="21"/>
                    </w:rPr>
                  </w:pPr>
                </w:p>
              </w:tc>
              <w:tc>
                <w:tcPr>
                  <w:tcW w:w="1936" w:type="dxa"/>
                  <w:vAlign w:val="center"/>
                </w:tcPr>
                <w:p w14:paraId="048B551B">
                  <w:pPr>
                    <w:jc w:val="center"/>
                    <w:rPr>
                      <w:color w:val="auto"/>
                      <w:szCs w:val="21"/>
                    </w:rPr>
                  </w:pPr>
                  <w:r>
                    <w:rPr>
                      <w:color w:val="auto"/>
                      <w:szCs w:val="21"/>
                    </w:rPr>
                    <w:t>二氧化氯</w:t>
                  </w:r>
                </w:p>
              </w:tc>
              <w:tc>
                <w:tcPr>
                  <w:tcW w:w="1936" w:type="dxa"/>
                  <w:vAlign w:val="center"/>
                </w:tcPr>
                <w:p w14:paraId="704C8DB3">
                  <w:pPr>
                    <w:jc w:val="center"/>
                    <w:rPr>
                      <w:color w:val="auto"/>
                      <w:szCs w:val="21"/>
                    </w:rPr>
                  </w:pPr>
                  <w:r>
                    <w:rPr>
                      <w:rFonts w:hint="eastAsia"/>
                      <w:color w:val="auto"/>
                      <w:szCs w:val="21"/>
                    </w:rPr>
                    <w:t>0.05</w:t>
                  </w:r>
                </w:p>
              </w:tc>
              <w:tc>
                <w:tcPr>
                  <w:tcW w:w="1092" w:type="dxa"/>
                  <w:vAlign w:val="center"/>
                </w:tcPr>
                <w:p w14:paraId="43E50244">
                  <w:pPr>
                    <w:jc w:val="center"/>
                    <w:rPr>
                      <w:color w:val="auto"/>
                      <w:szCs w:val="21"/>
                    </w:rPr>
                  </w:pPr>
                  <w:r>
                    <w:rPr>
                      <w:color w:val="auto"/>
                      <w:szCs w:val="21"/>
                    </w:rPr>
                    <w:t>0.5</w:t>
                  </w:r>
                </w:p>
              </w:tc>
              <w:tc>
                <w:tcPr>
                  <w:tcW w:w="1966" w:type="dxa"/>
                  <w:vAlign w:val="center"/>
                </w:tcPr>
                <w:p w14:paraId="4394B675">
                  <w:pPr>
                    <w:jc w:val="center"/>
                    <w:rPr>
                      <w:color w:val="auto"/>
                    </w:rPr>
                  </w:pPr>
                  <w:r>
                    <w:rPr>
                      <w:rFonts w:hint="eastAsia"/>
                      <w:color w:val="auto"/>
                    </w:rPr>
                    <w:t>0.1</w:t>
                  </w:r>
                </w:p>
              </w:tc>
            </w:tr>
            <w:tr w14:paraId="250E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19BCB992">
                  <w:pPr>
                    <w:jc w:val="center"/>
                    <w:rPr>
                      <w:color w:val="auto"/>
                      <w:szCs w:val="21"/>
                    </w:rPr>
                  </w:pPr>
                </w:p>
              </w:tc>
              <w:tc>
                <w:tcPr>
                  <w:tcW w:w="1936" w:type="dxa"/>
                  <w:vAlign w:val="center"/>
                </w:tcPr>
                <w:p w14:paraId="7827C431">
                  <w:pPr>
                    <w:jc w:val="center"/>
                    <w:rPr>
                      <w:color w:val="auto"/>
                      <w:szCs w:val="21"/>
                    </w:rPr>
                  </w:pPr>
                  <w:r>
                    <w:rPr>
                      <w:rFonts w:hint="eastAsia"/>
                      <w:color w:val="auto"/>
                      <w:szCs w:val="21"/>
                    </w:rPr>
                    <w:t>氧气</w:t>
                  </w:r>
                </w:p>
              </w:tc>
              <w:tc>
                <w:tcPr>
                  <w:tcW w:w="1936" w:type="dxa"/>
                  <w:vAlign w:val="center"/>
                </w:tcPr>
                <w:p w14:paraId="289E87CF">
                  <w:pPr>
                    <w:jc w:val="center"/>
                    <w:rPr>
                      <w:color w:val="auto"/>
                      <w:szCs w:val="21"/>
                    </w:rPr>
                  </w:pPr>
                  <w:r>
                    <w:rPr>
                      <w:rFonts w:hint="eastAsia"/>
                      <w:color w:val="auto"/>
                      <w:szCs w:val="21"/>
                    </w:rPr>
                    <w:t>1.35</w:t>
                  </w:r>
                </w:p>
              </w:tc>
              <w:tc>
                <w:tcPr>
                  <w:tcW w:w="1092" w:type="dxa"/>
                  <w:vAlign w:val="center"/>
                </w:tcPr>
                <w:p w14:paraId="64CCDB5A">
                  <w:pPr>
                    <w:jc w:val="center"/>
                    <w:rPr>
                      <w:color w:val="auto"/>
                      <w:szCs w:val="21"/>
                    </w:rPr>
                  </w:pPr>
                  <w:r>
                    <w:rPr>
                      <w:rFonts w:hint="eastAsia"/>
                      <w:color w:val="auto"/>
                      <w:szCs w:val="21"/>
                    </w:rPr>
                    <w:t>/</w:t>
                  </w:r>
                </w:p>
              </w:tc>
              <w:tc>
                <w:tcPr>
                  <w:tcW w:w="1966" w:type="dxa"/>
                  <w:vAlign w:val="center"/>
                </w:tcPr>
                <w:p w14:paraId="2207ECA8">
                  <w:pPr>
                    <w:jc w:val="center"/>
                    <w:rPr>
                      <w:color w:val="auto"/>
                    </w:rPr>
                  </w:pPr>
                  <w:r>
                    <w:rPr>
                      <w:rFonts w:hint="eastAsia"/>
                      <w:color w:val="auto"/>
                    </w:rPr>
                    <w:t>/</w:t>
                  </w:r>
                </w:p>
              </w:tc>
            </w:tr>
            <w:tr w14:paraId="554C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3CD6360E">
                  <w:pPr>
                    <w:jc w:val="center"/>
                    <w:rPr>
                      <w:color w:val="auto"/>
                      <w:szCs w:val="21"/>
                    </w:rPr>
                  </w:pPr>
                </w:p>
              </w:tc>
              <w:tc>
                <w:tcPr>
                  <w:tcW w:w="4964" w:type="dxa"/>
                  <w:gridSpan w:val="3"/>
                  <w:vAlign w:val="center"/>
                </w:tcPr>
                <w:p w14:paraId="00E4828B">
                  <w:pPr>
                    <w:jc w:val="center"/>
                    <w:rPr>
                      <w:color w:val="auto"/>
                      <w:szCs w:val="21"/>
                    </w:rPr>
                  </w:pPr>
                  <w:r>
                    <w:rPr>
                      <w:rFonts w:hint="eastAsia"/>
                      <w:color w:val="auto"/>
                      <w:szCs w:val="21"/>
                    </w:rPr>
                    <w:t>合计</w:t>
                  </w:r>
                </w:p>
              </w:tc>
              <w:tc>
                <w:tcPr>
                  <w:tcW w:w="1966" w:type="dxa"/>
                </w:tcPr>
                <w:p w14:paraId="5970BE99">
                  <w:pPr>
                    <w:jc w:val="center"/>
                    <w:rPr>
                      <w:color w:val="auto"/>
                    </w:rPr>
                  </w:pPr>
                  <w:r>
                    <w:rPr>
                      <w:rFonts w:hint="eastAsia"/>
                      <w:color w:val="auto"/>
                    </w:rPr>
                    <w:t>0.10004</w:t>
                  </w:r>
                </w:p>
              </w:tc>
            </w:tr>
          </w:tbl>
          <w:p w14:paraId="01F81CC4">
            <w:pPr>
              <w:pStyle w:val="11"/>
              <w:wordWrap w:val="0"/>
              <w:spacing w:line="360" w:lineRule="auto"/>
              <w:ind w:firstLine="482"/>
              <w:rPr>
                <w:color w:val="auto"/>
              </w:rPr>
            </w:pPr>
            <w:r>
              <w:rPr>
                <w:rFonts w:hint="eastAsia"/>
                <w:color w:val="auto"/>
              </w:rPr>
              <w:t>根据风险导则</w:t>
            </w:r>
            <w:r>
              <w:rPr>
                <w:color w:val="auto"/>
              </w:rPr>
              <w:t>附录B中表B.1</w:t>
            </w:r>
            <w:r>
              <w:rPr>
                <w:rFonts w:hint="eastAsia"/>
                <w:color w:val="auto"/>
              </w:rPr>
              <w:t>，</w:t>
            </w:r>
            <w:r>
              <w:rPr>
                <w:rFonts w:hint="eastAsia"/>
                <w:color w:val="auto"/>
                <w:szCs w:val="21"/>
              </w:rPr>
              <w:t>乙醇</w:t>
            </w:r>
            <w:r>
              <w:rPr>
                <w:color w:val="auto"/>
              </w:rPr>
              <w:t>临界量</w:t>
            </w:r>
            <w:r>
              <w:rPr>
                <w:rFonts w:hint="eastAsia"/>
                <w:color w:val="auto"/>
              </w:rPr>
              <w:t>为500t</w:t>
            </w:r>
            <w:r>
              <w:rPr>
                <w:color w:val="auto"/>
              </w:rPr>
              <w:t>，</w:t>
            </w:r>
            <w:r>
              <w:rPr>
                <w:rFonts w:hint="eastAsia"/>
                <w:color w:val="auto"/>
              </w:rPr>
              <w:t>最大储存量为0.02t，则Q=0.04/500=0.00004</w:t>
            </w:r>
            <w:r>
              <w:rPr>
                <w:rFonts w:hint="eastAsia"/>
                <w:color w:val="auto"/>
                <w:szCs w:val="21"/>
              </w:rPr>
              <w:t>；</w:t>
            </w:r>
            <w:r>
              <w:rPr>
                <w:color w:val="auto"/>
                <w:szCs w:val="21"/>
              </w:rPr>
              <w:t>二氧化氯</w:t>
            </w:r>
            <w:r>
              <w:rPr>
                <w:color w:val="auto"/>
              </w:rPr>
              <w:t>临界量</w:t>
            </w:r>
            <w:r>
              <w:rPr>
                <w:rFonts w:hint="eastAsia"/>
                <w:color w:val="auto"/>
              </w:rPr>
              <w:t>为0.5t</w:t>
            </w:r>
            <w:r>
              <w:rPr>
                <w:color w:val="auto"/>
              </w:rPr>
              <w:t>，</w:t>
            </w:r>
            <w:r>
              <w:rPr>
                <w:rFonts w:hint="eastAsia"/>
                <w:color w:val="auto"/>
              </w:rPr>
              <w:t>最大储存量为0.05t，则Q=0.05/0.5=0.1，</w:t>
            </w:r>
            <w:r>
              <w:rPr>
                <w:color w:val="auto"/>
              </w:rPr>
              <w:t>即Q</w:t>
            </w:r>
            <w:r>
              <w:rPr>
                <w:rFonts w:hint="eastAsia"/>
                <w:color w:val="auto"/>
              </w:rPr>
              <w:t>=0.10004</w:t>
            </w:r>
            <w:r>
              <w:rPr>
                <w:color w:val="auto"/>
              </w:rPr>
              <w:t>＜1</w:t>
            </w:r>
            <w:r>
              <w:rPr>
                <w:rFonts w:hint="eastAsia"/>
                <w:color w:val="auto"/>
              </w:rPr>
              <w:t>。故确定本项目四街卫生院环境风险潜势为Ⅰ，环境风险评价工作等级为简单分析。</w:t>
            </w:r>
          </w:p>
          <w:p w14:paraId="2674408E">
            <w:pPr>
              <w:spacing w:line="360" w:lineRule="auto"/>
              <w:jc w:val="center"/>
              <w:rPr>
                <w:b/>
                <w:bCs/>
                <w:color w:val="auto"/>
                <w:sz w:val="24"/>
                <w:szCs w:val="32"/>
              </w:rPr>
            </w:pPr>
            <w:r>
              <w:rPr>
                <w:b/>
                <w:bCs/>
                <w:color w:val="auto"/>
                <w:sz w:val="24"/>
                <w:szCs w:val="32"/>
              </w:rPr>
              <w:t>表4-</w:t>
            </w:r>
            <w:r>
              <w:rPr>
                <w:rFonts w:hint="eastAsia"/>
                <w:b/>
                <w:bCs/>
                <w:color w:val="auto"/>
                <w:sz w:val="24"/>
                <w:szCs w:val="32"/>
              </w:rPr>
              <w:t>43</w:t>
            </w:r>
            <w:r>
              <w:rPr>
                <w:b/>
                <w:bCs/>
                <w:color w:val="auto"/>
                <w:sz w:val="24"/>
                <w:szCs w:val="32"/>
              </w:rPr>
              <w:t xml:space="preserve"> 项目</w:t>
            </w:r>
            <w:r>
              <w:rPr>
                <w:rFonts w:hint="eastAsia"/>
                <w:b/>
                <w:bCs/>
                <w:color w:val="auto"/>
                <w:sz w:val="24"/>
                <w:szCs w:val="32"/>
              </w:rPr>
              <w:t>（纳古卫生院）</w:t>
            </w:r>
            <w:r>
              <w:rPr>
                <w:b/>
                <w:bCs/>
                <w:color w:val="auto"/>
                <w:sz w:val="24"/>
                <w:szCs w:val="32"/>
              </w:rPr>
              <w:t>危险物质储量及临界值表</w:t>
            </w:r>
          </w:p>
          <w:tbl>
            <w:tblPr>
              <w:tblStyle w:val="33"/>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936"/>
              <w:gridCol w:w="1936"/>
              <w:gridCol w:w="1092"/>
              <w:gridCol w:w="1966"/>
            </w:tblGrid>
            <w:tr w14:paraId="1069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Align w:val="center"/>
                </w:tcPr>
                <w:p w14:paraId="54DD47A7">
                  <w:pPr>
                    <w:jc w:val="center"/>
                    <w:rPr>
                      <w:b/>
                      <w:color w:val="auto"/>
                    </w:rPr>
                  </w:pPr>
                  <w:r>
                    <w:rPr>
                      <w:rFonts w:hint="eastAsia"/>
                      <w:b/>
                      <w:color w:val="auto"/>
                    </w:rPr>
                    <w:t>分区</w:t>
                  </w:r>
                </w:p>
              </w:tc>
              <w:tc>
                <w:tcPr>
                  <w:tcW w:w="1936" w:type="dxa"/>
                  <w:vAlign w:val="center"/>
                </w:tcPr>
                <w:p w14:paraId="4812A7C3">
                  <w:pPr>
                    <w:jc w:val="center"/>
                    <w:rPr>
                      <w:b/>
                      <w:color w:val="auto"/>
                    </w:rPr>
                  </w:pPr>
                  <w:r>
                    <w:rPr>
                      <w:rFonts w:hint="eastAsia"/>
                      <w:b/>
                      <w:color w:val="auto"/>
                    </w:rPr>
                    <w:t>物质名称</w:t>
                  </w:r>
                </w:p>
              </w:tc>
              <w:tc>
                <w:tcPr>
                  <w:tcW w:w="1936" w:type="dxa"/>
                  <w:vAlign w:val="center"/>
                </w:tcPr>
                <w:p w14:paraId="0EBAB25E">
                  <w:pPr>
                    <w:jc w:val="center"/>
                    <w:rPr>
                      <w:b/>
                      <w:color w:val="auto"/>
                    </w:rPr>
                  </w:pPr>
                  <w:r>
                    <w:rPr>
                      <w:rFonts w:hint="eastAsia"/>
                      <w:b/>
                      <w:color w:val="auto"/>
                    </w:rPr>
                    <w:t>最大储存量t</w:t>
                  </w:r>
                </w:p>
              </w:tc>
              <w:tc>
                <w:tcPr>
                  <w:tcW w:w="1092" w:type="dxa"/>
                  <w:vAlign w:val="center"/>
                </w:tcPr>
                <w:p w14:paraId="2B59816A">
                  <w:pPr>
                    <w:jc w:val="center"/>
                    <w:rPr>
                      <w:b/>
                      <w:color w:val="auto"/>
                    </w:rPr>
                  </w:pPr>
                  <w:r>
                    <w:rPr>
                      <w:rFonts w:hint="eastAsia"/>
                      <w:b/>
                      <w:color w:val="auto"/>
                    </w:rPr>
                    <w:t>临界量t</w:t>
                  </w:r>
                </w:p>
              </w:tc>
              <w:tc>
                <w:tcPr>
                  <w:tcW w:w="1966" w:type="dxa"/>
                  <w:vAlign w:val="center"/>
                </w:tcPr>
                <w:p w14:paraId="23C67B01">
                  <w:pPr>
                    <w:jc w:val="center"/>
                    <w:rPr>
                      <w:b/>
                      <w:color w:val="auto"/>
                    </w:rPr>
                  </w:pPr>
                  <w:r>
                    <w:rPr>
                      <w:b/>
                      <w:color w:val="auto"/>
                      <w:szCs w:val="21"/>
                    </w:rPr>
                    <w:t>比值</w:t>
                  </w:r>
                  <w:r>
                    <w:rPr>
                      <w:rFonts w:hint="eastAsia"/>
                      <w:b/>
                      <w:color w:val="auto"/>
                      <w:szCs w:val="21"/>
                    </w:rPr>
                    <w:t>（</w:t>
                  </w:r>
                  <w:r>
                    <w:rPr>
                      <w:b/>
                      <w:color w:val="auto"/>
                      <w:szCs w:val="21"/>
                    </w:rPr>
                    <w:t>Q)</w:t>
                  </w:r>
                </w:p>
              </w:tc>
            </w:tr>
            <w:tr w14:paraId="4043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Merge w:val="restart"/>
                  <w:vAlign w:val="center"/>
                </w:tcPr>
                <w:p w14:paraId="3CFB2309">
                  <w:pPr>
                    <w:jc w:val="center"/>
                    <w:rPr>
                      <w:color w:val="auto"/>
                      <w:szCs w:val="21"/>
                    </w:rPr>
                  </w:pPr>
                  <w:r>
                    <w:rPr>
                      <w:rFonts w:hint="eastAsia"/>
                      <w:color w:val="auto"/>
                      <w:szCs w:val="21"/>
                    </w:rPr>
                    <w:t>纳古卫生院</w:t>
                  </w:r>
                </w:p>
              </w:tc>
              <w:tc>
                <w:tcPr>
                  <w:tcW w:w="1936" w:type="dxa"/>
                  <w:vAlign w:val="center"/>
                </w:tcPr>
                <w:p w14:paraId="097BE039">
                  <w:pPr>
                    <w:jc w:val="center"/>
                    <w:rPr>
                      <w:color w:val="auto"/>
                      <w:szCs w:val="21"/>
                    </w:rPr>
                  </w:pPr>
                  <w:r>
                    <w:rPr>
                      <w:rFonts w:hint="eastAsia"/>
                      <w:color w:val="auto"/>
                      <w:szCs w:val="21"/>
                    </w:rPr>
                    <w:t>乙醇</w:t>
                  </w:r>
                </w:p>
              </w:tc>
              <w:tc>
                <w:tcPr>
                  <w:tcW w:w="1936" w:type="dxa"/>
                  <w:vAlign w:val="center"/>
                </w:tcPr>
                <w:p w14:paraId="705596E9">
                  <w:pPr>
                    <w:jc w:val="center"/>
                    <w:rPr>
                      <w:color w:val="auto"/>
                      <w:szCs w:val="21"/>
                    </w:rPr>
                  </w:pPr>
                  <w:r>
                    <w:rPr>
                      <w:rFonts w:hint="eastAsia"/>
                      <w:color w:val="auto"/>
                      <w:szCs w:val="21"/>
                    </w:rPr>
                    <w:t>0.02</w:t>
                  </w:r>
                </w:p>
              </w:tc>
              <w:tc>
                <w:tcPr>
                  <w:tcW w:w="1092" w:type="dxa"/>
                  <w:vAlign w:val="center"/>
                </w:tcPr>
                <w:p w14:paraId="1E8B6F4B">
                  <w:pPr>
                    <w:jc w:val="center"/>
                    <w:rPr>
                      <w:color w:val="auto"/>
                      <w:szCs w:val="21"/>
                    </w:rPr>
                  </w:pPr>
                  <w:r>
                    <w:rPr>
                      <w:rFonts w:hint="eastAsia"/>
                      <w:color w:val="auto"/>
                      <w:szCs w:val="21"/>
                    </w:rPr>
                    <w:t>500</w:t>
                  </w:r>
                </w:p>
              </w:tc>
              <w:tc>
                <w:tcPr>
                  <w:tcW w:w="1966" w:type="dxa"/>
                  <w:vAlign w:val="center"/>
                </w:tcPr>
                <w:p w14:paraId="66395374">
                  <w:pPr>
                    <w:jc w:val="center"/>
                    <w:rPr>
                      <w:color w:val="auto"/>
                    </w:rPr>
                  </w:pPr>
                  <w:r>
                    <w:rPr>
                      <w:rFonts w:hint="eastAsia"/>
                      <w:color w:val="auto"/>
                    </w:rPr>
                    <w:t>0.00004</w:t>
                  </w:r>
                </w:p>
              </w:tc>
            </w:tr>
            <w:tr w14:paraId="7F7D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79942B2A">
                  <w:pPr>
                    <w:jc w:val="center"/>
                    <w:rPr>
                      <w:color w:val="auto"/>
                      <w:szCs w:val="21"/>
                    </w:rPr>
                  </w:pPr>
                </w:p>
              </w:tc>
              <w:tc>
                <w:tcPr>
                  <w:tcW w:w="1936" w:type="dxa"/>
                  <w:vAlign w:val="center"/>
                </w:tcPr>
                <w:p w14:paraId="4448E0CB">
                  <w:pPr>
                    <w:jc w:val="center"/>
                    <w:rPr>
                      <w:color w:val="auto"/>
                      <w:szCs w:val="21"/>
                    </w:rPr>
                  </w:pPr>
                  <w:r>
                    <w:rPr>
                      <w:color w:val="auto"/>
                      <w:szCs w:val="21"/>
                    </w:rPr>
                    <w:t>二氧化氯</w:t>
                  </w:r>
                </w:p>
              </w:tc>
              <w:tc>
                <w:tcPr>
                  <w:tcW w:w="1936" w:type="dxa"/>
                  <w:vAlign w:val="center"/>
                </w:tcPr>
                <w:p w14:paraId="3AE4B35F">
                  <w:pPr>
                    <w:jc w:val="center"/>
                    <w:rPr>
                      <w:color w:val="auto"/>
                      <w:szCs w:val="21"/>
                    </w:rPr>
                  </w:pPr>
                  <w:r>
                    <w:rPr>
                      <w:rFonts w:hint="eastAsia"/>
                      <w:color w:val="auto"/>
                      <w:szCs w:val="21"/>
                    </w:rPr>
                    <w:t>0.05</w:t>
                  </w:r>
                </w:p>
              </w:tc>
              <w:tc>
                <w:tcPr>
                  <w:tcW w:w="1092" w:type="dxa"/>
                  <w:vAlign w:val="center"/>
                </w:tcPr>
                <w:p w14:paraId="72C2255E">
                  <w:pPr>
                    <w:jc w:val="center"/>
                    <w:rPr>
                      <w:color w:val="auto"/>
                      <w:szCs w:val="21"/>
                    </w:rPr>
                  </w:pPr>
                  <w:r>
                    <w:rPr>
                      <w:color w:val="auto"/>
                      <w:szCs w:val="21"/>
                    </w:rPr>
                    <w:t>0.5</w:t>
                  </w:r>
                </w:p>
              </w:tc>
              <w:tc>
                <w:tcPr>
                  <w:tcW w:w="1966" w:type="dxa"/>
                  <w:vAlign w:val="center"/>
                </w:tcPr>
                <w:p w14:paraId="1D206988">
                  <w:pPr>
                    <w:jc w:val="center"/>
                    <w:rPr>
                      <w:color w:val="auto"/>
                    </w:rPr>
                  </w:pPr>
                  <w:r>
                    <w:rPr>
                      <w:rFonts w:hint="eastAsia"/>
                      <w:color w:val="auto"/>
                    </w:rPr>
                    <w:t>0.1</w:t>
                  </w:r>
                </w:p>
              </w:tc>
            </w:tr>
            <w:tr w14:paraId="2715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04FC83EE">
                  <w:pPr>
                    <w:jc w:val="center"/>
                    <w:rPr>
                      <w:color w:val="auto"/>
                      <w:szCs w:val="21"/>
                    </w:rPr>
                  </w:pPr>
                </w:p>
              </w:tc>
              <w:tc>
                <w:tcPr>
                  <w:tcW w:w="1936" w:type="dxa"/>
                  <w:vAlign w:val="center"/>
                </w:tcPr>
                <w:p w14:paraId="665DE98C">
                  <w:pPr>
                    <w:jc w:val="center"/>
                    <w:rPr>
                      <w:color w:val="auto"/>
                      <w:szCs w:val="21"/>
                    </w:rPr>
                  </w:pPr>
                  <w:r>
                    <w:rPr>
                      <w:rFonts w:hint="eastAsia"/>
                      <w:color w:val="auto"/>
                      <w:szCs w:val="21"/>
                    </w:rPr>
                    <w:t>氧气</w:t>
                  </w:r>
                </w:p>
              </w:tc>
              <w:tc>
                <w:tcPr>
                  <w:tcW w:w="1936" w:type="dxa"/>
                  <w:vAlign w:val="center"/>
                </w:tcPr>
                <w:p w14:paraId="3BD58084">
                  <w:pPr>
                    <w:jc w:val="center"/>
                    <w:rPr>
                      <w:color w:val="auto"/>
                      <w:szCs w:val="21"/>
                    </w:rPr>
                  </w:pPr>
                  <w:r>
                    <w:rPr>
                      <w:rFonts w:hint="eastAsia"/>
                      <w:color w:val="auto"/>
                      <w:szCs w:val="21"/>
                    </w:rPr>
                    <w:t>1.35</w:t>
                  </w:r>
                </w:p>
              </w:tc>
              <w:tc>
                <w:tcPr>
                  <w:tcW w:w="1092" w:type="dxa"/>
                  <w:vAlign w:val="center"/>
                </w:tcPr>
                <w:p w14:paraId="08B02DEF">
                  <w:pPr>
                    <w:jc w:val="center"/>
                    <w:rPr>
                      <w:color w:val="auto"/>
                      <w:szCs w:val="21"/>
                    </w:rPr>
                  </w:pPr>
                  <w:r>
                    <w:rPr>
                      <w:rFonts w:hint="eastAsia"/>
                      <w:color w:val="auto"/>
                      <w:szCs w:val="21"/>
                    </w:rPr>
                    <w:t>/</w:t>
                  </w:r>
                </w:p>
              </w:tc>
              <w:tc>
                <w:tcPr>
                  <w:tcW w:w="1966" w:type="dxa"/>
                  <w:vAlign w:val="center"/>
                </w:tcPr>
                <w:p w14:paraId="69DEE577">
                  <w:pPr>
                    <w:jc w:val="center"/>
                    <w:rPr>
                      <w:color w:val="auto"/>
                    </w:rPr>
                  </w:pPr>
                  <w:r>
                    <w:rPr>
                      <w:rFonts w:hint="eastAsia"/>
                      <w:color w:val="auto"/>
                    </w:rPr>
                    <w:t>0.00002</w:t>
                  </w:r>
                </w:p>
              </w:tc>
            </w:tr>
            <w:tr w14:paraId="5613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10A03D6B">
                  <w:pPr>
                    <w:jc w:val="center"/>
                    <w:rPr>
                      <w:color w:val="auto"/>
                      <w:szCs w:val="21"/>
                    </w:rPr>
                  </w:pPr>
                </w:p>
              </w:tc>
              <w:tc>
                <w:tcPr>
                  <w:tcW w:w="4964" w:type="dxa"/>
                  <w:gridSpan w:val="3"/>
                  <w:vAlign w:val="center"/>
                </w:tcPr>
                <w:p w14:paraId="6E60DC34">
                  <w:pPr>
                    <w:jc w:val="center"/>
                    <w:rPr>
                      <w:color w:val="auto"/>
                      <w:szCs w:val="21"/>
                    </w:rPr>
                  </w:pPr>
                  <w:r>
                    <w:rPr>
                      <w:rFonts w:hint="eastAsia"/>
                      <w:color w:val="auto"/>
                      <w:szCs w:val="21"/>
                    </w:rPr>
                    <w:t>合计</w:t>
                  </w:r>
                </w:p>
              </w:tc>
              <w:tc>
                <w:tcPr>
                  <w:tcW w:w="1966" w:type="dxa"/>
                </w:tcPr>
                <w:p w14:paraId="14ECA8C9">
                  <w:pPr>
                    <w:jc w:val="center"/>
                    <w:rPr>
                      <w:color w:val="auto"/>
                    </w:rPr>
                  </w:pPr>
                  <w:r>
                    <w:rPr>
                      <w:rFonts w:hint="eastAsia"/>
                      <w:color w:val="auto"/>
                    </w:rPr>
                    <w:t>0.10004</w:t>
                  </w:r>
                </w:p>
              </w:tc>
            </w:tr>
          </w:tbl>
          <w:p w14:paraId="533C059A">
            <w:pPr>
              <w:pStyle w:val="11"/>
              <w:wordWrap w:val="0"/>
              <w:spacing w:line="360" w:lineRule="auto"/>
              <w:ind w:firstLine="482"/>
              <w:rPr>
                <w:color w:val="auto"/>
              </w:rPr>
            </w:pPr>
            <w:r>
              <w:rPr>
                <w:rFonts w:hint="eastAsia"/>
                <w:color w:val="auto"/>
              </w:rPr>
              <w:t>根据风险导则</w:t>
            </w:r>
            <w:r>
              <w:rPr>
                <w:color w:val="auto"/>
              </w:rPr>
              <w:t>附录B中表B.1</w:t>
            </w:r>
            <w:r>
              <w:rPr>
                <w:rFonts w:hint="eastAsia"/>
                <w:color w:val="auto"/>
              </w:rPr>
              <w:t>，</w:t>
            </w:r>
            <w:r>
              <w:rPr>
                <w:rFonts w:hint="eastAsia"/>
                <w:color w:val="auto"/>
                <w:szCs w:val="21"/>
              </w:rPr>
              <w:t>乙醇</w:t>
            </w:r>
            <w:r>
              <w:rPr>
                <w:color w:val="auto"/>
              </w:rPr>
              <w:t>临界量</w:t>
            </w:r>
            <w:r>
              <w:rPr>
                <w:rFonts w:hint="eastAsia"/>
                <w:color w:val="auto"/>
              </w:rPr>
              <w:t>为500t</w:t>
            </w:r>
            <w:r>
              <w:rPr>
                <w:color w:val="auto"/>
              </w:rPr>
              <w:t>，</w:t>
            </w:r>
            <w:r>
              <w:rPr>
                <w:rFonts w:hint="eastAsia"/>
                <w:color w:val="auto"/>
              </w:rPr>
              <w:t>最大储存量为0.02t，则Q=0.04/500=0.00004</w:t>
            </w:r>
            <w:r>
              <w:rPr>
                <w:rFonts w:hint="eastAsia"/>
                <w:color w:val="auto"/>
                <w:szCs w:val="21"/>
              </w:rPr>
              <w:t>；</w:t>
            </w:r>
            <w:r>
              <w:rPr>
                <w:color w:val="auto"/>
                <w:szCs w:val="21"/>
              </w:rPr>
              <w:t>二氧化氯</w:t>
            </w:r>
            <w:r>
              <w:rPr>
                <w:color w:val="auto"/>
              </w:rPr>
              <w:t>临界量</w:t>
            </w:r>
            <w:r>
              <w:rPr>
                <w:rFonts w:hint="eastAsia"/>
                <w:color w:val="auto"/>
              </w:rPr>
              <w:t>为0.5t</w:t>
            </w:r>
            <w:r>
              <w:rPr>
                <w:color w:val="auto"/>
              </w:rPr>
              <w:t>，</w:t>
            </w:r>
            <w:r>
              <w:rPr>
                <w:rFonts w:hint="eastAsia"/>
                <w:color w:val="auto"/>
              </w:rPr>
              <w:t>最大储存量为0.05t，则Q=0.05/0.5=0.1；</w:t>
            </w:r>
            <w:r>
              <w:rPr>
                <w:color w:val="auto"/>
              </w:rPr>
              <w:t>即Q</w:t>
            </w:r>
            <w:r>
              <w:rPr>
                <w:rFonts w:hint="eastAsia"/>
                <w:color w:val="auto"/>
              </w:rPr>
              <w:t>=0.10004</w:t>
            </w:r>
            <w:r>
              <w:rPr>
                <w:color w:val="auto"/>
              </w:rPr>
              <w:t>＜1</w:t>
            </w:r>
            <w:r>
              <w:rPr>
                <w:rFonts w:hint="eastAsia"/>
                <w:color w:val="auto"/>
              </w:rPr>
              <w:t>。故确定本项目纳古卫生院环境风险潜势为Ⅰ，环境风险评价工作等级为简单分析。</w:t>
            </w:r>
          </w:p>
          <w:p w14:paraId="40AFB857">
            <w:pPr>
              <w:spacing w:line="360" w:lineRule="auto"/>
              <w:jc w:val="center"/>
              <w:rPr>
                <w:b/>
                <w:bCs/>
                <w:color w:val="auto"/>
                <w:sz w:val="24"/>
                <w:szCs w:val="32"/>
              </w:rPr>
            </w:pPr>
            <w:r>
              <w:rPr>
                <w:b/>
                <w:bCs/>
                <w:color w:val="auto"/>
                <w:sz w:val="24"/>
                <w:szCs w:val="32"/>
              </w:rPr>
              <w:t>表4-</w:t>
            </w:r>
            <w:r>
              <w:rPr>
                <w:rFonts w:hint="eastAsia"/>
                <w:b/>
                <w:bCs/>
                <w:color w:val="auto"/>
                <w:sz w:val="24"/>
                <w:szCs w:val="32"/>
              </w:rPr>
              <w:t>44</w:t>
            </w:r>
            <w:r>
              <w:rPr>
                <w:b/>
                <w:bCs/>
                <w:color w:val="auto"/>
                <w:sz w:val="24"/>
                <w:szCs w:val="32"/>
              </w:rPr>
              <w:t xml:space="preserve"> 项目</w:t>
            </w:r>
            <w:r>
              <w:rPr>
                <w:rFonts w:hint="eastAsia"/>
                <w:b/>
                <w:bCs/>
                <w:color w:val="auto"/>
                <w:sz w:val="24"/>
                <w:szCs w:val="32"/>
              </w:rPr>
              <w:t>（九龙卫生院）</w:t>
            </w:r>
            <w:r>
              <w:rPr>
                <w:b/>
                <w:bCs/>
                <w:color w:val="auto"/>
                <w:sz w:val="24"/>
                <w:szCs w:val="32"/>
              </w:rPr>
              <w:t>危险物质储量及临界值表</w:t>
            </w:r>
          </w:p>
          <w:tbl>
            <w:tblPr>
              <w:tblStyle w:val="33"/>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936"/>
              <w:gridCol w:w="1936"/>
              <w:gridCol w:w="1092"/>
              <w:gridCol w:w="1966"/>
            </w:tblGrid>
            <w:tr w14:paraId="3977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Align w:val="center"/>
                </w:tcPr>
                <w:p w14:paraId="303FC1D1">
                  <w:pPr>
                    <w:jc w:val="center"/>
                    <w:rPr>
                      <w:b/>
                      <w:color w:val="auto"/>
                    </w:rPr>
                  </w:pPr>
                  <w:r>
                    <w:rPr>
                      <w:rFonts w:hint="eastAsia"/>
                      <w:b/>
                      <w:color w:val="auto"/>
                    </w:rPr>
                    <w:t>分区</w:t>
                  </w:r>
                </w:p>
              </w:tc>
              <w:tc>
                <w:tcPr>
                  <w:tcW w:w="1936" w:type="dxa"/>
                  <w:vAlign w:val="center"/>
                </w:tcPr>
                <w:p w14:paraId="18FB2B19">
                  <w:pPr>
                    <w:jc w:val="center"/>
                    <w:rPr>
                      <w:b/>
                      <w:color w:val="auto"/>
                    </w:rPr>
                  </w:pPr>
                  <w:r>
                    <w:rPr>
                      <w:rFonts w:hint="eastAsia"/>
                      <w:b/>
                      <w:color w:val="auto"/>
                    </w:rPr>
                    <w:t>物质名称</w:t>
                  </w:r>
                </w:p>
              </w:tc>
              <w:tc>
                <w:tcPr>
                  <w:tcW w:w="1936" w:type="dxa"/>
                  <w:vAlign w:val="center"/>
                </w:tcPr>
                <w:p w14:paraId="76B10C16">
                  <w:pPr>
                    <w:jc w:val="center"/>
                    <w:rPr>
                      <w:b/>
                      <w:color w:val="auto"/>
                    </w:rPr>
                  </w:pPr>
                  <w:r>
                    <w:rPr>
                      <w:rFonts w:hint="eastAsia"/>
                      <w:b/>
                      <w:color w:val="auto"/>
                    </w:rPr>
                    <w:t>最大储存量t</w:t>
                  </w:r>
                </w:p>
              </w:tc>
              <w:tc>
                <w:tcPr>
                  <w:tcW w:w="1092" w:type="dxa"/>
                  <w:vAlign w:val="center"/>
                </w:tcPr>
                <w:p w14:paraId="01299611">
                  <w:pPr>
                    <w:jc w:val="center"/>
                    <w:rPr>
                      <w:b/>
                      <w:color w:val="auto"/>
                    </w:rPr>
                  </w:pPr>
                  <w:r>
                    <w:rPr>
                      <w:rFonts w:hint="eastAsia"/>
                      <w:b/>
                      <w:color w:val="auto"/>
                    </w:rPr>
                    <w:t>临界量t</w:t>
                  </w:r>
                </w:p>
              </w:tc>
              <w:tc>
                <w:tcPr>
                  <w:tcW w:w="1966" w:type="dxa"/>
                  <w:vAlign w:val="center"/>
                </w:tcPr>
                <w:p w14:paraId="336EB735">
                  <w:pPr>
                    <w:jc w:val="center"/>
                    <w:rPr>
                      <w:b/>
                      <w:color w:val="auto"/>
                    </w:rPr>
                  </w:pPr>
                  <w:r>
                    <w:rPr>
                      <w:b/>
                      <w:color w:val="auto"/>
                      <w:szCs w:val="21"/>
                    </w:rPr>
                    <w:t>比值</w:t>
                  </w:r>
                  <w:r>
                    <w:rPr>
                      <w:rFonts w:hint="eastAsia"/>
                      <w:b/>
                      <w:color w:val="auto"/>
                      <w:szCs w:val="21"/>
                    </w:rPr>
                    <w:t>（</w:t>
                  </w:r>
                  <w:r>
                    <w:rPr>
                      <w:b/>
                      <w:color w:val="auto"/>
                      <w:szCs w:val="21"/>
                    </w:rPr>
                    <w:t>Q)</w:t>
                  </w:r>
                </w:p>
              </w:tc>
            </w:tr>
            <w:tr w14:paraId="0669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Merge w:val="restart"/>
                  <w:vAlign w:val="center"/>
                </w:tcPr>
                <w:p w14:paraId="30BD38E7">
                  <w:pPr>
                    <w:jc w:val="center"/>
                    <w:rPr>
                      <w:color w:val="auto"/>
                      <w:szCs w:val="21"/>
                    </w:rPr>
                  </w:pPr>
                  <w:r>
                    <w:rPr>
                      <w:rFonts w:hint="eastAsia"/>
                      <w:color w:val="auto"/>
                      <w:szCs w:val="21"/>
                    </w:rPr>
                    <w:t>九龙卫生院</w:t>
                  </w:r>
                </w:p>
              </w:tc>
              <w:tc>
                <w:tcPr>
                  <w:tcW w:w="1936" w:type="dxa"/>
                  <w:vAlign w:val="center"/>
                </w:tcPr>
                <w:p w14:paraId="663CB29C">
                  <w:pPr>
                    <w:jc w:val="center"/>
                    <w:rPr>
                      <w:color w:val="auto"/>
                      <w:szCs w:val="21"/>
                    </w:rPr>
                  </w:pPr>
                  <w:r>
                    <w:rPr>
                      <w:rFonts w:hint="eastAsia"/>
                      <w:color w:val="auto"/>
                      <w:szCs w:val="21"/>
                    </w:rPr>
                    <w:t>乙醇</w:t>
                  </w:r>
                </w:p>
              </w:tc>
              <w:tc>
                <w:tcPr>
                  <w:tcW w:w="1936" w:type="dxa"/>
                  <w:vAlign w:val="center"/>
                </w:tcPr>
                <w:p w14:paraId="419CE975">
                  <w:pPr>
                    <w:jc w:val="center"/>
                    <w:rPr>
                      <w:color w:val="auto"/>
                      <w:szCs w:val="21"/>
                    </w:rPr>
                  </w:pPr>
                  <w:r>
                    <w:rPr>
                      <w:rFonts w:hint="eastAsia"/>
                      <w:color w:val="auto"/>
                      <w:szCs w:val="21"/>
                    </w:rPr>
                    <w:t>0.02</w:t>
                  </w:r>
                </w:p>
              </w:tc>
              <w:tc>
                <w:tcPr>
                  <w:tcW w:w="1092" w:type="dxa"/>
                  <w:vAlign w:val="center"/>
                </w:tcPr>
                <w:p w14:paraId="3BB4FEBA">
                  <w:pPr>
                    <w:jc w:val="center"/>
                    <w:rPr>
                      <w:color w:val="auto"/>
                      <w:szCs w:val="21"/>
                    </w:rPr>
                  </w:pPr>
                  <w:r>
                    <w:rPr>
                      <w:rFonts w:hint="eastAsia"/>
                      <w:color w:val="auto"/>
                      <w:szCs w:val="21"/>
                    </w:rPr>
                    <w:t>500</w:t>
                  </w:r>
                </w:p>
              </w:tc>
              <w:tc>
                <w:tcPr>
                  <w:tcW w:w="1966" w:type="dxa"/>
                  <w:vAlign w:val="center"/>
                </w:tcPr>
                <w:p w14:paraId="299CFB84">
                  <w:pPr>
                    <w:jc w:val="center"/>
                    <w:rPr>
                      <w:color w:val="auto"/>
                    </w:rPr>
                  </w:pPr>
                  <w:r>
                    <w:rPr>
                      <w:rFonts w:hint="eastAsia"/>
                      <w:color w:val="auto"/>
                    </w:rPr>
                    <w:t>0.00004</w:t>
                  </w:r>
                </w:p>
              </w:tc>
            </w:tr>
            <w:tr w14:paraId="7CF3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20B31901">
                  <w:pPr>
                    <w:jc w:val="center"/>
                    <w:rPr>
                      <w:color w:val="auto"/>
                      <w:szCs w:val="21"/>
                    </w:rPr>
                  </w:pPr>
                </w:p>
              </w:tc>
              <w:tc>
                <w:tcPr>
                  <w:tcW w:w="1936" w:type="dxa"/>
                  <w:vAlign w:val="center"/>
                </w:tcPr>
                <w:p w14:paraId="11D2F61C">
                  <w:pPr>
                    <w:jc w:val="center"/>
                    <w:rPr>
                      <w:color w:val="auto"/>
                      <w:szCs w:val="21"/>
                    </w:rPr>
                  </w:pPr>
                  <w:r>
                    <w:rPr>
                      <w:color w:val="auto"/>
                      <w:szCs w:val="21"/>
                    </w:rPr>
                    <w:t>二氧化氯</w:t>
                  </w:r>
                </w:p>
              </w:tc>
              <w:tc>
                <w:tcPr>
                  <w:tcW w:w="1936" w:type="dxa"/>
                  <w:vAlign w:val="center"/>
                </w:tcPr>
                <w:p w14:paraId="6538533B">
                  <w:pPr>
                    <w:jc w:val="center"/>
                    <w:rPr>
                      <w:color w:val="auto"/>
                      <w:szCs w:val="21"/>
                    </w:rPr>
                  </w:pPr>
                  <w:r>
                    <w:rPr>
                      <w:rFonts w:hint="eastAsia"/>
                      <w:color w:val="auto"/>
                      <w:szCs w:val="21"/>
                    </w:rPr>
                    <w:t>0.05</w:t>
                  </w:r>
                </w:p>
              </w:tc>
              <w:tc>
                <w:tcPr>
                  <w:tcW w:w="1092" w:type="dxa"/>
                  <w:vAlign w:val="center"/>
                </w:tcPr>
                <w:p w14:paraId="3CDDEE14">
                  <w:pPr>
                    <w:jc w:val="center"/>
                    <w:rPr>
                      <w:color w:val="auto"/>
                      <w:szCs w:val="21"/>
                    </w:rPr>
                  </w:pPr>
                  <w:r>
                    <w:rPr>
                      <w:color w:val="auto"/>
                      <w:szCs w:val="21"/>
                    </w:rPr>
                    <w:t>0.5</w:t>
                  </w:r>
                </w:p>
              </w:tc>
              <w:tc>
                <w:tcPr>
                  <w:tcW w:w="1966" w:type="dxa"/>
                  <w:vAlign w:val="center"/>
                </w:tcPr>
                <w:p w14:paraId="29034178">
                  <w:pPr>
                    <w:jc w:val="center"/>
                    <w:rPr>
                      <w:color w:val="auto"/>
                    </w:rPr>
                  </w:pPr>
                  <w:r>
                    <w:rPr>
                      <w:rFonts w:hint="eastAsia"/>
                      <w:color w:val="auto"/>
                    </w:rPr>
                    <w:t>0.1</w:t>
                  </w:r>
                </w:p>
              </w:tc>
            </w:tr>
            <w:tr w14:paraId="469A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20EA4FF9">
                  <w:pPr>
                    <w:jc w:val="center"/>
                    <w:rPr>
                      <w:color w:val="auto"/>
                      <w:szCs w:val="21"/>
                    </w:rPr>
                  </w:pPr>
                </w:p>
              </w:tc>
              <w:tc>
                <w:tcPr>
                  <w:tcW w:w="1936" w:type="dxa"/>
                  <w:vAlign w:val="center"/>
                </w:tcPr>
                <w:p w14:paraId="580ADA4C">
                  <w:pPr>
                    <w:jc w:val="center"/>
                    <w:rPr>
                      <w:color w:val="auto"/>
                      <w:szCs w:val="21"/>
                    </w:rPr>
                  </w:pPr>
                  <w:r>
                    <w:rPr>
                      <w:rFonts w:hint="eastAsia"/>
                      <w:color w:val="auto"/>
                      <w:szCs w:val="21"/>
                    </w:rPr>
                    <w:t>氧气</w:t>
                  </w:r>
                </w:p>
              </w:tc>
              <w:tc>
                <w:tcPr>
                  <w:tcW w:w="1936" w:type="dxa"/>
                  <w:vAlign w:val="center"/>
                </w:tcPr>
                <w:p w14:paraId="33658375">
                  <w:pPr>
                    <w:jc w:val="center"/>
                    <w:rPr>
                      <w:color w:val="auto"/>
                      <w:szCs w:val="21"/>
                    </w:rPr>
                  </w:pPr>
                  <w:r>
                    <w:rPr>
                      <w:rFonts w:hint="eastAsia"/>
                      <w:color w:val="auto"/>
                      <w:szCs w:val="21"/>
                    </w:rPr>
                    <w:t>1.35</w:t>
                  </w:r>
                </w:p>
              </w:tc>
              <w:tc>
                <w:tcPr>
                  <w:tcW w:w="1092" w:type="dxa"/>
                  <w:vAlign w:val="center"/>
                </w:tcPr>
                <w:p w14:paraId="5870DDEB">
                  <w:pPr>
                    <w:jc w:val="center"/>
                    <w:rPr>
                      <w:color w:val="auto"/>
                      <w:szCs w:val="21"/>
                    </w:rPr>
                  </w:pPr>
                  <w:r>
                    <w:rPr>
                      <w:rFonts w:hint="eastAsia"/>
                      <w:color w:val="auto"/>
                      <w:szCs w:val="21"/>
                    </w:rPr>
                    <w:t>/</w:t>
                  </w:r>
                </w:p>
              </w:tc>
              <w:tc>
                <w:tcPr>
                  <w:tcW w:w="1966" w:type="dxa"/>
                  <w:vAlign w:val="center"/>
                </w:tcPr>
                <w:p w14:paraId="7CFE65F8">
                  <w:pPr>
                    <w:jc w:val="center"/>
                    <w:rPr>
                      <w:color w:val="auto"/>
                    </w:rPr>
                  </w:pPr>
                  <w:r>
                    <w:rPr>
                      <w:rFonts w:hint="eastAsia"/>
                      <w:color w:val="auto"/>
                    </w:rPr>
                    <w:t>/</w:t>
                  </w:r>
                </w:p>
              </w:tc>
            </w:tr>
            <w:tr w14:paraId="4FCC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3F9C302F">
                  <w:pPr>
                    <w:jc w:val="center"/>
                    <w:rPr>
                      <w:color w:val="auto"/>
                      <w:szCs w:val="21"/>
                    </w:rPr>
                  </w:pPr>
                </w:p>
              </w:tc>
              <w:tc>
                <w:tcPr>
                  <w:tcW w:w="4964" w:type="dxa"/>
                  <w:gridSpan w:val="3"/>
                  <w:vAlign w:val="center"/>
                </w:tcPr>
                <w:p w14:paraId="65F13E5C">
                  <w:pPr>
                    <w:jc w:val="center"/>
                    <w:rPr>
                      <w:color w:val="auto"/>
                      <w:szCs w:val="21"/>
                    </w:rPr>
                  </w:pPr>
                  <w:r>
                    <w:rPr>
                      <w:rFonts w:hint="eastAsia"/>
                      <w:color w:val="auto"/>
                      <w:szCs w:val="21"/>
                    </w:rPr>
                    <w:t>合计</w:t>
                  </w:r>
                </w:p>
              </w:tc>
              <w:tc>
                <w:tcPr>
                  <w:tcW w:w="1966" w:type="dxa"/>
                </w:tcPr>
                <w:p w14:paraId="72F22D9B">
                  <w:pPr>
                    <w:jc w:val="center"/>
                    <w:rPr>
                      <w:color w:val="auto"/>
                    </w:rPr>
                  </w:pPr>
                  <w:r>
                    <w:rPr>
                      <w:rFonts w:hint="eastAsia"/>
                      <w:color w:val="auto"/>
                    </w:rPr>
                    <w:t>0.10004</w:t>
                  </w:r>
                </w:p>
              </w:tc>
            </w:tr>
          </w:tbl>
          <w:p w14:paraId="725E6723">
            <w:pPr>
              <w:pStyle w:val="11"/>
              <w:wordWrap w:val="0"/>
              <w:spacing w:line="360" w:lineRule="auto"/>
              <w:ind w:firstLine="482"/>
              <w:rPr>
                <w:color w:val="auto"/>
              </w:rPr>
            </w:pPr>
            <w:r>
              <w:rPr>
                <w:rFonts w:hint="eastAsia"/>
                <w:color w:val="auto"/>
              </w:rPr>
              <w:t>根据风险导则</w:t>
            </w:r>
            <w:r>
              <w:rPr>
                <w:color w:val="auto"/>
              </w:rPr>
              <w:t>附录B中表B.1</w:t>
            </w:r>
            <w:r>
              <w:rPr>
                <w:rFonts w:hint="eastAsia"/>
                <w:color w:val="auto"/>
              </w:rPr>
              <w:t>，</w:t>
            </w:r>
            <w:r>
              <w:rPr>
                <w:rFonts w:hint="eastAsia"/>
                <w:color w:val="auto"/>
                <w:szCs w:val="21"/>
              </w:rPr>
              <w:t>乙醇</w:t>
            </w:r>
            <w:r>
              <w:rPr>
                <w:color w:val="auto"/>
              </w:rPr>
              <w:t>临界量</w:t>
            </w:r>
            <w:r>
              <w:rPr>
                <w:rFonts w:hint="eastAsia"/>
                <w:color w:val="auto"/>
              </w:rPr>
              <w:t>为500t</w:t>
            </w:r>
            <w:r>
              <w:rPr>
                <w:color w:val="auto"/>
              </w:rPr>
              <w:t>，</w:t>
            </w:r>
            <w:r>
              <w:rPr>
                <w:rFonts w:hint="eastAsia"/>
                <w:color w:val="auto"/>
              </w:rPr>
              <w:t>最大储存量为0.02t，则Q=0.04/500=0.00004</w:t>
            </w:r>
            <w:r>
              <w:rPr>
                <w:rFonts w:hint="eastAsia"/>
                <w:color w:val="auto"/>
                <w:szCs w:val="21"/>
              </w:rPr>
              <w:t>；</w:t>
            </w:r>
            <w:r>
              <w:rPr>
                <w:color w:val="auto"/>
                <w:szCs w:val="21"/>
              </w:rPr>
              <w:t>二氧化氯</w:t>
            </w:r>
            <w:r>
              <w:rPr>
                <w:color w:val="auto"/>
              </w:rPr>
              <w:t>临界量</w:t>
            </w:r>
            <w:r>
              <w:rPr>
                <w:rFonts w:hint="eastAsia"/>
                <w:color w:val="auto"/>
              </w:rPr>
              <w:t>为0.5t</w:t>
            </w:r>
            <w:r>
              <w:rPr>
                <w:color w:val="auto"/>
              </w:rPr>
              <w:t>，</w:t>
            </w:r>
            <w:r>
              <w:rPr>
                <w:rFonts w:hint="eastAsia"/>
                <w:color w:val="auto"/>
              </w:rPr>
              <w:t>最大储存量为0.05t，则Q=0.05/0.5=0.1，</w:t>
            </w:r>
            <w:r>
              <w:rPr>
                <w:color w:val="auto"/>
              </w:rPr>
              <w:t>即Q</w:t>
            </w:r>
            <w:r>
              <w:rPr>
                <w:rFonts w:hint="eastAsia"/>
                <w:color w:val="auto"/>
              </w:rPr>
              <w:t>=0.10004</w:t>
            </w:r>
            <w:r>
              <w:rPr>
                <w:color w:val="auto"/>
              </w:rPr>
              <w:t>＜1</w:t>
            </w:r>
            <w:r>
              <w:rPr>
                <w:rFonts w:hint="eastAsia"/>
                <w:color w:val="auto"/>
              </w:rPr>
              <w:t>。故确定本项目九龙卫生院环境风险潜势为Ⅰ，环境风险评价工作等级为简单分析。</w:t>
            </w:r>
          </w:p>
          <w:p w14:paraId="6C08F505">
            <w:pPr>
              <w:spacing w:line="360" w:lineRule="auto"/>
              <w:jc w:val="center"/>
              <w:rPr>
                <w:b/>
                <w:bCs/>
                <w:color w:val="auto"/>
                <w:sz w:val="24"/>
                <w:szCs w:val="32"/>
              </w:rPr>
            </w:pPr>
          </w:p>
          <w:p w14:paraId="2AA78DAC">
            <w:pPr>
              <w:spacing w:line="360" w:lineRule="auto"/>
              <w:jc w:val="center"/>
              <w:rPr>
                <w:b/>
                <w:bCs/>
                <w:color w:val="auto"/>
                <w:sz w:val="24"/>
                <w:szCs w:val="32"/>
              </w:rPr>
            </w:pPr>
            <w:r>
              <w:rPr>
                <w:b/>
                <w:bCs/>
                <w:color w:val="auto"/>
                <w:sz w:val="24"/>
                <w:szCs w:val="32"/>
              </w:rPr>
              <w:t>表4-</w:t>
            </w:r>
            <w:r>
              <w:rPr>
                <w:rFonts w:hint="eastAsia"/>
                <w:b/>
                <w:bCs/>
                <w:color w:val="auto"/>
                <w:sz w:val="24"/>
                <w:szCs w:val="32"/>
              </w:rPr>
              <w:t>45</w:t>
            </w:r>
            <w:r>
              <w:rPr>
                <w:b/>
                <w:bCs/>
                <w:color w:val="auto"/>
                <w:sz w:val="24"/>
                <w:szCs w:val="32"/>
              </w:rPr>
              <w:t xml:space="preserve"> 项目</w:t>
            </w:r>
            <w:r>
              <w:rPr>
                <w:rFonts w:hint="eastAsia"/>
                <w:b/>
                <w:bCs/>
                <w:color w:val="auto"/>
                <w:sz w:val="24"/>
                <w:szCs w:val="32"/>
              </w:rPr>
              <w:t>（杨广卫生院）</w:t>
            </w:r>
            <w:r>
              <w:rPr>
                <w:b/>
                <w:bCs/>
                <w:color w:val="auto"/>
                <w:sz w:val="24"/>
                <w:szCs w:val="32"/>
              </w:rPr>
              <w:t>危险物质储量及临界值表</w:t>
            </w:r>
          </w:p>
          <w:tbl>
            <w:tblPr>
              <w:tblStyle w:val="33"/>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936"/>
              <w:gridCol w:w="1936"/>
              <w:gridCol w:w="1092"/>
              <w:gridCol w:w="1966"/>
            </w:tblGrid>
            <w:tr w14:paraId="712E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Align w:val="center"/>
                </w:tcPr>
                <w:p w14:paraId="78F2BEF2">
                  <w:pPr>
                    <w:jc w:val="center"/>
                    <w:rPr>
                      <w:b/>
                      <w:color w:val="auto"/>
                    </w:rPr>
                  </w:pPr>
                  <w:r>
                    <w:rPr>
                      <w:rFonts w:hint="eastAsia"/>
                      <w:b/>
                      <w:color w:val="auto"/>
                    </w:rPr>
                    <w:t>分区</w:t>
                  </w:r>
                </w:p>
              </w:tc>
              <w:tc>
                <w:tcPr>
                  <w:tcW w:w="1936" w:type="dxa"/>
                  <w:vAlign w:val="center"/>
                </w:tcPr>
                <w:p w14:paraId="1394445A">
                  <w:pPr>
                    <w:jc w:val="center"/>
                    <w:rPr>
                      <w:b/>
                      <w:color w:val="auto"/>
                    </w:rPr>
                  </w:pPr>
                  <w:r>
                    <w:rPr>
                      <w:rFonts w:hint="eastAsia"/>
                      <w:b/>
                      <w:color w:val="auto"/>
                    </w:rPr>
                    <w:t>物质名称</w:t>
                  </w:r>
                </w:p>
              </w:tc>
              <w:tc>
                <w:tcPr>
                  <w:tcW w:w="1936" w:type="dxa"/>
                  <w:vAlign w:val="center"/>
                </w:tcPr>
                <w:p w14:paraId="3A0EDCAE">
                  <w:pPr>
                    <w:jc w:val="center"/>
                    <w:rPr>
                      <w:b/>
                      <w:color w:val="auto"/>
                    </w:rPr>
                  </w:pPr>
                  <w:r>
                    <w:rPr>
                      <w:rFonts w:hint="eastAsia"/>
                      <w:b/>
                      <w:color w:val="auto"/>
                    </w:rPr>
                    <w:t>最大储存量t</w:t>
                  </w:r>
                </w:p>
              </w:tc>
              <w:tc>
                <w:tcPr>
                  <w:tcW w:w="1092" w:type="dxa"/>
                  <w:vAlign w:val="center"/>
                </w:tcPr>
                <w:p w14:paraId="6734CA96">
                  <w:pPr>
                    <w:jc w:val="center"/>
                    <w:rPr>
                      <w:b/>
                      <w:color w:val="auto"/>
                    </w:rPr>
                  </w:pPr>
                  <w:r>
                    <w:rPr>
                      <w:rFonts w:hint="eastAsia"/>
                      <w:b/>
                      <w:color w:val="auto"/>
                    </w:rPr>
                    <w:t>临界量t</w:t>
                  </w:r>
                </w:p>
              </w:tc>
              <w:tc>
                <w:tcPr>
                  <w:tcW w:w="1966" w:type="dxa"/>
                  <w:vAlign w:val="center"/>
                </w:tcPr>
                <w:p w14:paraId="6F4CD25A">
                  <w:pPr>
                    <w:jc w:val="center"/>
                    <w:rPr>
                      <w:b/>
                      <w:color w:val="auto"/>
                    </w:rPr>
                  </w:pPr>
                  <w:r>
                    <w:rPr>
                      <w:b/>
                      <w:color w:val="auto"/>
                      <w:szCs w:val="21"/>
                    </w:rPr>
                    <w:t>比值</w:t>
                  </w:r>
                  <w:r>
                    <w:rPr>
                      <w:rFonts w:hint="eastAsia"/>
                      <w:b/>
                      <w:color w:val="auto"/>
                      <w:szCs w:val="21"/>
                    </w:rPr>
                    <w:t>（</w:t>
                  </w:r>
                  <w:r>
                    <w:rPr>
                      <w:b/>
                      <w:color w:val="auto"/>
                      <w:szCs w:val="21"/>
                    </w:rPr>
                    <w:t>Q)</w:t>
                  </w:r>
                </w:p>
              </w:tc>
            </w:tr>
            <w:tr w14:paraId="1E89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Merge w:val="restart"/>
                  <w:vAlign w:val="center"/>
                </w:tcPr>
                <w:p w14:paraId="28F629B9">
                  <w:pPr>
                    <w:jc w:val="center"/>
                    <w:rPr>
                      <w:color w:val="auto"/>
                      <w:szCs w:val="21"/>
                    </w:rPr>
                  </w:pPr>
                  <w:r>
                    <w:rPr>
                      <w:rFonts w:hint="eastAsia"/>
                      <w:color w:val="auto"/>
                      <w:szCs w:val="21"/>
                    </w:rPr>
                    <w:t>杨广卫生院</w:t>
                  </w:r>
                </w:p>
              </w:tc>
              <w:tc>
                <w:tcPr>
                  <w:tcW w:w="1936" w:type="dxa"/>
                  <w:vAlign w:val="center"/>
                </w:tcPr>
                <w:p w14:paraId="06AB5F2C">
                  <w:pPr>
                    <w:jc w:val="center"/>
                    <w:rPr>
                      <w:color w:val="auto"/>
                      <w:szCs w:val="21"/>
                    </w:rPr>
                  </w:pPr>
                  <w:r>
                    <w:rPr>
                      <w:rFonts w:hint="eastAsia"/>
                      <w:color w:val="auto"/>
                      <w:szCs w:val="21"/>
                    </w:rPr>
                    <w:t>乙醇</w:t>
                  </w:r>
                </w:p>
              </w:tc>
              <w:tc>
                <w:tcPr>
                  <w:tcW w:w="1936" w:type="dxa"/>
                  <w:vAlign w:val="center"/>
                </w:tcPr>
                <w:p w14:paraId="776EE0F7">
                  <w:pPr>
                    <w:jc w:val="center"/>
                    <w:rPr>
                      <w:color w:val="auto"/>
                      <w:szCs w:val="21"/>
                    </w:rPr>
                  </w:pPr>
                  <w:r>
                    <w:rPr>
                      <w:rFonts w:hint="eastAsia"/>
                      <w:color w:val="auto"/>
                      <w:szCs w:val="21"/>
                    </w:rPr>
                    <w:t>0.02</w:t>
                  </w:r>
                </w:p>
              </w:tc>
              <w:tc>
                <w:tcPr>
                  <w:tcW w:w="1092" w:type="dxa"/>
                  <w:vAlign w:val="center"/>
                </w:tcPr>
                <w:p w14:paraId="73B95698">
                  <w:pPr>
                    <w:jc w:val="center"/>
                    <w:rPr>
                      <w:color w:val="auto"/>
                      <w:szCs w:val="21"/>
                    </w:rPr>
                  </w:pPr>
                  <w:r>
                    <w:rPr>
                      <w:rFonts w:hint="eastAsia"/>
                      <w:color w:val="auto"/>
                      <w:szCs w:val="21"/>
                    </w:rPr>
                    <w:t>500</w:t>
                  </w:r>
                </w:p>
              </w:tc>
              <w:tc>
                <w:tcPr>
                  <w:tcW w:w="1966" w:type="dxa"/>
                  <w:vAlign w:val="center"/>
                </w:tcPr>
                <w:p w14:paraId="283BF098">
                  <w:pPr>
                    <w:jc w:val="center"/>
                    <w:rPr>
                      <w:color w:val="auto"/>
                    </w:rPr>
                  </w:pPr>
                  <w:r>
                    <w:rPr>
                      <w:rFonts w:hint="eastAsia"/>
                      <w:color w:val="auto"/>
                    </w:rPr>
                    <w:t>0.00004</w:t>
                  </w:r>
                </w:p>
              </w:tc>
            </w:tr>
            <w:tr w14:paraId="269A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Merge w:val="continue"/>
                  <w:vAlign w:val="center"/>
                </w:tcPr>
                <w:p w14:paraId="24156CF0">
                  <w:pPr>
                    <w:jc w:val="center"/>
                    <w:rPr>
                      <w:color w:val="auto"/>
                      <w:szCs w:val="21"/>
                    </w:rPr>
                  </w:pPr>
                </w:p>
              </w:tc>
              <w:tc>
                <w:tcPr>
                  <w:tcW w:w="1936" w:type="dxa"/>
                  <w:vAlign w:val="center"/>
                </w:tcPr>
                <w:p w14:paraId="6501083B">
                  <w:pPr>
                    <w:jc w:val="center"/>
                    <w:rPr>
                      <w:color w:val="auto"/>
                      <w:szCs w:val="21"/>
                    </w:rPr>
                  </w:pPr>
                  <w:r>
                    <w:rPr>
                      <w:rFonts w:hint="eastAsia"/>
                      <w:color w:val="auto"/>
                      <w:szCs w:val="21"/>
                    </w:rPr>
                    <w:t>氧气</w:t>
                  </w:r>
                </w:p>
              </w:tc>
              <w:tc>
                <w:tcPr>
                  <w:tcW w:w="1936" w:type="dxa"/>
                  <w:vAlign w:val="center"/>
                </w:tcPr>
                <w:p w14:paraId="73A59F7D">
                  <w:pPr>
                    <w:jc w:val="center"/>
                    <w:rPr>
                      <w:color w:val="auto"/>
                      <w:szCs w:val="21"/>
                    </w:rPr>
                  </w:pPr>
                  <w:r>
                    <w:rPr>
                      <w:rFonts w:hint="eastAsia"/>
                      <w:color w:val="auto"/>
                      <w:szCs w:val="21"/>
                    </w:rPr>
                    <w:t>1.35</w:t>
                  </w:r>
                </w:p>
              </w:tc>
              <w:tc>
                <w:tcPr>
                  <w:tcW w:w="1092" w:type="dxa"/>
                  <w:vAlign w:val="center"/>
                </w:tcPr>
                <w:p w14:paraId="33E4795E">
                  <w:pPr>
                    <w:jc w:val="center"/>
                    <w:rPr>
                      <w:color w:val="auto"/>
                      <w:szCs w:val="21"/>
                    </w:rPr>
                  </w:pPr>
                  <w:r>
                    <w:rPr>
                      <w:rFonts w:hint="eastAsia"/>
                      <w:color w:val="auto"/>
                      <w:szCs w:val="21"/>
                    </w:rPr>
                    <w:t>/</w:t>
                  </w:r>
                </w:p>
              </w:tc>
              <w:tc>
                <w:tcPr>
                  <w:tcW w:w="1966" w:type="dxa"/>
                  <w:vAlign w:val="center"/>
                </w:tcPr>
                <w:p w14:paraId="5F10E7D5">
                  <w:pPr>
                    <w:jc w:val="center"/>
                    <w:rPr>
                      <w:color w:val="auto"/>
                    </w:rPr>
                  </w:pPr>
                  <w:r>
                    <w:rPr>
                      <w:rFonts w:hint="eastAsia"/>
                      <w:color w:val="auto"/>
                    </w:rPr>
                    <w:t>/</w:t>
                  </w:r>
                </w:p>
              </w:tc>
            </w:tr>
            <w:tr w14:paraId="684D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1B5DD85E">
                  <w:pPr>
                    <w:jc w:val="center"/>
                    <w:rPr>
                      <w:color w:val="auto"/>
                      <w:szCs w:val="21"/>
                    </w:rPr>
                  </w:pPr>
                </w:p>
              </w:tc>
              <w:tc>
                <w:tcPr>
                  <w:tcW w:w="4964" w:type="dxa"/>
                  <w:gridSpan w:val="3"/>
                  <w:vAlign w:val="center"/>
                </w:tcPr>
                <w:p w14:paraId="7A42443E">
                  <w:pPr>
                    <w:jc w:val="center"/>
                    <w:rPr>
                      <w:color w:val="auto"/>
                      <w:szCs w:val="21"/>
                    </w:rPr>
                  </w:pPr>
                  <w:r>
                    <w:rPr>
                      <w:rFonts w:hint="eastAsia"/>
                      <w:color w:val="auto"/>
                      <w:szCs w:val="21"/>
                    </w:rPr>
                    <w:t>合计</w:t>
                  </w:r>
                </w:p>
              </w:tc>
              <w:tc>
                <w:tcPr>
                  <w:tcW w:w="1966" w:type="dxa"/>
                </w:tcPr>
                <w:p w14:paraId="5B410445">
                  <w:pPr>
                    <w:jc w:val="center"/>
                    <w:rPr>
                      <w:color w:val="auto"/>
                    </w:rPr>
                  </w:pPr>
                  <w:r>
                    <w:rPr>
                      <w:rFonts w:hint="eastAsia"/>
                      <w:color w:val="auto"/>
                    </w:rPr>
                    <w:t>0.00004</w:t>
                  </w:r>
                </w:p>
              </w:tc>
            </w:tr>
          </w:tbl>
          <w:p w14:paraId="070F5AB2">
            <w:pPr>
              <w:pStyle w:val="11"/>
              <w:wordWrap w:val="0"/>
              <w:spacing w:line="360" w:lineRule="auto"/>
              <w:ind w:firstLine="482"/>
              <w:rPr>
                <w:color w:val="auto"/>
              </w:rPr>
            </w:pPr>
            <w:r>
              <w:rPr>
                <w:rFonts w:hint="eastAsia"/>
                <w:color w:val="auto"/>
              </w:rPr>
              <w:t>根据风险导则</w:t>
            </w:r>
            <w:r>
              <w:rPr>
                <w:color w:val="auto"/>
              </w:rPr>
              <w:t>附录B中表B.1</w:t>
            </w:r>
            <w:r>
              <w:rPr>
                <w:rFonts w:hint="eastAsia"/>
                <w:color w:val="auto"/>
              </w:rPr>
              <w:t>，</w:t>
            </w:r>
            <w:r>
              <w:rPr>
                <w:rFonts w:hint="eastAsia"/>
                <w:color w:val="auto"/>
                <w:szCs w:val="21"/>
              </w:rPr>
              <w:t>乙醇</w:t>
            </w:r>
            <w:r>
              <w:rPr>
                <w:color w:val="auto"/>
              </w:rPr>
              <w:t>临界量</w:t>
            </w:r>
            <w:r>
              <w:rPr>
                <w:rFonts w:hint="eastAsia"/>
                <w:color w:val="auto"/>
              </w:rPr>
              <w:t>为500t</w:t>
            </w:r>
            <w:r>
              <w:rPr>
                <w:color w:val="auto"/>
              </w:rPr>
              <w:t>，</w:t>
            </w:r>
            <w:r>
              <w:rPr>
                <w:rFonts w:hint="eastAsia"/>
                <w:color w:val="auto"/>
              </w:rPr>
              <w:t>最大储存量为0.02t，则Q=0.04/500=0.00004</w:t>
            </w:r>
            <w:r>
              <w:rPr>
                <w:rFonts w:hint="eastAsia"/>
                <w:color w:val="auto"/>
                <w:szCs w:val="21"/>
              </w:rPr>
              <w:t>；</w:t>
            </w:r>
            <w:r>
              <w:rPr>
                <w:color w:val="auto"/>
              </w:rPr>
              <w:t>即Q</w:t>
            </w:r>
            <w:r>
              <w:rPr>
                <w:rFonts w:hint="eastAsia"/>
                <w:color w:val="auto"/>
              </w:rPr>
              <w:t>=0.0004</w:t>
            </w:r>
            <w:r>
              <w:rPr>
                <w:color w:val="auto"/>
              </w:rPr>
              <w:t>＜1</w:t>
            </w:r>
            <w:r>
              <w:rPr>
                <w:rFonts w:hint="eastAsia"/>
                <w:color w:val="auto"/>
              </w:rPr>
              <w:t>。故确定本项目杨广卫生院环境风险潜势为Ⅰ，环境风险评价工作等级为简单分析。</w:t>
            </w:r>
          </w:p>
          <w:p w14:paraId="73171E20">
            <w:pPr>
              <w:spacing w:line="360" w:lineRule="auto"/>
              <w:ind w:firstLine="482" w:firstLineChars="200"/>
              <w:rPr>
                <w:b/>
                <w:bCs/>
                <w:color w:val="auto"/>
                <w:sz w:val="24"/>
              </w:rPr>
            </w:pPr>
            <w:r>
              <w:rPr>
                <w:rFonts w:hint="eastAsia"/>
                <w:b/>
                <w:bCs/>
                <w:color w:val="auto"/>
                <w:sz w:val="24"/>
              </w:rPr>
              <w:t>3、</w:t>
            </w:r>
            <w:r>
              <w:rPr>
                <w:b/>
                <w:bCs/>
                <w:color w:val="auto"/>
                <w:sz w:val="24"/>
              </w:rPr>
              <w:t>风险源分布情况</w:t>
            </w:r>
          </w:p>
          <w:p w14:paraId="58EBAC0F">
            <w:pPr>
              <w:spacing w:line="360" w:lineRule="auto"/>
              <w:ind w:firstLine="480"/>
              <w:rPr>
                <w:color w:val="auto"/>
                <w:sz w:val="24"/>
              </w:rPr>
            </w:pPr>
            <w:r>
              <w:rPr>
                <w:color w:val="auto"/>
                <w:sz w:val="24"/>
              </w:rPr>
              <w:t>经调查，本项目运行过程中潜在风险源主要为</w:t>
            </w:r>
            <w:r>
              <w:rPr>
                <w:rFonts w:hint="eastAsia"/>
                <w:color w:val="auto"/>
                <w:kern w:val="0"/>
                <w:sz w:val="24"/>
              </w:rPr>
              <w:t>化学品储存室、医疗废物暂存间、发电机房</w:t>
            </w:r>
            <w:r>
              <w:rPr>
                <w:color w:val="auto"/>
                <w:sz w:val="24"/>
              </w:rPr>
              <w:t>，事故触发因素主要见下表：</w:t>
            </w:r>
          </w:p>
          <w:p w14:paraId="64348DCB">
            <w:pPr>
              <w:ind w:firstLine="1687" w:firstLineChars="700"/>
              <w:rPr>
                <w:color w:val="auto"/>
                <w:sz w:val="24"/>
              </w:rPr>
            </w:pPr>
            <w:r>
              <w:rPr>
                <w:b/>
                <w:color w:val="auto"/>
                <w:sz w:val="24"/>
              </w:rPr>
              <w:t>表4-</w:t>
            </w:r>
            <w:r>
              <w:rPr>
                <w:rFonts w:hint="eastAsia"/>
                <w:b/>
                <w:color w:val="auto"/>
                <w:sz w:val="24"/>
              </w:rPr>
              <w:t xml:space="preserve">46 </w:t>
            </w:r>
            <w:r>
              <w:rPr>
                <w:b/>
                <w:color w:val="auto"/>
                <w:sz w:val="24"/>
              </w:rPr>
              <w:t>危险物质向环境转移的途径识别结果</w:t>
            </w:r>
          </w:p>
          <w:tbl>
            <w:tblPr>
              <w:tblStyle w:val="33"/>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416"/>
              <w:gridCol w:w="1177"/>
              <w:gridCol w:w="1419"/>
              <w:gridCol w:w="1408"/>
              <w:gridCol w:w="2138"/>
            </w:tblGrid>
            <w:tr w14:paraId="2983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jc w:val="center"/>
              </w:trPr>
              <w:tc>
                <w:tcPr>
                  <w:tcW w:w="672" w:type="dxa"/>
                  <w:tcBorders>
                    <w:top w:val="single" w:color="auto" w:sz="4" w:space="0"/>
                    <w:left w:val="single" w:color="auto" w:sz="4" w:space="0"/>
                    <w:bottom w:val="single" w:color="auto" w:sz="4" w:space="0"/>
                    <w:right w:val="single" w:color="auto" w:sz="4" w:space="0"/>
                  </w:tcBorders>
                  <w:vAlign w:val="center"/>
                </w:tcPr>
                <w:p w14:paraId="4F30967D">
                  <w:pPr>
                    <w:jc w:val="center"/>
                    <w:rPr>
                      <w:b/>
                      <w:bCs/>
                      <w:color w:val="auto"/>
                    </w:rPr>
                  </w:pPr>
                  <w:r>
                    <w:rPr>
                      <w:b/>
                      <w:bCs/>
                      <w:color w:val="auto"/>
                    </w:rPr>
                    <w:t>序号</w:t>
                  </w:r>
                </w:p>
              </w:tc>
              <w:tc>
                <w:tcPr>
                  <w:tcW w:w="1416" w:type="dxa"/>
                  <w:tcBorders>
                    <w:top w:val="single" w:color="auto" w:sz="4" w:space="0"/>
                    <w:left w:val="single" w:color="auto" w:sz="4" w:space="0"/>
                    <w:bottom w:val="single" w:color="auto" w:sz="4" w:space="0"/>
                    <w:right w:val="single" w:color="auto" w:sz="4" w:space="0"/>
                  </w:tcBorders>
                  <w:vAlign w:val="center"/>
                </w:tcPr>
                <w:p w14:paraId="160A08E9">
                  <w:pPr>
                    <w:jc w:val="center"/>
                    <w:rPr>
                      <w:b/>
                      <w:bCs/>
                      <w:color w:val="auto"/>
                    </w:rPr>
                  </w:pPr>
                  <w:r>
                    <w:rPr>
                      <w:b/>
                      <w:bCs/>
                      <w:color w:val="auto"/>
                    </w:rPr>
                    <w:t>风险源</w:t>
                  </w:r>
                </w:p>
              </w:tc>
              <w:tc>
                <w:tcPr>
                  <w:tcW w:w="1177" w:type="dxa"/>
                  <w:tcBorders>
                    <w:top w:val="single" w:color="auto" w:sz="4" w:space="0"/>
                    <w:left w:val="single" w:color="auto" w:sz="4" w:space="0"/>
                    <w:bottom w:val="single" w:color="auto" w:sz="4" w:space="0"/>
                    <w:right w:val="single" w:color="auto" w:sz="4" w:space="0"/>
                  </w:tcBorders>
                  <w:vAlign w:val="center"/>
                </w:tcPr>
                <w:p w14:paraId="1A04A1C5">
                  <w:pPr>
                    <w:jc w:val="center"/>
                    <w:rPr>
                      <w:b/>
                      <w:bCs/>
                      <w:color w:val="auto"/>
                    </w:rPr>
                  </w:pPr>
                  <w:r>
                    <w:rPr>
                      <w:b/>
                      <w:bCs/>
                      <w:color w:val="auto"/>
                    </w:rPr>
                    <w:t>主要危险</w:t>
                  </w:r>
                </w:p>
                <w:p w14:paraId="3EBED536">
                  <w:pPr>
                    <w:jc w:val="center"/>
                    <w:rPr>
                      <w:b/>
                      <w:bCs/>
                      <w:color w:val="auto"/>
                    </w:rPr>
                  </w:pPr>
                  <w:r>
                    <w:rPr>
                      <w:b/>
                      <w:bCs/>
                      <w:color w:val="auto"/>
                    </w:rPr>
                    <w:t>物质</w:t>
                  </w:r>
                </w:p>
              </w:tc>
              <w:tc>
                <w:tcPr>
                  <w:tcW w:w="1419" w:type="dxa"/>
                  <w:tcBorders>
                    <w:top w:val="single" w:color="auto" w:sz="4" w:space="0"/>
                    <w:left w:val="single" w:color="auto" w:sz="4" w:space="0"/>
                    <w:bottom w:val="single" w:color="auto" w:sz="4" w:space="0"/>
                    <w:right w:val="single" w:color="auto" w:sz="4" w:space="0"/>
                  </w:tcBorders>
                  <w:vAlign w:val="center"/>
                </w:tcPr>
                <w:p w14:paraId="3A065FDE">
                  <w:pPr>
                    <w:jc w:val="center"/>
                    <w:rPr>
                      <w:b/>
                      <w:bCs/>
                      <w:color w:val="auto"/>
                    </w:rPr>
                  </w:pPr>
                  <w:r>
                    <w:rPr>
                      <w:b/>
                      <w:bCs/>
                      <w:color w:val="auto"/>
                    </w:rPr>
                    <w:t>事故类型</w:t>
                  </w:r>
                </w:p>
              </w:tc>
              <w:tc>
                <w:tcPr>
                  <w:tcW w:w="1408" w:type="dxa"/>
                  <w:tcBorders>
                    <w:top w:val="single" w:color="auto" w:sz="4" w:space="0"/>
                    <w:left w:val="single" w:color="auto" w:sz="4" w:space="0"/>
                    <w:bottom w:val="single" w:color="auto" w:sz="4" w:space="0"/>
                    <w:right w:val="single" w:color="auto" w:sz="4" w:space="0"/>
                  </w:tcBorders>
                  <w:vAlign w:val="center"/>
                </w:tcPr>
                <w:p w14:paraId="2198AD07">
                  <w:pPr>
                    <w:jc w:val="center"/>
                    <w:rPr>
                      <w:b/>
                      <w:bCs/>
                      <w:color w:val="auto"/>
                    </w:rPr>
                  </w:pPr>
                  <w:r>
                    <w:rPr>
                      <w:b/>
                      <w:bCs/>
                      <w:color w:val="auto"/>
                    </w:rPr>
                    <w:t>事故原因</w:t>
                  </w:r>
                </w:p>
              </w:tc>
              <w:tc>
                <w:tcPr>
                  <w:tcW w:w="2138" w:type="dxa"/>
                  <w:tcBorders>
                    <w:top w:val="single" w:color="auto" w:sz="4" w:space="0"/>
                    <w:left w:val="single" w:color="auto" w:sz="4" w:space="0"/>
                    <w:bottom w:val="single" w:color="auto" w:sz="4" w:space="0"/>
                    <w:right w:val="single" w:color="auto" w:sz="4" w:space="0"/>
                  </w:tcBorders>
                  <w:vAlign w:val="center"/>
                </w:tcPr>
                <w:p w14:paraId="7932B62A">
                  <w:pPr>
                    <w:jc w:val="center"/>
                    <w:rPr>
                      <w:b/>
                      <w:bCs/>
                      <w:color w:val="auto"/>
                    </w:rPr>
                  </w:pPr>
                  <w:r>
                    <w:rPr>
                      <w:b/>
                      <w:bCs/>
                      <w:color w:val="auto"/>
                    </w:rPr>
                    <w:t>环境影响途径</w:t>
                  </w:r>
                </w:p>
              </w:tc>
            </w:tr>
            <w:tr w14:paraId="25F4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72" w:type="dxa"/>
                  <w:tcBorders>
                    <w:top w:val="single" w:color="auto" w:sz="4" w:space="0"/>
                    <w:left w:val="single" w:color="auto" w:sz="4" w:space="0"/>
                    <w:bottom w:val="single" w:color="auto" w:sz="4" w:space="0"/>
                    <w:right w:val="single" w:color="auto" w:sz="4" w:space="0"/>
                  </w:tcBorders>
                  <w:vAlign w:val="center"/>
                </w:tcPr>
                <w:p w14:paraId="2E414A58">
                  <w:pPr>
                    <w:jc w:val="center"/>
                    <w:rPr>
                      <w:color w:val="auto"/>
                    </w:rPr>
                  </w:pPr>
                  <w:r>
                    <w:rPr>
                      <w:rFonts w:hint="eastAsia"/>
                      <w:color w:val="auto"/>
                    </w:rPr>
                    <w:t>1</w:t>
                  </w:r>
                </w:p>
              </w:tc>
              <w:tc>
                <w:tcPr>
                  <w:tcW w:w="1416" w:type="dxa"/>
                  <w:tcBorders>
                    <w:top w:val="single" w:color="auto" w:sz="4" w:space="0"/>
                    <w:left w:val="single" w:color="auto" w:sz="4" w:space="0"/>
                    <w:bottom w:val="single" w:color="auto" w:sz="4" w:space="0"/>
                    <w:right w:val="single" w:color="auto" w:sz="4" w:space="0"/>
                  </w:tcBorders>
                  <w:vAlign w:val="center"/>
                </w:tcPr>
                <w:p w14:paraId="19CDDF72">
                  <w:pPr>
                    <w:jc w:val="center"/>
                    <w:rPr>
                      <w:color w:val="auto"/>
                    </w:rPr>
                  </w:pPr>
                  <w:r>
                    <w:rPr>
                      <w:rFonts w:hint="eastAsia"/>
                      <w:color w:val="auto"/>
                    </w:rPr>
                    <w:t>储存室</w:t>
                  </w:r>
                </w:p>
              </w:tc>
              <w:tc>
                <w:tcPr>
                  <w:tcW w:w="1177" w:type="dxa"/>
                  <w:tcBorders>
                    <w:top w:val="single" w:color="auto" w:sz="4" w:space="0"/>
                    <w:left w:val="single" w:color="auto" w:sz="4" w:space="0"/>
                    <w:bottom w:val="single" w:color="auto" w:sz="4" w:space="0"/>
                    <w:right w:val="single" w:color="auto" w:sz="4" w:space="0"/>
                  </w:tcBorders>
                  <w:vAlign w:val="center"/>
                </w:tcPr>
                <w:p w14:paraId="0A01EB37">
                  <w:pPr>
                    <w:jc w:val="center"/>
                    <w:rPr>
                      <w:color w:val="auto"/>
                      <w:szCs w:val="21"/>
                    </w:rPr>
                  </w:pPr>
                  <w:r>
                    <w:rPr>
                      <w:color w:val="auto"/>
                      <w:szCs w:val="21"/>
                    </w:rPr>
                    <w:t>二氧化氯</w:t>
                  </w:r>
                  <w:r>
                    <w:rPr>
                      <w:rFonts w:hint="eastAsia"/>
                      <w:color w:val="auto"/>
                      <w:szCs w:val="21"/>
                    </w:rPr>
                    <w:t>、乙醇</w:t>
                  </w:r>
                </w:p>
              </w:tc>
              <w:tc>
                <w:tcPr>
                  <w:tcW w:w="1419" w:type="dxa"/>
                  <w:tcBorders>
                    <w:top w:val="single" w:color="auto" w:sz="4" w:space="0"/>
                    <w:left w:val="single" w:color="auto" w:sz="4" w:space="0"/>
                    <w:bottom w:val="single" w:color="auto" w:sz="4" w:space="0"/>
                    <w:right w:val="single" w:color="auto" w:sz="4" w:space="0"/>
                  </w:tcBorders>
                  <w:vAlign w:val="center"/>
                </w:tcPr>
                <w:p w14:paraId="06A94572">
                  <w:pPr>
                    <w:jc w:val="center"/>
                    <w:rPr>
                      <w:color w:val="auto"/>
                      <w:szCs w:val="21"/>
                    </w:rPr>
                  </w:pPr>
                  <w:r>
                    <w:rPr>
                      <w:color w:val="auto"/>
                      <w:szCs w:val="21"/>
                    </w:rPr>
                    <w:t>泄漏、火灾</w:t>
                  </w:r>
                  <w:r>
                    <w:rPr>
                      <w:rFonts w:hint="eastAsia"/>
                      <w:color w:val="auto"/>
                      <w:szCs w:val="21"/>
                    </w:rPr>
                    <w:t>、爆炸</w:t>
                  </w:r>
                </w:p>
              </w:tc>
              <w:tc>
                <w:tcPr>
                  <w:tcW w:w="1408" w:type="dxa"/>
                  <w:tcBorders>
                    <w:top w:val="single" w:color="auto" w:sz="4" w:space="0"/>
                    <w:left w:val="single" w:color="auto" w:sz="4" w:space="0"/>
                    <w:bottom w:val="single" w:color="auto" w:sz="4" w:space="0"/>
                    <w:right w:val="single" w:color="auto" w:sz="4" w:space="0"/>
                  </w:tcBorders>
                  <w:vAlign w:val="center"/>
                </w:tcPr>
                <w:p w14:paraId="26D9DD30">
                  <w:pPr>
                    <w:jc w:val="center"/>
                    <w:rPr>
                      <w:color w:val="auto"/>
                    </w:rPr>
                  </w:pPr>
                  <w:r>
                    <w:rPr>
                      <w:color w:val="auto"/>
                    </w:rPr>
                    <w:t>管理不当、</w:t>
                  </w:r>
                  <w:r>
                    <w:rPr>
                      <w:rFonts w:hint="eastAsia"/>
                      <w:color w:val="auto"/>
                    </w:rPr>
                    <w:t>储存设施</w:t>
                  </w:r>
                  <w:r>
                    <w:rPr>
                      <w:color w:val="auto"/>
                    </w:rPr>
                    <w:t>损坏</w:t>
                  </w:r>
                </w:p>
              </w:tc>
              <w:tc>
                <w:tcPr>
                  <w:tcW w:w="2138" w:type="dxa"/>
                  <w:tcBorders>
                    <w:top w:val="single" w:color="auto" w:sz="4" w:space="0"/>
                    <w:left w:val="single" w:color="auto" w:sz="4" w:space="0"/>
                    <w:bottom w:val="single" w:color="auto" w:sz="4" w:space="0"/>
                    <w:right w:val="single" w:color="auto" w:sz="4" w:space="0"/>
                  </w:tcBorders>
                  <w:vAlign w:val="center"/>
                </w:tcPr>
                <w:p w14:paraId="0F074BD0">
                  <w:pPr>
                    <w:jc w:val="center"/>
                    <w:rPr>
                      <w:color w:val="auto"/>
                    </w:rPr>
                  </w:pPr>
                  <w:r>
                    <w:rPr>
                      <w:color w:val="auto"/>
                    </w:rPr>
                    <w:t>环境空气、地表水、地下水、土壤</w:t>
                  </w:r>
                </w:p>
              </w:tc>
            </w:tr>
            <w:tr w14:paraId="3570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72" w:type="dxa"/>
                  <w:tcBorders>
                    <w:top w:val="single" w:color="auto" w:sz="4" w:space="0"/>
                    <w:left w:val="single" w:color="auto" w:sz="4" w:space="0"/>
                    <w:bottom w:val="single" w:color="auto" w:sz="4" w:space="0"/>
                    <w:right w:val="single" w:color="auto" w:sz="4" w:space="0"/>
                  </w:tcBorders>
                  <w:vAlign w:val="center"/>
                </w:tcPr>
                <w:p w14:paraId="22B265FA">
                  <w:pPr>
                    <w:jc w:val="center"/>
                    <w:rPr>
                      <w:color w:val="auto"/>
                    </w:rPr>
                  </w:pPr>
                  <w:r>
                    <w:rPr>
                      <w:rFonts w:hint="eastAsia"/>
                      <w:color w:val="auto"/>
                    </w:rPr>
                    <w:t>2</w:t>
                  </w:r>
                </w:p>
              </w:tc>
              <w:tc>
                <w:tcPr>
                  <w:tcW w:w="1416" w:type="dxa"/>
                  <w:tcBorders>
                    <w:top w:val="single" w:color="auto" w:sz="4" w:space="0"/>
                    <w:left w:val="single" w:color="auto" w:sz="4" w:space="0"/>
                    <w:bottom w:val="single" w:color="auto" w:sz="4" w:space="0"/>
                    <w:right w:val="single" w:color="auto" w:sz="4" w:space="0"/>
                  </w:tcBorders>
                  <w:vAlign w:val="center"/>
                </w:tcPr>
                <w:p w14:paraId="30FEF213">
                  <w:pPr>
                    <w:jc w:val="center"/>
                    <w:rPr>
                      <w:color w:val="auto"/>
                    </w:rPr>
                  </w:pPr>
                  <w:r>
                    <w:rPr>
                      <w:rFonts w:hint="eastAsia"/>
                      <w:color w:val="auto"/>
                    </w:rPr>
                    <w:t>医疗废物暂存间</w:t>
                  </w:r>
                </w:p>
              </w:tc>
              <w:tc>
                <w:tcPr>
                  <w:tcW w:w="1177" w:type="dxa"/>
                  <w:tcBorders>
                    <w:top w:val="single" w:color="auto" w:sz="4" w:space="0"/>
                    <w:left w:val="single" w:color="auto" w:sz="4" w:space="0"/>
                    <w:bottom w:val="single" w:color="auto" w:sz="4" w:space="0"/>
                    <w:right w:val="single" w:color="auto" w:sz="4" w:space="0"/>
                  </w:tcBorders>
                  <w:vAlign w:val="center"/>
                </w:tcPr>
                <w:p w14:paraId="3F999CF7">
                  <w:pPr>
                    <w:jc w:val="center"/>
                    <w:rPr>
                      <w:color w:val="auto"/>
                    </w:rPr>
                  </w:pPr>
                  <w:r>
                    <w:rPr>
                      <w:rFonts w:hint="eastAsia"/>
                      <w:color w:val="auto"/>
                    </w:rPr>
                    <w:t>医疗废物</w:t>
                  </w:r>
                </w:p>
              </w:tc>
              <w:tc>
                <w:tcPr>
                  <w:tcW w:w="1419" w:type="dxa"/>
                  <w:tcBorders>
                    <w:top w:val="single" w:color="auto" w:sz="4" w:space="0"/>
                    <w:left w:val="single" w:color="auto" w:sz="4" w:space="0"/>
                    <w:bottom w:val="single" w:color="auto" w:sz="4" w:space="0"/>
                    <w:right w:val="single" w:color="auto" w:sz="4" w:space="0"/>
                  </w:tcBorders>
                  <w:vAlign w:val="center"/>
                </w:tcPr>
                <w:p w14:paraId="03279650">
                  <w:pPr>
                    <w:jc w:val="center"/>
                    <w:rPr>
                      <w:color w:val="auto"/>
                      <w:szCs w:val="21"/>
                    </w:rPr>
                  </w:pPr>
                  <w:r>
                    <w:rPr>
                      <w:rFonts w:hint="eastAsia"/>
                      <w:color w:val="auto"/>
                      <w:szCs w:val="21"/>
                    </w:rPr>
                    <w:t>泄露</w:t>
                  </w:r>
                </w:p>
              </w:tc>
              <w:tc>
                <w:tcPr>
                  <w:tcW w:w="1408" w:type="dxa"/>
                  <w:tcBorders>
                    <w:top w:val="single" w:color="auto" w:sz="4" w:space="0"/>
                    <w:left w:val="single" w:color="auto" w:sz="4" w:space="0"/>
                    <w:bottom w:val="single" w:color="auto" w:sz="4" w:space="0"/>
                    <w:right w:val="single" w:color="auto" w:sz="4" w:space="0"/>
                  </w:tcBorders>
                  <w:vAlign w:val="center"/>
                </w:tcPr>
                <w:p w14:paraId="20BE21BA">
                  <w:pPr>
                    <w:jc w:val="center"/>
                    <w:rPr>
                      <w:color w:val="auto"/>
                    </w:rPr>
                  </w:pPr>
                  <w:r>
                    <w:rPr>
                      <w:color w:val="auto"/>
                    </w:rPr>
                    <w:t>管理不当</w:t>
                  </w:r>
                </w:p>
              </w:tc>
              <w:tc>
                <w:tcPr>
                  <w:tcW w:w="2138" w:type="dxa"/>
                  <w:tcBorders>
                    <w:top w:val="single" w:color="auto" w:sz="4" w:space="0"/>
                    <w:left w:val="single" w:color="auto" w:sz="4" w:space="0"/>
                    <w:bottom w:val="single" w:color="auto" w:sz="4" w:space="0"/>
                    <w:right w:val="single" w:color="auto" w:sz="4" w:space="0"/>
                  </w:tcBorders>
                  <w:vAlign w:val="center"/>
                </w:tcPr>
                <w:p w14:paraId="3920ABEC">
                  <w:pPr>
                    <w:jc w:val="center"/>
                    <w:rPr>
                      <w:color w:val="auto"/>
                    </w:rPr>
                  </w:pPr>
                  <w:r>
                    <w:rPr>
                      <w:color w:val="auto"/>
                    </w:rPr>
                    <w:t>环境空气、地下水、土壤</w:t>
                  </w:r>
                </w:p>
              </w:tc>
            </w:tr>
          </w:tbl>
          <w:p w14:paraId="3176D9EC">
            <w:pPr>
              <w:pStyle w:val="32"/>
              <w:spacing w:after="0" w:line="360" w:lineRule="auto"/>
              <w:ind w:left="0" w:leftChars="0" w:firstLine="480"/>
              <w:rPr>
                <w:color w:val="auto"/>
                <w:kern w:val="2"/>
              </w:rPr>
            </w:pPr>
            <w:r>
              <w:rPr>
                <w:color w:val="auto"/>
              </w:rPr>
              <w:t>综上，根据危险物质本身的危险性及潜在风险源识别，确定本项目主要环境风险类型为二氧化氯</w:t>
            </w:r>
            <w:r>
              <w:rPr>
                <w:rFonts w:hint="eastAsia"/>
                <w:color w:val="auto"/>
              </w:rPr>
              <w:t>、乙醇、氧气泄漏及爆炸；医疗废物泄漏。</w:t>
            </w:r>
          </w:p>
          <w:p w14:paraId="3792F3B3">
            <w:pPr>
              <w:spacing w:line="360" w:lineRule="auto"/>
              <w:ind w:firstLine="482" w:firstLineChars="200"/>
              <w:rPr>
                <w:rStyle w:val="45"/>
                <w:b/>
                <w:color w:val="auto"/>
                <w:sz w:val="24"/>
              </w:rPr>
            </w:pPr>
            <w:r>
              <w:rPr>
                <w:rStyle w:val="45"/>
                <w:rFonts w:hint="eastAsia"/>
                <w:b/>
                <w:color w:val="auto"/>
                <w:sz w:val="24"/>
              </w:rPr>
              <w:t>4、</w:t>
            </w:r>
            <w:r>
              <w:rPr>
                <w:rStyle w:val="45"/>
                <w:b/>
                <w:color w:val="auto"/>
                <w:sz w:val="24"/>
              </w:rPr>
              <w:t>环境风险防范措施</w:t>
            </w:r>
          </w:p>
          <w:p w14:paraId="1B9BE003">
            <w:pPr>
              <w:spacing w:line="360" w:lineRule="auto"/>
              <w:ind w:firstLine="600" w:firstLineChars="250"/>
              <w:rPr>
                <w:rStyle w:val="45"/>
                <w:bCs/>
                <w:color w:val="auto"/>
                <w:sz w:val="24"/>
              </w:rPr>
            </w:pPr>
            <w:r>
              <w:rPr>
                <w:rStyle w:val="45"/>
                <w:bCs/>
                <w:color w:val="auto"/>
                <w:sz w:val="24"/>
              </w:rPr>
              <w:t>为了降低风险事故的概率以及产生的影响。本项目提出以下防范措施：</w:t>
            </w:r>
          </w:p>
          <w:p w14:paraId="45ED9F97">
            <w:pPr>
              <w:spacing w:line="360" w:lineRule="auto"/>
              <w:ind w:firstLine="600" w:firstLineChars="250"/>
              <w:rPr>
                <w:rStyle w:val="45"/>
                <w:bCs/>
                <w:color w:val="auto"/>
                <w:sz w:val="24"/>
                <w:szCs w:val="22"/>
              </w:rPr>
            </w:pPr>
            <w:r>
              <w:rPr>
                <w:rStyle w:val="45"/>
                <w:rFonts w:hint="eastAsia"/>
                <w:bCs/>
                <w:color w:val="auto"/>
                <w:sz w:val="24"/>
                <w:szCs w:val="22"/>
              </w:rPr>
              <w:t>①</w:t>
            </w:r>
            <w:r>
              <w:rPr>
                <w:rStyle w:val="45"/>
                <w:bCs/>
                <w:color w:val="auto"/>
                <w:sz w:val="24"/>
                <w:szCs w:val="22"/>
              </w:rPr>
              <w:t>加强职工的安全教育，提高安全防范风险的意识；</w:t>
            </w:r>
          </w:p>
          <w:p w14:paraId="48104F27">
            <w:pPr>
              <w:spacing w:line="360" w:lineRule="auto"/>
              <w:ind w:firstLine="600" w:firstLineChars="250"/>
              <w:rPr>
                <w:rStyle w:val="45"/>
                <w:bCs/>
                <w:color w:val="auto"/>
                <w:sz w:val="24"/>
                <w:szCs w:val="22"/>
              </w:rPr>
            </w:pPr>
            <w:r>
              <w:rPr>
                <w:rStyle w:val="45"/>
                <w:rFonts w:hint="eastAsia"/>
                <w:bCs/>
                <w:color w:val="auto"/>
                <w:sz w:val="24"/>
                <w:szCs w:val="22"/>
              </w:rPr>
              <w:t>②</w:t>
            </w:r>
            <w:r>
              <w:rPr>
                <w:rStyle w:val="45"/>
                <w:bCs/>
                <w:color w:val="auto"/>
                <w:sz w:val="24"/>
                <w:szCs w:val="22"/>
              </w:rPr>
              <w:t>针对运营中可能发生的异常现象和存在的安全隐患，设置合理可行的技术措施，制定严格的操作规程；</w:t>
            </w:r>
          </w:p>
          <w:p w14:paraId="34B96934">
            <w:pPr>
              <w:spacing w:line="360" w:lineRule="auto"/>
              <w:ind w:firstLine="600" w:firstLineChars="250"/>
              <w:rPr>
                <w:rStyle w:val="45"/>
                <w:bCs/>
                <w:color w:val="auto"/>
                <w:sz w:val="24"/>
                <w:szCs w:val="22"/>
              </w:rPr>
            </w:pPr>
            <w:r>
              <w:rPr>
                <w:rStyle w:val="45"/>
                <w:rFonts w:hint="eastAsia"/>
                <w:bCs/>
                <w:color w:val="auto"/>
                <w:sz w:val="24"/>
                <w:szCs w:val="22"/>
              </w:rPr>
              <w:t>③</w:t>
            </w:r>
            <w:r>
              <w:rPr>
                <w:rStyle w:val="45"/>
                <w:bCs/>
                <w:color w:val="auto"/>
                <w:sz w:val="24"/>
                <w:szCs w:val="22"/>
              </w:rPr>
              <w:t>严格落实医疗废物暂存间的建设，对医疗废物暂存间地面及裙角</w:t>
            </w:r>
            <w:r>
              <w:rPr>
                <w:rStyle w:val="45"/>
                <w:bCs/>
                <w:color w:val="auto"/>
                <w:sz w:val="24"/>
                <w:szCs w:val="22"/>
                <w:lang w:val="zh-CN"/>
              </w:rPr>
              <w:t>采用水泥+2mm厚HDPE+环氧树脂</w:t>
            </w:r>
            <w:r>
              <w:rPr>
                <w:rStyle w:val="45"/>
                <w:bCs/>
                <w:color w:val="auto"/>
                <w:sz w:val="24"/>
                <w:szCs w:val="22"/>
              </w:rPr>
              <w:t>进行重点防渗处理，渗透系数≤10</w:t>
            </w:r>
            <w:r>
              <w:rPr>
                <w:rStyle w:val="45"/>
                <w:bCs/>
                <w:color w:val="auto"/>
                <w:sz w:val="24"/>
                <w:szCs w:val="22"/>
                <w:vertAlign w:val="superscript"/>
              </w:rPr>
              <w:t>-10</w:t>
            </w:r>
            <w:r>
              <w:rPr>
                <w:rStyle w:val="45"/>
                <w:bCs/>
                <w:color w:val="auto"/>
                <w:sz w:val="24"/>
                <w:szCs w:val="22"/>
              </w:rPr>
              <w:t>cm/s，并按照相关规范收集暂存，医疗废物转交出去后，应当对暂时贮存地点、设施及时进行清洁和消毒处理。对于医疗废物，禁止将其在非收集、非暂时贮存地点倾倒、堆放；禁止将医疗废物混入其它废物和生活垃圾；禁止在内部运送过程中丢弃医疗废物</w:t>
            </w:r>
            <w:r>
              <w:rPr>
                <w:rStyle w:val="45"/>
                <w:rFonts w:hint="eastAsia"/>
                <w:bCs/>
                <w:color w:val="auto"/>
                <w:sz w:val="24"/>
                <w:szCs w:val="22"/>
              </w:rPr>
              <w:t>，柴油发电机房储油间地面硬化处理，防止柴油泄漏</w:t>
            </w:r>
            <w:r>
              <w:rPr>
                <w:rStyle w:val="45"/>
                <w:bCs/>
                <w:color w:val="auto"/>
                <w:sz w:val="24"/>
                <w:szCs w:val="22"/>
              </w:rPr>
              <w:t>；</w:t>
            </w:r>
          </w:p>
          <w:p w14:paraId="4805C828">
            <w:pPr>
              <w:spacing w:line="360" w:lineRule="auto"/>
              <w:ind w:firstLine="600" w:firstLineChars="250"/>
              <w:rPr>
                <w:rStyle w:val="45"/>
                <w:bCs/>
                <w:color w:val="auto"/>
                <w:sz w:val="24"/>
                <w:szCs w:val="22"/>
              </w:rPr>
            </w:pPr>
            <w:r>
              <w:rPr>
                <w:rStyle w:val="45"/>
                <w:rFonts w:hint="eastAsia"/>
                <w:bCs/>
                <w:color w:val="auto"/>
                <w:sz w:val="24"/>
                <w:szCs w:val="22"/>
              </w:rPr>
              <w:t>④</w:t>
            </w:r>
            <w:r>
              <w:rPr>
                <w:rStyle w:val="45"/>
                <w:bCs/>
                <w:color w:val="auto"/>
                <w:sz w:val="24"/>
                <w:szCs w:val="22"/>
              </w:rPr>
              <w:t>医疗废物处置标准应按照《医疗废物管理条例》中华人民共和国国务院令（第380号）、《危险废物贮存污染控制标准》（GB18597-2023）、《医疗机构水污染物排放标准》</w:t>
            </w:r>
            <w:r>
              <w:rPr>
                <w:rStyle w:val="45"/>
                <w:rFonts w:hint="eastAsia"/>
                <w:bCs/>
                <w:color w:val="auto"/>
                <w:sz w:val="24"/>
                <w:szCs w:val="22"/>
              </w:rPr>
              <w:t>（</w:t>
            </w:r>
            <w:r>
              <w:rPr>
                <w:rStyle w:val="45"/>
                <w:bCs/>
                <w:color w:val="auto"/>
                <w:sz w:val="24"/>
                <w:szCs w:val="22"/>
              </w:rPr>
              <w:t>GB18466-2005</w:t>
            </w:r>
            <w:r>
              <w:rPr>
                <w:rStyle w:val="45"/>
                <w:rFonts w:hint="eastAsia"/>
                <w:bCs/>
                <w:color w:val="auto"/>
                <w:sz w:val="24"/>
                <w:szCs w:val="22"/>
              </w:rPr>
              <w:t>）的</w:t>
            </w:r>
            <w:r>
              <w:rPr>
                <w:rStyle w:val="45"/>
                <w:bCs/>
                <w:color w:val="auto"/>
                <w:sz w:val="24"/>
                <w:szCs w:val="22"/>
              </w:rPr>
              <w:t>污泥控制与处置要求</w:t>
            </w:r>
            <w:r>
              <w:rPr>
                <w:rStyle w:val="45"/>
                <w:rFonts w:hint="eastAsia"/>
                <w:bCs/>
                <w:color w:val="auto"/>
                <w:sz w:val="24"/>
                <w:szCs w:val="22"/>
              </w:rPr>
              <w:t>；</w:t>
            </w:r>
          </w:p>
          <w:p w14:paraId="20DC7F53">
            <w:pPr>
              <w:spacing w:line="360" w:lineRule="auto"/>
              <w:ind w:firstLine="600" w:firstLineChars="250"/>
              <w:rPr>
                <w:rStyle w:val="45"/>
                <w:bCs/>
                <w:color w:val="auto"/>
                <w:sz w:val="24"/>
                <w:szCs w:val="22"/>
              </w:rPr>
            </w:pPr>
            <w:r>
              <w:rPr>
                <w:rStyle w:val="45"/>
                <w:rFonts w:hint="eastAsia"/>
                <w:bCs/>
                <w:color w:val="auto"/>
                <w:sz w:val="24"/>
                <w:szCs w:val="22"/>
              </w:rPr>
              <w:t>⑤</w:t>
            </w:r>
            <w:r>
              <w:rPr>
                <w:rStyle w:val="45"/>
                <w:bCs/>
                <w:color w:val="auto"/>
                <w:sz w:val="24"/>
                <w:szCs w:val="22"/>
              </w:rPr>
              <w:t>运输单元的风险防范措施：远离易燃、可燃物，搬运时要轻装轻卸，防止包装及容器损坏，配备泄漏应急处理设备</w:t>
            </w:r>
            <w:r>
              <w:rPr>
                <w:rStyle w:val="45"/>
                <w:rFonts w:hint="eastAsia"/>
                <w:bCs/>
                <w:color w:val="auto"/>
                <w:sz w:val="24"/>
                <w:szCs w:val="22"/>
              </w:rPr>
              <w:t>。</w:t>
            </w:r>
          </w:p>
          <w:p w14:paraId="460D4FFE">
            <w:pPr>
              <w:spacing w:line="360" w:lineRule="auto"/>
              <w:ind w:firstLine="602" w:firstLineChars="250"/>
              <w:rPr>
                <w:rStyle w:val="45"/>
                <w:b/>
                <w:color w:val="auto"/>
                <w:sz w:val="24"/>
                <w:szCs w:val="22"/>
              </w:rPr>
            </w:pPr>
            <w:r>
              <w:rPr>
                <w:rStyle w:val="45"/>
                <w:rFonts w:hint="eastAsia"/>
                <w:b/>
                <w:color w:val="auto"/>
                <w:sz w:val="24"/>
                <w:szCs w:val="22"/>
              </w:rPr>
              <w:t>5、环境风险分析</w:t>
            </w:r>
          </w:p>
          <w:p w14:paraId="07C2B000">
            <w:pPr>
              <w:spacing w:line="360" w:lineRule="auto"/>
              <w:ind w:firstLine="480" w:firstLineChars="200"/>
              <w:rPr>
                <w:rStyle w:val="45"/>
                <w:bCs/>
                <w:color w:val="auto"/>
                <w:sz w:val="24"/>
                <w:szCs w:val="22"/>
              </w:rPr>
            </w:pPr>
            <w:r>
              <w:rPr>
                <w:rStyle w:val="45"/>
                <w:rFonts w:hint="eastAsia"/>
                <w:bCs/>
                <w:color w:val="auto"/>
                <w:sz w:val="24"/>
                <w:szCs w:val="22"/>
              </w:rPr>
              <w:t>本项目所有卫生的医疗废物均依托原卫生院的卫生院医疗废物暂存间储存，设置专用医疗废物收集桶收集存放，并对医疗废物暂存间采取重点防渗措施等。在采取相应的应急措施后，环境风险可控。</w:t>
            </w:r>
          </w:p>
          <w:p w14:paraId="52E6929E">
            <w:pPr>
              <w:pStyle w:val="32"/>
              <w:spacing w:line="360" w:lineRule="auto"/>
              <w:ind w:firstLine="560"/>
              <w:rPr>
                <w:color w:val="auto"/>
                <w:position w:val="-16"/>
                <w:sz w:val="28"/>
              </w:rPr>
            </w:pPr>
          </w:p>
        </w:tc>
      </w:tr>
    </w:tbl>
    <w:p w14:paraId="498EC674">
      <w:pPr>
        <w:adjustRightInd w:val="0"/>
        <w:snapToGrid w:val="0"/>
        <w:spacing w:line="360" w:lineRule="auto"/>
        <w:rPr>
          <w:b/>
          <w:color w:val="auto"/>
          <w:kern w:val="0"/>
          <w:sz w:val="28"/>
          <w:szCs w:val="28"/>
        </w:rPr>
        <w:sectPr>
          <w:pgSz w:w="11907" w:h="16840"/>
          <w:pgMar w:top="1701" w:right="1531" w:bottom="2127" w:left="1531" w:header="851" w:footer="851" w:gutter="0"/>
          <w:cols w:space="720" w:num="1"/>
          <w:docGrid w:linePitch="312" w:charSpace="0"/>
        </w:sectPr>
      </w:pPr>
    </w:p>
    <w:p w14:paraId="33E13F5D">
      <w:pPr>
        <w:pStyle w:val="29"/>
        <w:jc w:val="center"/>
        <w:outlineLvl w:val="0"/>
        <w:rPr>
          <w:rFonts w:ascii="Times New Roman" w:hAnsi="Times New Roman" w:eastAsia="黑体"/>
          <w:snapToGrid w:val="0"/>
          <w:color w:val="auto"/>
          <w:sz w:val="30"/>
          <w:szCs w:val="30"/>
        </w:rPr>
      </w:pPr>
      <w:bookmarkStart w:id="85" w:name="_Toc5864"/>
      <w:r>
        <w:rPr>
          <w:rFonts w:ascii="Times New Roman" w:hAnsi="Times New Roman" w:eastAsia="黑体"/>
          <w:snapToGrid w:val="0"/>
          <w:color w:val="auto"/>
          <w:sz w:val="30"/>
          <w:szCs w:val="30"/>
        </w:rPr>
        <w:t>五、</w:t>
      </w:r>
      <w:bookmarkStart w:id="86" w:name="_Hlk54167917"/>
      <w:r>
        <w:rPr>
          <w:rFonts w:ascii="Times New Roman" w:hAnsi="Times New Roman" w:eastAsia="黑体"/>
          <w:snapToGrid w:val="0"/>
          <w:color w:val="auto"/>
          <w:sz w:val="30"/>
          <w:szCs w:val="30"/>
        </w:rPr>
        <w:t>环境保护措施监督检查清单</w:t>
      </w:r>
      <w:bookmarkEnd w:id="85"/>
      <w:bookmarkEnd w:id="86"/>
    </w:p>
    <w:tbl>
      <w:tblPr>
        <w:tblStyle w:val="33"/>
        <w:tblW w:w="95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90"/>
        <w:gridCol w:w="1559"/>
        <w:gridCol w:w="2396"/>
        <w:gridCol w:w="1978"/>
      </w:tblGrid>
      <w:tr w14:paraId="56D22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14:paraId="63489146">
            <w:pPr>
              <w:jc w:val="center"/>
              <w:rPr>
                <w:rFonts w:eastAsia="Calibri"/>
                <w:b/>
                <w:bCs/>
                <w:color w:val="auto"/>
                <w:szCs w:val="21"/>
              </w:rPr>
            </w:pPr>
            <w:r>
              <w:rPr>
                <w:rFonts w:hint="eastAsia"/>
                <w:b/>
                <w:bCs/>
                <w:color w:val="auto"/>
                <w:szCs w:val="21"/>
              </w:rPr>
              <w:t xml:space="preserve">      </w:t>
            </w:r>
            <w:r>
              <w:rPr>
                <w:b/>
                <w:bCs/>
                <w:color w:val="auto"/>
                <w:szCs w:val="21"/>
              </w:rPr>
              <w:t>内容</w:t>
            </w:r>
          </w:p>
          <w:p w14:paraId="71FA1700">
            <w:pPr>
              <w:pStyle w:val="58"/>
              <w:ind w:firstLine="354" w:firstLineChars="147"/>
              <w:rPr>
                <w:rFonts w:ascii="Times New Roman"/>
                <w:b/>
                <w:bCs/>
                <w:color w:val="auto"/>
                <w:szCs w:val="21"/>
              </w:rPr>
            </w:pPr>
            <w:r>
              <w:rPr>
                <w:rFonts w:ascii="Times New Roman"/>
                <w:b/>
                <w:bCs/>
                <w:color w:val="auto"/>
                <w:szCs w:val="21"/>
              </w:rPr>
              <w:t>要素</w:t>
            </w:r>
          </w:p>
        </w:tc>
        <w:tc>
          <w:tcPr>
            <w:tcW w:w="1790" w:type="dxa"/>
            <w:vAlign w:val="center"/>
          </w:tcPr>
          <w:p w14:paraId="22513C69">
            <w:pPr>
              <w:jc w:val="center"/>
              <w:rPr>
                <w:b/>
                <w:bCs/>
                <w:color w:val="auto"/>
                <w:szCs w:val="21"/>
              </w:rPr>
            </w:pPr>
            <w:r>
              <w:rPr>
                <w:b/>
                <w:bCs/>
                <w:color w:val="auto"/>
                <w:szCs w:val="21"/>
              </w:rPr>
              <w:t>排放口</w:t>
            </w:r>
            <w:r>
              <w:rPr>
                <w:rFonts w:hint="eastAsia"/>
                <w:b/>
                <w:bCs/>
                <w:color w:val="auto"/>
                <w:szCs w:val="21"/>
              </w:rPr>
              <w:t>（</w:t>
            </w:r>
            <w:r>
              <w:rPr>
                <w:b/>
                <w:bCs/>
                <w:color w:val="auto"/>
                <w:szCs w:val="21"/>
              </w:rPr>
              <w:t>编号、</w:t>
            </w:r>
          </w:p>
          <w:p w14:paraId="218740B8">
            <w:pPr>
              <w:jc w:val="center"/>
              <w:rPr>
                <w:b/>
                <w:bCs/>
                <w:color w:val="auto"/>
                <w:szCs w:val="21"/>
              </w:rPr>
            </w:pPr>
            <w:r>
              <w:rPr>
                <w:b/>
                <w:bCs/>
                <w:color w:val="auto"/>
                <w:szCs w:val="21"/>
              </w:rPr>
              <w:t>名称</w:t>
            </w:r>
            <w:r>
              <w:rPr>
                <w:rFonts w:hint="eastAsia"/>
                <w:b/>
                <w:bCs/>
                <w:color w:val="auto"/>
                <w:szCs w:val="21"/>
              </w:rPr>
              <w:t>）</w:t>
            </w:r>
            <w:r>
              <w:rPr>
                <w:b/>
                <w:bCs/>
                <w:color w:val="auto"/>
                <w:szCs w:val="21"/>
              </w:rPr>
              <w:t>/污染源</w:t>
            </w:r>
          </w:p>
        </w:tc>
        <w:tc>
          <w:tcPr>
            <w:tcW w:w="1559" w:type="dxa"/>
            <w:vAlign w:val="center"/>
          </w:tcPr>
          <w:p w14:paraId="5CCA8BA3">
            <w:pPr>
              <w:jc w:val="center"/>
              <w:rPr>
                <w:b/>
                <w:bCs/>
                <w:color w:val="auto"/>
                <w:szCs w:val="21"/>
              </w:rPr>
            </w:pPr>
            <w:r>
              <w:rPr>
                <w:b/>
                <w:bCs/>
                <w:color w:val="auto"/>
                <w:szCs w:val="21"/>
              </w:rPr>
              <w:t>污染物项目</w:t>
            </w:r>
          </w:p>
        </w:tc>
        <w:tc>
          <w:tcPr>
            <w:tcW w:w="2396" w:type="dxa"/>
            <w:vAlign w:val="center"/>
          </w:tcPr>
          <w:p w14:paraId="615BE047">
            <w:pPr>
              <w:jc w:val="center"/>
              <w:rPr>
                <w:b/>
                <w:bCs/>
                <w:color w:val="auto"/>
                <w:szCs w:val="21"/>
              </w:rPr>
            </w:pPr>
            <w:r>
              <w:rPr>
                <w:b/>
                <w:bCs/>
                <w:color w:val="auto"/>
                <w:szCs w:val="21"/>
              </w:rPr>
              <w:t>环境保护措施</w:t>
            </w:r>
          </w:p>
        </w:tc>
        <w:tc>
          <w:tcPr>
            <w:tcW w:w="1978" w:type="dxa"/>
            <w:vAlign w:val="center"/>
          </w:tcPr>
          <w:p w14:paraId="1CB7EB7F">
            <w:pPr>
              <w:jc w:val="center"/>
              <w:rPr>
                <w:b/>
                <w:bCs/>
                <w:color w:val="auto"/>
                <w:szCs w:val="21"/>
              </w:rPr>
            </w:pPr>
            <w:r>
              <w:rPr>
                <w:b/>
                <w:bCs/>
                <w:color w:val="auto"/>
                <w:szCs w:val="21"/>
              </w:rPr>
              <w:t>执行标准</w:t>
            </w:r>
          </w:p>
        </w:tc>
      </w:tr>
      <w:tr w14:paraId="73BE5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778" w:type="dxa"/>
            <w:vMerge w:val="restart"/>
            <w:vAlign w:val="center"/>
          </w:tcPr>
          <w:p w14:paraId="5792B0D7">
            <w:pPr>
              <w:jc w:val="center"/>
              <w:rPr>
                <w:b/>
                <w:bCs/>
                <w:color w:val="auto"/>
                <w:szCs w:val="21"/>
              </w:rPr>
            </w:pPr>
            <w:r>
              <w:rPr>
                <w:b/>
                <w:bCs/>
                <w:color w:val="auto"/>
                <w:szCs w:val="21"/>
              </w:rPr>
              <w:t>大气环境</w:t>
            </w:r>
          </w:p>
        </w:tc>
        <w:tc>
          <w:tcPr>
            <w:tcW w:w="1790" w:type="dxa"/>
            <w:vAlign w:val="center"/>
          </w:tcPr>
          <w:p w14:paraId="31971547">
            <w:pPr>
              <w:jc w:val="center"/>
              <w:rPr>
                <w:color w:val="auto"/>
                <w:szCs w:val="21"/>
                <w:highlight w:val="yellow"/>
              </w:rPr>
            </w:pPr>
            <w:r>
              <w:rPr>
                <w:rFonts w:hint="eastAsia"/>
                <w:color w:val="auto"/>
                <w:szCs w:val="21"/>
              </w:rPr>
              <w:t>九龙卫生院污水处理站恶臭</w:t>
            </w:r>
          </w:p>
        </w:tc>
        <w:tc>
          <w:tcPr>
            <w:tcW w:w="1559" w:type="dxa"/>
            <w:vAlign w:val="center"/>
          </w:tcPr>
          <w:p w14:paraId="0C181139">
            <w:pPr>
              <w:jc w:val="center"/>
              <w:rPr>
                <w:color w:val="auto"/>
                <w:szCs w:val="21"/>
                <w:highlight w:val="yellow"/>
              </w:rPr>
            </w:pPr>
            <w:r>
              <w:rPr>
                <w:rFonts w:eastAsia="Times New Roman"/>
                <w:color w:val="auto"/>
                <w:position w:val="2"/>
              </w:rPr>
              <w:t>NH</w:t>
            </w:r>
            <w:r>
              <w:rPr>
                <w:rFonts w:eastAsia="Times New Roman"/>
                <w:color w:val="auto"/>
                <w:position w:val="2"/>
                <w:vertAlign w:val="subscript"/>
              </w:rPr>
              <w:t>3</w:t>
            </w:r>
            <w:r>
              <w:rPr>
                <w:rFonts w:hint="eastAsia"/>
                <w:color w:val="auto"/>
                <w:position w:val="2"/>
              </w:rPr>
              <w:t>、</w:t>
            </w:r>
            <w:r>
              <w:rPr>
                <w:rFonts w:eastAsia="Times New Roman"/>
                <w:color w:val="auto"/>
                <w:position w:val="2"/>
              </w:rPr>
              <w:t>H</w:t>
            </w:r>
            <w:r>
              <w:rPr>
                <w:rFonts w:eastAsia="Times New Roman"/>
                <w:color w:val="auto"/>
                <w:position w:val="2"/>
                <w:vertAlign w:val="subscript"/>
              </w:rPr>
              <w:t>2</w:t>
            </w:r>
            <w:r>
              <w:rPr>
                <w:rFonts w:eastAsia="Times New Roman"/>
                <w:color w:val="auto"/>
                <w:position w:val="2"/>
              </w:rPr>
              <w:t>S</w:t>
            </w:r>
            <w:r>
              <w:rPr>
                <w:rFonts w:hint="eastAsia"/>
                <w:color w:val="auto"/>
                <w:position w:val="2"/>
              </w:rPr>
              <w:t>、臭气浓度等</w:t>
            </w:r>
          </w:p>
        </w:tc>
        <w:tc>
          <w:tcPr>
            <w:tcW w:w="2396" w:type="dxa"/>
            <w:vAlign w:val="center"/>
          </w:tcPr>
          <w:p w14:paraId="125975AD">
            <w:pPr>
              <w:jc w:val="center"/>
              <w:rPr>
                <w:color w:val="auto"/>
                <w:highlight w:val="yellow"/>
              </w:rPr>
            </w:pPr>
            <w:r>
              <w:rPr>
                <w:rFonts w:hint="eastAsia"/>
                <w:color w:val="auto"/>
                <w:szCs w:val="21"/>
              </w:rPr>
              <w:t>设置在地下一层，为地埋式，</w:t>
            </w:r>
            <w:r>
              <w:rPr>
                <w:color w:val="auto"/>
                <w:kern w:val="0"/>
                <w:szCs w:val="21"/>
                <w:lang w:bidi="ar"/>
              </w:rPr>
              <w:t>加盖密闭，</w:t>
            </w:r>
            <w:r>
              <w:rPr>
                <w:rFonts w:hint="eastAsia"/>
                <w:color w:val="auto"/>
                <w:kern w:val="0"/>
                <w:szCs w:val="21"/>
                <w:lang w:bidi="ar"/>
              </w:rPr>
              <w:t>在</w:t>
            </w:r>
            <w:r>
              <w:rPr>
                <w:color w:val="auto"/>
                <w:kern w:val="0"/>
                <w:szCs w:val="21"/>
                <w:lang w:bidi="ar"/>
              </w:rPr>
              <w:t>盖板上留有换气口，</w:t>
            </w:r>
            <w:r>
              <w:rPr>
                <w:rFonts w:hint="eastAsia"/>
                <w:color w:val="auto"/>
                <w:kern w:val="0"/>
                <w:szCs w:val="21"/>
                <w:lang w:bidi="ar"/>
              </w:rPr>
              <w:t>并在换气口附近投放除臭剂</w:t>
            </w:r>
          </w:p>
        </w:tc>
        <w:tc>
          <w:tcPr>
            <w:tcW w:w="1978" w:type="dxa"/>
            <w:vMerge w:val="restart"/>
            <w:vAlign w:val="center"/>
          </w:tcPr>
          <w:p w14:paraId="0D0429A5">
            <w:pPr>
              <w:jc w:val="center"/>
              <w:rPr>
                <w:color w:val="auto"/>
                <w:szCs w:val="21"/>
                <w:highlight w:val="yellow"/>
              </w:rPr>
            </w:pPr>
            <w:r>
              <w:rPr>
                <w:color w:val="auto"/>
              </w:rPr>
              <w:t>《医疗机构水污染物排放标准》（GB 18466-2005）表3要求</w:t>
            </w:r>
          </w:p>
        </w:tc>
      </w:tr>
      <w:tr w14:paraId="31DB8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778" w:type="dxa"/>
            <w:vMerge w:val="continue"/>
            <w:vAlign w:val="center"/>
          </w:tcPr>
          <w:p w14:paraId="6721E7E7">
            <w:pPr>
              <w:jc w:val="center"/>
              <w:rPr>
                <w:b/>
                <w:bCs/>
                <w:color w:val="auto"/>
                <w:szCs w:val="21"/>
              </w:rPr>
            </w:pPr>
          </w:p>
        </w:tc>
        <w:tc>
          <w:tcPr>
            <w:tcW w:w="1790" w:type="dxa"/>
            <w:vAlign w:val="center"/>
          </w:tcPr>
          <w:p w14:paraId="1ACA80BB">
            <w:pPr>
              <w:jc w:val="center"/>
              <w:rPr>
                <w:color w:val="auto"/>
                <w:szCs w:val="21"/>
              </w:rPr>
            </w:pPr>
            <w:r>
              <w:rPr>
                <w:rFonts w:hint="eastAsia"/>
                <w:color w:val="auto"/>
                <w:szCs w:val="21"/>
              </w:rPr>
              <w:t>四街卫生院污水处理站恶臭</w:t>
            </w:r>
          </w:p>
        </w:tc>
        <w:tc>
          <w:tcPr>
            <w:tcW w:w="1559" w:type="dxa"/>
            <w:vAlign w:val="center"/>
          </w:tcPr>
          <w:p w14:paraId="65B94A6B">
            <w:pPr>
              <w:jc w:val="center"/>
              <w:rPr>
                <w:rFonts w:eastAsia="Times New Roman"/>
                <w:color w:val="auto"/>
                <w:position w:val="2"/>
              </w:rPr>
            </w:pPr>
            <w:r>
              <w:rPr>
                <w:rFonts w:eastAsia="Times New Roman"/>
                <w:color w:val="auto"/>
                <w:position w:val="2"/>
              </w:rPr>
              <w:t>NH</w:t>
            </w:r>
            <w:r>
              <w:rPr>
                <w:rFonts w:eastAsia="Times New Roman"/>
                <w:color w:val="auto"/>
                <w:position w:val="2"/>
                <w:vertAlign w:val="subscript"/>
              </w:rPr>
              <w:t>3</w:t>
            </w:r>
            <w:r>
              <w:rPr>
                <w:rFonts w:hint="eastAsia"/>
                <w:color w:val="auto"/>
                <w:position w:val="2"/>
              </w:rPr>
              <w:t>、</w:t>
            </w:r>
            <w:r>
              <w:rPr>
                <w:rFonts w:eastAsia="Times New Roman"/>
                <w:color w:val="auto"/>
                <w:position w:val="2"/>
              </w:rPr>
              <w:t>H</w:t>
            </w:r>
            <w:r>
              <w:rPr>
                <w:rFonts w:eastAsia="Times New Roman"/>
                <w:color w:val="auto"/>
                <w:position w:val="2"/>
                <w:vertAlign w:val="subscript"/>
              </w:rPr>
              <w:t>2</w:t>
            </w:r>
            <w:r>
              <w:rPr>
                <w:rFonts w:eastAsia="Times New Roman"/>
                <w:color w:val="auto"/>
                <w:position w:val="2"/>
              </w:rPr>
              <w:t>S</w:t>
            </w:r>
            <w:r>
              <w:rPr>
                <w:rFonts w:hint="eastAsia"/>
                <w:color w:val="auto"/>
                <w:position w:val="2"/>
              </w:rPr>
              <w:t>、臭气浓度等</w:t>
            </w:r>
          </w:p>
        </w:tc>
        <w:tc>
          <w:tcPr>
            <w:tcW w:w="2396" w:type="dxa"/>
            <w:vAlign w:val="center"/>
          </w:tcPr>
          <w:p w14:paraId="1068C576">
            <w:pPr>
              <w:jc w:val="center"/>
              <w:rPr>
                <w:color w:val="auto"/>
                <w:szCs w:val="21"/>
              </w:rPr>
            </w:pPr>
            <w:r>
              <w:rPr>
                <w:rFonts w:hint="eastAsia"/>
                <w:color w:val="auto"/>
                <w:szCs w:val="21"/>
              </w:rPr>
              <w:t>设置在地下一层，为地埋式，</w:t>
            </w:r>
            <w:r>
              <w:rPr>
                <w:color w:val="auto"/>
                <w:kern w:val="0"/>
                <w:szCs w:val="21"/>
                <w:lang w:bidi="ar"/>
              </w:rPr>
              <w:t>加盖密闭，</w:t>
            </w:r>
            <w:r>
              <w:rPr>
                <w:rFonts w:hint="eastAsia"/>
                <w:color w:val="auto"/>
                <w:kern w:val="0"/>
                <w:szCs w:val="21"/>
                <w:lang w:bidi="ar"/>
              </w:rPr>
              <w:t>在</w:t>
            </w:r>
            <w:r>
              <w:rPr>
                <w:color w:val="auto"/>
                <w:kern w:val="0"/>
                <w:szCs w:val="21"/>
                <w:lang w:bidi="ar"/>
              </w:rPr>
              <w:t>盖板上留有换气口，</w:t>
            </w:r>
            <w:r>
              <w:rPr>
                <w:rFonts w:hint="eastAsia"/>
                <w:color w:val="auto"/>
                <w:kern w:val="0"/>
                <w:szCs w:val="21"/>
                <w:lang w:bidi="ar"/>
              </w:rPr>
              <w:t>并在换气口附近投放除臭剂</w:t>
            </w:r>
          </w:p>
        </w:tc>
        <w:tc>
          <w:tcPr>
            <w:tcW w:w="1978" w:type="dxa"/>
            <w:vMerge w:val="continue"/>
            <w:vAlign w:val="center"/>
          </w:tcPr>
          <w:p w14:paraId="1E6C0A80">
            <w:pPr>
              <w:jc w:val="center"/>
              <w:rPr>
                <w:color w:val="auto"/>
              </w:rPr>
            </w:pPr>
          </w:p>
        </w:tc>
      </w:tr>
      <w:tr w14:paraId="06CF0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778" w:type="dxa"/>
            <w:vMerge w:val="continue"/>
            <w:vAlign w:val="center"/>
          </w:tcPr>
          <w:p w14:paraId="4CE4652F">
            <w:pPr>
              <w:jc w:val="center"/>
              <w:rPr>
                <w:b/>
                <w:bCs/>
                <w:color w:val="auto"/>
                <w:szCs w:val="21"/>
              </w:rPr>
            </w:pPr>
          </w:p>
        </w:tc>
        <w:tc>
          <w:tcPr>
            <w:tcW w:w="1790" w:type="dxa"/>
            <w:vAlign w:val="center"/>
          </w:tcPr>
          <w:p w14:paraId="710A8AF9">
            <w:pPr>
              <w:jc w:val="center"/>
              <w:rPr>
                <w:color w:val="auto"/>
                <w:szCs w:val="21"/>
              </w:rPr>
            </w:pPr>
            <w:r>
              <w:rPr>
                <w:rFonts w:hint="eastAsia"/>
                <w:color w:val="auto"/>
                <w:szCs w:val="21"/>
              </w:rPr>
              <w:t>纳古卫生院污水处理站恶臭</w:t>
            </w:r>
          </w:p>
        </w:tc>
        <w:tc>
          <w:tcPr>
            <w:tcW w:w="1559" w:type="dxa"/>
            <w:vAlign w:val="center"/>
          </w:tcPr>
          <w:p w14:paraId="3C825690">
            <w:pPr>
              <w:jc w:val="center"/>
              <w:rPr>
                <w:rFonts w:eastAsia="Times New Roman"/>
                <w:color w:val="auto"/>
                <w:position w:val="2"/>
              </w:rPr>
            </w:pPr>
            <w:r>
              <w:rPr>
                <w:rFonts w:eastAsia="Times New Roman"/>
                <w:color w:val="auto"/>
                <w:position w:val="2"/>
              </w:rPr>
              <w:t>NH</w:t>
            </w:r>
            <w:r>
              <w:rPr>
                <w:rFonts w:eastAsia="Times New Roman"/>
                <w:color w:val="auto"/>
                <w:position w:val="2"/>
                <w:vertAlign w:val="subscript"/>
              </w:rPr>
              <w:t>3</w:t>
            </w:r>
            <w:r>
              <w:rPr>
                <w:rFonts w:hint="eastAsia"/>
                <w:color w:val="auto"/>
                <w:position w:val="2"/>
              </w:rPr>
              <w:t>、</w:t>
            </w:r>
            <w:r>
              <w:rPr>
                <w:rFonts w:eastAsia="Times New Roman"/>
                <w:color w:val="auto"/>
                <w:position w:val="2"/>
              </w:rPr>
              <w:t>H</w:t>
            </w:r>
            <w:r>
              <w:rPr>
                <w:rFonts w:eastAsia="Times New Roman"/>
                <w:color w:val="auto"/>
                <w:position w:val="2"/>
                <w:vertAlign w:val="subscript"/>
              </w:rPr>
              <w:t>2</w:t>
            </w:r>
            <w:r>
              <w:rPr>
                <w:rFonts w:eastAsia="Times New Roman"/>
                <w:color w:val="auto"/>
                <w:position w:val="2"/>
              </w:rPr>
              <w:t>S</w:t>
            </w:r>
            <w:r>
              <w:rPr>
                <w:rFonts w:hint="eastAsia"/>
                <w:color w:val="auto"/>
                <w:position w:val="2"/>
              </w:rPr>
              <w:t>、臭气浓度等</w:t>
            </w:r>
          </w:p>
        </w:tc>
        <w:tc>
          <w:tcPr>
            <w:tcW w:w="2396" w:type="dxa"/>
            <w:vAlign w:val="center"/>
          </w:tcPr>
          <w:p w14:paraId="6F3F9F90">
            <w:pPr>
              <w:jc w:val="center"/>
              <w:rPr>
                <w:color w:val="auto"/>
                <w:szCs w:val="21"/>
              </w:rPr>
            </w:pPr>
            <w:r>
              <w:rPr>
                <w:rFonts w:hint="eastAsia"/>
                <w:color w:val="auto"/>
                <w:szCs w:val="21"/>
              </w:rPr>
              <w:t>设置在地下一层，为地埋式，</w:t>
            </w:r>
            <w:r>
              <w:rPr>
                <w:color w:val="auto"/>
                <w:kern w:val="0"/>
                <w:szCs w:val="21"/>
                <w:lang w:bidi="ar"/>
              </w:rPr>
              <w:t>加盖密闭，</w:t>
            </w:r>
            <w:r>
              <w:rPr>
                <w:rFonts w:hint="eastAsia"/>
                <w:color w:val="auto"/>
                <w:kern w:val="0"/>
                <w:szCs w:val="21"/>
                <w:lang w:bidi="ar"/>
              </w:rPr>
              <w:t>在</w:t>
            </w:r>
            <w:r>
              <w:rPr>
                <w:color w:val="auto"/>
                <w:kern w:val="0"/>
                <w:szCs w:val="21"/>
                <w:lang w:bidi="ar"/>
              </w:rPr>
              <w:t>盖板上留有换气口，</w:t>
            </w:r>
            <w:r>
              <w:rPr>
                <w:rFonts w:hint="eastAsia"/>
                <w:color w:val="auto"/>
                <w:kern w:val="0"/>
                <w:szCs w:val="21"/>
                <w:lang w:bidi="ar"/>
              </w:rPr>
              <w:t>并在换气口附近投放除臭剂</w:t>
            </w:r>
          </w:p>
        </w:tc>
        <w:tc>
          <w:tcPr>
            <w:tcW w:w="1978" w:type="dxa"/>
            <w:vMerge w:val="continue"/>
            <w:vAlign w:val="center"/>
          </w:tcPr>
          <w:p w14:paraId="76D93B90">
            <w:pPr>
              <w:jc w:val="center"/>
              <w:rPr>
                <w:color w:val="auto"/>
              </w:rPr>
            </w:pPr>
          </w:p>
        </w:tc>
      </w:tr>
      <w:tr w14:paraId="727EE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778" w:type="dxa"/>
            <w:vMerge w:val="continue"/>
            <w:vAlign w:val="center"/>
          </w:tcPr>
          <w:p w14:paraId="4F002E1D">
            <w:pPr>
              <w:jc w:val="center"/>
              <w:rPr>
                <w:b/>
                <w:bCs/>
                <w:color w:val="auto"/>
                <w:szCs w:val="21"/>
              </w:rPr>
            </w:pPr>
          </w:p>
        </w:tc>
        <w:tc>
          <w:tcPr>
            <w:tcW w:w="1790" w:type="dxa"/>
            <w:vAlign w:val="center"/>
          </w:tcPr>
          <w:p w14:paraId="54F5E933">
            <w:pPr>
              <w:jc w:val="center"/>
              <w:rPr>
                <w:color w:val="auto"/>
                <w:szCs w:val="21"/>
              </w:rPr>
            </w:pPr>
            <w:r>
              <w:rPr>
                <w:rFonts w:hint="eastAsia"/>
                <w:color w:val="auto"/>
                <w:szCs w:val="21"/>
              </w:rPr>
              <w:t>杨广卫生院污水处理站恶臭</w:t>
            </w:r>
          </w:p>
        </w:tc>
        <w:tc>
          <w:tcPr>
            <w:tcW w:w="1559" w:type="dxa"/>
            <w:vAlign w:val="center"/>
          </w:tcPr>
          <w:p w14:paraId="79001B1F">
            <w:pPr>
              <w:jc w:val="center"/>
              <w:rPr>
                <w:rFonts w:eastAsia="Times New Roman"/>
                <w:color w:val="auto"/>
                <w:position w:val="2"/>
              </w:rPr>
            </w:pPr>
            <w:r>
              <w:rPr>
                <w:rFonts w:eastAsia="Times New Roman"/>
                <w:color w:val="auto"/>
                <w:position w:val="2"/>
              </w:rPr>
              <w:t>NH</w:t>
            </w:r>
            <w:r>
              <w:rPr>
                <w:rFonts w:eastAsia="Times New Roman"/>
                <w:color w:val="auto"/>
                <w:position w:val="2"/>
                <w:vertAlign w:val="subscript"/>
              </w:rPr>
              <w:t>3</w:t>
            </w:r>
            <w:r>
              <w:rPr>
                <w:rFonts w:hint="eastAsia"/>
                <w:color w:val="auto"/>
                <w:position w:val="2"/>
              </w:rPr>
              <w:t>、</w:t>
            </w:r>
            <w:r>
              <w:rPr>
                <w:rFonts w:eastAsia="Times New Roman"/>
                <w:color w:val="auto"/>
                <w:position w:val="2"/>
              </w:rPr>
              <w:t>H</w:t>
            </w:r>
            <w:r>
              <w:rPr>
                <w:rFonts w:eastAsia="Times New Roman"/>
                <w:color w:val="auto"/>
                <w:position w:val="2"/>
                <w:vertAlign w:val="subscript"/>
              </w:rPr>
              <w:t>2</w:t>
            </w:r>
            <w:r>
              <w:rPr>
                <w:rFonts w:eastAsia="Times New Roman"/>
                <w:color w:val="auto"/>
                <w:position w:val="2"/>
              </w:rPr>
              <w:t>S</w:t>
            </w:r>
            <w:r>
              <w:rPr>
                <w:rFonts w:hint="eastAsia"/>
                <w:color w:val="auto"/>
                <w:position w:val="2"/>
              </w:rPr>
              <w:t>、臭气浓度等</w:t>
            </w:r>
          </w:p>
        </w:tc>
        <w:tc>
          <w:tcPr>
            <w:tcW w:w="2396" w:type="dxa"/>
            <w:vAlign w:val="center"/>
          </w:tcPr>
          <w:p w14:paraId="141D6D0D">
            <w:pPr>
              <w:jc w:val="center"/>
              <w:rPr>
                <w:color w:val="auto"/>
                <w:szCs w:val="21"/>
              </w:rPr>
            </w:pPr>
            <w:r>
              <w:rPr>
                <w:rFonts w:hint="eastAsia"/>
                <w:color w:val="auto"/>
                <w:szCs w:val="21"/>
              </w:rPr>
              <w:t>设置在地下一层，为地埋式，</w:t>
            </w:r>
            <w:r>
              <w:rPr>
                <w:color w:val="auto"/>
                <w:kern w:val="0"/>
                <w:szCs w:val="21"/>
                <w:lang w:bidi="ar"/>
              </w:rPr>
              <w:t>加盖密闭，</w:t>
            </w:r>
            <w:r>
              <w:rPr>
                <w:rFonts w:hint="eastAsia"/>
                <w:color w:val="auto"/>
                <w:kern w:val="0"/>
                <w:szCs w:val="21"/>
                <w:lang w:bidi="ar"/>
              </w:rPr>
              <w:t>在</w:t>
            </w:r>
            <w:r>
              <w:rPr>
                <w:color w:val="auto"/>
                <w:kern w:val="0"/>
                <w:szCs w:val="21"/>
                <w:lang w:bidi="ar"/>
              </w:rPr>
              <w:t>盖板上留有换气口，</w:t>
            </w:r>
            <w:r>
              <w:rPr>
                <w:rFonts w:hint="eastAsia"/>
                <w:color w:val="auto"/>
                <w:kern w:val="0"/>
                <w:szCs w:val="21"/>
                <w:lang w:bidi="ar"/>
              </w:rPr>
              <w:t>并在换气口附近投放除臭剂</w:t>
            </w:r>
          </w:p>
        </w:tc>
        <w:tc>
          <w:tcPr>
            <w:tcW w:w="1978" w:type="dxa"/>
            <w:vMerge w:val="continue"/>
            <w:vAlign w:val="center"/>
          </w:tcPr>
          <w:p w14:paraId="47ED37B5">
            <w:pPr>
              <w:jc w:val="center"/>
              <w:rPr>
                <w:color w:val="auto"/>
              </w:rPr>
            </w:pPr>
          </w:p>
        </w:tc>
      </w:tr>
      <w:tr w14:paraId="6FEB4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778" w:type="dxa"/>
            <w:vMerge w:val="restart"/>
            <w:vAlign w:val="center"/>
          </w:tcPr>
          <w:p w14:paraId="094F75DB">
            <w:pPr>
              <w:jc w:val="center"/>
              <w:rPr>
                <w:b/>
                <w:bCs/>
                <w:color w:val="auto"/>
                <w:szCs w:val="21"/>
              </w:rPr>
            </w:pPr>
            <w:r>
              <w:rPr>
                <w:b/>
                <w:bCs/>
                <w:color w:val="auto"/>
                <w:szCs w:val="21"/>
              </w:rPr>
              <w:t>地表水环境</w:t>
            </w:r>
          </w:p>
        </w:tc>
        <w:tc>
          <w:tcPr>
            <w:tcW w:w="1790" w:type="dxa"/>
            <w:vAlign w:val="center"/>
          </w:tcPr>
          <w:p w14:paraId="4868FB65">
            <w:pPr>
              <w:jc w:val="center"/>
              <w:rPr>
                <w:color w:val="auto"/>
                <w:szCs w:val="21"/>
              </w:rPr>
            </w:pPr>
            <w:r>
              <w:rPr>
                <w:rFonts w:hint="eastAsia"/>
                <w:color w:val="auto"/>
                <w:szCs w:val="21"/>
              </w:rPr>
              <w:t>纳古卫生院一般医疗废水</w:t>
            </w:r>
          </w:p>
        </w:tc>
        <w:tc>
          <w:tcPr>
            <w:tcW w:w="1559" w:type="dxa"/>
            <w:vAlign w:val="center"/>
          </w:tcPr>
          <w:p w14:paraId="7E812B4D">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3C673277">
            <w:pPr>
              <w:jc w:val="center"/>
              <w:rPr>
                <w:color w:val="auto"/>
                <w:szCs w:val="21"/>
              </w:rPr>
            </w:pPr>
            <w:r>
              <w:rPr>
                <w:rFonts w:hint="eastAsia"/>
                <w:color w:val="auto"/>
                <w:szCs w:val="21"/>
              </w:rPr>
              <w:t>设置容积不小于9m</w:t>
            </w:r>
            <w:r>
              <w:rPr>
                <w:rFonts w:hint="eastAsia"/>
                <w:color w:val="auto"/>
                <w:szCs w:val="21"/>
                <w:vertAlign w:val="superscript"/>
              </w:rPr>
              <w:t>3</w:t>
            </w:r>
            <w:r>
              <w:rPr>
                <w:rFonts w:hint="eastAsia"/>
                <w:color w:val="auto"/>
                <w:szCs w:val="21"/>
              </w:rPr>
              <w:t>的化粪池；本项目自建不小于10m</w:t>
            </w:r>
            <w:r>
              <w:rPr>
                <w:rFonts w:hint="eastAsia"/>
                <w:color w:val="auto"/>
                <w:szCs w:val="21"/>
                <w:vertAlign w:val="superscript"/>
              </w:rPr>
              <w:t>3</w:t>
            </w:r>
            <w:r>
              <w:rPr>
                <w:rFonts w:hint="eastAsia"/>
                <w:color w:val="auto"/>
                <w:szCs w:val="21"/>
              </w:rPr>
              <w:t>/d的污水处理站</w:t>
            </w:r>
          </w:p>
        </w:tc>
        <w:tc>
          <w:tcPr>
            <w:tcW w:w="1978" w:type="dxa"/>
            <w:vMerge w:val="restart"/>
            <w:vAlign w:val="center"/>
          </w:tcPr>
          <w:p w14:paraId="5E07E50E">
            <w:pPr>
              <w:jc w:val="center"/>
              <w:rPr>
                <w:color w:val="auto"/>
                <w:szCs w:val="21"/>
              </w:rPr>
            </w:pPr>
            <w:r>
              <w:rPr>
                <w:color w:val="auto"/>
                <w:szCs w:val="21"/>
              </w:rPr>
              <w:t>《医疗机构水污染物排放标准》（GB18466-2005）</w:t>
            </w:r>
            <w:r>
              <w:rPr>
                <w:rFonts w:hint="eastAsia"/>
                <w:color w:val="auto"/>
                <w:szCs w:val="21"/>
              </w:rPr>
              <w:t>表 2</w:t>
            </w:r>
            <w:r>
              <w:rPr>
                <w:color w:val="auto"/>
                <w:szCs w:val="21"/>
              </w:rPr>
              <w:t>预处理标准</w:t>
            </w:r>
            <w:r>
              <w:rPr>
                <w:rFonts w:hint="eastAsia"/>
                <w:color w:val="auto"/>
                <w:szCs w:val="21"/>
              </w:rPr>
              <w:t>及</w:t>
            </w:r>
            <w:r>
              <w:rPr>
                <w:bCs/>
                <w:color w:val="auto"/>
                <w:szCs w:val="21"/>
              </w:rPr>
              <w:t>《污水排入城镇下水道水质标准》（GB/T31962-2015）表1B等级标准</w:t>
            </w:r>
          </w:p>
        </w:tc>
      </w:tr>
      <w:tr w14:paraId="57FE7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778" w:type="dxa"/>
            <w:vMerge w:val="continue"/>
            <w:vAlign w:val="center"/>
          </w:tcPr>
          <w:p w14:paraId="2FB07484">
            <w:pPr>
              <w:jc w:val="center"/>
              <w:rPr>
                <w:b/>
                <w:bCs/>
                <w:color w:val="auto"/>
                <w:szCs w:val="21"/>
              </w:rPr>
            </w:pPr>
          </w:p>
        </w:tc>
        <w:tc>
          <w:tcPr>
            <w:tcW w:w="1790" w:type="dxa"/>
            <w:vAlign w:val="center"/>
          </w:tcPr>
          <w:p w14:paraId="1F72A979">
            <w:pPr>
              <w:jc w:val="center"/>
              <w:rPr>
                <w:color w:val="auto"/>
                <w:szCs w:val="21"/>
              </w:rPr>
            </w:pPr>
            <w:r>
              <w:rPr>
                <w:rFonts w:hint="eastAsia"/>
                <w:color w:val="auto"/>
                <w:szCs w:val="21"/>
              </w:rPr>
              <w:t>纳古卫生院检验废水（检验科由老的综合楼搬迁至本项目新建的综合楼）</w:t>
            </w:r>
          </w:p>
        </w:tc>
        <w:tc>
          <w:tcPr>
            <w:tcW w:w="1559" w:type="dxa"/>
            <w:vAlign w:val="center"/>
          </w:tcPr>
          <w:p w14:paraId="0CDC3F4E">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78755D96">
            <w:pPr>
              <w:jc w:val="center"/>
              <w:rPr>
                <w:color w:val="auto"/>
                <w:szCs w:val="21"/>
              </w:rPr>
            </w:pPr>
            <w:r>
              <w:rPr>
                <w:rFonts w:hint="eastAsia"/>
                <w:color w:val="auto"/>
                <w:szCs w:val="21"/>
              </w:rPr>
              <w:t>依托纳古卫生院现有的预处理设施2个50L的收集桶收集酸性废水（两备两用），采取酸碱预处理后排入化粪池</w:t>
            </w:r>
            <w:r>
              <w:rPr>
                <w:rFonts w:hint="eastAsia"/>
                <w:color w:val="auto"/>
                <w:szCs w:val="21"/>
                <w:lang w:eastAsia="zh-CN"/>
              </w:rPr>
              <w:t>（</w:t>
            </w:r>
            <w:r>
              <w:rPr>
                <w:rFonts w:hint="eastAsia"/>
                <w:color w:val="auto"/>
                <w:szCs w:val="21"/>
                <w:lang w:val="en-US" w:eastAsia="zh-CN"/>
              </w:rPr>
              <w:t>容积为9m³</w:t>
            </w:r>
            <w:r>
              <w:rPr>
                <w:rFonts w:hint="eastAsia"/>
                <w:color w:val="auto"/>
                <w:szCs w:val="21"/>
                <w:lang w:eastAsia="zh-CN"/>
              </w:rPr>
              <w:t>）</w:t>
            </w:r>
            <w:r>
              <w:rPr>
                <w:rFonts w:hint="eastAsia"/>
                <w:color w:val="auto"/>
                <w:szCs w:val="21"/>
              </w:rPr>
              <w:t>处理后再进入</w:t>
            </w:r>
            <w:r>
              <w:rPr>
                <w:rFonts w:hint="eastAsia"/>
                <w:color w:val="auto"/>
                <w:szCs w:val="21"/>
                <w:lang w:val="en-US" w:eastAsia="zh-CN"/>
              </w:rPr>
              <w:t>本项目自建的不小于10m³/d</w:t>
            </w:r>
            <w:r>
              <w:rPr>
                <w:rFonts w:hint="eastAsia"/>
                <w:color w:val="auto"/>
                <w:szCs w:val="21"/>
              </w:rPr>
              <w:t>污水处理站</w:t>
            </w:r>
          </w:p>
        </w:tc>
        <w:tc>
          <w:tcPr>
            <w:tcW w:w="1978" w:type="dxa"/>
            <w:vMerge w:val="continue"/>
            <w:vAlign w:val="center"/>
          </w:tcPr>
          <w:p w14:paraId="499443EB">
            <w:pPr>
              <w:jc w:val="center"/>
              <w:rPr>
                <w:color w:val="auto"/>
                <w:szCs w:val="21"/>
              </w:rPr>
            </w:pPr>
          </w:p>
        </w:tc>
      </w:tr>
      <w:tr w14:paraId="31C8D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778" w:type="dxa"/>
            <w:vMerge w:val="continue"/>
            <w:vAlign w:val="center"/>
          </w:tcPr>
          <w:p w14:paraId="57DF1B0B">
            <w:pPr>
              <w:jc w:val="center"/>
              <w:rPr>
                <w:b/>
                <w:bCs/>
                <w:color w:val="auto"/>
                <w:szCs w:val="21"/>
              </w:rPr>
            </w:pPr>
          </w:p>
        </w:tc>
        <w:tc>
          <w:tcPr>
            <w:tcW w:w="1790" w:type="dxa"/>
            <w:vAlign w:val="center"/>
          </w:tcPr>
          <w:p w14:paraId="251D6278">
            <w:pPr>
              <w:jc w:val="center"/>
              <w:rPr>
                <w:color w:val="auto"/>
                <w:szCs w:val="21"/>
              </w:rPr>
            </w:pPr>
          </w:p>
          <w:p w14:paraId="73575787">
            <w:pPr>
              <w:jc w:val="center"/>
              <w:rPr>
                <w:color w:val="auto"/>
                <w:szCs w:val="21"/>
              </w:rPr>
            </w:pPr>
            <w:r>
              <w:rPr>
                <w:rFonts w:hint="eastAsia"/>
                <w:color w:val="auto"/>
                <w:szCs w:val="21"/>
              </w:rPr>
              <w:t>四街卫生院一般医疗废水</w:t>
            </w:r>
          </w:p>
        </w:tc>
        <w:tc>
          <w:tcPr>
            <w:tcW w:w="1559" w:type="dxa"/>
            <w:vAlign w:val="center"/>
          </w:tcPr>
          <w:p w14:paraId="78C5D03F">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57D30AFA">
            <w:pPr>
              <w:jc w:val="center"/>
              <w:rPr>
                <w:color w:val="auto"/>
                <w:szCs w:val="21"/>
              </w:rPr>
            </w:pPr>
            <w:r>
              <w:rPr>
                <w:rFonts w:hint="eastAsia"/>
                <w:color w:val="auto"/>
                <w:szCs w:val="21"/>
              </w:rPr>
              <w:t>设置容积不小于9m</w:t>
            </w:r>
            <w:r>
              <w:rPr>
                <w:rFonts w:hint="eastAsia"/>
                <w:color w:val="auto"/>
                <w:szCs w:val="21"/>
                <w:vertAlign w:val="superscript"/>
              </w:rPr>
              <w:t>3</w:t>
            </w:r>
            <w:r>
              <w:rPr>
                <w:rFonts w:hint="eastAsia"/>
                <w:color w:val="auto"/>
                <w:szCs w:val="21"/>
              </w:rPr>
              <w:t>的化粪池；本项目自建不小于17m</w:t>
            </w:r>
            <w:r>
              <w:rPr>
                <w:rFonts w:hint="eastAsia"/>
                <w:color w:val="auto"/>
                <w:szCs w:val="21"/>
                <w:vertAlign w:val="superscript"/>
              </w:rPr>
              <w:t>3</w:t>
            </w:r>
            <w:r>
              <w:rPr>
                <w:rFonts w:hint="eastAsia"/>
                <w:color w:val="auto"/>
                <w:szCs w:val="21"/>
              </w:rPr>
              <w:t>/d的污水处理站</w:t>
            </w:r>
          </w:p>
        </w:tc>
        <w:tc>
          <w:tcPr>
            <w:tcW w:w="1978" w:type="dxa"/>
            <w:vMerge w:val="continue"/>
            <w:vAlign w:val="center"/>
          </w:tcPr>
          <w:p w14:paraId="56591008">
            <w:pPr>
              <w:jc w:val="center"/>
              <w:rPr>
                <w:color w:val="auto"/>
                <w:szCs w:val="21"/>
              </w:rPr>
            </w:pPr>
          </w:p>
        </w:tc>
      </w:tr>
      <w:tr w14:paraId="76100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continue"/>
            <w:vAlign w:val="center"/>
          </w:tcPr>
          <w:p w14:paraId="01BAFDB6">
            <w:pPr>
              <w:jc w:val="center"/>
              <w:rPr>
                <w:b/>
                <w:bCs/>
                <w:color w:val="auto"/>
                <w:szCs w:val="21"/>
              </w:rPr>
            </w:pPr>
          </w:p>
        </w:tc>
        <w:tc>
          <w:tcPr>
            <w:tcW w:w="1790" w:type="dxa"/>
            <w:vAlign w:val="center"/>
          </w:tcPr>
          <w:p w14:paraId="7DA3D062">
            <w:pPr>
              <w:jc w:val="center"/>
              <w:rPr>
                <w:color w:val="auto"/>
                <w:szCs w:val="21"/>
              </w:rPr>
            </w:pPr>
            <w:r>
              <w:rPr>
                <w:rFonts w:hint="eastAsia"/>
                <w:color w:val="auto"/>
                <w:szCs w:val="21"/>
              </w:rPr>
              <w:t>四街卫生院检验废水（检验科由老的综合楼搬迁至本项目新建的业务用房）</w:t>
            </w:r>
          </w:p>
        </w:tc>
        <w:tc>
          <w:tcPr>
            <w:tcW w:w="1559" w:type="dxa"/>
            <w:vAlign w:val="center"/>
          </w:tcPr>
          <w:p w14:paraId="107E3253">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545D41CA">
            <w:pPr>
              <w:jc w:val="center"/>
              <w:rPr>
                <w:color w:val="auto"/>
                <w:szCs w:val="21"/>
              </w:rPr>
            </w:pPr>
            <w:r>
              <w:rPr>
                <w:rFonts w:hint="eastAsia"/>
                <w:color w:val="auto"/>
                <w:szCs w:val="21"/>
              </w:rPr>
              <w:t>依托四街卫生院现有的预处理设施4个50L的收集桶收集酸性废水（两备两用），采取酸碱预处理后排入化粪池</w:t>
            </w:r>
            <w:r>
              <w:rPr>
                <w:rFonts w:hint="eastAsia"/>
                <w:color w:val="auto"/>
                <w:szCs w:val="21"/>
                <w:lang w:eastAsia="zh-CN"/>
              </w:rPr>
              <w:t>（</w:t>
            </w:r>
            <w:r>
              <w:rPr>
                <w:rFonts w:hint="eastAsia"/>
                <w:color w:val="auto"/>
                <w:szCs w:val="21"/>
                <w:lang w:val="en-US" w:eastAsia="zh-CN"/>
              </w:rPr>
              <w:t>容积为9m³</w:t>
            </w:r>
            <w:r>
              <w:rPr>
                <w:rFonts w:hint="eastAsia"/>
                <w:color w:val="auto"/>
                <w:szCs w:val="21"/>
                <w:lang w:eastAsia="zh-CN"/>
              </w:rPr>
              <w:t>）</w:t>
            </w:r>
            <w:r>
              <w:rPr>
                <w:rFonts w:hint="eastAsia"/>
                <w:color w:val="auto"/>
                <w:szCs w:val="21"/>
              </w:rPr>
              <w:t>处理后再进入</w:t>
            </w:r>
            <w:r>
              <w:rPr>
                <w:rFonts w:hint="eastAsia"/>
                <w:color w:val="auto"/>
                <w:szCs w:val="21"/>
                <w:lang w:val="en-US" w:eastAsia="zh-CN"/>
              </w:rPr>
              <w:t>本项目自建的不小于17m³/d</w:t>
            </w:r>
            <w:r>
              <w:rPr>
                <w:rFonts w:hint="eastAsia"/>
                <w:color w:val="auto"/>
                <w:szCs w:val="21"/>
              </w:rPr>
              <w:t>污水处理站</w:t>
            </w:r>
          </w:p>
        </w:tc>
        <w:tc>
          <w:tcPr>
            <w:tcW w:w="1978" w:type="dxa"/>
            <w:vMerge w:val="continue"/>
            <w:vAlign w:val="center"/>
          </w:tcPr>
          <w:p w14:paraId="18B1BF99">
            <w:pPr>
              <w:jc w:val="center"/>
              <w:rPr>
                <w:color w:val="auto"/>
                <w:szCs w:val="21"/>
              </w:rPr>
            </w:pPr>
          </w:p>
        </w:tc>
      </w:tr>
      <w:tr w14:paraId="362029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1778" w:type="dxa"/>
            <w:vMerge w:val="continue"/>
            <w:vAlign w:val="center"/>
          </w:tcPr>
          <w:p w14:paraId="5F3F07B5">
            <w:pPr>
              <w:jc w:val="center"/>
              <w:rPr>
                <w:b/>
                <w:bCs/>
                <w:color w:val="auto"/>
                <w:szCs w:val="21"/>
              </w:rPr>
            </w:pPr>
          </w:p>
        </w:tc>
        <w:tc>
          <w:tcPr>
            <w:tcW w:w="1790" w:type="dxa"/>
            <w:vAlign w:val="center"/>
          </w:tcPr>
          <w:p w14:paraId="101789FE">
            <w:pPr>
              <w:jc w:val="center"/>
              <w:rPr>
                <w:color w:val="auto"/>
                <w:szCs w:val="21"/>
              </w:rPr>
            </w:pPr>
            <w:r>
              <w:rPr>
                <w:rFonts w:hint="eastAsia"/>
                <w:color w:val="auto"/>
                <w:szCs w:val="21"/>
              </w:rPr>
              <w:t>九龙卫生院一般医疗废水</w:t>
            </w:r>
          </w:p>
        </w:tc>
        <w:tc>
          <w:tcPr>
            <w:tcW w:w="1559" w:type="dxa"/>
            <w:vAlign w:val="center"/>
          </w:tcPr>
          <w:p w14:paraId="72158394">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3E65A859">
            <w:pPr>
              <w:jc w:val="center"/>
              <w:rPr>
                <w:color w:val="auto"/>
                <w:szCs w:val="21"/>
              </w:rPr>
            </w:pPr>
            <w:r>
              <w:rPr>
                <w:rFonts w:hint="eastAsia"/>
                <w:color w:val="auto"/>
                <w:szCs w:val="21"/>
              </w:rPr>
              <w:t>设置容积不小于9m</w:t>
            </w:r>
            <w:r>
              <w:rPr>
                <w:rFonts w:hint="eastAsia"/>
                <w:color w:val="auto"/>
                <w:szCs w:val="21"/>
                <w:vertAlign w:val="superscript"/>
              </w:rPr>
              <w:t>3</w:t>
            </w:r>
            <w:r>
              <w:rPr>
                <w:rFonts w:hint="eastAsia"/>
                <w:color w:val="auto"/>
                <w:szCs w:val="21"/>
              </w:rPr>
              <w:t>的化粪池；本项目自建不小于20m</w:t>
            </w:r>
            <w:r>
              <w:rPr>
                <w:rFonts w:hint="eastAsia"/>
                <w:color w:val="auto"/>
                <w:szCs w:val="21"/>
                <w:vertAlign w:val="superscript"/>
              </w:rPr>
              <w:t>3</w:t>
            </w:r>
            <w:r>
              <w:rPr>
                <w:rFonts w:hint="eastAsia"/>
                <w:color w:val="auto"/>
                <w:szCs w:val="21"/>
              </w:rPr>
              <w:t>/d的污水处理站</w:t>
            </w:r>
          </w:p>
        </w:tc>
        <w:tc>
          <w:tcPr>
            <w:tcW w:w="1978" w:type="dxa"/>
            <w:vMerge w:val="continue"/>
            <w:vAlign w:val="center"/>
          </w:tcPr>
          <w:p w14:paraId="5CF8213E">
            <w:pPr>
              <w:jc w:val="center"/>
              <w:rPr>
                <w:color w:val="auto"/>
                <w:szCs w:val="21"/>
              </w:rPr>
            </w:pPr>
          </w:p>
        </w:tc>
      </w:tr>
      <w:tr w14:paraId="6B2C1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continue"/>
            <w:vAlign w:val="center"/>
          </w:tcPr>
          <w:p w14:paraId="0ADA90E2">
            <w:pPr>
              <w:jc w:val="center"/>
              <w:rPr>
                <w:b/>
                <w:bCs/>
                <w:color w:val="auto"/>
                <w:szCs w:val="21"/>
              </w:rPr>
            </w:pPr>
          </w:p>
        </w:tc>
        <w:tc>
          <w:tcPr>
            <w:tcW w:w="1790" w:type="dxa"/>
            <w:vAlign w:val="center"/>
          </w:tcPr>
          <w:p w14:paraId="7DF4D669">
            <w:pPr>
              <w:jc w:val="center"/>
              <w:rPr>
                <w:color w:val="auto"/>
                <w:szCs w:val="21"/>
              </w:rPr>
            </w:pPr>
            <w:r>
              <w:rPr>
                <w:rFonts w:hint="eastAsia"/>
                <w:color w:val="auto"/>
                <w:szCs w:val="21"/>
              </w:rPr>
              <w:t>杨广卫生院一般医疗废水</w:t>
            </w:r>
          </w:p>
        </w:tc>
        <w:tc>
          <w:tcPr>
            <w:tcW w:w="1559" w:type="dxa"/>
            <w:vAlign w:val="center"/>
          </w:tcPr>
          <w:p w14:paraId="34D26FB5">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08144C72">
            <w:pPr>
              <w:jc w:val="center"/>
              <w:rPr>
                <w:color w:val="auto"/>
                <w:szCs w:val="21"/>
              </w:rPr>
            </w:pPr>
            <w:r>
              <w:rPr>
                <w:rFonts w:hint="eastAsia"/>
                <w:color w:val="auto"/>
                <w:szCs w:val="21"/>
              </w:rPr>
              <w:t>设置容积不小于9m</w:t>
            </w:r>
            <w:r>
              <w:rPr>
                <w:rFonts w:hint="eastAsia"/>
                <w:color w:val="auto"/>
                <w:szCs w:val="21"/>
                <w:vertAlign w:val="superscript"/>
              </w:rPr>
              <w:t>3</w:t>
            </w:r>
            <w:r>
              <w:rPr>
                <w:rFonts w:hint="eastAsia"/>
                <w:color w:val="auto"/>
                <w:szCs w:val="21"/>
              </w:rPr>
              <w:t>的化粪池；本项目自建不小于10m</w:t>
            </w:r>
            <w:r>
              <w:rPr>
                <w:rFonts w:hint="eastAsia"/>
                <w:color w:val="auto"/>
                <w:szCs w:val="21"/>
                <w:vertAlign w:val="superscript"/>
              </w:rPr>
              <w:t>3</w:t>
            </w:r>
            <w:r>
              <w:rPr>
                <w:rFonts w:hint="eastAsia"/>
                <w:color w:val="auto"/>
                <w:szCs w:val="21"/>
              </w:rPr>
              <w:t>/d的污水处理站</w:t>
            </w:r>
          </w:p>
        </w:tc>
        <w:tc>
          <w:tcPr>
            <w:tcW w:w="1978" w:type="dxa"/>
            <w:vMerge w:val="continue"/>
            <w:vAlign w:val="center"/>
          </w:tcPr>
          <w:p w14:paraId="0DC57527">
            <w:pPr>
              <w:jc w:val="center"/>
              <w:rPr>
                <w:color w:val="auto"/>
                <w:szCs w:val="21"/>
              </w:rPr>
            </w:pPr>
          </w:p>
        </w:tc>
      </w:tr>
      <w:tr w14:paraId="655BE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778" w:type="dxa"/>
            <w:vMerge w:val="restart"/>
            <w:vAlign w:val="center"/>
          </w:tcPr>
          <w:p w14:paraId="1518DA2B">
            <w:pPr>
              <w:jc w:val="center"/>
              <w:rPr>
                <w:b/>
                <w:bCs/>
                <w:color w:val="auto"/>
                <w:szCs w:val="21"/>
              </w:rPr>
            </w:pPr>
            <w:r>
              <w:rPr>
                <w:b/>
                <w:bCs/>
                <w:color w:val="auto"/>
                <w:szCs w:val="21"/>
              </w:rPr>
              <w:t>声环境</w:t>
            </w:r>
          </w:p>
        </w:tc>
        <w:tc>
          <w:tcPr>
            <w:tcW w:w="1790" w:type="dxa"/>
            <w:vAlign w:val="center"/>
          </w:tcPr>
          <w:p w14:paraId="75765033">
            <w:pPr>
              <w:jc w:val="center"/>
              <w:rPr>
                <w:color w:val="auto"/>
                <w:szCs w:val="21"/>
              </w:rPr>
            </w:pPr>
            <w:r>
              <w:rPr>
                <w:rFonts w:hint="eastAsia"/>
                <w:color w:val="auto"/>
                <w:szCs w:val="21"/>
              </w:rPr>
              <w:t>纳古卫生院</w:t>
            </w:r>
            <w:r>
              <w:rPr>
                <w:color w:val="auto"/>
                <w:szCs w:val="21"/>
              </w:rPr>
              <w:t>设备噪声</w:t>
            </w:r>
          </w:p>
        </w:tc>
        <w:tc>
          <w:tcPr>
            <w:tcW w:w="1559" w:type="dxa"/>
            <w:vAlign w:val="center"/>
          </w:tcPr>
          <w:p w14:paraId="56EFB7A7">
            <w:pPr>
              <w:jc w:val="center"/>
              <w:rPr>
                <w:color w:val="auto"/>
                <w:szCs w:val="21"/>
              </w:rPr>
            </w:pPr>
            <w:r>
              <w:rPr>
                <w:color w:val="auto"/>
                <w:szCs w:val="21"/>
              </w:rPr>
              <w:t>噪声</w:t>
            </w:r>
          </w:p>
        </w:tc>
        <w:tc>
          <w:tcPr>
            <w:tcW w:w="2396" w:type="dxa"/>
            <w:vAlign w:val="center"/>
          </w:tcPr>
          <w:p w14:paraId="456556B6">
            <w:pPr>
              <w:jc w:val="center"/>
              <w:rPr>
                <w:color w:val="auto"/>
                <w:kern w:val="0"/>
                <w:szCs w:val="21"/>
              </w:rPr>
            </w:pPr>
            <w:r>
              <w:rPr>
                <w:rStyle w:val="126"/>
                <w:rFonts w:hint="eastAsia"/>
                <w:color w:val="auto"/>
              </w:rPr>
              <w:t>污水处理系统水泵减</w:t>
            </w:r>
            <w:r>
              <w:rPr>
                <w:rFonts w:hint="eastAsia"/>
                <w:color w:val="auto"/>
                <w:szCs w:val="21"/>
              </w:rPr>
              <w:t>振</w:t>
            </w:r>
            <w:r>
              <w:rPr>
                <w:rStyle w:val="126"/>
                <w:rFonts w:hint="eastAsia"/>
                <w:color w:val="auto"/>
              </w:rPr>
              <w:t>、</w:t>
            </w:r>
            <w:r>
              <w:rPr>
                <w:rFonts w:hint="eastAsia" w:ascii="宋体" w:hAnsi="宋体" w:cs="宋体"/>
                <w:color w:val="auto"/>
                <w:szCs w:val="21"/>
              </w:rPr>
              <w:t>风机安装消声器、</w:t>
            </w:r>
            <w:r>
              <w:rPr>
                <w:rStyle w:val="126"/>
                <w:rFonts w:hint="eastAsia"/>
                <w:color w:val="auto"/>
              </w:rPr>
              <w:t>建筑隔声</w:t>
            </w:r>
            <w:r>
              <w:rPr>
                <w:rFonts w:hint="eastAsia"/>
                <w:color w:val="auto"/>
                <w:szCs w:val="21"/>
              </w:rPr>
              <w:t>、柴油发电机设置于独立的设备房</w:t>
            </w:r>
          </w:p>
        </w:tc>
        <w:tc>
          <w:tcPr>
            <w:tcW w:w="1978" w:type="dxa"/>
            <w:vAlign w:val="center"/>
          </w:tcPr>
          <w:p w14:paraId="5BBC642D">
            <w:pPr>
              <w:jc w:val="center"/>
              <w:rPr>
                <w:color w:val="auto"/>
                <w:szCs w:val="21"/>
              </w:rPr>
            </w:pPr>
            <w:r>
              <w:rPr>
                <w:rFonts w:hint="eastAsia"/>
                <w:snapToGrid w:val="0"/>
                <w:color w:val="auto"/>
                <w:szCs w:val="21"/>
              </w:rPr>
              <w:t>厂界</w:t>
            </w:r>
            <w:r>
              <w:rPr>
                <w:color w:val="auto"/>
                <w:kern w:val="0"/>
                <w:szCs w:val="21"/>
                <w:lang w:bidi="ar"/>
              </w:rPr>
              <w:t>执行《工业企业厂界环境噪声排放标准》（GB12348-2008）2类标准</w:t>
            </w:r>
          </w:p>
        </w:tc>
      </w:tr>
      <w:tr w14:paraId="0EF78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78" w:type="dxa"/>
            <w:vMerge w:val="continue"/>
            <w:vAlign w:val="center"/>
          </w:tcPr>
          <w:p w14:paraId="11B7882A">
            <w:pPr>
              <w:jc w:val="center"/>
              <w:rPr>
                <w:b/>
                <w:bCs/>
                <w:color w:val="auto"/>
                <w:szCs w:val="21"/>
              </w:rPr>
            </w:pPr>
          </w:p>
        </w:tc>
        <w:tc>
          <w:tcPr>
            <w:tcW w:w="1790" w:type="dxa"/>
            <w:vAlign w:val="center"/>
          </w:tcPr>
          <w:p w14:paraId="48EF7A37">
            <w:pPr>
              <w:jc w:val="center"/>
              <w:rPr>
                <w:color w:val="auto"/>
                <w:szCs w:val="21"/>
              </w:rPr>
            </w:pPr>
            <w:r>
              <w:rPr>
                <w:rFonts w:hint="eastAsia"/>
                <w:color w:val="auto"/>
                <w:szCs w:val="21"/>
              </w:rPr>
              <w:t>四街卫生院</w:t>
            </w:r>
            <w:r>
              <w:rPr>
                <w:color w:val="auto"/>
                <w:szCs w:val="21"/>
              </w:rPr>
              <w:t>设备噪声</w:t>
            </w:r>
          </w:p>
        </w:tc>
        <w:tc>
          <w:tcPr>
            <w:tcW w:w="1559" w:type="dxa"/>
            <w:vAlign w:val="center"/>
          </w:tcPr>
          <w:p w14:paraId="26306A59">
            <w:pPr>
              <w:jc w:val="center"/>
              <w:rPr>
                <w:color w:val="auto"/>
                <w:szCs w:val="21"/>
              </w:rPr>
            </w:pPr>
            <w:r>
              <w:rPr>
                <w:color w:val="auto"/>
                <w:szCs w:val="21"/>
              </w:rPr>
              <w:t>噪声</w:t>
            </w:r>
          </w:p>
        </w:tc>
        <w:tc>
          <w:tcPr>
            <w:tcW w:w="2396" w:type="dxa"/>
            <w:vAlign w:val="center"/>
          </w:tcPr>
          <w:p w14:paraId="2A6C8E0F">
            <w:pPr>
              <w:jc w:val="center"/>
              <w:rPr>
                <w:color w:val="auto"/>
                <w:szCs w:val="21"/>
              </w:rPr>
            </w:pPr>
            <w:r>
              <w:rPr>
                <w:rFonts w:hint="eastAsia"/>
                <w:color w:val="auto"/>
                <w:szCs w:val="21"/>
              </w:rPr>
              <w:t>水泵设备减振、</w:t>
            </w:r>
            <w:r>
              <w:rPr>
                <w:rFonts w:hint="eastAsia" w:ascii="宋体" w:hAnsi="宋体" w:cs="宋体"/>
                <w:color w:val="auto"/>
                <w:szCs w:val="21"/>
              </w:rPr>
              <w:t>风机安装消声器、</w:t>
            </w:r>
            <w:r>
              <w:rPr>
                <w:rFonts w:hint="eastAsia"/>
                <w:color w:val="auto"/>
                <w:szCs w:val="21"/>
              </w:rPr>
              <w:t>建筑隔声</w:t>
            </w:r>
          </w:p>
        </w:tc>
        <w:tc>
          <w:tcPr>
            <w:tcW w:w="1978" w:type="dxa"/>
            <w:vAlign w:val="center"/>
          </w:tcPr>
          <w:p w14:paraId="219291FE">
            <w:pPr>
              <w:jc w:val="center"/>
              <w:rPr>
                <w:snapToGrid w:val="0"/>
                <w:color w:val="auto"/>
                <w:szCs w:val="21"/>
              </w:rPr>
            </w:pPr>
            <w:r>
              <w:rPr>
                <w:color w:val="auto"/>
                <w:kern w:val="0"/>
                <w:szCs w:val="21"/>
                <w:lang w:bidi="ar"/>
              </w:rPr>
              <w:t>西厂界执行《工业企业厂界环境噪声排放标准》（GB12348-2008）4类标准，其余东、南、北厂界噪声排放限值执行2类标准</w:t>
            </w:r>
          </w:p>
        </w:tc>
      </w:tr>
      <w:tr w14:paraId="39222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778" w:type="dxa"/>
            <w:vMerge w:val="continue"/>
            <w:vAlign w:val="center"/>
          </w:tcPr>
          <w:p w14:paraId="4A1414BA">
            <w:pPr>
              <w:jc w:val="center"/>
              <w:rPr>
                <w:b/>
                <w:bCs/>
                <w:color w:val="auto"/>
                <w:szCs w:val="21"/>
              </w:rPr>
            </w:pPr>
          </w:p>
        </w:tc>
        <w:tc>
          <w:tcPr>
            <w:tcW w:w="1790" w:type="dxa"/>
            <w:vAlign w:val="center"/>
          </w:tcPr>
          <w:p w14:paraId="7F6BF8C3">
            <w:pPr>
              <w:jc w:val="center"/>
              <w:rPr>
                <w:color w:val="auto"/>
                <w:szCs w:val="21"/>
              </w:rPr>
            </w:pPr>
            <w:r>
              <w:rPr>
                <w:rFonts w:hint="eastAsia"/>
                <w:color w:val="auto"/>
                <w:szCs w:val="21"/>
              </w:rPr>
              <w:t>九龙卫生院</w:t>
            </w:r>
            <w:r>
              <w:rPr>
                <w:color w:val="auto"/>
                <w:szCs w:val="21"/>
              </w:rPr>
              <w:t>设备噪声</w:t>
            </w:r>
          </w:p>
        </w:tc>
        <w:tc>
          <w:tcPr>
            <w:tcW w:w="1559" w:type="dxa"/>
            <w:vAlign w:val="center"/>
          </w:tcPr>
          <w:p w14:paraId="6C333ED5">
            <w:pPr>
              <w:jc w:val="center"/>
              <w:rPr>
                <w:color w:val="auto"/>
                <w:szCs w:val="21"/>
              </w:rPr>
            </w:pPr>
            <w:r>
              <w:rPr>
                <w:color w:val="auto"/>
                <w:szCs w:val="21"/>
              </w:rPr>
              <w:t>噪声</w:t>
            </w:r>
          </w:p>
        </w:tc>
        <w:tc>
          <w:tcPr>
            <w:tcW w:w="2396" w:type="dxa"/>
            <w:vAlign w:val="center"/>
          </w:tcPr>
          <w:p w14:paraId="04FE6419">
            <w:pPr>
              <w:jc w:val="center"/>
              <w:rPr>
                <w:color w:val="auto"/>
                <w:szCs w:val="21"/>
              </w:rPr>
            </w:pPr>
            <w:r>
              <w:rPr>
                <w:rFonts w:hint="eastAsia"/>
                <w:color w:val="auto"/>
                <w:szCs w:val="21"/>
              </w:rPr>
              <w:t>水泵设备减振、</w:t>
            </w:r>
            <w:r>
              <w:rPr>
                <w:rFonts w:hint="eastAsia" w:ascii="宋体" w:hAnsi="宋体" w:cs="宋体"/>
                <w:color w:val="auto"/>
                <w:szCs w:val="21"/>
              </w:rPr>
              <w:t>风机安装消声器、</w:t>
            </w:r>
            <w:r>
              <w:rPr>
                <w:rFonts w:hint="eastAsia"/>
                <w:color w:val="auto"/>
                <w:szCs w:val="21"/>
              </w:rPr>
              <w:t>建筑隔声</w:t>
            </w:r>
          </w:p>
        </w:tc>
        <w:tc>
          <w:tcPr>
            <w:tcW w:w="1978" w:type="dxa"/>
            <w:vAlign w:val="center"/>
          </w:tcPr>
          <w:p w14:paraId="2E52CA28">
            <w:pPr>
              <w:jc w:val="center"/>
              <w:rPr>
                <w:snapToGrid w:val="0"/>
                <w:color w:val="auto"/>
                <w:szCs w:val="21"/>
              </w:rPr>
            </w:pPr>
            <w:r>
              <w:rPr>
                <w:rFonts w:hint="eastAsia"/>
                <w:snapToGrid w:val="0"/>
                <w:color w:val="auto"/>
                <w:szCs w:val="21"/>
              </w:rPr>
              <w:t>厂界</w:t>
            </w:r>
            <w:r>
              <w:rPr>
                <w:color w:val="auto"/>
                <w:kern w:val="0"/>
                <w:szCs w:val="21"/>
                <w:lang w:bidi="ar"/>
              </w:rPr>
              <w:t>执行《工业企业厂界环境噪声排放标准》（GB12348-2008）2类标准</w:t>
            </w:r>
          </w:p>
        </w:tc>
      </w:tr>
      <w:tr w14:paraId="7376C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778" w:type="dxa"/>
            <w:vMerge w:val="continue"/>
            <w:vAlign w:val="center"/>
          </w:tcPr>
          <w:p w14:paraId="6E4EE0E7">
            <w:pPr>
              <w:jc w:val="center"/>
              <w:rPr>
                <w:b/>
                <w:bCs/>
                <w:color w:val="auto"/>
                <w:szCs w:val="21"/>
              </w:rPr>
            </w:pPr>
          </w:p>
        </w:tc>
        <w:tc>
          <w:tcPr>
            <w:tcW w:w="1790" w:type="dxa"/>
            <w:vAlign w:val="center"/>
          </w:tcPr>
          <w:p w14:paraId="6316DE20">
            <w:pPr>
              <w:jc w:val="center"/>
              <w:rPr>
                <w:color w:val="auto"/>
                <w:szCs w:val="21"/>
              </w:rPr>
            </w:pPr>
            <w:r>
              <w:rPr>
                <w:rFonts w:hint="eastAsia"/>
                <w:color w:val="auto"/>
                <w:szCs w:val="21"/>
              </w:rPr>
              <w:t>杨广卫生院</w:t>
            </w:r>
            <w:r>
              <w:rPr>
                <w:color w:val="auto"/>
                <w:szCs w:val="21"/>
              </w:rPr>
              <w:t>设备噪声</w:t>
            </w:r>
          </w:p>
        </w:tc>
        <w:tc>
          <w:tcPr>
            <w:tcW w:w="1559" w:type="dxa"/>
            <w:vAlign w:val="center"/>
          </w:tcPr>
          <w:p w14:paraId="7F545427">
            <w:pPr>
              <w:jc w:val="center"/>
              <w:rPr>
                <w:color w:val="auto"/>
                <w:szCs w:val="21"/>
              </w:rPr>
            </w:pPr>
            <w:r>
              <w:rPr>
                <w:color w:val="auto"/>
                <w:szCs w:val="21"/>
              </w:rPr>
              <w:t>噪声</w:t>
            </w:r>
          </w:p>
        </w:tc>
        <w:tc>
          <w:tcPr>
            <w:tcW w:w="2396" w:type="dxa"/>
            <w:vAlign w:val="center"/>
          </w:tcPr>
          <w:p w14:paraId="612D56E6">
            <w:pPr>
              <w:jc w:val="center"/>
              <w:rPr>
                <w:color w:val="auto"/>
                <w:szCs w:val="21"/>
              </w:rPr>
            </w:pPr>
            <w:r>
              <w:rPr>
                <w:rFonts w:hint="eastAsia"/>
                <w:color w:val="auto"/>
                <w:szCs w:val="21"/>
              </w:rPr>
              <w:t>水泵设备减振、</w:t>
            </w:r>
            <w:r>
              <w:rPr>
                <w:rFonts w:hint="eastAsia" w:ascii="宋体" w:hAnsi="宋体" w:cs="宋体"/>
                <w:color w:val="auto"/>
                <w:szCs w:val="21"/>
              </w:rPr>
              <w:t>风机安装消声器、</w:t>
            </w:r>
            <w:r>
              <w:rPr>
                <w:rFonts w:hint="eastAsia"/>
                <w:color w:val="auto"/>
                <w:szCs w:val="21"/>
              </w:rPr>
              <w:t>建筑隔声</w:t>
            </w:r>
          </w:p>
        </w:tc>
        <w:tc>
          <w:tcPr>
            <w:tcW w:w="1978" w:type="dxa"/>
            <w:vAlign w:val="center"/>
          </w:tcPr>
          <w:p w14:paraId="236BA3C7">
            <w:pPr>
              <w:jc w:val="center"/>
              <w:rPr>
                <w:snapToGrid w:val="0"/>
                <w:color w:val="auto"/>
                <w:szCs w:val="21"/>
              </w:rPr>
            </w:pPr>
            <w:r>
              <w:rPr>
                <w:rFonts w:hint="eastAsia"/>
                <w:snapToGrid w:val="0"/>
                <w:color w:val="auto"/>
                <w:szCs w:val="21"/>
              </w:rPr>
              <w:t>厂界</w:t>
            </w:r>
            <w:r>
              <w:rPr>
                <w:color w:val="auto"/>
                <w:kern w:val="0"/>
                <w:szCs w:val="21"/>
                <w:lang w:bidi="ar"/>
              </w:rPr>
              <w:t>执行《工业企业厂界环境噪声排放标准》（GB12348-2008）2类标准</w:t>
            </w:r>
          </w:p>
        </w:tc>
      </w:tr>
      <w:tr w14:paraId="19CE8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778" w:type="dxa"/>
            <w:vAlign w:val="center"/>
          </w:tcPr>
          <w:p w14:paraId="2E513670">
            <w:pPr>
              <w:jc w:val="center"/>
              <w:rPr>
                <w:b/>
                <w:bCs/>
                <w:color w:val="auto"/>
                <w:szCs w:val="21"/>
              </w:rPr>
            </w:pPr>
            <w:r>
              <w:rPr>
                <w:b/>
                <w:bCs/>
                <w:color w:val="auto"/>
                <w:szCs w:val="21"/>
              </w:rPr>
              <w:t>电磁辐射</w:t>
            </w:r>
          </w:p>
        </w:tc>
        <w:tc>
          <w:tcPr>
            <w:tcW w:w="1790" w:type="dxa"/>
            <w:vAlign w:val="center"/>
          </w:tcPr>
          <w:p w14:paraId="7CA227CC">
            <w:pPr>
              <w:jc w:val="center"/>
              <w:rPr>
                <w:color w:val="auto"/>
                <w:szCs w:val="21"/>
              </w:rPr>
            </w:pPr>
            <w:r>
              <w:rPr>
                <w:color w:val="auto"/>
                <w:szCs w:val="21"/>
              </w:rPr>
              <w:t>/</w:t>
            </w:r>
          </w:p>
        </w:tc>
        <w:tc>
          <w:tcPr>
            <w:tcW w:w="1559" w:type="dxa"/>
            <w:vAlign w:val="center"/>
          </w:tcPr>
          <w:p w14:paraId="73DDB764">
            <w:pPr>
              <w:jc w:val="center"/>
              <w:rPr>
                <w:color w:val="auto"/>
                <w:szCs w:val="21"/>
              </w:rPr>
            </w:pPr>
            <w:r>
              <w:rPr>
                <w:color w:val="auto"/>
                <w:szCs w:val="21"/>
              </w:rPr>
              <w:t>/</w:t>
            </w:r>
          </w:p>
        </w:tc>
        <w:tc>
          <w:tcPr>
            <w:tcW w:w="2396" w:type="dxa"/>
            <w:vAlign w:val="center"/>
          </w:tcPr>
          <w:p w14:paraId="1BD161F4">
            <w:pPr>
              <w:jc w:val="center"/>
              <w:rPr>
                <w:color w:val="auto"/>
                <w:szCs w:val="21"/>
              </w:rPr>
            </w:pPr>
            <w:r>
              <w:rPr>
                <w:color w:val="auto"/>
                <w:szCs w:val="21"/>
              </w:rPr>
              <w:t>/</w:t>
            </w:r>
          </w:p>
        </w:tc>
        <w:tc>
          <w:tcPr>
            <w:tcW w:w="1978" w:type="dxa"/>
            <w:vAlign w:val="center"/>
          </w:tcPr>
          <w:p w14:paraId="4AA79366">
            <w:pPr>
              <w:jc w:val="center"/>
              <w:rPr>
                <w:color w:val="auto"/>
                <w:szCs w:val="21"/>
              </w:rPr>
            </w:pPr>
            <w:r>
              <w:rPr>
                <w:color w:val="auto"/>
                <w:szCs w:val="21"/>
              </w:rPr>
              <w:t>/</w:t>
            </w:r>
          </w:p>
        </w:tc>
      </w:tr>
      <w:tr w14:paraId="5B742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6" w:hRule="atLeast"/>
          <w:jc w:val="center"/>
        </w:trPr>
        <w:tc>
          <w:tcPr>
            <w:tcW w:w="1778" w:type="dxa"/>
            <w:vAlign w:val="center"/>
          </w:tcPr>
          <w:p w14:paraId="242B00C1">
            <w:pPr>
              <w:jc w:val="center"/>
              <w:rPr>
                <w:b/>
                <w:bCs/>
                <w:color w:val="auto"/>
                <w:szCs w:val="21"/>
              </w:rPr>
            </w:pPr>
            <w:r>
              <w:rPr>
                <w:b/>
                <w:bCs/>
                <w:color w:val="auto"/>
                <w:szCs w:val="21"/>
              </w:rPr>
              <w:t>固体废物</w:t>
            </w:r>
          </w:p>
        </w:tc>
        <w:tc>
          <w:tcPr>
            <w:tcW w:w="7723" w:type="dxa"/>
            <w:gridSpan w:val="4"/>
            <w:vAlign w:val="center"/>
          </w:tcPr>
          <w:p w14:paraId="20C8A2AA">
            <w:pPr>
              <w:ind w:firstLine="420" w:firstLineChars="200"/>
              <w:jc w:val="left"/>
              <w:rPr>
                <w:color w:val="auto"/>
                <w:kern w:val="0"/>
                <w:szCs w:val="21"/>
              </w:rPr>
            </w:pPr>
            <w:r>
              <w:rPr>
                <w:rFonts w:hint="eastAsia"/>
                <w:color w:val="auto"/>
                <w:szCs w:val="21"/>
              </w:rPr>
              <w:t>生活垃圾经垃圾收集桶收集后</w:t>
            </w:r>
            <w:r>
              <w:rPr>
                <w:rFonts w:hint="eastAsia"/>
                <w:color w:val="auto"/>
                <w:kern w:val="0"/>
                <w:szCs w:val="21"/>
              </w:rPr>
              <w:t>委托当地环卫部门清运处置；</w:t>
            </w:r>
          </w:p>
          <w:p w14:paraId="4C151039">
            <w:pPr>
              <w:ind w:firstLine="420" w:firstLineChars="200"/>
              <w:jc w:val="left"/>
              <w:rPr>
                <w:color w:val="auto"/>
              </w:rPr>
            </w:pPr>
            <w:r>
              <w:rPr>
                <w:color w:val="auto"/>
                <w:szCs w:val="21"/>
              </w:rPr>
              <w:t>医疗废物</w:t>
            </w:r>
            <w:r>
              <w:rPr>
                <w:rFonts w:hint="eastAsia"/>
                <w:color w:val="auto"/>
              </w:rPr>
              <w:t>经专用</w:t>
            </w:r>
            <w:r>
              <w:rPr>
                <w:color w:val="auto"/>
              </w:rPr>
              <w:t>医疗</w:t>
            </w:r>
            <w:r>
              <w:rPr>
                <w:rFonts w:hint="eastAsia"/>
                <w:color w:val="auto"/>
              </w:rPr>
              <w:t>废物</w:t>
            </w:r>
            <w:r>
              <w:rPr>
                <w:color w:val="auto"/>
              </w:rPr>
              <w:t>收集桶</w:t>
            </w:r>
            <w:r>
              <w:rPr>
                <w:rFonts w:hint="eastAsia"/>
                <w:color w:val="auto"/>
              </w:rPr>
              <w:t>收</w:t>
            </w:r>
            <w:r>
              <w:rPr>
                <w:rFonts w:hint="eastAsia"/>
                <w:color w:val="auto"/>
                <w:szCs w:val="21"/>
              </w:rPr>
              <w:t>集后密封暂存于卫生院医疗废物暂存间，最终交由玉溪兴洁垃圾处理有限公司清运处置</w:t>
            </w:r>
            <w:r>
              <w:rPr>
                <w:rFonts w:hint="eastAsia"/>
                <w:color w:val="auto"/>
              </w:rPr>
              <w:t>；</w:t>
            </w:r>
          </w:p>
          <w:p w14:paraId="5F1C4AF3">
            <w:pPr>
              <w:ind w:firstLine="420" w:firstLineChars="200"/>
              <w:jc w:val="left"/>
              <w:rPr>
                <w:color w:val="auto"/>
                <w:szCs w:val="21"/>
              </w:rPr>
            </w:pPr>
            <w:r>
              <w:rPr>
                <w:rFonts w:hint="eastAsia"/>
                <w:color w:val="auto"/>
              </w:rPr>
              <w:t>卫生院</w:t>
            </w:r>
            <w:r>
              <w:rPr>
                <w:bCs/>
                <w:color w:val="auto"/>
              </w:rPr>
              <w:t>化粪池和</w:t>
            </w:r>
            <w:r>
              <w:rPr>
                <w:rFonts w:hint="eastAsia"/>
                <w:bCs/>
                <w:color w:val="auto"/>
              </w:rPr>
              <w:t>污水处理站</w:t>
            </w:r>
            <w:r>
              <w:rPr>
                <w:color w:val="auto"/>
                <w:szCs w:val="21"/>
              </w:rPr>
              <w:t>污泥</w:t>
            </w:r>
            <w:r>
              <w:rPr>
                <w:rFonts w:hint="eastAsia"/>
                <w:color w:val="auto"/>
                <w:szCs w:val="21"/>
              </w:rPr>
              <w:t>，由环卫部门定期清掏脱水后交由环卫部门交由有资质单位处置</w:t>
            </w:r>
            <w:r>
              <w:rPr>
                <w:rFonts w:hint="eastAsia"/>
                <w:color w:val="auto"/>
              </w:rPr>
              <w:t>。</w:t>
            </w:r>
            <w:r>
              <w:rPr>
                <w:rFonts w:hint="eastAsia"/>
                <w:color w:val="auto"/>
                <w:szCs w:val="21"/>
              </w:rPr>
              <w:t>（</w:t>
            </w:r>
            <w:r>
              <w:rPr>
                <w:rFonts w:hint="eastAsia"/>
                <w:color w:val="auto"/>
              </w:rPr>
              <w:t>医疗废物暂存间</w:t>
            </w:r>
            <w:r>
              <w:rPr>
                <w:rFonts w:hint="eastAsia"/>
                <w:color w:val="auto"/>
                <w:szCs w:val="21"/>
              </w:rPr>
              <w:t>均设置规范标识标牌，采取重点防渗措施，采用水泥+2mm厚HDPE+环氧树脂，渗透系数≤10</w:t>
            </w:r>
            <w:r>
              <w:rPr>
                <w:rFonts w:hint="eastAsia"/>
                <w:color w:val="auto"/>
                <w:szCs w:val="21"/>
                <w:vertAlign w:val="superscript"/>
              </w:rPr>
              <w:t>-10</w:t>
            </w:r>
            <w:r>
              <w:rPr>
                <w:rFonts w:hint="eastAsia"/>
                <w:color w:val="auto"/>
                <w:szCs w:val="21"/>
              </w:rPr>
              <w:t>cm/s）</w:t>
            </w:r>
            <w:r>
              <w:rPr>
                <w:color w:val="auto"/>
                <w:szCs w:val="21"/>
              </w:rPr>
              <w:t>。项目固体废物</w:t>
            </w:r>
            <w:r>
              <w:rPr>
                <w:rFonts w:hint="eastAsia"/>
                <w:color w:val="auto"/>
                <w:szCs w:val="21"/>
              </w:rPr>
              <w:t>能够</w:t>
            </w:r>
            <w:r>
              <w:rPr>
                <w:color w:val="auto"/>
                <w:szCs w:val="21"/>
              </w:rPr>
              <w:t>做到有效处置，处置率</w:t>
            </w:r>
            <w:r>
              <w:rPr>
                <w:rFonts w:hint="eastAsia"/>
                <w:color w:val="auto"/>
                <w:szCs w:val="21"/>
              </w:rPr>
              <w:t>达</w:t>
            </w:r>
            <w:r>
              <w:rPr>
                <w:color w:val="auto"/>
                <w:szCs w:val="21"/>
              </w:rPr>
              <w:t>100%。</w:t>
            </w:r>
          </w:p>
        </w:tc>
      </w:tr>
      <w:tr w14:paraId="15537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778" w:type="dxa"/>
            <w:vAlign w:val="center"/>
          </w:tcPr>
          <w:p w14:paraId="1276D81B">
            <w:pPr>
              <w:jc w:val="center"/>
              <w:rPr>
                <w:b/>
                <w:bCs/>
                <w:color w:val="auto"/>
                <w:szCs w:val="21"/>
              </w:rPr>
            </w:pPr>
            <w:r>
              <w:rPr>
                <w:b/>
                <w:bCs/>
                <w:color w:val="auto"/>
                <w:szCs w:val="21"/>
              </w:rPr>
              <w:t>土壤及地下水</w:t>
            </w:r>
          </w:p>
          <w:p w14:paraId="744D4EF5">
            <w:pPr>
              <w:jc w:val="center"/>
              <w:rPr>
                <w:b/>
                <w:bCs/>
                <w:color w:val="auto"/>
                <w:szCs w:val="21"/>
              </w:rPr>
            </w:pPr>
            <w:r>
              <w:rPr>
                <w:b/>
                <w:bCs/>
                <w:color w:val="auto"/>
                <w:szCs w:val="21"/>
              </w:rPr>
              <w:t>污染防治措施</w:t>
            </w:r>
          </w:p>
        </w:tc>
        <w:tc>
          <w:tcPr>
            <w:tcW w:w="7723" w:type="dxa"/>
            <w:gridSpan w:val="4"/>
            <w:vAlign w:val="center"/>
          </w:tcPr>
          <w:p w14:paraId="54DB1453">
            <w:pPr>
              <w:ind w:firstLine="420" w:firstLineChars="200"/>
              <w:jc w:val="left"/>
              <w:rPr>
                <w:color w:val="auto"/>
                <w:szCs w:val="21"/>
              </w:rPr>
            </w:pPr>
            <w:r>
              <w:rPr>
                <w:rFonts w:hint="eastAsia"/>
                <w:color w:val="auto"/>
                <w:szCs w:val="21"/>
              </w:rPr>
              <w:t>重点防渗区：医疗废物暂存间（依托各卫生院医疗废物暂存间）、地面及裙角均</w:t>
            </w:r>
            <w:r>
              <w:rPr>
                <w:rFonts w:hint="eastAsia"/>
                <w:color w:val="auto"/>
                <w:szCs w:val="21"/>
                <w:lang w:val="zh-CN"/>
              </w:rPr>
              <w:t>采用水泥+2mm厚HDPE+环氧树脂</w:t>
            </w:r>
            <w:r>
              <w:rPr>
                <w:rFonts w:hint="eastAsia"/>
                <w:color w:val="auto"/>
                <w:szCs w:val="21"/>
              </w:rPr>
              <w:t>，渗透系数</w:t>
            </w:r>
            <w:r>
              <w:rPr>
                <w:color w:val="auto"/>
                <w:szCs w:val="21"/>
              </w:rPr>
              <w:t>≤10-10cm/s（保存影像资料）；</w:t>
            </w:r>
          </w:p>
          <w:p w14:paraId="73A78FC9">
            <w:pPr>
              <w:ind w:firstLine="420" w:firstLineChars="200"/>
              <w:jc w:val="left"/>
              <w:rPr>
                <w:color w:val="auto"/>
                <w:szCs w:val="21"/>
              </w:rPr>
            </w:pPr>
            <w:r>
              <w:rPr>
                <w:color w:val="auto"/>
                <w:szCs w:val="21"/>
              </w:rPr>
              <w:t>一般防渗区：化粪池及池底均采用等效黏土层（厚度≥1.5m）进行一般防渗，渗透系数≤10-7cm/s。</w:t>
            </w:r>
          </w:p>
          <w:p w14:paraId="7E4417D7">
            <w:pPr>
              <w:ind w:firstLine="420" w:firstLineChars="200"/>
              <w:jc w:val="left"/>
              <w:rPr>
                <w:color w:val="auto"/>
                <w:szCs w:val="21"/>
              </w:rPr>
            </w:pPr>
            <w:r>
              <w:rPr>
                <w:rFonts w:hint="eastAsia"/>
                <w:color w:val="auto"/>
                <w:szCs w:val="21"/>
              </w:rPr>
              <w:t>简单防渗区（院区道路及其他区域）：按常规工程进行设计和建设，进行一般地面硬化。</w:t>
            </w:r>
          </w:p>
        </w:tc>
      </w:tr>
      <w:tr w14:paraId="3ADA4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778" w:type="dxa"/>
            <w:vAlign w:val="center"/>
          </w:tcPr>
          <w:p w14:paraId="3EE8B63E">
            <w:pPr>
              <w:jc w:val="center"/>
              <w:rPr>
                <w:b/>
                <w:bCs/>
                <w:color w:val="auto"/>
                <w:szCs w:val="21"/>
              </w:rPr>
            </w:pPr>
            <w:r>
              <w:rPr>
                <w:b/>
                <w:bCs/>
                <w:color w:val="auto"/>
                <w:szCs w:val="21"/>
              </w:rPr>
              <w:t>生态保护措施</w:t>
            </w:r>
          </w:p>
        </w:tc>
        <w:tc>
          <w:tcPr>
            <w:tcW w:w="7723" w:type="dxa"/>
            <w:gridSpan w:val="4"/>
            <w:vAlign w:val="center"/>
          </w:tcPr>
          <w:p w14:paraId="00A45194">
            <w:pPr>
              <w:jc w:val="center"/>
              <w:rPr>
                <w:color w:val="auto"/>
                <w:szCs w:val="21"/>
              </w:rPr>
            </w:pPr>
            <w:r>
              <w:rPr>
                <w:rFonts w:hint="eastAsia"/>
                <w:color w:val="auto"/>
                <w:szCs w:val="21"/>
              </w:rPr>
              <w:t>无</w:t>
            </w:r>
          </w:p>
        </w:tc>
      </w:tr>
      <w:tr w14:paraId="5F4EB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1" w:hRule="atLeast"/>
          <w:jc w:val="center"/>
        </w:trPr>
        <w:tc>
          <w:tcPr>
            <w:tcW w:w="1778" w:type="dxa"/>
            <w:vAlign w:val="center"/>
          </w:tcPr>
          <w:p w14:paraId="620448B3">
            <w:pPr>
              <w:jc w:val="center"/>
              <w:rPr>
                <w:b/>
                <w:bCs/>
                <w:color w:val="auto"/>
                <w:spacing w:val="-8"/>
                <w:szCs w:val="21"/>
              </w:rPr>
            </w:pPr>
            <w:r>
              <w:rPr>
                <w:b/>
                <w:bCs/>
                <w:color w:val="auto"/>
                <w:spacing w:val="-8"/>
                <w:szCs w:val="21"/>
              </w:rPr>
              <w:t>环境风险</w:t>
            </w:r>
          </w:p>
          <w:p w14:paraId="5965D40A">
            <w:pPr>
              <w:jc w:val="center"/>
              <w:rPr>
                <w:b/>
                <w:bCs/>
                <w:color w:val="auto"/>
                <w:spacing w:val="-8"/>
                <w:szCs w:val="21"/>
              </w:rPr>
            </w:pPr>
            <w:r>
              <w:rPr>
                <w:b/>
                <w:bCs/>
                <w:color w:val="auto"/>
                <w:spacing w:val="-8"/>
                <w:szCs w:val="21"/>
              </w:rPr>
              <w:t>防范措施</w:t>
            </w:r>
          </w:p>
        </w:tc>
        <w:tc>
          <w:tcPr>
            <w:tcW w:w="7723" w:type="dxa"/>
            <w:gridSpan w:val="4"/>
            <w:vAlign w:val="center"/>
          </w:tcPr>
          <w:p w14:paraId="32847BBE">
            <w:pPr>
              <w:ind w:firstLine="420" w:firstLineChars="200"/>
              <w:jc w:val="left"/>
              <w:rPr>
                <w:bCs/>
                <w:color w:val="auto"/>
                <w:szCs w:val="21"/>
              </w:rPr>
            </w:pPr>
            <w:r>
              <w:rPr>
                <w:rFonts w:hint="eastAsia"/>
                <w:bCs/>
                <w:color w:val="auto"/>
                <w:szCs w:val="21"/>
              </w:rPr>
              <w:t>1、</w:t>
            </w:r>
            <w:r>
              <w:rPr>
                <w:bCs/>
                <w:color w:val="auto"/>
                <w:szCs w:val="21"/>
              </w:rPr>
              <w:t>加强职工的安全教育，提高安全防范风险的意识；</w:t>
            </w:r>
          </w:p>
          <w:p w14:paraId="1F8C0862">
            <w:pPr>
              <w:ind w:firstLine="420" w:firstLineChars="200"/>
              <w:jc w:val="left"/>
              <w:rPr>
                <w:color w:val="auto"/>
                <w:szCs w:val="21"/>
              </w:rPr>
            </w:pPr>
            <w:r>
              <w:rPr>
                <w:rFonts w:hint="eastAsia"/>
                <w:color w:val="auto"/>
                <w:szCs w:val="21"/>
              </w:rPr>
              <w:t>2、</w:t>
            </w:r>
            <w:r>
              <w:rPr>
                <w:color w:val="auto"/>
                <w:szCs w:val="21"/>
              </w:rPr>
              <w:t>针对运营中可能发生的异常现象和存在的安全隐患，设置合理可行的技术措施，制定严格的操作规程；</w:t>
            </w:r>
          </w:p>
          <w:p w14:paraId="5A2A61B4">
            <w:pPr>
              <w:ind w:firstLine="420" w:firstLineChars="200"/>
              <w:jc w:val="left"/>
              <w:rPr>
                <w:color w:val="auto"/>
                <w:szCs w:val="21"/>
              </w:rPr>
            </w:pPr>
            <w:r>
              <w:rPr>
                <w:rFonts w:hint="eastAsia"/>
                <w:color w:val="auto"/>
                <w:szCs w:val="21"/>
              </w:rPr>
              <w:t>3、</w:t>
            </w:r>
            <w:r>
              <w:rPr>
                <w:color w:val="auto"/>
                <w:szCs w:val="21"/>
              </w:rPr>
              <w:t>按照相关规范收集暂存，</w:t>
            </w:r>
            <w:r>
              <w:rPr>
                <w:bCs/>
                <w:color w:val="auto"/>
                <w:szCs w:val="21"/>
              </w:rPr>
              <w:t>医疗废物转交出去后，应当对暂时贮存地点、设施及时进行清洁和消毒处理。对于医疗废物，禁止将其在非收集、非暂时贮存地点倾倒、堆放；禁止将医疗废物混入其它废物和生活垃圾；禁止在内部运送过程中丢弃医疗废物；</w:t>
            </w:r>
          </w:p>
          <w:p w14:paraId="26F328E2">
            <w:pPr>
              <w:ind w:firstLine="420" w:firstLineChars="200"/>
              <w:jc w:val="left"/>
              <w:rPr>
                <w:color w:val="auto"/>
                <w:szCs w:val="21"/>
              </w:rPr>
            </w:pPr>
            <w:r>
              <w:rPr>
                <w:rFonts w:hint="eastAsia"/>
                <w:color w:val="auto"/>
                <w:szCs w:val="21"/>
              </w:rPr>
              <w:t>4、</w:t>
            </w:r>
            <w:r>
              <w:rPr>
                <w:color w:val="auto"/>
                <w:szCs w:val="21"/>
              </w:rPr>
              <w:t>医疗废物处置标准应按照《医疗废物管理条例》中华人民共和国国务院令（第380号）、《危险废物贮存污染控制标准》（GB18597-2023）、《医疗机构水污染物排放标准》</w:t>
            </w:r>
            <w:r>
              <w:rPr>
                <w:rFonts w:hint="eastAsia"/>
                <w:color w:val="auto"/>
                <w:szCs w:val="21"/>
              </w:rPr>
              <w:t>（</w:t>
            </w:r>
            <w:r>
              <w:rPr>
                <w:color w:val="auto"/>
                <w:szCs w:val="21"/>
              </w:rPr>
              <w:t>GB18466-2005</w:t>
            </w:r>
            <w:r>
              <w:rPr>
                <w:rFonts w:hint="eastAsia"/>
                <w:color w:val="auto"/>
                <w:szCs w:val="21"/>
              </w:rPr>
              <w:t>）的</w:t>
            </w:r>
            <w:r>
              <w:rPr>
                <w:color w:val="auto"/>
                <w:szCs w:val="21"/>
              </w:rPr>
              <w:t>污泥控制与处置要求</w:t>
            </w:r>
            <w:r>
              <w:rPr>
                <w:rFonts w:hint="eastAsia"/>
                <w:color w:val="auto"/>
                <w:szCs w:val="21"/>
              </w:rPr>
              <w:t>；</w:t>
            </w:r>
          </w:p>
          <w:p w14:paraId="59742E8E">
            <w:pPr>
              <w:ind w:firstLine="420" w:firstLineChars="200"/>
              <w:jc w:val="left"/>
              <w:rPr>
                <w:color w:val="auto"/>
                <w:szCs w:val="21"/>
              </w:rPr>
            </w:pPr>
            <w:r>
              <w:rPr>
                <w:rFonts w:hint="eastAsia"/>
                <w:color w:val="auto"/>
                <w:szCs w:val="21"/>
              </w:rPr>
              <w:t>5、</w:t>
            </w:r>
            <w:r>
              <w:rPr>
                <w:color w:val="auto"/>
                <w:szCs w:val="21"/>
              </w:rPr>
              <w:t>运输单元的风险防范措施：工作人员</w:t>
            </w:r>
            <w:r>
              <w:rPr>
                <w:rFonts w:hint="eastAsia"/>
                <w:color w:val="auto"/>
                <w:szCs w:val="21"/>
              </w:rPr>
              <w:t>佩戴</w:t>
            </w:r>
            <w:r>
              <w:rPr>
                <w:color w:val="auto"/>
                <w:szCs w:val="21"/>
              </w:rPr>
              <w:t>耐酸碱手套，远离易燃、可燃物，搬运时要轻装轻卸，防止包装及容器损坏，配备泄漏应急处理设备</w:t>
            </w:r>
            <w:r>
              <w:rPr>
                <w:rFonts w:hint="eastAsia"/>
                <w:color w:val="auto"/>
                <w:szCs w:val="21"/>
              </w:rPr>
              <w:t>。</w:t>
            </w:r>
          </w:p>
          <w:p w14:paraId="592AF03A">
            <w:pPr>
              <w:ind w:firstLine="420" w:firstLineChars="200"/>
              <w:jc w:val="left"/>
              <w:rPr>
                <w:rFonts w:hint="eastAsia"/>
                <w:color w:val="auto"/>
                <w:szCs w:val="21"/>
              </w:rPr>
            </w:pPr>
            <w:r>
              <w:rPr>
                <w:rFonts w:hint="eastAsia"/>
                <w:color w:val="auto"/>
                <w:szCs w:val="21"/>
              </w:rPr>
              <w:t>6、定期检查和维护污水处理站设备和水池，定期清理和维护管道系统。安装污水池泄漏报警系统可以及时检测和警示泄漏事件的发生。</w:t>
            </w:r>
          </w:p>
          <w:p w14:paraId="78F98993">
            <w:pPr>
              <w:ind w:firstLine="420" w:firstLineChars="200"/>
              <w:jc w:val="left"/>
              <w:rPr>
                <w:rFonts w:hint="eastAsia"/>
                <w:color w:val="auto"/>
                <w:szCs w:val="21"/>
              </w:rPr>
            </w:pPr>
            <w:r>
              <w:rPr>
                <w:rFonts w:hint="eastAsia"/>
                <w:color w:val="auto"/>
                <w:szCs w:val="21"/>
                <w:lang w:val="en-US" w:eastAsia="zh-CN"/>
              </w:rPr>
              <w:t>7、本项目污水处理站发生非正常运转事故处置的具体设计方案为：提升泵、污泥回流泵、鼓风机等动力设备和排风机等环保设备均一用一备，当在用设备发生故障时，备用设备立即启动运行；设置事故应急池，在检修或事故情况下应限制用水以减少污水量的产生，并及时采取措施启动备用设备，及时维修或更换出现事故不能运行的设备。在出现污水池泄露等风险情况下关闭用水系统减少污水量的产生，同时将污水池中的水抽运到事故应急池中，清理被污染的土壤并修复污水池渗漏处。</w:t>
            </w:r>
          </w:p>
        </w:tc>
      </w:tr>
      <w:tr w14:paraId="17ED3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0" w:hRule="atLeast"/>
          <w:jc w:val="center"/>
        </w:trPr>
        <w:tc>
          <w:tcPr>
            <w:tcW w:w="1778" w:type="dxa"/>
            <w:vAlign w:val="center"/>
          </w:tcPr>
          <w:p w14:paraId="1F51578E">
            <w:pPr>
              <w:jc w:val="center"/>
              <w:rPr>
                <w:rFonts w:hint="eastAsia" w:ascii="宋体" w:hAnsi="宋体" w:cs="宋体"/>
                <w:b/>
                <w:bCs/>
                <w:color w:val="auto"/>
                <w:spacing w:val="-8"/>
                <w:szCs w:val="21"/>
              </w:rPr>
            </w:pPr>
            <w:r>
              <w:rPr>
                <w:rFonts w:hint="eastAsia" w:ascii="宋体" w:hAnsi="宋体" w:cs="宋体"/>
                <w:b/>
                <w:bCs/>
                <w:color w:val="auto"/>
                <w:spacing w:val="-8"/>
                <w:szCs w:val="21"/>
              </w:rPr>
              <w:t>其他环境</w:t>
            </w:r>
          </w:p>
          <w:p w14:paraId="3EF7C829">
            <w:pPr>
              <w:jc w:val="center"/>
              <w:rPr>
                <w:b/>
                <w:bCs/>
                <w:color w:val="auto"/>
                <w:spacing w:val="-8"/>
                <w:szCs w:val="21"/>
              </w:rPr>
            </w:pPr>
            <w:r>
              <w:rPr>
                <w:rFonts w:hint="eastAsia" w:ascii="宋体" w:hAnsi="宋体" w:cs="宋体"/>
                <w:b/>
                <w:bCs/>
                <w:color w:val="auto"/>
                <w:spacing w:val="-8"/>
                <w:szCs w:val="21"/>
              </w:rPr>
              <w:t>管理要求</w:t>
            </w:r>
          </w:p>
        </w:tc>
        <w:tc>
          <w:tcPr>
            <w:tcW w:w="7723" w:type="dxa"/>
            <w:gridSpan w:val="4"/>
            <w:vAlign w:val="center"/>
          </w:tcPr>
          <w:p w14:paraId="68469CAF">
            <w:pPr>
              <w:pStyle w:val="58"/>
              <w:snapToGrid w:val="0"/>
              <w:spacing w:line="360" w:lineRule="auto"/>
              <w:rPr>
                <w:rFonts w:hint="eastAsia" w:ascii="宋体" w:hAnsi="宋体" w:eastAsia="宋体" w:cs="宋体"/>
                <w:b/>
                <w:bCs/>
                <w:color w:val="auto"/>
              </w:rPr>
            </w:pPr>
            <w:r>
              <w:rPr>
                <w:rFonts w:hint="eastAsia" w:ascii="宋体" w:hAnsi="宋体" w:eastAsia="宋体" w:cs="宋体"/>
                <w:b/>
                <w:bCs/>
                <w:color w:val="auto"/>
              </w:rPr>
              <w:t>1、管理要求</w:t>
            </w:r>
          </w:p>
          <w:p w14:paraId="7AE44707">
            <w:pPr>
              <w:numPr>
                <w:ilvl w:val="0"/>
                <w:numId w:val="13"/>
              </w:numPr>
              <w:spacing w:line="360" w:lineRule="auto"/>
              <w:ind w:firstLine="480" w:firstLineChars="200"/>
              <w:rPr>
                <w:rFonts w:hint="eastAsia" w:ascii="宋体" w:hAnsi="宋体" w:cs="宋体"/>
                <w:color w:val="auto"/>
                <w:sz w:val="24"/>
              </w:rPr>
            </w:pPr>
            <w:r>
              <w:rPr>
                <w:rFonts w:hint="eastAsia" w:ascii="宋体" w:hAnsi="宋体" w:cs="宋体"/>
                <w:color w:val="auto"/>
                <w:sz w:val="24"/>
              </w:rPr>
              <w:t>应加强环境管理，加强节水、节电、保护环境等的宣传教育；</w:t>
            </w:r>
          </w:p>
          <w:p w14:paraId="3D31C1BF">
            <w:pPr>
              <w:spacing w:line="360" w:lineRule="auto"/>
              <w:ind w:firstLine="480" w:firstLineChars="200"/>
              <w:rPr>
                <w:rFonts w:hint="eastAsia" w:ascii="宋体" w:hAnsi="宋体" w:cs="宋体"/>
                <w:color w:val="auto"/>
                <w:sz w:val="24"/>
              </w:rPr>
            </w:pPr>
            <w:r>
              <w:rPr>
                <w:rFonts w:hint="eastAsia" w:ascii="宋体" w:hAnsi="宋体" w:cs="宋体"/>
                <w:color w:val="auto"/>
                <w:sz w:val="24"/>
              </w:rPr>
              <w:t>2、项目在建设过程中做好 “三同时”的工作；</w:t>
            </w:r>
          </w:p>
          <w:p w14:paraId="1F9F2F06">
            <w:pPr>
              <w:spacing w:line="360" w:lineRule="auto"/>
              <w:ind w:firstLine="480" w:firstLineChars="200"/>
              <w:rPr>
                <w:rFonts w:hint="eastAsia" w:ascii="宋体" w:hAnsi="宋体" w:cs="宋体"/>
                <w:color w:val="auto"/>
                <w:sz w:val="24"/>
              </w:rPr>
            </w:pPr>
            <w:r>
              <w:rPr>
                <w:rFonts w:hint="eastAsia" w:ascii="宋体" w:hAnsi="宋体" w:cs="宋体"/>
                <w:color w:val="auto"/>
                <w:sz w:val="24"/>
              </w:rPr>
              <w:t>3、采用先进节能降耗设备；</w:t>
            </w:r>
          </w:p>
          <w:p w14:paraId="456C4C40">
            <w:pPr>
              <w:spacing w:line="360" w:lineRule="auto"/>
              <w:ind w:firstLine="480" w:firstLineChars="200"/>
              <w:rPr>
                <w:rFonts w:hint="eastAsia" w:ascii="宋体" w:hAnsi="宋体" w:cs="宋体"/>
                <w:color w:val="auto"/>
                <w:sz w:val="24"/>
              </w:rPr>
            </w:pPr>
            <w:r>
              <w:rPr>
                <w:rFonts w:hint="eastAsia" w:ascii="宋体" w:hAnsi="宋体" w:cs="宋体"/>
                <w:color w:val="auto"/>
                <w:sz w:val="24"/>
              </w:rPr>
              <w:t>4、认真贯彻执行国家和地方的各项环保法规和方针政策，建立一套完善的“环境管理手册”，落实环境管理规章制度，强化管理，确定专门的环境管理人员，落实专人负责环保处理设施的运行和维护。</w:t>
            </w:r>
          </w:p>
          <w:p w14:paraId="5A0AD688">
            <w:pPr>
              <w:pStyle w:val="58"/>
              <w:spacing w:before="120" w:beforeLines="50" w:line="360" w:lineRule="auto"/>
              <w:rPr>
                <w:rFonts w:hint="default" w:ascii="宋体" w:hAnsi="宋体" w:eastAsia="宋体" w:cs="宋体"/>
                <w:b/>
                <w:bCs/>
                <w:color w:val="auto"/>
                <w:szCs w:val="21"/>
                <w:lang w:val="en-US" w:eastAsia="zh-CN"/>
              </w:rPr>
            </w:pPr>
            <w:r>
              <w:rPr>
                <w:rFonts w:hint="eastAsia" w:ascii="宋体" w:hAnsi="宋体" w:eastAsia="宋体" w:cs="宋体"/>
                <w:b/>
                <w:bCs/>
                <w:color w:val="auto"/>
                <w:szCs w:val="21"/>
              </w:rPr>
              <w:t>2、</w:t>
            </w:r>
            <w:r>
              <w:rPr>
                <w:rFonts w:hint="eastAsia" w:ascii="宋体" w:hAnsi="宋体" w:eastAsia="宋体" w:cs="宋体"/>
                <w:b/>
                <w:bCs/>
                <w:color w:val="auto"/>
                <w:szCs w:val="21"/>
                <w:lang w:val="en-US" w:eastAsia="zh-CN"/>
              </w:rPr>
              <w:t>排污许可证办理</w:t>
            </w:r>
          </w:p>
          <w:p w14:paraId="091B3960">
            <w:pPr>
              <w:spacing w:line="360" w:lineRule="auto"/>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根据《排污许可管理条例》（中华人民共和国国务院令 第 736 号），本项目涉及4个卫生院，项目应当在启动生产设施或者发生实际排污之前，均需</w:t>
            </w:r>
            <w:r>
              <w:rPr>
                <w:rFonts w:hint="eastAsia" w:ascii="宋体" w:hAnsi="宋体" w:cs="宋体"/>
                <w:color w:val="auto"/>
                <w:sz w:val="24"/>
              </w:rPr>
              <w:t>按要求执行排污许可</w:t>
            </w:r>
            <w:r>
              <w:rPr>
                <w:rFonts w:hint="eastAsia" w:ascii="宋体" w:hAnsi="宋体" w:cs="宋体"/>
                <w:color w:val="auto"/>
                <w:sz w:val="24"/>
                <w:lang w:eastAsia="zh-CN"/>
              </w:rPr>
              <w:t>。</w:t>
            </w:r>
          </w:p>
          <w:p w14:paraId="4390EF95">
            <w:pPr>
              <w:pStyle w:val="58"/>
              <w:spacing w:before="120" w:beforeLines="50" w:line="360" w:lineRule="auto"/>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3</w:t>
            </w:r>
            <w:r>
              <w:rPr>
                <w:rFonts w:hint="eastAsia" w:ascii="宋体" w:hAnsi="宋体" w:eastAsia="宋体" w:cs="宋体"/>
                <w:b/>
                <w:bCs/>
                <w:color w:val="auto"/>
                <w:szCs w:val="21"/>
              </w:rPr>
              <w:t>、竣工环境保护验收</w:t>
            </w:r>
          </w:p>
          <w:p w14:paraId="420B79A4">
            <w:pPr>
              <w:pStyle w:val="3"/>
              <w:spacing w:before="0" w:after="0" w:line="360" w:lineRule="auto"/>
              <w:ind w:firstLine="480" w:firstLineChars="200"/>
              <w:rPr>
                <w:rFonts w:hint="eastAsia" w:ascii="宋体" w:hAnsi="宋体" w:eastAsia="宋体" w:cs="宋体"/>
                <w:b w:val="0"/>
                <w:color w:val="auto"/>
                <w:sz w:val="24"/>
                <w:szCs w:val="24"/>
              </w:rPr>
            </w:pPr>
            <w:r>
              <w:rPr>
                <w:rFonts w:hint="eastAsia" w:ascii="宋体" w:hAnsi="宋体" w:eastAsia="宋体" w:cs="宋体"/>
                <w:b w:val="0"/>
                <w:color w:val="auto"/>
                <w:sz w:val="24"/>
                <w:szCs w:val="24"/>
              </w:rPr>
              <w:t xml:space="preserve">本项目环保措施应当与整合主体工程同时设计、同时施工和同时投产，环保设施按照建设项目竣工环境保护验收管理办法，工程完成后在规定时间建设单位应向当地环保部门提出申请环保设施竣工验收，同时提交竣工环境保护验收调查报告。  </w:t>
            </w:r>
          </w:p>
          <w:p w14:paraId="443B62FA">
            <w:pPr>
              <w:pStyle w:val="3"/>
              <w:spacing w:before="0" w:after="0" w:line="360" w:lineRule="auto"/>
              <w:ind w:firstLine="1687" w:firstLineChars="700"/>
              <w:rPr>
                <w:rFonts w:hint="eastAsia" w:ascii="宋体" w:hAnsi="宋体" w:eastAsia="宋体" w:cs="宋体"/>
                <w:color w:val="auto"/>
                <w:sz w:val="24"/>
                <w:szCs w:val="24"/>
              </w:rPr>
            </w:pPr>
            <w:r>
              <w:rPr>
                <w:rFonts w:hint="eastAsia" w:ascii="宋体" w:hAnsi="宋体" w:eastAsia="宋体" w:cs="宋体"/>
                <w:color w:val="auto"/>
                <w:sz w:val="24"/>
                <w:szCs w:val="24"/>
              </w:rPr>
              <w:t>表5-2  项目纳古卫生院环保设施竣工验收一览表</w:t>
            </w:r>
          </w:p>
          <w:tbl>
            <w:tblPr>
              <w:tblStyle w:val="33"/>
              <w:tblW w:w="7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964"/>
              <w:gridCol w:w="2389"/>
              <w:gridCol w:w="3234"/>
            </w:tblGrid>
            <w:tr w14:paraId="2C88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19" w:type="pct"/>
                  <w:vAlign w:val="center"/>
                </w:tcPr>
                <w:p w14:paraId="7DE08411">
                  <w:pPr>
                    <w:jc w:val="center"/>
                    <w:rPr>
                      <w:rFonts w:hint="eastAsia" w:ascii="宋体" w:hAnsi="宋体" w:cs="宋体"/>
                      <w:b/>
                      <w:bCs/>
                      <w:color w:val="auto"/>
                      <w:szCs w:val="21"/>
                    </w:rPr>
                  </w:pPr>
                  <w:r>
                    <w:rPr>
                      <w:rFonts w:hint="eastAsia" w:ascii="宋体" w:hAnsi="宋体" w:cs="宋体"/>
                      <w:b/>
                      <w:bCs/>
                      <w:color w:val="auto"/>
                      <w:szCs w:val="21"/>
                    </w:rPr>
                    <w:t>项目</w:t>
                  </w:r>
                </w:p>
              </w:tc>
              <w:tc>
                <w:tcPr>
                  <w:tcW w:w="641" w:type="pct"/>
                  <w:vAlign w:val="center"/>
                </w:tcPr>
                <w:p w14:paraId="0A8D9210">
                  <w:pPr>
                    <w:jc w:val="center"/>
                    <w:rPr>
                      <w:rFonts w:hint="eastAsia" w:ascii="宋体" w:hAnsi="宋体" w:cs="宋体"/>
                      <w:b/>
                      <w:bCs/>
                      <w:color w:val="auto"/>
                      <w:szCs w:val="21"/>
                    </w:rPr>
                  </w:pPr>
                  <w:r>
                    <w:rPr>
                      <w:rFonts w:hint="eastAsia" w:ascii="宋体" w:hAnsi="宋体" w:cs="宋体"/>
                      <w:b/>
                      <w:bCs/>
                      <w:color w:val="auto"/>
                      <w:szCs w:val="21"/>
                    </w:rPr>
                    <w:t>验收对象</w:t>
                  </w:r>
                </w:p>
              </w:tc>
              <w:tc>
                <w:tcPr>
                  <w:tcW w:w="1588" w:type="pct"/>
                  <w:vAlign w:val="center"/>
                </w:tcPr>
                <w:p w14:paraId="6596FF46">
                  <w:pPr>
                    <w:jc w:val="center"/>
                    <w:rPr>
                      <w:rFonts w:hint="eastAsia" w:ascii="宋体" w:hAnsi="宋体" w:cs="宋体"/>
                      <w:b/>
                      <w:bCs/>
                      <w:color w:val="auto"/>
                      <w:szCs w:val="21"/>
                    </w:rPr>
                  </w:pPr>
                  <w:r>
                    <w:rPr>
                      <w:rFonts w:hint="eastAsia" w:ascii="宋体" w:hAnsi="宋体" w:cs="宋体"/>
                      <w:b/>
                      <w:bCs/>
                      <w:color w:val="auto"/>
                      <w:szCs w:val="21"/>
                    </w:rPr>
                    <w:t>治理措施</w:t>
                  </w:r>
                </w:p>
              </w:tc>
              <w:tc>
                <w:tcPr>
                  <w:tcW w:w="2150" w:type="pct"/>
                  <w:vAlign w:val="center"/>
                </w:tcPr>
                <w:p w14:paraId="10A1D451">
                  <w:pPr>
                    <w:jc w:val="center"/>
                    <w:rPr>
                      <w:rFonts w:hint="eastAsia" w:ascii="宋体" w:hAnsi="宋体" w:cs="宋体"/>
                      <w:b/>
                      <w:bCs/>
                      <w:color w:val="auto"/>
                      <w:szCs w:val="21"/>
                    </w:rPr>
                  </w:pPr>
                  <w:r>
                    <w:rPr>
                      <w:rFonts w:hint="eastAsia" w:ascii="宋体" w:hAnsi="宋体" w:cs="宋体"/>
                      <w:b/>
                      <w:bCs/>
                      <w:color w:val="auto"/>
                      <w:szCs w:val="21"/>
                    </w:rPr>
                    <w:t>验收标准</w:t>
                  </w:r>
                </w:p>
              </w:tc>
            </w:tr>
            <w:tr w14:paraId="2A5C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619" w:type="pct"/>
                  <w:vAlign w:val="center"/>
                </w:tcPr>
                <w:p w14:paraId="7E44D2D8">
                  <w:pPr>
                    <w:jc w:val="center"/>
                    <w:rPr>
                      <w:rFonts w:hint="eastAsia" w:ascii="宋体" w:hAnsi="宋体" w:cs="宋体"/>
                      <w:color w:val="auto"/>
                      <w:szCs w:val="21"/>
                    </w:rPr>
                  </w:pPr>
                  <w:r>
                    <w:rPr>
                      <w:rFonts w:hint="eastAsia" w:ascii="宋体" w:hAnsi="宋体" w:cs="宋体"/>
                      <w:color w:val="auto"/>
                      <w:szCs w:val="21"/>
                    </w:rPr>
                    <w:t>大气污染防治措施</w:t>
                  </w:r>
                </w:p>
              </w:tc>
              <w:tc>
                <w:tcPr>
                  <w:tcW w:w="641" w:type="pct"/>
                  <w:vAlign w:val="center"/>
                </w:tcPr>
                <w:p w14:paraId="6880F57D">
                  <w:pPr>
                    <w:jc w:val="center"/>
                    <w:rPr>
                      <w:rFonts w:hint="eastAsia" w:ascii="宋体" w:hAnsi="宋体" w:cs="宋体"/>
                      <w:color w:val="auto"/>
                      <w:szCs w:val="21"/>
                    </w:rPr>
                  </w:pPr>
                  <w:r>
                    <w:rPr>
                      <w:rFonts w:hint="eastAsia" w:ascii="宋体" w:hAnsi="宋体" w:cs="宋体"/>
                      <w:bCs/>
                      <w:color w:val="auto"/>
                      <w:spacing w:val="-10"/>
                      <w:szCs w:val="21"/>
                    </w:rPr>
                    <w:t>污水处理站周界恶臭气体</w:t>
                  </w:r>
                </w:p>
              </w:tc>
              <w:tc>
                <w:tcPr>
                  <w:tcW w:w="1588" w:type="pct"/>
                  <w:vAlign w:val="center"/>
                </w:tcPr>
                <w:p w14:paraId="035A2F53">
                  <w:pPr>
                    <w:jc w:val="center"/>
                    <w:rPr>
                      <w:rFonts w:hint="eastAsia" w:ascii="宋体" w:hAnsi="宋体" w:cs="宋体"/>
                      <w:color w:val="auto"/>
                      <w:szCs w:val="21"/>
                    </w:rPr>
                  </w:pPr>
                  <w:r>
                    <w:rPr>
                      <w:rFonts w:hint="eastAsia" w:ascii="宋体" w:hAnsi="宋体" w:cs="宋体"/>
                      <w:color w:val="auto"/>
                      <w:szCs w:val="21"/>
                    </w:rPr>
                    <w:t>污水处理站设置在地下一层，为地埋式，</w:t>
                  </w:r>
                  <w:r>
                    <w:rPr>
                      <w:rFonts w:hint="eastAsia" w:ascii="宋体" w:hAnsi="宋体" w:cs="宋体"/>
                      <w:color w:val="auto"/>
                      <w:kern w:val="0"/>
                      <w:szCs w:val="21"/>
                      <w:lang w:bidi="ar"/>
                    </w:rPr>
                    <w:t>在盖板上留有换气口，并在换气口附近投放除臭剂</w:t>
                  </w:r>
                </w:p>
              </w:tc>
              <w:tc>
                <w:tcPr>
                  <w:tcW w:w="2150" w:type="pct"/>
                  <w:vAlign w:val="center"/>
                </w:tcPr>
                <w:p w14:paraId="5D3F37DD">
                  <w:pPr>
                    <w:jc w:val="center"/>
                    <w:rPr>
                      <w:rFonts w:hint="eastAsia" w:ascii="宋体" w:hAnsi="宋体" w:cs="宋体"/>
                      <w:color w:val="auto"/>
                      <w:szCs w:val="21"/>
                    </w:rPr>
                  </w:pPr>
                  <w:r>
                    <w:rPr>
                      <w:rFonts w:hint="eastAsia" w:ascii="宋体" w:hAnsi="宋体" w:cs="宋体"/>
                      <w:bCs/>
                      <w:color w:val="auto"/>
                      <w:kern w:val="0"/>
                      <w:szCs w:val="21"/>
                      <w:lang w:bidi="ar"/>
                    </w:rPr>
                    <w:t>《医疗机构水污染物排放标准》（GB 18466-2005）表3污水处理设施周边大气污染物最高允许浓度</w:t>
                  </w:r>
                </w:p>
              </w:tc>
            </w:tr>
            <w:tr w14:paraId="6E2B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619" w:type="pct"/>
                  <w:vAlign w:val="center"/>
                </w:tcPr>
                <w:p w14:paraId="5DA1A106">
                  <w:pPr>
                    <w:jc w:val="center"/>
                    <w:rPr>
                      <w:rFonts w:hint="eastAsia" w:ascii="宋体" w:hAnsi="宋体" w:cs="宋体"/>
                      <w:color w:val="auto"/>
                      <w:szCs w:val="21"/>
                    </w:rPr>
                  </w:pPr>
                  <w:r>
                    <w:rPr>
                      <w:rFonts w:hint="eastAsia" w:ascii="宋体" w:hAnsi="宋体" w:cs="宋体"/>
                      <w:color w:val="auto"/>
                      <w:szCs w:val="21"/>
                    </w:rPr>
                    <w:t>噪声防治措施</w:t>
                  </w:r>
                </w:p>
              </w:tc>
              <w:tc>
                <w:tcPr>
                  <w:tcW w:w="641" w:type="pct"/>
                  <w:vAlign w:val="center"/>
                </w:tcPr>
                <w:p w14:paraId="0D7FB33E">
                  <w:pPr>
                    <w:jc w:val="center"/>
                    <w:rPr>
                      <w:rFonts w:hint="eastAsia" w:ascii="宋体" w:hAnsi="宋体" w:cs="宋体"/>
                      <w:color w:val="auto"/>
                      <w:szCs w:val="21"/>
                    </w:rPr>
                  </w:pPr>
                  <w:r>
                    <w:rPr>
                      <w:rFonts w:hint="eastAsia" w:ascii="宋体" w:hAnsi="宋体" w:cs="宋体"/>
                      <w:color w:val="auto"/>
                      <w:szCs w:val="21"/>
                    </w:rPr>
                    <w:t>噪声</w:t>
                  </w:r>
                </w:p>
              </w:tc>
              <w:tc>
                <w:tcPr>
                  <w:tcW w:w="1588" w:type="pct"/>
                  <w:vAlign w:val="center"/>
                </w:tcPr>
                <w:p w14:paraId="0F110126">
                  <w:pPr>
                    <w:jc w:val="center"/>
                    <w:rPr>
                      <w:rFonts w:hint="eastAsia" w:ascii="宋体" w:hAnsi="宋体" w:cs="宋体"/>
                      <w:color w:val="auto"/>
                      <w:szCs w:val="21"/>
                    </w:rPr>
                  </w:pPr>
                  <w:r>
                    <w:rPr>
                      <w:rStyle w:val="126"/>
                      <w:rFonts w:hint="eastAsia"/>
                      <w:color w:val="auto"/>
                    </w:rPr>
                    <w:t>污水处理系统水泵减</w:t>
                  </w:r>
                  <w:r>
                    <w:rPr>
                      <w:rFonts w:hint="eastAsia"/>
                      <w:color w:val="auto"/>
                      <w:szCs w:val="21"/>
                    </w:rPr>
                    <w:t>振</w:t>
                  </w:r>
                  <w:r>
                    <w:rPr>
                      <w:rStyle w:val="126"/>
                      <w:rFonts w:hint="eastAsia"/>
                      <w:color w:val="auto"/>
                    </w:rPr>
                    <w:t>、</w:t>
                  </w:r>
                  <w:r>
                    <w:rPr>
                      <w:rFonts w:hint="eastAsia" w:ascii="宋体" w:hAnsi="宋体" w:cs="宋体"/>
                      <w:color w:val="auto"/>
                      <w:szCs w:val="21"/>
                    </w:rPr>
                    <w:t>风机安装消声器</w:t>
                  </w:r>
                  <w:r>
                    <w:rPr>
                      <w:rFonts w:hint="eastAsia"/>
                      <w:color w:val="auto"/>
                      <w:szCs w:val="21"/>
                    </w:rPr>
                    <w:t>、建筑隔声、柴油发电机设置于独立的设备房</w:t>
                  </w:r>
                </w:p>
              </w:tc>
              <w:tc>
                <w:tcPr>
                  <w:tcW w:w="2150" w:type="pct"/>
                  <w:vAlign w:val="center"/>
                </w:tcPr>
                <w:p w14:paraId="0B9857B2">
                  <w:pPr>
                    <w:jc w:val="center"/>
                    <w:rPr>
                      <w:rFonts w:hint="eastAsia" w:ascii="宋体" w:hAnsi="宋体" w:cs="宋体"/>
                      <w:color w:val="auto"/>
                      <w:szCs w:val="21"/>
                    </w:rPr>
                  </w:pPr>
                  <w:r>
                    <w:rPr>
                      <w:rFonts w:hint="eastAsia" w:ascii="宋体" w:hAnsi="宋体" w:cs="宋体"/>
                      <w:snapToGrid w:val="0"/>
                      <w:color w:val="auto"/>
                      <w:szCs w:val="21"/>
                    </w:rPr>
                    <w:t>厂界</w:t>
                  </w:r>
                  <w:r>
                    <w:rPr>
                      <w:rFonts w:hint="eastAsia" w:ascii="宋体" w:hAnsi="宋体" w:cs="宋体"/>
                      <w:color w:val="auto"/>
                      <w:kern w:val="0"/>
                      <w:szCs w:val="21"/>
                      <w:lang w:bidi="ar"/>
                    </w:rPr>
                    <w:t>执行《工业企业厂界环境噪声排放标准》（GB12348-2008）2类标准</w:t>
                  </w:r>
                </w:p>
              </w:tc>
            </w:tr>
            <w:tr w14:paraId="2460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19" w:type="pct"/>
                  <w:vMerge w:val="restart"/>
                  <w:vAlign w:val="center"/>
                </w:tcPr>
                <w:p w14:paraId="1C7A9BAC">
                  <w:pPr>
                    <w:jc w:val="center"/>
                    <w:rPr>
                      <w:rFonts w:hint="eastAsia" w:ascii="宋体" w:hAnsi="宋体" w:cs="宋体"/>
                      <w:color w:val="auto"/>
                      <w:szCs w:val="21"/>
                    </w:rPr>
                  </w:pPr>
                  <w:r>
                    <w:rPr>
                      <w:rFonts w:hint="eastAsia" w:ascii="宋体" w:hAnsi="宋体" w:cs="宋体"/>
                      <w:color w:val="auto"/>
                      <w:szCs w:val="21"/>
                    </w:rPr>
                    <w:t>废水防治措施</w:t>
                  </w:r>
                </w:p>
              </w:tc>
              <w:tc>
                <w:tcPr>
                  <w:tcW w:w="641" w:type="pct"/>
                  <w:vMerge w:val="restart"/>
                  <w:vAlign w:val="center"/>
                </w:tcPr>
                <w:p w14:paraId="1DC8B613">
                  <w:pPr>
                    <w:jc w:val="center"/>
                    <w:rPr>
                      <w:rFonts w:hint="eastAsia" w:ascii="宋体" w:hAnsi="宋体" w:cs="宋体"/>
                      <w:color w:val="auto"/>
                      <w:szCs w:val="21"/>
                    </w:rPr>
                  </w:pPr>
                  <w:r>
                    <w:rPr>
                      <w:rFonts w:hint="eastAsia" w:ascii="宋体" w:hAnsi="宋体" w:cs="宋体"/>
                      <w:color w:val="auto"/>
                      <w:szCs w:val="21"/>
                    </w:rPr>
                    <w:t>一般医疗废水</w:t>
                  </w:r>
                </w:p>
              </w:tc>
              <w:tc>
                <w:tcPr>
                  <w:tcW w:w="1588" w:type="pct"/>
                  <w:vAlign w:val="center"/>
                </w:tcPr>
                <w:p w14:paraId="3B20D845">
                  <w:pPr>
                    <w:snapToGrid w:val="0"/>
                    <w:jc w:val="center"/>
                    <w:rPr>
                      <w:color w:val="auto"/>
                      <w:szCs w:val="21"/>
                    </w:rPr>
                  </w:pPr>
                  <w:r>
                    <w:rPr>
                      <w:rFonts w:hint="eastAsia"/>
                      <w:bCs/>
                      <w:color w:val="auto"/>
                      <w:szCs w:val="21"/>
                    </w:rPr>
                    <w:t>化粪池：</w:t>
                  </w:r>
                  <w:r>
                    <w:rPr>
                      <w:bCs/>
                      <w:color w:val="auto"/>
                      <w:szCs w:val="21"/>
                    </w:rPr>
                    <w:t>本项目自建</w:t>
                  </w:r>
                  <w:r>
                    <w:rPr>
                      <w:color w:val="auto"/>
                      <w:szCs w:val="21"/>
                    </w:rPr>
                    <w:t>化粪池</w:t>
                  </w:r>
                  <w:r>
                    <w:rPr>
                      <w:bCs/>
                      <w:color w:val="auto"/>
                      <w:szCs w:val="21"/>
                    </w:rPr>
                    <w:t>总容积不小于9m³</w:t>
                  </w:r>
                </w:p>
              </w:tc>
              <w:tc>
                <w:tcPr>
                  <w:tcW w:w="2150" w:type="pct"/>
                  <w:vMerge w:val="restart"/>
                  <w:vAlign w:val="center"/>
                </w:tcPr>
                <w:p w14:paraId="2A39E07A">
                  <w:pPr>
                    <w:pStyle w:val="12"/>
                    <w:jc w:val="center"/>
                    <w:rPr>
                      <w:rFonts w:hint="eastAsia" w:ascii="宋体" w:hAnsi="宋体" w:cs="宋体"/>
                      <w:color w:val="auto"/>
                      <w:szCs w:val="21"/>
                    </w:rPr>
                  </w:pPr>
                  <w:r>
                    <w:rPr>
                      <w:rFonts w:hint="eastAsia" w:ascii="宋体" w:hAnsi="宋体" w:cs="宋体"/>
                      <w:b w:val="0"/>
                      <w:bCs w:val="0"/>
                      <w:color w:val="auto"/>
                      <w:szCs w:val="21"/>
                    </w:rPr>
                    <w:t>《医疗机构水污染物排放标准》（GB18466-2005）“表 2 综合医疗机构和其他医疗机构水污染物排放限值（日均值）”中的预处理标准，氨氮、总磷达到《污水排入城镇下水道水质标准》（GB/T31962-2015）B 等级标准</w:t>
                  </w:r>
                </w:p>
              </w:tc>
            </w:tr>
            <w:tr w14:paraId="5490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19" w:type="pct"/>
                  <w:vMerge w:val="continue"/>
                  <w:vAlign w:val="center"/>
                </w:tcPr>
                <w:p w14:paraId="6B71136F">
                  <w:pPr>
                    <w:jc w:val="center"/>
                    <w:rPr>
                      <w:rFonts w:hint="eastAsia" w:ascii="宋体" w:hAnsi="宋体" w:cs="宋体"/>
                      <w:color w:val="auto"/>
                      <w:szCs w:val="21"/>
                    </w:rPr>
                  </w:pPr>
                </w:p>
              </w:tc>
              <w:tc>
                <w:tcPr>
                  <w:tcW w:w="641" w:type="pct"/>
                  <w:vMerge w:val="continue"/>
                  <w:vAlign w:val="center"/>
                </w:tcPr>
                <w:p w14:paraId="05243235">
                  <w:pPr>
                    <w:jc w:val="center"/>
                    <w:rPr>
                      <w:rFonts w:hint="eastAsia" w:ascii="宋体" w:hAnsi="宋体" w:cs="宋体"/>
                      <w:color w:val="auto"/>
                      <w:szCs w:val="21"/>
                    </w:rPr>
                  </w:pPr>
                </w:p>
              </w:tc>
              <w:tc>
                <w:tcPr>
                  <w:tcW w:w="1588" w:type="pct"/>
                  <w:vAlign w:val="center"/>
                </w:tcPr>
                <w:p w14:paraId="65A60F7E">
                  <w:pPr>
                    <w:snapToGrid w:val="0"/>
                    <w:jc w:val="center"/>
                    <w:rPr>
                      <w:bCs/>
                      <w:color w:val="auto"/>
                      <w:szCs w:val="21"/>
                    </w:rPr>
                  </w:pPr>
                  <w:r>
                    <w:rPr>
                      <w:rFonts w:hint="eastAsia"/>
                      <w:bCs/>
                      <w:color w:val="auto"/>
                      <w:szCs w:val="21"/>
                    </w:rPr>
                    <w:t>污水处理站：</w:t>
                  </w:r>
                  <w:r>
                    <w:rPr>
                      <w:bCs/>
                      <w:color w:val="auto"/>
                      <w:szCs w:val="21"/>
                    </w:rPr>
                    <w:t>本项目自建的污水站处理规模不小于</w:t>
                  </w:r>
                  <w:r>
                    <w:rPr>
                      <w:rFonts w:hint="eastAsia"/>
                      <w:bCs/>
                      <w:color w:val="auto"/>
                      <w:szCs w:val="21"/>
                    </w:rPr>
                    <w:t>10</w:t>
                  </w:r>
                  <w:r>
                    <w:rPr>
                      <w:bCs/>
                      <w:color w:val="auto"/>
                      <w:szCs w:val="21"/>
                    </w:rPr>
                    <w:t>m³/d</w:t>
                  </w:r>
                </w:p>
              </w:tc>
              <w:tc>
                <w:tcPr>
                  <w:tcW w:w="2150" w:type="pct"/>
                  <w:vMerge w:val="continue"/>
                  <w:vAlign w:val="center"/>
                </w:tcPr>
                <w:p w14:paraId="2AE69413">
                  <w:pPr>
                    <w:pStyle w:val="12"/>
                    <w:jc w:val="center"/>
                    <w:rPr>
                      <w:rFonts w:hint="eastAsia" w:ascii="宋体" w:hAnsi="宋体" w:cs="宋体"/>
                      <w:b w:val="0"/>
                      <w:bCs w:val="0"/>
                      <w:color w:val="auto"/>
                      <w:szCs w:val="21"/>
                    </w:rPr>
                  </w:pPr>
                </w:p>
              </w:tc>
            </w:tr>
            <w:tr w14:paraId="43A9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19" w:type="pct"/>
                  <w:vMerge w:val="continue"/>
                  <w:vAlign w:val="center"/>
                </w:tcPr>
                <w:p w14:paraId="5D13CC92">
                  <w:pPr>
                    <w:jc w:val="center"/>
                    <w:rPr>
                      <w:rFonts w:hint="eastAsia" w:ascii="宋体" w:hAnsi="宋体" w:cs="宋体"/>
                      <w:color w:val="auto"/>
                      <w:szCs w:val="21"/>
                    </w:rPr>
                  </w:pPr>
                </w:p>
              </w:tc>
              <w:tc>
                <w:tcPr>
                  <w:tcW w:w="641" w:type="pct"/>
                  <w:vAlign w:val="center"/>
                </w:tcPr>
                <w:p w14:paraId="74532E99">
                  <w:pPr>
                    <w:jc w:val="center"/>
                    <w:rPr>
                      <w:rFonts w:hint="eastAsia" w:ascii="宋体" w:hAnsi="宋体" w:cs="宋体"/>
                      <w:color w:val="auto"/>
                      <w:szCs w:val="21"/>
                    </w:rPr>
                  </w:pPr>
                  <w:r>
                    <w:rPr>
                      <w:rFonts w:hint="eastAsia" w:ascii="宋体" w:hAnsi="宋体" w:cs="宋体"/>
                      <w:color w:val="auto"/>
                      <w:szCs w:val="21"/>
                    </w:rPr>
                    <w:t>检验科检验废水</w:t>
                  </w:r>
                </w:p>
              </w:tc>
              <w:tc>
                <w:tcPr>
                  <w:tcW w:w="1588" w:type="pct"/>
                  <w:vAlign w:val="center"/>
                </w:tcPr>
                <w:p w14:paraId="3BF60765">
                  <w:pPr>
                    <w:snapToGrid w:val="0"/>
                    <w:jc w:val="center"/>
                    <w:rPr>
                      <w:bCs/>
                      <w:color w:val="auto"/>
                      <w:szCs w:val="21"/>
                    </w:rPr>
                  </w:pPr>
                  <w:r>
                    <w:rPr>
                      <w:color w:val="auto"/>
                      <w:szCs w:val="21"/>
                    </w:rPr>
                    <w:t>依托</w:t>
                  </w:r>
                  <w:r>
                    <w:rPr>
                      <w:rFonts w:hint="eastAsia"/>
                      <w:color w:val="auto"/>
                      <w:szCs w:val="21"/>
                    </w:rPr>
                    <w:t>纳古</w:t>
                  </w:r>
                  <w:r>
                    <w:rPr>
                      <w:color w:val="auto"/>
                      <w:szCs w:val="21"/>
                    </w:rPr>
                    <w:t>卫生</w:t>
                  </w:r>
                  <w:r>
                    <w:rPr>
                      <w:rFonts w:hint="eastAsia"/>
                      <w:color w:val="auto"/>
                      <w:szCs w:val="21"/>
                    </w:rPr>
                    <w:t>院</w:t>
                  </w:r>
                  <w:r>
                    <w:rPr>
                      <w:color w:val="auto"/>
                      <w:szCs w:val="21"/>
                    </w:rPr>
                    <w:t>现有的预处理设施</w:t>
                  </w:r>
                  <w:r>
                    <w:rPr>
                      <w:rFonts w:hint="eastAsia"/>
                      <w:color w:val="auto"/>
                      <w:szCs w:val="21"/>
                    </w:rPr>
                    <w:t>2</w:t>
                  </w:r>
                  <w:r>
                    <w:rPr>
                      <w:color w:val="auto"/>
                      <w:szCs w:val="21"/>
                    </w:rPr>
                    <w:t>个50L的收集桶收集酸性废水（两备两用），采取酸碱预处理</w:t>
                  </w:r>
                </w:p>
              </w:tc>
              <w:tc>
                <w:tcPr>
                  <w:tcW w:w="2150" w:type="pct"/>
                  <w:vMerge w:val="continue"/>
                  <w:vAlign w:val="center"/>
                </w:tcPr>
                <w:p w14:paraId="3B8ED396">
                  <w:pPr>
                    <w:pStyle w:val="12"/>
                    <w:jc w:val="center"/>
                    <w:rPr>
                      <w:rFonts w:hint="eastAsia" w:ascii="宋体" w:hAnsi="宋体" w:cs="宋体"/>
                      <w:b w:val="0"/>
                      <w:bCs w:val="0"/>
                      <w:color w:val="auto"/>
                      <w:szCs w:val="21"/>
                    </w:rPr>
                  </w:pPr>
                </w:p>
              </w:tc>
            </w:tr>
            <w:tr w14:paraId="0160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19" w:type="pct"/>
                  <w:vMerge w:val="restart"/>
                  <w:vAlign w:val="center"/>
                </w:tcPr>
                <w:p w14:paraId="26DCFC3D">
                  <w:pPr>
                    <w:jc w:val="center"/>
                    <w:rPr>
                      <w:rFonts w:hint="eastAsia" w:ascii="宋体" w:hAnsi="宋体" w:cs="宋体"/>
                      <w:color w:val="auto"/>
                      <w:szCs w:val="21"/>
                    </w:rPr>
                  </w:pPr>
                </w:p>
                <w:p w14:paraId="2EADBE28">
                  <w:pPr>
                    <w:jc w:val="center"/>
                    <w:rPr>
                      <w:rFonts w:hint="eastAsia" w:ascii="宋体" w:hAnsi="宋体" w:cs="宋体"/>
                      <w:color w:val="auto"/>
                      <w:szCs w:val="21"/>
                    </w:rPr>
                  </w:pPr>
                </w:p>
                <w:p w14:paraId="029F080C">
                  <w:pPr>
                    <w:jc w:val="center"/>
                    <w:rPr>
                      <w:rFonts w:hint="eastAsia" w:ascii="宋体" w:hAnsi="宋体" w:cs="宋体"/>
                      <w:color w:val="auto"/>
                      <w:szCs w:val="21"/>
                    </w:rPr>
                  </w:pPr>
                  <w:r>
                    <w:rPr>
                      <w:rFonts w:hint="eastAsia" w:ascii="宋体" w:hAnsi="宋体" w:cs="宋体"/>
                      <w:color w:val="auto"/>
                      <w:szCs w:val="21"/>
                    </w:rPr>
                    <w:t>固废防治措施</w:t>
                  </w:r>
                </w:p>
              </w:tc>
              <w:tc>
                <w:tcPr>
                  <w:tcW w:w="641" w:type="pct"/>
                  <w:vAlign w:val="center"/>
                </w:tcPr>
                <w:p w14:paraId="045AAE2F">
                  <w:pPr>
                    <w:jc w:val="center"/>
                    <w:rPr>
                      <w:rFonts w:hint="eastAsia" w:ascii="宋体" w:hAnsi="宋体" w:cs="宋体"/>
                      <w:color w:val="auto"/>
                      <w:szCs w:val="21"/>
                    </w:rPr>
                  </w:pPr>
                  <w:r>
                    <w:rPr>
                      <w:rFonts w:hint="eastAsia" w:ascii="宋体" w:hAnsi="宋体" w:cs="宋体"/>
                      <w:bCs/>
                      <w:color w:val="auto"/>
                      <w:szCs w:val="21"/>
                    </w:rPr>
                    <w:t>医疗固废</w:t>
                  </w:r>
                </w:p>
              </w:tc>
              <w:tc>
                <w:tcPr>
                  <w:tcW w:w="1588" w:type="pct"/>
                  <w:vAlign w:val="center"/>
                </w:tcPr>
                <w:p w14:paraId="554BEFD2">
                  <w:pPr>
                    <w:autoSpaceDE w:val="0"/>
                    <w:autoSpaceDN w:val="0"/>
                    <w:jc w:val="center"/>
                    <w:rPr>
                      <w:rFonts w:hint="eastAsia" w:ascii="宋体" w:hAnsi="宋体" w:cs="宋体"/>
                      <w:color w:val="auto"/>
                      <w:szCs w:val="21"/>
                    </w:rPr>
                  </w:pPr>
                  <w:r>
                    <w:rPr>
                      <w:rFonts w:hint="eastAsia" w:ascii="宋体" w:hAnsi="宋体" w:cs="宋体"/>
                      <w:color w:val="auto"/>
                      <w:szCs w:val="21"/>
                    </w:rPr>
                    <w:t>消毒、分类、毁形、收集包装，放入卫生院已建好的医疗废物暂存间暂存，交由玉溪兴洁垃圾处理有限公司</w:t>
                  </w:r>
                </w:p>
              </w:tc>
              <w:tc>
                <w:tcPr>
                  <w:tcW w:w="2150" w:type="pct"/>
                  <w:vMerge w:val="restart"/>
                  <w:vAlign w:val="center"/>
                </w:tcPr>
                <w:p w14:paraId="7A4658BB">
                  <w:pPr>
                    <w:jc w:val="center"/>
                    <w:rPr>
                      <w:rFonts w:hint="eastAsia" w:ascii="宋体" w:hAnsi="宋体" w:cs="宋体"/>
                      <w:color w:val="auto"/>
                      <w:szCs w:val="21"/>
                    </w:rPr>
                  </w:pPr>
                  <w:r>
                    <w:rPr>
                      <w:rFonts w:hint="eastAsia" w:ascii="宋体" w:hAnsi="宋体" w:cs="宋体"/>
                      <w:color w:val="auto"/>
                      <w:szCs w:val="21"/>
                    </w:rPr>
                    <w:t>处置率100%</w:t>
                  </w:r>
                </w:p>
              </w:tc>
            </w:tr>
            <w:tr w14:paraId="440F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19" w:type="pct"/>
                  <w:vMerge w:val="continue"/>
                  <w:vAlign w:val="center"/>
                </w:tcPr>
                <w:p w14:paraId="66B302DA">
                  <w:pPr>
                    <w:jc w:val="center"/>
                    <w:rPr>
                      <w:rFonts w:hint="eastAsia" w:ascii="宋体" w:hAnsi="宋体" w:cs="宋体"/>
                      <w:color w:val="auto"/>
                      <w:szCs w:val="21"/>
                    </w:rPr>
                  </w:pPr>
                </w:p>
              </w:tc>
              <w:tc>
                <w:tcPr>
                  <w:tcW w:w="641" w:type="pct"/>
                  <w:vAlign w:val="center"/>
                </w:tcPr>
                <w:p w14:paraId="416D0008">
                  <w:pPr>
                    <w:jc w:val="center"/>
                    <w:rPr>
                      <w:rFonts w:hint="eastAsia" w:ascii="宋体" w:hAnsi="宋体" w:cs="宋体"/>
                      <w:color w:val="auto"/>
                      <w:szCs w:val="21"/>
                    </w:rPr>
                  </w:pPr>
                  <w:r>
                    <w:rPr>
                      <w:rFonts w:hint="eastAsia" w:ascii="宋体" w:hAnsi="宋体" w:cs="宋体"/>
                      <w:bCs/>
                      <w:color w:val="auto"/>
                      <w:szCs w:val="21"/>
                    </w:rPr>
                    <w:t>污水站污泥和化粪池污泥</w:t>
                  </w:r>
                </w:p>
              </w:tc>
              <w:tc>
                <w:tcPr>
                  <w:tcW w:w="1588" w:type="pct"/>
                  <w:vAlign w:val="center"/>
                </w:tcPr>
                <w:p w14:paraId="1413D85A">
                  <w:pPr>
                    <w:autoSpaceDE w:val="0"/>
                    <w:autoSpaceDN w:val="0"/>
                    <w:jc w:val="center"/>
                    <w:rPr>
                      <w:rFonts w:hint="eastAsia" w:ascii="宋体" w:hAnsi="宋体" w:cs="宋体"/>
                      <w:color w:val="auto"/>
                      <w:szCs w:val="21"/>
                    </w:rPr>
                  </w:pPr>
                  <w:r>
                    <w:rPr>
                      <w:rFonts w:hint="eastAsia"/>
                      <w:color w:val="auto"/>
                      <w:szCs w:val="21"/>
                    </w:rPr>
                    <w:t>由环卫部门定期清掏脱水后由环卫部门交由有资质单位处置</w:t>
                  </w:r>
                </w:p>
              </w:tc>
              <w:tc>
                <w:tcPr>
                  <w:tcW w:w="2150" w:type="pct"/>
                  <w:vMerge w:val="continue"/>
                  <w:vAlign w:val="center"/>
                </w:tcPr>
                <w:p w14:paraId="4F2BBFD2">
                  <w:pPr>
                    <w:jc w:val="center"/>
                    <w:rPr>
                      <w:rFonts w:hint="eastAsia" w:ascii="宋体" w:hAnsi="宋体" w:cs="宋体"/>
                      <w:color w:val="auto"/>
                      <w:szCs w:val="21"/>
                    </w:rPr>
                  </w:pPr>
                </w:p>
              </w:tc>
            </w:tr>
            <w:tr w14:paraId="2A63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trPr>
              <w:tc>
                <w:tcPr>
                  <w:tcW w:w="619" w:type="pct"/>
                  <w:vMerge w:val="continue"/>
                  <w:vAlign w:val="center"/>
                </w:tcPr>
                <w:p w14:paraId="76FA02CE">
                  <w:pPr>
                    <w:jc w:val="center"/>
                    <w:rPr>
                      <w:rFonts w:hint="eastAsia" w:ascii="宋体" w:hAnsi="宋体" w:cs="宋体"/>
                      <w:color w:val="auto"/>
                      <w:szCs w:val="21"/>
                    </w:rPr>
                  </w:pPr>
                </w:p>
              </w:tc>
              <w:tc>
                <w:tcPr>
                  <w:tcW w:w="641" w:type="pct"/>
                  <w:vAlign w:val="center"/>
                </w:tcPr>
                <w:p w14:paraId="3F5C0F15">
                  <w:pPr>
                    <w:jc w:val="center"/>
                    <w:rPr>
                      <w:rFonts w:hint="eastAsia" w:ascii="宋体" w:hAnsi="宋体" w:cs="宋体"/>
                      <w:color w:val="auto"/>
                      <w:szCs w:val="21"/>
                    </w:rPr>
                  </w:pPr>
                  <w:r>
                    <w:rPr>
                      <w:rFonts w:hint="eastAsia" w:ascii="宋体" w:hAnsi="宋体" w:cs="宋体"/>
                      <w:color w:val="auto"/>
                      <w:szCs w:val="21"/>
                    </w:rPr>
                    <w:t>生活垃圾</w:t>
                  </w:r>
                </w:p>
              </w:tc>
              <w:tc>
                <w:tcPr>
                  <w:tcW w:w="1588" w:type="pct"/>
                  <w:vAlign w:val="center"/>
                </w:tcPr>
                <w:p w14:paraId="6B84EB3A">
                  <w:pPr>
                    <w:jc w:val="center"/>
                    <w:rPr>
                      <w:rFonts w:hint="eastAsia" w:ascii="宋体" w:hAnsi="宋体" w:cs="宋体"/>
                      <w:color w:val="auto"/>
                      <w:szCs w:val="21"/>
                    </w:rPr>
                  </w:pPr>
                  <w:r>
                    <w:rPr>
                      <w:rFonts w:hint="eastAsia" w:ascii="宋体" w:hAnsi="宋体" w:cs="宋体"/>
                      <w:color w:val="auto"/>
                      <w:szCs w:val="21"/>
                    </w:rPr>
                    <w:t>由环卫部门清运处置</w:t>
                  </w:r>
                </w:p>
              </w:tc>
              <w:tc>
                <w:tcPr>
                  <w:tcW w:w="2150" w:type="pct"/>
                  <w:vMerge w:val="continue"/>
                  <w:vAlign w:val="center"/>
                </w:tcPr>
                <w:p w14:paraId="2F038C14">
                  <w:pPr>
                    <w:jc w:val="center"/>
                    <w:rPr>
                      <w:rFonts w:hint="eastAsia" w:ascii="宋体" w:hAnsi="宋体" w:cs="宋体"/>
                      <w:color w:val="auto"/>
                      <w:szCs w:val="21"/>
                    </w:rPr>
                  </w:pPr>
                </w:p>
              </w:tc>
            </w:tr>
          </w:tbl>
          <w:p w14:paraId="450C56FC">
            <w:pPr>
              <w:pStyle w:val="3"/>
              <w:spacing w:before="0" w:after="0" w:line="360" w:lineRule="auto"/>
              <w:ind w:firstLine="1687" w:firstLineChars="700"/>
              <w:rPr>
                <w:rFonts w:hint="eastAsia" w:ascii="宋体" w:hAnsi="宋体" w:eastAsia="宋体" w:cs="宋体"/>
                <w:color w:val="auto"/>
                <w:sz w:val="24"/>
                <w:szCs w:val="24"/>
              </w:rPr>
            </w:pPr>
            <w:r>
              <w:rPr>
                <w:rFonts w:hint="eastAsia" w:ascii="宋体" w:hAnsi="宋体" w:eastAsia="宋体" w:cs="宋体"/>
                <w:color w:val="auto"/>
                <w:sz w:val="24"/>
                <w:szCs w:val="24"/>
              </w:rPr>
              <w:t>表5-3  项目四街卫生院环保设施竣工验收一览表</w:t>
            </w:r>
          </w:p>
          <w:tbl>
            <w:tblPr>
              <w:tblStyle w:val="33"/>
              <w:tblW w:w="7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65"/>
              <w:gridCol w:w="2386"/>
              <w:gridCol w:w="3219"/>
            </w:tblGrid>
            <w:tr w14:paraId="3813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21" w:type="pct"/>
                  <w:vAlign w:val="center"/>
                </w:tcPr>
                <w:p w14:paraId="6C646A2C">
                  <w:pPr>
                    <w:jc w:val="center"/>
                    <w:rPr>
                      <w:rFonts w:hint="eastAsia" w:ascii="宋体" w:hAnsi="宋体" w:cs="宋体"/>
                      <w:b/>
                      <w:bCs/>
                      <w:color w:val="auto"/>
                      <w:szCs w:val="21"/>
                    </w:rPr>
                  </w:pPr>
                  <w:r>
                    <w:rPr>
                      <w:rFonts w:hint="eastAsia" w:ascii="宋体" w:hAnsi="宋体" w:cs="宋体"/>
                      <w:b/>
                      <w:bCs/>
                      <w:color w:val="auto"/>
                      <w:szCs w:val="21"/>
                    </w:rPr>
                    <w:t>项目</w:t>
                  </w:r>
                </w:p>
              </w:tc>
              <w:tc>
                <w:tcPr>
                  <w:tcW w:w="643" w:type="pct"/>
                  <w:vAlign w:val="center"/>
                </w:tcPr>
                <w:p w14:paraId="0E133BB6">
                  <w:pPr>
                    <w:jc w:val="center"/>
                    <w:rPr>
                      <w:rFonts w:hint="eastAsia" w:ascii="宋体" w:hAnsi="宋体" w:cs="宋体"/>
                      <w:b/>
                      <w:bCs/>
                      <w:color w:val="auto"/>
                      <w:szCs w:val="21"/>
                    </w:rPr>
                  </w:pPr>
                  <w:r>
                    <w:rPr>
                      <w:rFonts w:hint="eastAsia" w:ascii="宋体" w:hAnsi="宋体" w:cs="宋体"/>
                      <w:b/>
                      <w:bCs/>
                      <w:color w:val="auto"/>
                      <w:szCs w:val="21"/>
                    </w:rPr>
                    <w:t>验收对象</w:t>
                  </w:r>
                </w:p>
              </w:tc>
              <w:tc>
                <w:tcPr>
                  <w:tcW w:w="1590" w:type="pct"/>
                  <w:vAlign w:val="center"/>
                </w:tcPr>
                <w:p w14:paraId="01A88FE5">
                  <w:pPr>
                    <w:jc w:val="center"/>
                    <w:rPr>
                      <w:rFonts w:hint="eastAsia" w:ascii="宋体" w:hAnsi="宋体" w:cs="宋体"/>
                      <w:b/>
                      <w:bCs/>
                      <w:color w:val="auto"/>
                      <w:szCs w:val="21"/>
                    </w:rPr>
                  </w:pPr>
                  <w:r>
                    <w:rPr>
                      <w:rFonts w:hint="eastAsia" w:ascii="宋体" w:hAnsi="宋体" w:cs="宋体"/>
                      <w:b/>
                      <w:bCs/>
                      <w:color w:val="auto"/>
                      <w:szCs w:val="21"/>
                    </w:rPr>
                    <w:t>治理措施</w:t>
                  </w:r>
                </w:p>
              </w:tc>
              <w:tc>
                <w:tcPr>
                  <w:tcW w:w="2145" w:type="pct"/>
                  <w:vAlign w:val="center"/>
                </w:tcPr>
                <w:p w14:paraId="2ACFF1AE">
                  <w:pPr>
                    <w:jc w:val="center"/>
                    <w:rPr>
                      <w:rFonts w:hint="eastAsia" w:ascii="宋体" w:hAnsi="宋体" w:cs="宋体"/>
                      <w:b/>
                      <w:bCs/>
                      <w:color w:val="auto"/>
                      <w:szCs w:val="21"/>
                    </w:rPr>
                  </w:pPr>
                  <w:r>
                    <w:rPr>
                      <w:rFonts w:hint="eastAsia" w:ascii="宋体" w:hAnsi="宋体" w:cs="宋体"/>
                      <w:b/>
                      <w:bCs/>
                      <w:color w:val="auto"/>
                      <w:szCs w:val="21"/>
                    </w:rPr>
                    <w:t>验收标准</w:t>
                  </w:r>
                </w:p>
              </w:tc>
            </w:tr>
            <w:tr w14:paraId="6622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621" w:type="pct"/>
                  <w:vAlign w:val="center"/>
                </w:tcPr>
                <w:p w14:paraId="3EB283EB">
                  <w:pPr>
                    <w:jc w:val="center"/>
                    <w:rPr>
                      <w:rFonts w:hint="eastAsia" w:ascii="宋体" w:hAnsi="宋体" w:cs="宋体"/>
                      <w:color w:val="auto"/>
                      <w:szCs w:val="21"/>
                    </w:rPr>
                  </w:pPr>
                  <w:r>
                    <w:rPr>
                      <w:rFonts w:hint="eastAsia" w:ascii="宋体" w:hAnsi="宋体" w:cs="宋体"/>
                      <w:color w:val="auto"/>
                      <w:szCs w:val="21"/>
                    </w:rPr>
                    <w:t>大气污染防治措施</w:t>
                  </w:r>
                </w:p>
              </w:tc>
              <w:tc>
                <w:tcPr>
                  <w:tcW w:w="643" w:type="pct"/>
                  <w:vAlign w:val="center"/>
                </w:tcPr>
                <w:p w14:paraId="114581A1">
                  <w:pPr>
                    <w:jc w:val="center"/>
                    <w:rPr>
                      <w:rFonts w:hint="eastAsia" w:ascii="宋体" w:hAnsi="宋体" w:cs="宋体"/>
                      <w:bCs/>
                      <w:color w:val="auto"/>
                      <w:spacing w:val="-10"/>
                      <w:szCs w:val="21"/>
                    </w:rPr>
                  </w:pPr>
                  <w:r>
                    <w:rPr>
                      <w:rFonts w:hint="eastAsia" w:ascii="宋体" w:hAnsi="宋体" w:cs="宋体"/>
                      <w:bCs/>
                      <w:color w:val="auto"/>
                      <w:spacing w:val="-10"/>
                      <w:szCs w:val="21"/>
                    </w:rPr>
                    <w:t>污水处理站周界恶臭气体</w:t>
                  </w:r>
                </w:p>
              </w:tc>
              <w:tc>
                <w:tcPr>
                  <w:tcW w:w="1590" w:type="pct"/>
                  <w:vAlign w:val="center"/>
                </w:tcPr>
                <w:p w14:paraId="1C513BA9">
                  <w:pPr>
                    <w:jc w:val="center"/>
                    <w:rPr>
                      <w:rFonts w:hint="eastAsia" w:ascii="宋体" w:hAnsi="宋体" w:cs="宋体"/>
                      <w:color w:val="auto"/>
                      <w:szCs w:val="21"/>
                    </w:rPr>
                  </w:pPr>
                  <w:r>
                    <w:rPr>
                      <w:rFonts w:hint="eastAsia" w:ascii="宋体" w:hAnsi="宋体" w:cs="宋体"/>
                      <w:color w:val="auto"/>
                      <w:szCs w:val="21"/>
                    </w:rPr>
                    <w:t>污水处理站设置在地下一层，为地埋式，</w:t>
                  </w:r>
                  <w:r>
                    <w:rPr>
                      <w:rFonts w:hint="eastAsia" w:ascii="宋体" w:hAnsi="宋体" w:cs="宋体"/>
                      <w:color w:val="auto"/>
                      <w:kern w:val="0"/>
                      <w:szCs w:val="21"/>
                      <w:lang w:bidi="ar"/>
                    </w:rPr>
                    <w:t>在盖板上留有换气口，并在换气口附近投放除臭剂</w:t>
                  </w:r>
                </w:p>
              </w:tc>
              <w:tc>
                <w:tcPr>
                  <w:tcW w:w="2145" w:type="pct"/>
                  <w:vAlign w:val="center"/>
                </w:tcPr>
                <w:p w14:paraId="44987ED5">
                  <w:pPr>
                    <w:jc w:val="center"/>
                    <w:rPr>
                      <w:rFonts w:hint="eastAsia" w:ascii="宋体" w:hAnsi="宋体" w:cs="宋体"/>
                      <w:bCs/>
                      <w:color w:val="auto"/>
                      <w:kern w:val="0"/>
                      <w:szCs w:val="21"/>
                      <w:lang w:bidi="ar"/>
                    </w:rPr>
                  </w:pPr>
                  <w:r>
                    <w:rPr>
                      <w:rFonts w:hint="eastAsia" w:ascii="宋体" w:hAnsi="宋体" w:cs="宋体"/>
                      <w:bCs/>
                      <w:color w:val="auto"/>
                      <w:kern w:val="0"/>
                      <w:szCs w:val="21"/>
                      <w:lang w:bidi="ar"/>
                    </w:rPr>
                    <w:t>《医疗机构水污染物排放标准》（GB 18466-2005）表3污水处理设施周边大气污染物最高允许浓度</w:t>
                  </w:r>
                </w:p>
              </w:tc>
            </w:tr>
            <w:tr w14:paraId="6464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621" w:type="pct"/>
                  <w:vAlign w:val="center"/>
                </w:tcPr>
                <w:p w14:paraId="7B60602A">
                  <w:pPr>
                    <w:jc w:val="center"/>
                    <w:rPr>
                      <w:rFonts w:hint="eastAsia" w:ascii="宋体" w:hAnsi="宋体" w:cs="宋体"/>
                      <w:color w:val="auto"/>
                      <w:szCs w:val="21"/>
                    </w:rPr>
                  </w:pPr>
                  <w:r>
                    <w:rPr>
                      <w:rFonts w:hint="eastAsia" w:ascii="宋体" w:hAnsi="宋体" w:cs="宋体"/>
                      <w:color w:val="auto"/>
                      <w:szCs w:val="21"/>
                    </w:rPr>
                    <w:t>噪声防治措施</w:t>
                  </w:r>
                </w:p>
              </w:tc>
              <w:tc>
                <w:tcPr>
                  <w:tcW w:w="643" w:type="pct"/>
                  <w:vAlign w:val="center"/>
                </w:tcPr>
                <w:p w14:paraId="032C8B07">
                  <w:pPr>
                    <w:jc w:val="center"/>
                    <w:rPr>
                      <w:rFonts w:hint="eastAsia" w:ascii="宋体" w:hAnsi="宋体" w:cs="宋体"/>
                      <w:color w:val="auto"/>
                      <w:szCs w:val="21"/>
                    </w:rPr>
                  </w:pPr>
                  <w:r>
                    <w:rPr>
                      <w:rFonts w:hint="eastAsia" w:ascii="宋体" w:hAnsi="宋体" w:cs="宋体"/>
                      <w:color w:val="auto"/>
                      <w:szCs w:val="21"/>
                    </w:rPr>
                    <w:t>噪声</w:t>
                  </w:r>
                </w:p>
              </w:tc>
              <w:tc>
                <w:tcPr>
                  <w:tcW w:w="1590" w:type="pct"/>
                  <w:vAlign w:val="center"/>
                </w:tcPr>
                <w:p w14:paraId="3B2383DD">
                  <w:pPr>
                    <w:jc w:val="center"/>
                    <w:rPr>
                      <w:rFonts w:hint="eastAsia" w:ascii="宋体" w:hAnsi="宋体" w:cs="宋体"/>
                      <w:color w:val="auto"/>
                      <w:szCs w:val="21"/>
                    </w:rPr>
                  </w:pPr>
                  <w:r>
                    <w:rPr>
                      <w:rFonts w:hint="eastAsia" w:ascii="宋体" w:hAnsi="宋体" w:cs="宋体"/>
                      <w:color w:val="auto"/>
                      <w:szCs w:val="21"/>
                    </w:rPr>
                    <w:t>水泵设备减振、风机安装消声器建筑隔声</w:t>
                  </w:r>
                </w:p>
              </w:tc>
              <w:tc>
                <w:tcPr>
                  <w:tcW w:w="2145" w:type="pct"/>
                  <w:vAlign w:val="center"/>
                </w:tcPr>
                <w:p w14:paraId="3F8EAF42">
                  <w:pPr>
                    <w:jc w:val="center"/>
                    <w:rPr>
                      <w:rFonts w:hint="eastAsia" w:ascii="宋体" w:hAnsi="宋体" w:cs="宋体"/>
                      <w:snapToGrid w:val="0"/>
                      <w:color w:val="auto"/>
                      <w:szCs w:val="21"/>
                    </w:rPr>
                  </w:pPr>
                  <w:r>
                    <w:rPr>
                      <w:rFonts w:hint="eastAsia" w:ascii="宋体" w:hAnsi="宋体" w:cs="宋体"/>
                      <w:color w:val="auto"/>
                      <w:kern w:val="0"/>
                      <w:szCs w:val="21"/>
                      <w:lang w:bidi="ar"/>
                    </w:rPr>
                    <w:t>西厂界执行《工业企业厂界环境噪声排放标准》（GB12348-2008）4类标准，其余东、南、北厂界噪声排放限值执行2类标准</w:t>
                  </w:r>
                </w:p>
              </w:tc>
            </w:tr>
            <w:tr w14:paraId="7C2A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1" w:type="pct"/>
                  <w:vMerge w:val="restart"/>
                  <w:vAlign w:val="center"/>
                </w:tcPr>
                <w:p w14:paraId="76361C6C">
                  <w:pPr>
                    <w:jc w:val="center"/>
                    <w:rPr>
                      <w:rFonts w:hint="eastAsia" w:ascii="宋体" w:hAnsi="宋体" w:cs="宋体"/>
                      <w:color w:val="auto"/>
                      <w:szCs w:val="21"/>
                    </w:rPr>
                  </w:pPr>
                  <w:r>
                    <w:rPr>
                      <w:rFonts w:hint="eastAsia" w:ascii="宋体" w:hAnsi="宋体" w:cs="宋体"/>
                      <w:color w:val="auto"/>
                      <w:szCs w:val="21"/>
                    </w:rPr>
                    <w:t>废水防治措施</w:t>
                  </w:r>
                </w:p>
              </w:tc>
              <w:tc>
                <w:tcPr>
                  <w:tcW w:w="643" w:type="pct"/>
                  <w:vMerge w:val="restart"/>
                  <w:vAlign w:val="center"/>
                </w:tcPr>
                <w:p w14:paraId="387DA01E">
                  <w:pPr>
                    <w:jc w:val="center"/>
                    <w:rPr>
                      <w:rFonts w:hint="eastAsia" w:ascii="宋体" w:hAnsi="宋体" w:cs="宋体"/>
                      <w:color w:val="auto"/>
                      <w:szCs w:val="21"/>
                    </w:rPr>
                  </w:pPr>
                  <w:r>
                    <w:rPr>
                      <w:rFonts w:hint="eastAsia" w:ascii="宋体" w:hAnsi="宋体" w:cs="宋体"/>
                      <w:color w:val="auto"/>
                      <w:szCs w:val="21"/>
                    </w:rPr>
                    <w:t>一般医疗废水</w:t>
                  </w:r>
                </w:p>
              </w:tc>
              <w:tc>
                <w:tcPr>
                  <w:tcW w:w="1590" w:type="pct"/>
                  <w:vAlign w:val="center"/>
                </w:tcPr>
                <w:p w14:paraId="3C98D8B1">
                  <w:pPr>
                    <w:snapToGrid w:val="0"/>
                    <w:jc w:val="center"/>
                    <w:rPr>
                      <w:rFonts w:hint="eastAsia" w:ascii="宋体" w:hAnsi="宋体" w:cs="宋体"/>
                      <w:color w:val="auto"/>
                      <w:szCs w:val="21"/>
                    </w:rPr>
                  </w:pPr>
                  <w:r>
                    <w:rPr>
                      <w:rFonts w:hint="eastAsia"/>
                      <w:bCs/>
                      <w:color w:val="auto"/>
                      <w:szCs w:val="21"/>
                    </w:rPr>
                    <w:t>化粪池：</w:t>
                  </w:r>
                  <w:r>
                    <w:rPr>
                      <w:bCs/>
                      <w:color w:val="auto"/>
                      <w:szCs w:val="21"/>
                    </w:rPr>
                    <w:t>本项目自建</w:t>
                  </w:r>
                  <w:r>
                    <w:rPr>
                      <w:color w:val="auto"/>
                      <w:szCs w:val="21"/>
                    </w:rPr>
                    <w:t>化粪池</w:t>
                  </w:r>
                  <w:r>
                    <w:rPr>
                      <w:bCs/>
                      <w:color w:val="auto"/>
                      <w:szCs w:val="21"/>
                    </w:rPr>
                    <w:t>总容积不小于9m³</w:t>
                  </w:r>
                </w:p>
              </w:tc>
              <w:tc>
                <w:tcPr>
                  <w:tcW w:w="2145" w:type="pct"/>
                  <w:vMerge w:val="restart"/>
                  <w:vAlign w:val="center"/>
                </w:tcPr>
                <w:p w14:paraId="5F38EBB8">
                  <w:pPr>
                    <w:pStyle w:val="12"/>
                    <w:jc w:val="center"/>
                    <w:rPr>
                      <w:rFonts w:hint="eastAsia" w:ascii="宋体" w:hAnsi="宋体" w:cs="宋体"/>
                      <w:color w:val="auto"/>
                      <w:szCs w:val="21"/>
                    </w:rPr>
                  </w:pPr>
                  <w:r>
                    <w:rPr>
                      <w:rFonts w:hint="eastAsia" w:ascii="宋体" w:hAnsi="宋体" w:cs="宋体"/>
                      <w:b w:val="0"/>
                      <w:bCs w:val="0"/>
                      <w:color w:val="auto"/>
                      <w:szCs w:val="21"/>
                    </w:rPr>
                    <w:t>《医疗机构水污染物排放标准》（GB18466-2005）“表 2 综合医疗机构和其他医疗机构水污染物排放限值（日均值）”中的预处理标准，氨氮、总磷达到《污水排入城镇下水道水质标准》（GB/T31962-2015）B 等级标准</w:t>
                  </w:r>
                </w:p>
              </w:tc>
            </w:tr>
            <w:tr w14:paraId="0AD3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21" w:type="pct"/>
                  <w:vMerge w:val="continue"/>
                  <w:vAlign w:val="center"/>
                </w:tcPr>
                <w:p w14:paraId="4C3A8A63">
                  <w:pPr>
                    <w:jc w:val="center"/>
                    <w:rPr>
                      <w:color w:val="auto"/>
                    </w:rPr>
                  </w:pPr>
                </w:p>
              </w:tc>
              <w:tc>
                <w:tcPr>
                  <w:tcW w:w="643" w:type="pct"/>
                  <w:vMerge w:val="continue"/>
                  <w:vAlign w:val="center"/>
                </w:tcPr>
                <w:p w14:paraId="5135F750">
                  <w:pPr>
                    <w:jc w:val="center"/>
                    <w:rPr>
                      <w:rFonts w:hint="eastAsia" w:ascii="宋体" w:hAnsi="宋体" w:cs="宋体"/>
                      <w:color w:val="auto"/>
                      <w:szCs w:val="21"/>
                    </w:rPr>
                  </w:pPr>
                </w:p>
              </w:tc>
              <w:tc>
                <w:tcPr>
                  <w:tcW w:w="1590" w:type="pct"/>
                  <w:vAlign w:val="center"/>
                </w:tcPr>
                <w:p w14:paraId="4C002313">
                  <w:pPr>
                    <w:snapToGrid w:val="0"/>
                    <w:jc w:val="center"/>
                    <w:rPr>
                      <w:bCs/>
                      <w:color w:val="auto"/>
                      <w:szCs w:val="21"/>
                    </w:rPr>
                  </w:pPr>
                  <w:r>
                    <w:rPr>
                      <w:rFonts w:hint="eastAsia"/>
                      <w:bCs/>
                      <w:color w:val="auto"/>
                      <w:szCs w:val="21"/>
                    </w:rPr>
                    <w:t>污水处理站：</w:t>
                  </w:r>
                  <w:r>
                    <w:rPr>
                      <w:bCs/>
                      <w:color w:val="auto"/>
                      <w:szCs w:val="21"/>
                    </w:rPr>
                    <w:t>本项目自建的污水站处理规模不小于17m³/d</w:t>
                  </w:r>
                </w:p>
              </w:tc>
              <w:tc>
                <w:tcPr>
                  <w:tcW w:w="2145" w:type="pct"/>
                  <w:vMerge w:val="continue"/>
                  <w:vAlign w:val="center"/>
                </w:tcPr>
                <w:p w14:paraId="59980E78">
                  <w:pPr>
                    <w:jc w:val="center"/>
                    <w:rPr>
                      <w:rFonts w:hint="eastAsia" w:ascii="宋体" w:hAnsi="宋体" w:cs="宋体"/>
                      <w:color w:val="auto"/>
                      <w:szCs w:val="21"/>
                    </w:rPr>
                  </w:pPr>
                </w:p>
              </w:tc>
            </w:tr>
            <w:tr w14:paraId="22CE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21" w:type="pct"/>
                  <w:vMerge w:val="continue"/>
                  <w:vAlign w:val="center"/>
                </w:tcPr>
                <w:p w14:paraId="3486E79B">
                  <w:pPr>
                    <w:jc w:val="center"/>
                    <w:rPr>
                      <w:color w:val="auto"/>
                    </w:rPr>
                  </w:pPr>
                </w:p>
              </w:tc>
              <w:tc>
                <w:tcPr>
                  <w:tcW w:w="643" w:type="pct"/>
                  <w:vAlign w:val="center"/>
                </w:tcPr>
                <w:p w14:paraId="18B98192">
                  <w:pPr>
                    <w:jc w:val="center"/>
                    <w:rPr>
                      <w:rFonts w:hint="eastAsia" w:ascii="宋体" w:hAnsi="宋体" w:cs="宋体"/>
                      <w:color w:val="auto"/>
                      <w:szCs w:val="21"/>
                    </w:rPr>
                  </w:pPr>
                  <w:r>
                    <w:rPr>
                      <w:rFonts w:hint="eastAsia" w:ascii="宋体" w:hAnsi="宋体" w:cs="宋体"/>
                      <w:color w:val="auto"/>
                      <w:szCs w:val="21"/>
                    </w:rPr>
                    <w:t>检验科检验废水</w:t>
                  </w:r>
                </w:p>
              </w:tc>
              <w:tc>
                <w:tcPr>
                  <w:tcW w:w="1590" w:type="pct"/>
                  <w:vAlign w:val="center"/>
                </w:tcPr>
                <w:p w14:paraId="6E3F2A64">
                  <w:pPr>
                    <w:snapToGrid w:val="0"/>
                    <w:jc w:val="center"/>
                    <w:rPr>
                      <w:bCs/>
                      <w:color w:val="auto"/>
                      <w:szCs w:val="21"/>
                    </w:rPr>
                  </w:pPr>
                  <w:r>
                    <w:rPr>
                      <w:color w:val="auto"/>
                      <w:szCs w:val="21"/>
                    </w:rPr>
                    <w:t>依托四街卫生</w:t>
                  </w:r>
                  <w:r>
                    <w:rPr>
                      <w:rFonts w:hint="eastAsia"/>
                      <w:color w:val="auto"/>
                      <w:szCs w:val="21"/>
                    </w:rPr>
                    <w:t>院</w:t>
                  </w:r>
                  <w:r>
                    <w:rPr>
                      <w:color w:val="auto"/>
                      <w:szCs w:val="21"/>
                    </w:rPr>
                    <w:t>现有的预处理设施4个50L的收集桶收集酸性废水（两备两用），采取酸碱预处理</w:t>
                  </w:r>
                </w:p>
              </w:tc>
              <w:tc>
                <w:tcPr>
                  <w:tcW w:w="2145" w:type="pct"/>
                  <w:vMerge w:val="continue"/>
                  <w:vAlign w:val="center"/>
                </w:tcPr>
                <w:p w14:paraId="1C19F470">
                  <w:pPr>
                    <w:jc w:val="center"/>
                    <w:rPr>
                      <w:rFonts w:hint="eastAsia" w:ascii="宋体" w:hAnsi="宋体" w:cs="宋体"/>
                      <w:color w:val="auto"/>
                      <w:szCs w:val="21"/>
                    </w:rPr>
                  </w:pPr>
                </w:p>
              </w:tc>
            </w:tr>
            <w:tr w14:paraId="730C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21" w:type="pct"/>
                  <w:vMerge w:val="restart"/>
                  <w:vAlign w:val="center"/>
                </w:tcPr>
                <w:p w14:paraId="7BF4F217">
                  <w:pPr>
                    <w:jc w:val="center"/>
                    <w:rPr>
                      <w:rFonts w:hint="eastAsia" w:ascii="宋体" w:hAnsi="宋体" w:cs="宋体"/>
                      <w:color w:val="auto"/>
                      <w:szCs w:val="21"/>
                    </w:rPr>
                  </w:pPr>
                </w:p>
                <w:p w14:paraId="5C7938BD">
                  <w:pPr>
                    <w:jc w:val="center"/>
                    <w:rPr>
                      <w:rFonts w:hint="eastAsia" w:ascii="宋体" w:hAnsi="宋体" w:cs="宋体"/>
                      <w:color w:val="auto"/>
                      <w:szCs w:val="21"/>
                    </w:rPr>
                  </w:pPr>
                </w:p>
                <w:p w14:paraId="3C15515A">
                  <w:pPr>
                    <w:jc w:val="center"/>
                    <w:rPr>
                      <w:rFonts w:hint="eastAsia" w:ascii="宋体" w:hAnsi="宋体" w:cs="宋体"/>
                      <w:color w:val="auto"/>
                      <w:szCs w:val="21"/>
                    </w:rPr>
                  </w:pPr>
                  <w:r>
                    <w:rPr>
                      <w:rFonts w:hint="eastAsia" w:ascii="宋体" w:hAnsi="宋体" w:cs="宋体"/>
                      <w:color w:val="auto"/>
                      <w:szCs w:val="21"/>
                    </w:rPr>
                    <w:t>固废防治措施</w:t>
                  </w:r>
                </w:p>
              </w:tc>
              <w:tc>
                <w:tcPr>
                  <w:tcW w:w="643" w:type="pct"/>
                  <w:vAlign w:val="center"/>
                </w:tcPr>
                <w:p w14:paraId="17D8097D">
                  <w:pPr>
                    <w:jc w:val="center"/>
                    <w:rPr>
                      <w:rFonts w:hint="eastAsia" w:ascii="宋体" w:hAnsi="宋体" w:cs="宋体"/>
                      <w:color w:val="auto"/>
                      <w:szCs w:val="21"/>
                    </w:rPr>
                  </w:pPr>
                  <w:r>
                    <w:rPr>
                      <w:rFonts w:hint="eastAsia" w:ascii="宋体" w:hAnsi="宋体" w:cs="宋体"/>
                      <w:bCs/>
                      <w:color w:val="auto"/>
                      <w:szCs w:val="21"/>
                    </w:rPr>
                    <w:t>医疗固废</w:t>
                  </w:r>
                </w:p>
              </w:tc>
              <w:tc>
                <w:tcPr>
                  <w:tcW w:w="1590" w:type="pct"/>
                  <w:vAlign w:val="center"/>
                </w:tcPr>
                <w:p w14:paraId="3C7B4C31">
                  <w:pPr>
                    <w:autoSpaceDE w:val="0"/>
                    <w:autoSpaceDN w:val="0"/>
                    <w:jc w:val="center"/>
                    <w:rPr>
                      <w:rFonts w:hint="eastAsia" w:ascii="宋体" w:hAnsi="宋体" w:cs="宋体"/>
                      <w:color w:val="auto"/>
                      <w:szCs w:val="21"/>
                    </w:rPr>
                  </w:pPr>
                  <w:r>
                    <w:rPr>
                      <w:rFonts w:hint="eastAsia" w:ascii="宋体" w:hAnsi="宋体" w:cs="宋体"/>
                      <w:color w:val="auto"/>
                      <w:szCs w:val="21"/>
                    </w:rPr>
                    <w:t>消毒、分类、毁形、收集包装，放入卫生院已建好的医疗废物暂存间暂存，交由玉溪兴洁垃圾处理有限公司</w:t>
                  </w:r>
                </w:p>
              </w:tc>
              <w:tc>
                <w:tcPr>
                  <w:tcW w:w="2145" w:type="pct"/>
                  <w:vMerge w:val="restart"/>
                  <w:vAlign w:val="center"/>
                </w:tcPr>
                <w:p w14:paraId="76EA1C99">
                  <w:pPr>
                    <w:jc w:val="center"/>
                    <w:rPr>
                      <w:rFonts w:hint="eastAsia" w:ascii="宋体" w:hAnsi="宋体" w:cs="宋体"/>
                      <w:color w:val="auto"/>
                      <w:szCs w:val="21"/>
                    </w:rPr>
                  </w:pPr>
                  <w:r>
                    <w:rPr>
                      <w:rFonts w:hint="eastAsia" w:ascii="宋体" w:hAnsi="宋体" w:cs="宋体"/>
                      <w:color w:val="auto"/>
                      <w:szCs w:val="21"/>
                    </w:rPr>
                    <w:t>处置率100%</w:t>
                  </w:r>
                </w:p>
              </w:tc>
            </w:tr>
            <w:tr w14:paraId="4992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21" w:type="pct"/>
                  <w:vMerge w:val="continue"/>
                  <w:vAlign w:val="center"/>
                </w:tcPr>
                <w:p w14:paraId="32334DBA">
                  <w:pPr>
                    <w:jc w:val="center"/>
                    <w:rPr>
                      <w:rFonts w:hint="eastAsia" w:ascii="宋体" w:hAnsi="宋体" w:cs="宋体"/>
                      <w:color w:val="auto"/>
                      <w:szCs w:val="21"/>
                    </w:rPr>
                  </w:pPr>
                </w:p>
              </w:tc>
              <w:tc>
                <w:tcPr>
                  <w:tcW w:w="643" w:type="pct"/>
                  <w:vAlign w:val="center"/>
                </w:tcPr>
                <w:p w14:paraId="52B89D35">
                  <w:pPr>
                    <w:jc w:val="center"/>
                    <w:rPr>
                      <w:rFonts w:hint="eastAsia" w:ascii="宋体" w:hAnsi="宋体" w:cs="宋体"/>
                      <w:color w:val="auto"/>
                      <w:szCs w:val="21"/>
                    </w:rPr>
                  </w:pPr>
                  <w:r>
                    <w:rPr>
                      <w:rFonts w:hint="eastAsia" w:ascii="宋体" w:hAnsi="宋体" w:cs="宋体"/>
                      <w:bCs/>
                      <w:color w:val="auto"/>
                      <w:szCs w:val="21"/>
                    </w:rPr>
                    <w:t>污水站污泥和化粪池污泥</w:t>
                  </w:r>
                </w:p>
              </w:tc>
              <w:tc>
                <w:tcPr>
                  <w:tcW w:w="1590" w:type="pct"/>
                  <w:vAlign w:val="center"/>
                </w:tcPr>
                <w:p w14:paraId="619F60A8">
                  <w:pPr>
                    <w:autoSpaceDE w:val="0"/>
                    <w:autoSpaceDN w:val="0"/>
                    <w:jc w:val="center"/>
                    <w:rPr>
                      <w:rFonts w:hint="eastAsia" w:ascii="宋体" w:hAnsi="宋体" w:cs="宋体"/>
                      <w:color w:val="auto"/>
                      <w:szCs w:val="21"/>
                    </w:rPr>
                  </w:pPr>
                  <w:r>
                    <w:rPr>
                      <w:rFonts w:hint="eastAsia"/>
                      <w:color w:val="auto"/>
                      <w:szCs w:val="21"/>
                    </w:rPr>
                    <w:t>由环卫部门定期清掏脱水后由环卫部门交由有资质单位处置</w:t>
                  </w:r>
                </w:p>
              </w:tc>
              <w:tc>
                <w:tcPr>
                  <w:tcW w:w="2145" w:type="pct"/>
                  <w:vMerge w:val="continue"/>
                  <w:vAlign w:val="center"/>
                </w:tcPr>
                <w:p w14:paraId="527082C7">
                  <w:pPr>
                    <w:jc w:val="center"/>
                    <w:rPr>
                      <w:rFonts w:hint="eastAsia" w:ascii="宋体" w:hAnsi="宋体" w:cs="宋体"/>
                      <w:color w:val="auto"/>
                      <w:szCs w:val="21"/>
                    </w:rPr>
                  </w:pPr>
                </w:p>
              </w:tc>
            </w:tr>
            <w:tr w14:paraId="55CC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21" w:type="pct"/>
                  <w:vMerge w:val="continue"/>
                  <w:vAlign w:val="center"/>
                </w:tcPr>
                <w:p w14:paraId="67A22525">
                  <w:pPr>
                    <w:jc w:val="center"/>
                    <w:rPr>
                      <w:rFonts w:hint="eastAsia" w:ascii="宋体" w:hAnsi="宋体" w:cs="宋体"/>
                      <w:color w:val="auto"/>
                      <w:szCs w:val="21"/>
                    </w:rPr>
                  </w:pPr>
                </w:p>
              </w:tc>
              <w:tc>
                <w:tcPr>
                  <w:tcW w:w="643" w:type="pct"/>
                  <w:vAlign w:val="center"/>
                </w:tcPr>
                <w:p w14:paraId="03551DDF">
                  <w:pPr>
                    <w:jc w:val="center"/>
                    <w:rPr>
                      <w:rFonts w:hint="eastAsia" w:ascii="宋体" w:hAnsi="宋体" w:cs="宋体"/>
                      <w:color w:val="auto"/>
                      <w:szCs w:val="21"/>
                    </w:rPr>
                  </w:pPr>
                  <w:r>
                    <w:rPr>
                      <w:rFonts w:hint="eastAsia" w:ascii="宋体" w:hAnsi="宋体" w:cs="宋体"/>
                      <w:color w:val="auto"/>
                      <w:szCs w:val="21"/>
                    </w:rPr>
                    <w:t>生活垃圾</w:t>
                  </w:r>
                </w:p>
              </w:tc>
              <w:tc>
                <w:tcPr>
                  <w:tcW w:w="1590" w:type="pct"/>
                  <w:vAlign w:val="center"/>
                </w:tcPr>
                <w:p w14:paraId="590EA2B5">
                  <w:pPr>
                    <w:jc w:val="center"/>
                    <w:rPr>
                      <w:rFonts w:hint="eastAsia" w:ascii="宋体" w:hAnsi="宋体" w:cs="宋体"/>
                      <w:color w:val="auto"/>
                      <w:szCs w:val="21"/>
                    </w:rPr>
                  </w:pPr>
                  <w:r>
                    <w:rPr>
                      <w:rFonts w:hint="eastAsia" w:ascii="宋体" w:hAnsi="宋体" w:cs="宋体"/>
                      <w:color w:val="auto"/>
                      <w:szCs w:val="21"/>
                    </w:rPr>
                    <w:t>由环卫部门清运处置</w:t>
                  </w:r>
                </w:p>
              </w:tc>
              <w:tc>
                <w:tcPr>
                  <w:tcW w:w="2145" w:type="pct"/>
                  <w:vMerge w:val="continue"/>
                  <w:vAlign w:val="center"/>
                </w:tcPr>
                <w:p w14:paraId="768E6A5D">
                  <w:pPr>
                    <w:jc w:val="center"/>
                    <w:rPr>
                      <w:rFonts w:hint="eastAsia" w:ascii="宋体" w:hAnsi="宋体" w:cs="宋体"/>
                      <w:color w:val="auto"/>
                      <w:szCs w:val="21"/>
                    </w:rPr>
                  </w:pPr>
                </w:p>
              </w:tc>
            </w:tr>
            <w:tr w14:paraId="1E3E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21" w:type="pct"/>
                  <w:vMerge w:val="continue"/>
                  <w:vAlign w:val="center"/>
                </w:tcPr>
                <w:p w14:paraId="6DE250CD">
                  <w:pPr>
                    <w:jc w:val="center"/>
                    <w:rPr>
                      <w:rFonts w:hint="eastAsia" w:ascii="宋体" w:hAnsi="宋体" w:cs="宋体"/>
                      <w:color w:val="auto"/>
                      <w:szCs w:val="21"/>
                    </w:rPr>
                  </w:pPr>
                </w:p>
              </w:tc>
              <w:tc>
                <w:tcPr>
                  <w:tcW w:w="643" w:type="pct"/>
                  <w:vAlign w:val="center"/>
                </w:tcPr>
                <w:p w14:paraId="7168DA1A">
                  <w:pPr>
                    <w:jc w:val="center"/>
                    <w:rPr>
                      <w:rFonts w:hint="eastAsia" w:ascii="宋体" w:hAnsi="宋体" w:cs="宋体"/>
                      <w:color w:val="auto"/>
                      <w:szCs w:val="21"/>
                    </w:rPr>
                  </w:pPr>
                  <w:r>
                    <w:rPr>
                      <w:rFonts w:hint="eastAsia"/>
                      <w:color w:val="auto"/>
                      <w:szCs w:val="21"/>
                    </w:rPr>
                    <w:t>中药渣</w:t>
                  </w:r>
                </w:p>
              </w:tc>
              <w:tc>
                <w:tcPr>
                  <w:tcW w:w="1590" w:type="pct"/>
                  <w:vAlign w:val="center"/>
                </w:tcPr>
                <w:p w14:paraId="5FE43DE3">
                  <w:pPr>
                    <w:jc w:val="center"/>
                    <w:rPr>
                      <w:rFonts w:hint="eastAsia" w:ascii="宋体" w:hAnsi="宋体" w:cs="宋体"/>
                      <w:color w:val="auto"/>
                      <w:szCs w:val="21"/>
                    </w:rPr>
                  </w:pPr>
                  <w:r>
                    <w:rPr>
                      <w:rFonts w:hint="eastAsia"/>
                      <w:color w:val="auto"/>
                      <w:szCs w:val="21"/>
                    </w:rPr>
                    <w:t>收集后与生活垃圾一起交由环卫部门定时清运处置</w:t>
                  </w:r>
                </w:p>
              </w:tc>
              <w:tc>
                <w:tcPr>
                  <w:tcW w:w="2145" w:type="pct"/>
                  <w:vMerge w:val="continue"/>
                  <w:vAlign w:val="center"/>
                </w:tcPr>
                <w:p w14:paraId="42D0D35D">
                  <w:pPr>
                    <w:jc w:val="center"/>
                    <w:rPr>
                      <w:rFonts w:hint="eastAsia" w:ascii="宋体" w:hAnsi="宋体" w:cs="宋体"/>
                      <w:color w:val="auto"/>
                      <w:szCs w:val="21"/>
                    </w:rPr>
                  </w:pPr>
                </w:p>
              </w:tc>
            </w:tr>
          </w:tbl>
          <w:p w14:paraId="567CD186">
            <w:pPr>
              <w:pStyle w:val="3"/>
              <w:spacing w:before="0" w:after="0" w:line="360" w:lineRule="auto"/>
              <w:ind w:firstLine="1687" w:firstLineChars="700"/>
              <w:rPr>
                <w:rFonts w:hint="eastAsia" w:ascii="宋体" w:hAnsi="宋体" w:eastAsia="宋体" w:cs="宋体"/>
                <w:color w:val="auto"/>
                <w:sz w:val="24"/>
                <w:szCs w:val="24"/>
              </w:rPr>
            </w:pPr>
            <w:r>
              <w:rPr>
                <w:rFonts w:hint="eastAsia" w:ascii="宋体" w:hAnsi="宋体" w:eastAsia="宋体" w:cs="宋体"/>
                <w:color w:val="auto"/>
                <w:sz w:val="24"/>
                <w:szCs w:val="24"/>
              </w:rPr>
              <w:t>表5-4  项目九龙卫生院环保设施竣工验收一览表</w:t>
            </w:r>
          </w:p>
          <w:tbl>
            <w:tblPr>
              <w:tblStyle w:val="33"/>
              <w:tblW w:w="7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963"/>
              <w:gridCol w:w="2387"/>
              <w:gridCol w:w="3206"/>
            </w:tblGrid>
            <w:tr w14:paraId="1EE9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22" w:type="pct"/>
                  <w:vAlign w:val="center"/>
                </w:tcPr>
                <w:p w14:paraId="3D6912A8">
                  <w:pPr>
                    <w:jc w:val="center"/>
                    <w:rPr>
                      <w:rFonts w:hint="eastAsia" w:ascii="宋体" w:hAnsi="宋体" w:cs="宋体"/>
                      <w:b/>
                      <w:bCs/>
                      <w:color w:val="auto"/>
                      <w:szCs w:val="21"/>
                    </w:rPr>
                  </w:pPr>
                  <w:r>
                    <w:rPr>
                      <w:rFonts w:hint="eastAsia" w:ascii="宋体" w:hAnsi="宋体" w:cs="宋体"/>
                      <w:b/>
                      <w:bCs/>
                      <w:color w:val="auto"/>
                      <w:szCs w:val="21"/>
                    </w:rPr>
                    <w:t>项目</w:t>
                  </w:r>
                </w:p>
              </w:tc>
              <w:tc>
                <w:tcPr>
                  <w:tcW w:w="643" w:type="pct"/>
                  <w:vAlign w:val="center"/>
                </w:tcPr>
                <w:p w14:paraId="4443E1B9">
                  <w:pPr>
                    <w:jc w:val="center"/>
                    <w:rPr>
                      <w:rFonts w:hint="eastAsia" w:ascii="宋体" w:hAnsi="宋体" w:cs="宋体"/>
                      <w:b/>
                      <w:bCs/>
                      <w:color w:val="auto"/>
                      <w:szCs w:val="21"/>
                    </w:rPr>
                  </w:pPr>
                  <w:r>
                    <w:rPr>
                      <w:rFonts w:hint="eastAsia" w:ascii="宋体" w:hAnsi="宋体" w:cs="宋体"/>
                      <w:b/>
                      <w:bCs/>
                      <w:color w:val="auto"/>
                      <w:szCs w:val="21"/>
                    </w:rPr>
                    <w:t>验收对象</w:t>
                  </w:r>
                </w:p>
              </w:tc>
              <w:tc>
                <w:tcPr>
                  <w:tcW w:w="1593" w:type="pct"/>
                  <w:vAlign w:val="center"/>
                </w:tcPr>
                <w:p w14:paraId="1C4AA2DD">
                  <w:pPr>
                    <w:jc w:val="center"/>
                    <w:rPr>
                      <w:rFonts w:hint="eastAsia" w:ascii="宋体" w:hAnsi="宋体" w:cs="宋体"/>
                      <w:b/>
                      <w:bCs/>
                      <w:color w:val="auto"/>
                      <w:szCs w:val="21"/>
                    </w:rPr>
                  </w:pPr>
                  <w:r>
                    <w:rPr>
                      <w:rFonts w:hint="eastAsia" w:ascii="宋体" w:hAnsi="宋体" w:cs="宋体"/>
                      <w:b/>
                      <w:bCs/>
                      <w:color w:val="auto"/>
                      <w:szCs w:val="21"/>
                    </w:rPr>
                    <w:t>治理措施</w:t>
                  </w:r>
                </w:p>
              </w:tc>
              <w:tc>
                <w:tcPr>
                  <w:tcW w:w="2140" w:type="pct"/>
                  <w:vAlign w:val="center"/>
                </w:tcPr>
                <w:p w14:paraId="22FF7FC0">
                  <w:pPr>
                    <w:jc w:val="center"/>
                    <w:rPr>
                      <w:rFonts w:hint="eastAsia" w:ascii="宋体" w:hAnsi="宋体" w:cs="宋体"/>
                      <w:b/>
                      <w:bCs/>
                      <w:color w:val="auto"/>
                      <w:szCs w:val="21"/>
                    </w:rPr>
                  </w:pPr>
                  <w:r>
                    <w:rPr>
                      <w:rFonts w:hint="eastAsia" w:ascii="宋体" w:hAnsi="宋体" w:cs="宋体"/>
                      <w:b/>
                      <w:bCs/>
                      <w:color w:val="auto"/>
                      <w:szCs w:val="21"/>
                    </w:rPr>
                    <w:t>验收标准</w:t>
                  </w:r>
                </w:p>
              </w:tc>
            </w:tr>
            <w:tr w14:paraId="2F1D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622" w:type="pct"/>
                  <w:vAlign w:val="center"/>
                </w:tcPr>
                <w:p w14:paraId="74F42F69">
                  <w:pPr>
                    <w:jc w:val="center"/>
                    <w:rPr>
                      <w:rFonts w:hint="eastAsia" w:ascii="宋体" w:hAnsi="宋体" w:cs="宋体"/>
                      <w:color w:val="auto"/>
                      <w:szCs w:val="21"/>
                    </w:rPr>
                  </w:pPr>
                  <w:r>
                    <w:rPr>
                      <w:rFonts w:hint="eastAsia" w:ascii="宋体" w:hAnsi="宋体" w:cs="宋体"/>
                      <w:color w:val="auto"/>
                      <w:szCs w:val="21"/>
                    </w:rPr>
                    <w:t>大气污染防治措施</w:t>
                  </w:r>
                </w:p>
              </w:tc>
              <w:tc>
                <w:tcPr>
                  <w:tcW w:w="643" w:type="pct"/>
                  <w:vAlign w:val="center"/>
                </w:tcPr>
                <w:p w14:paraId="0409AB77">
                  <w:pPr>
                    <w:jc w:val="center"/>
                    <w:rPr>
                      <w:rFonts w:hint="eastAsia" w:ascii="宋体" w:hAnsi="宋体" w:cs="宋体"/>
                      <w:bCs/>
                      <w:color w:val="auto"/>
                      <w:spacing w:val="-10"/>
                      <w:szCs w:val="21"/>
                    </w:rPr>
                  </w:pPr>
                  <w:r>
                    <w:rPr>
                      <w:rFonts w:hint="eastAsia" w:ascii="宋体" w:hAnsi="宋体" w:cs="宋体"/>
                      <w:bCs/>
                      <w:color w:val="auto"/>
                      <w:spacing w:val="-10"/>
                      <w:szCs w:val="21"/>
                    </w:rPr>
                    <w:t>污水处理站周界恶臭气体</w:t>
                  </w:r>
                </w:p>
              </w:tc>
              <w:tc>
                <w:tcPr>
                  <w:tcW w:w="1593" w:type="pct"/>
                  <w:vAlign w:val="center"/>
                </w:tcPr>
                <w:p w14:paraId="5B9D7768">
                  <w:pPr>
                    <w:jc w:val="center"/>
                    <w:rPr>
                      <w:rFonts w:hint="eastAsia" w:ascii="宋体" w:hAnsi="宋体" w:cs="宋体"/>
                      <w:color w:val="auto"/>
                      <w:szCs w:val="21"/>
                    </w:rPr>
                  </w:pPr>
                  <w:r>
                    <w:rPr>
                      <w:rFonts w:hint="eastAsia" w:ascii="宋体" w:hAnsi="宋体" w:cs="宋体"/>
                      <w:color w:val="auto"/>
                      <w:szCs w:val="21"/>
                    </w:rPr>
                    <w:t>污水处理站设置在地下一层，为地埋式，</w:t>
                  </w:r>
                  <w:r>
                    <w:rPr>
                      <w:rFonts w:hint="eastAsia" w:ascii="宋体" w:hAnsi="宋体" w:cs="宋体"/>
                      <w:color w:val="auto"/>
                      <w:kern w:val="0"/>
                      <w:szCs w:val="21"/>
                      <w:lang w:bidi="ar"/>
                    </w:rPr>
                    <w:t>在盖板上留有换气口，并在换气口附近投放除臭剂</w:t>
                  </w:r>
                </w:p>
              </w:tc>
              <w:tc>
                <w:tcPr>
                  <w:tcW w:w="2140" w:type="pct"/>
                  <w:vAlign w:val="center"/>
                </w:tcPr>
                <w:p w14:paraId="4FBB8B0D">
                  <w:pPr>
                    <w:jc w:val="center"/>
                    <w:rPr>
                      <w:rFonts w:hint="eastAsia" w:ascii="宋体" w:hAnsi="宋体" w:cs="宋体"/>
                      <w:bCs/>
                      <w:color w:val="auto"/>
                      <w:kern w:val="0"/>
                      <w:szCs w:val="21"/>
                      <w:lang w:bidi="ar"/>
                    </w:rPr>
                  </w:pPr>
                  <w:r>
                    <w:rPr>
                      <w:rFonts w:hint="eastAsia" w:ascii="宋体" w:hAnsi="宋体" w:cs="宋体"/>
                      <w:bCs/>
                      <w:color w:val="auto"/>
                      <w:kern w:val="0"/>
                      <w:szCs w:val="21"/>
                      <w:lang w:bidi="ar"/>
                    </w:rPr>
                    <w:t>《医疗机构水污染物排放标准》（GB 18466-2005）表3污水处理设施周边大气污染物最高允许浓度</w:t>
                  </w:r>
                </w:p>
              </w:tc>
            </w:tr>
            <w:tr w14:paraId="6694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622" w:type="pct"/>
                  <w:vAlign w:val="center"/>
                </w:tcPr>
                <w:p w14:paraId="356ED075">
                  <w:pPr>
                    <w:jc w:val="center"/>
                    <w:rPr>
                      <w:rFonts w:hint="eastAsia" w:ascii="宋体" w:hAnsi="宋体" w:cs="宋体"/>
                      <w:color w:val="auto"/>
                      <w:szCs w:val="21"/>
                    </w:rPr>
                  </w:pPr>
                  <w:r>
                    <w:rPr>
                      <w:rFonts w:hint="eastAsia" w:ascii="宋体" w:hAnsi="宋体" w:cs="宋体"/>
                      <w:color w:val="auto"/>
                      <w:szCs w:val="21"/>
                    </w:rPr>
                    <w:t>噪声防治措施</w:t>
                  </w:r>
                </w:p>
              </w:tc>
              <w:tc>
                <w:tcPr>
                  <w:tcW w:w="643" w:type="pct"/>
                  <w:vAlign w:val="center"/>
                </w:tcPr>
                <w:p w14:paraId="6BE4702C">
                  <w:pPr>
                    <w:jc w:val="center"/>
                    <w:rPr>
                      <w:rFonts w:hint="eastAsia" w:ascii="宋体" w:hAnsi="宋体" w:cs="宋体"/>
                      <w:color w:val="auto"/>
                      <w:szCs w:val="21"/>
                    </w:rPr>
                  </w:pPr>
                  <w:r>
                    <w:rPr>
                      <w:rFonts w:hint="eastAsia" w:ascii="宋体" w:hAnsi="宋体" w:cs="宋体"/>
                      <w:color w:val="auto"/>
                      <w:szCs w:val="21"/>
                    </w:rPr>
                    <w:t>噪声</w:t>
                  </w:r>
                </w:p>
              </w:tc>
              <w:tc>
                <w:tcPr>
                  <w:tcW w:w="1593" w:type="pct"/>
                  <w:vAlign w:val="center"/>
                </w:tcPr>
                <w:p w14:paraId="28CC4C58">
                  <w:pPr>
                    <w:jc w:val="center"/>
                    <w:rPr>
                      <w:rFonts w:hint="eastAsia" w:ascii="宋体" w:hAnsi="宋体" w:cs="宋体"/>
                      <w:b/>
                      <w:bCs/>
                      <w:color w:val="auto"/>
                      <w:szCs w:val="21"/>
                    </w:rPr>
                  </w:pPr>
                  <w:r>
                    <w:rPr>
                      <w:rFonts w:hint="eastAsia" w:ascii="宋体" w:hAnsi="宋体" w:cs="宋体"/>
                      <w:color w:val="auto"/>
                      <w:szCs w:val="21"/>
                    </w:rPr>
                    <w:t>水泵设备减振、风机安装消声器、建筑隔声</w:t>
                  </w:r>
                </w:p>
              </w:tc>
              <w:tc>
                <w:tcPr>
                  <w:tcW w:w="2140" w:type="pct"/>
                  <w:vAlign w:val="center"/>
                </w:tcPr>
                <w:p w14:paraId="4EE85C66">
                  <w:pPr>
                    <w:jc w:val="center"/>
                    <w:rPr>
                      <w:rFonts w:hint="eastAsia" w:ascii="宋体" w:hAnsi="宋体" w:cs="宋体"/>
                      <w:snapToGrid w:val="0"/>
                      <w:color w:val="auto"/>
                      <w:szCs w:val="21"/>
                    </w:rPr>
                  </w:pPr>
                  <w:r>
                    <w:rPr>
                      <w:rFonts w:hint="eastAsia" w:ascii="宋体" w:hAnsi="宋体" w:cs="宋体"/>
                      <w:snapToGrid w:val="0"/>
                      <w:color w:val="auto"/>
                      <w:szCs w:val="21"/>
                    </w:rPr>
                    <w:t>厂界</w:t>
                  </w:r>
                  <w:r>
                    <w:rPr>
                      <w:rFonts w:hint="eastAsia" w:ascii="宋体" w:hAnsi="宋体" w:cs="宋体"/>
                      <w:color w:val="auto"/>
                      <w:kern w:val="0"/>
                      <w:szCs w:val="21"/>
                      <w:lang w:bidi="ar"/>
                    </w:rPr>
                    <w:t>执行《工业企业厂界环境噪声排放标准》（GB12348-2008）2类标准</w:t>
                  </w:r>
                </w:p>
              </w:tc>
            </w:tr>
            <w:tr w14:paraId="60C6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622" w:type="pct"/>
                  <w:vMerge w:val="restart"/>
                  <w:vAlign w:val="center"/>
                </w:tcPr>
                <w:p w14:paraId="75195CC1">
                  <w:pPr>
                    <w:jc w:val="center"/>
                    <w:rPr>
                      <w:rFonts w:hint="eastAsia" w:ascii="宋体" w:hAnsi="宋体" w:cs="宋体"/>
                      <w:color w:val="auto"/>
                      <w:szCs w:val="21"/>
                    </w:rPr>
                  </w:pPr>
                  <w:r>
                    <w:rPr>
                      <w:rFonts w:hint="eastAsia" w:ascii="宋体" w:hAnsi="宋体" w:cs="宋体"/>
                      <w:color w:val="auto"/>
                      <w:szCs w:val="21"/>
                    </w:rPr>
                    <w:t>废水防治措施</w:t>
                  </w:r>
                </w:p>
              </w:tc>
              <w:tc>
                <w:tcPr>
                  <w:tcW w:w="643" w:type="pct"/>
                  <w:vMerge w:val="restart"/>
                  <w:vAlign w:val="center"/>
                </w:tcPr>
                <w:p w14:paraId="7D72E561">
                  <w:pPr>
                    <w:jc w:val="center"/>
                    <w:rPr>
                      <w:rFonts w:hint="eastAsia" w:ascii="宋体" w:hAnsi="宋体" w:cs="宋体"/>
                      <w:color w:val="auto"/>
                      <w:szCs w:val="21"/>
                    </w:rPr>
                  </w:pPr>
                  <w:r>
                    <w:rPr>
                      <w:rFonts w:hint="eastAsia" w:ascii="宋体" w:hAnsi="宋体" w:cs="宋体"/>
                      <w:color w:val="auto"/>
                      <w:szCs w:val="21"/>
                    </w:rPr>
                    <w:t>一般医疗废水</w:t>
                  </w:r>
                </w:p>
              </w:tc>
              <w:tc>
                <w:tcPr>
                  <w:tcW w:w="1593" w:type="pct"/>
                  <w:vAlign w:val="center"/>
                </w:tcPr>
                <w:p w14:paraId="2EEAB996">
                  <w:pPr>
                    <w:snapToGrid w:val="0"/>
                    <w:jc w:val="center"/>
                    <w:rPr>
                      <w:rFonts w:hint="eastAsia" w:ascii="宋体" w:hAnsi="宋体" w:cs="宋体"/>
                      <w:color w:val="auto"/>
                      <w:szCs w:val="21"/>
                    </w:rPr>
                  </w:pPr>
                  <w:r>
                    <w:rPr>
                      <w:rFonts w:hint="eastAsia"/>
                      <w:bCs/>
                      <w:color w:val="auto"/>
                      <w:szCs w:val="21"/>
                    </w:rPr>
                    <w:t>化粪池：</w:t>
                  </w:r>
                  <w:r>
                    <w:rPr>
                      <w:bCs/>
                      <w:color w:val="auto"/>
                      <w:szCs w:val="21"/>
                    </w:rPr>
                    <w:t>本项目自建</w:t>
                  </w:r>
                  <w:r>
                    <w:rPr>
                      <w:color w:val="auto"/>
                      <w:szCs w:val="21"/>
                    </w:rPr>
                    <w:t>化粪池</w:t>
                  </w:r>
                  <w:r>
                    <w:rPr>
                      <w:bCs/>
                      <w:color w:val="auto"/>
                      <w:szCs w:val="21"/>
                    </w:rPr>
                    <w:t>总容积不小于9m³</w:t>
                  </w:r>
                </w:p>
              </w:tc>
              <w:tc>
                <w:tcPr>
                  <w:tcW w:w="2140" w:type="pct"/>
                  <w:vMerge w:val="restart"/>
                  <w:vAlign w:val="center"/>
                </w:tcPr>
                <w:p w14:paraId="0CEE1611">
                  <w:pPr>
                    <w:pStyle w:val="12"/>
                    <w:jc w:val="center"/>
                    <w:rPr>
                      <w:rFonts w:hint="eastAsia" w:ascii="宋体" w:hAnsi="宋体" w:cs="宋体"/>
                      <w:color w:val="auto"/>
                      <w:szCs w:val="21"/>
                    </w:rPr>
                  </w:pPr>
                  <w:r>
                    <w:rPr>
                      <w:rFonts w:hint="eastAsia" w:ascii="宋体" w:hAnsi="宋体" w:cs="宋体"/>
                      <w:b w:val="0"/>
                      <w:bCs w:val="0"/>
                      <w:color w:val="auto"/>
                      <w:szCs w:val="21"/>
                    </w:rPr>
                    <w:t>《医疗机构水污染物排放标准》（GB18466-2005）“表 2 综合医疗机构和其他医疗机构水污染物排放限值（日均值）”中的预处理标准，氨氮、总磷达到《污水排入城镇下水道水质标准》（GB/T31962-2015）B 等级标准</w:t>
                  </w:r>
                </w:p>
              </w:tc>
            </w:tr>
            <w:tr w14:paraId="3631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22" w:type="pct"/>
                  <w:vMerge w:val="continue"/>
                  <w:vAlign w:val="center"/>
                </w:tcPr>
                <w:p w14:paraId="3B085061">
                  <w:pPr>
                    <w:jc w:val="center"/>
                    <w:rPr>
                      <w:rFonts w:hint="eastAsia" w:ascii="宋体" w:hAnsi="宋体" w:cs="宋体"/>
                      <w:color w:val="auto"/>
                      <w:szCs w:val="21"/>
                    </w:rPr>
                  </w:pPr>
                </w:p>
              </w:tc>
              <w:tc>
                <w:tcPr>
                  <w:tcW w:w="643" w:type="pct"/>
                  <w:vMerge w:val="continue"/>
                  <w:vAlign w:val="center"/>
                </w:tcPr>
                <w:p w14:paraId="2E2DA851">
                  <w:pPr>
                    <w:jc w:val="center"/>
                    <w:rPr>
                      <w:rFonts w:hint="eastAsia" w:ascii="宋体" w:hAnsi="宋体" w:cs="宋体"/>
                      <w:color w:val="auto"/>
                      <w:szCs w:val="21"/>
                    </w:rPr>
                  </w:pPr>
                </w:p>
              </w:tc>
              <w:tc>
                <w:tcPr>
                  <w:tcW w:w="1593" w:type="pct"/>
                  <w:vAlign w:val="center"/>
                </w:tcPr>
                <w:p w14:paraId="344D9296">
                  <w:pPr>
                    <w:snapToGrid w:val="0"/>
                    <w:jc w:val="center"/>
                    <w:rPr>
                      <w:bCs/>
                      <w:color w:val="auto"/>
                      <w:szCs w:val="21"/>
                    </w:rPr>
                  </w:pPr>
                  <w:r>
                    <w:rPr>
                      <w:rFonts w:hint="eastAsia"/>
                      <w:bCs/>
                      <w:color w:val="auto"/>
                      <w:szCs w:val="21"/>
                    </w:rPr>
                    <w:t>污水处理站：</w:t>
                  </w:r>
                  <w:r>
                    <w:rPr>
                      <w:bCs/>
                      <w:color w:val="auto"/>
                      <w:szCs w:val="21"/>
                    </w:rPr>
                    <w:t>本项目自建的污水站处理规模不小于20m³/d</w:t>
                  </w:r>
                </w:p>
              </w:tc>
              <w:tc>
                <w:tcPr>
                  <w:tcW w:w="2140" w:type="pct"/>
                  <w:vMerge w:val="continue"/>
                  <w:vAlign w:val="center"/>
                </w:tcPr>
                <w:p w14:paraId="2217BA4A">
                  <w:pPr>
                    <w:jc w:val="center"/>
                    <w:rPr>
                      <w:rFonts w:hint="eastAsia" w:ascii="宋体" w:hAnsi="宋体" w:cs="宋体"/>
                      <w:color w:val="auto"/>
                      <w:szCs w:val="21"/>
                    </w:rPr>
                  </w:pPr>
                </w:p>
              </w:tc>
            </w:tr>
            <w:tr w14:paraId="5E1D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622" w:type="pct"/>
                  <w:vMerge w:val="restart"/>
                  <w:vAlign w:val="center"/>
                </w:tcPr>
                <w:p w14:paraId="144AC74C">
                  <w:pPr>
                    <w:jc w:val="center"/>
                    <w:rPr>
                      <w:rFonts w:hint="eastAsia" w:ascii="宋体" w:hAnsi="宋体" w:cs="宋体"/>
                      <w:color w:val="auto"/>
                      <w:szCs w:val="21"/>
                    </w:rPr>
                  </w:pPr>
                </w:p>
                <w:p w14:paraId="33B94443">
                  <w:pPr>
                    <w:jc w:val="center"/>
                    <w:rPr>
                      <w:rFonts w:hint="eastAsia" w:ascii="宋体" w:hAnsi="宋体" w:cs="宋体"/>
                      <w:color w:val="auto"/>
                      <w:szCs w:val="21"/>
                    </w:rPr>
                  </w:pPr>
                </w:p>
                <w:p w14:paraId="5E600432">
                  <w:pPr>
                    <w:jc w:val="center"/>
                    <w:rPr>
                      <w:rFonts w:hint="eastAsia" w:ascii="宋体" w:hAnsi="宋体" w:cs="宋体"/>
                      <w:color w:val="auto"/>
                      <w:szCs w:val="21"/>
                    </w:rPr>
                  </w:pPr>
                  <w:r>
                    <w:rPr>
                      <w:rFonts w:hint="eastAsia" w:ascii="宋体" w:hAnsi="宋体" w:cs="宋体"/>
                      <w:color w:val="auto"/>
                      <w:szCs w:val="21"/>
                    </w:rPr>
                    <w:t>固废防治措施</w:t>
                  </w:r>
                </w:p>
              </w:tc>
              <w:tc>
                <w:tcPr>
                  <w:tcW w:w="643" w:type="pct"/>
                  <w:vAlign w:val="center"/>
                </w:tcPr>
                <w:p w14:paraId="2C5A5972">
                  <w:pPr>
                    <w:jc w:val="center"/>
                    <w:rPr>
                      <w:color w:val="auto"/>
                      <w:szCs w:val="21"/>
                    </w:rPr>
                  </w:pPr>
                  <w:r>
                    <w:rPr>
                      <w:rFonts w:hint="eastAsia" w:ascii="宋体" w:hAnsi="宋体" w:cs="宋体"/>
                      <w:bCs/>
                      <w:color w:val="auto"/>
                      <w:szCs w:val="21"/>
                    </w:rPr>
                    <w:t>医疗固废</w:t>
                  </w:r>
                </w:p>
              </w:tc>
              <w:tc>
                <w:tcPr>
                  <w:tcW w:w="1593" w:type="pct"/>
                  <w:vAlign w:val="center"/>
                </w:tcPr>
                <w:p w14:paraId="74D0FA66">
                  <w:pPr>
                    <w:autoSpaceDE w:val="0"/>
                    <w:autoSpaceDN w:val="0"/>
                    <w:jc w:val="center"/>
                    <w:rPr>
                      <w:color w:val="auto"/>
                      <w:sz w:val="24"/>
                    </w:rPr>
                  </w:pPr>
                  <w:r>
                    <w:rPr>
                      <w:rFonts w:hint="eastAsia" w:ascii="宋体" w:hAnsi="宋体" w:cs="宋体"/>
                      <w:color w:val="auto"/>
                      <w:szCs w:val="21"/>
                    </w:rPr>
                    <w:t>消毒、分类、毁形、收集包装，放入卫生院已建好的医疗废物暂存间暂存，交由玉溪兴洁垃圾处理有限公司</w:t>
                  </w:r>
                </w:p>
              </w:tc>
              <w:tc>
                <w:tcPr>
                  <w:tcW w:w="2140" w:type="pct"/>
                  <w:vMerge w:val="restart"/>
                  <w:vAlign w:val="center"/>
                </w:tcPr>
                <w:p w14:paraId="0E7B028E">
                  <w:pPr>
                    <w:jc w:val="center"/>
                    <w:rPr>
                      <w:rFonts w:hint="eastAsia" w:ascii="宋体" w:hAnsi="宋体" w:cs="宋体"/>
                      <w:color w:val="auto"/>
                      <w:szCs w:val="21"/>
                    </w:rPr>
                  </w:pPr>
                  <w:r>
                    <w:rPr>
                      <w:rFonts w:hint="eastAsia" w:ascii="宋体" w:hAnsi="宋体" w:cs="宋体"/>
                      <w:color w:val="auto"/>
                      <w:szCs w:val="21"/>
                    </w:rPr>
                    <w:t>处置率100%</w:t>
                  </w:r>
                </w:p>
              </w:tc>
            </w:tr>
            <w:tr w14:paraId="5C27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622" w:type="pct"/>
                  <w:vMerge w:val="continue"/>
                  <w:vAlign w:val="center"/>
                </w:tcPr>
                <w:p w14:paraId="77E78CBD">
                  <w:pPr>
                    <w:jc w:val="center"/>
                    <w:rPr>
                      <w:rFonts w:hint="eastAsia" w:ascii="宋体" w:hAnsi="宋体" w:cs="宋体"/>
                      <w:color w:val="auto"/>
                      <w:szCs w:val="21"/>
                    </w:rPr>
                  </w:pPr>
                </w:p>
              </w:tc>
              <w:tc>
                <w:tcPr>
                  <w:tcW w:w="643" w:type="pct"/>
                  <w:vAlign w:val="center"/>
                </w:tcPr>
                <w:p w14:paraId="2B10F3F2">
                  <w:pPr>
                    <w:jc w:val="center"/>
                    <w:rPr>
                      <w:rFonts w:hint="eastAsia" w:ascii="宋体" w:hAnsi="宋体" w:cs="宋体"/>
                      <w:color w:val="auto"/>
                      <w:szCs w:val="21"/>
                    </w:rPr>
                  </w:pPr>
                  <w:r>
                    <w:rPr>
                      <w:rFonts w:hint="eastAsia" w:ascii="宋体" w:hAnsi="宋体" w:cs="宋体"/>
                      <w:bCs/>
                      <w:color w:val="auto"/>
                      <w:szCs w:val="21"/>
                    </w:rPr>
                    <w:t>污水站污泥和化粪池污泥</w:t>
                  </w:r>
                </w:p>
              </w:tc>
              <w:tc>
                <w:tcPr>
                  <w:tcW w:w="1593" w:type="pct"/>
                  <w:vAlign w:val="center"/>
                </w:tcPr>
                <w:p w14:paraId="5E71C154">
                  <w:pPr>
                    <w:autoSpaceDE w:val="0"/>
                    <w:autoSpaceDN w:val="0"/>
                    <w:jc w:val="center"/>
                    <w:rPr>
                      <w:rFonts w:hint="eastAsia" w:ascii="宋体" w:hAnsi="宋体" w:cs="宋体"/>
                      <w:color w:val="auto"/>
                      <w:szCs w:val="21"/>
                    </w:rPr>
                  </w:pPr>
                  <w:r>
                    <w:rPr>
                      <w:rFonts w:hint="eastAsia"/>
                      <w:color w:val="auto"/>
                      <w:szCs w:val="21"/>
                    </w:rPr>
                    <w:t>由环卫部门定期清掏脱水后由环卫部门交由有资质单位处置</w:t>
                  </w:r>
                </w:p>
              </w:tc>
              <w:tc>
                <w:tcPr>
                  <w:tcW w:w="2140" w:type="pct"/>
                  <w:vMerge w:val="continue"/>
                  <w:vAlign w:val="center"/>
                </w:tcPr>
                <w:p w14:paraId="110F0734">
                  <w:pPr>
                    <w:jc w:val="center"/>
                    <w:rPr>
                      <w:rFonts w:hint="eastAsia" w:ascii="宋体" w:hAnsi="宋体" w:cs="宋体"/>
                      <w:color w:val="auto"/>
                      <w:szCs w:val="21"/>
                    </w:rPr>
                  </w:pPr>
                </w:p>
              </w:tc>
            </w:tr>
            <w:tr w14:paraId="1EC7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22" w:type="pct"/>
                  <w:vMerge w:val="continue"/>
                  <w:vAlign w:val="center"/>
                </w:tcPr>
                <w:p w14:paraId="7DDB0B62">
                  <w:pPr>
                    <w:jc w:val="center"/>
                    <w:rPr>
                      <w:rFonts w:hint="eastAsia" w:ascii="宋体" w:hAnsi="宋体" w:cs="宋体"/>
                      <w:color w:val="auto"/>
                      <w:szCs w:val="21"/>
                    </w:rPr>
                  </w:pPr>
                </w:p>
              </w:tc>
              <w:tc>
                <w:tcPr>
                  <w:tcW w:w="643" w:type="pct"/>
                  <w:vAlign w:val="center"/>
                </w:tcPr>
                <w:p w14:paraId="3128CF22">
                  <w:pPr>
                    <w:jc w:val="center"/>
                    <w:rPr>
                      <w:rFonts w:hint="eastAsia" w:ascii="宋体" w:hAnsi="宋体" w:cs="宋体"/>
                      <w:bCs/>
                      <w:color w:val="auto"/>
                      <w:szCs w:val="21"/>
                    </w:rPr>
                  </w:pPr>
                  <w:r>
                    <w:rPr>
                      <w:rFonts w:hint="eastAsia" w:ascii="宋体" w:hAnsi="宋体" w:cs="宋体"/>
                      <w:color w:val="auto"/>
                      <w:szCs w:val="21"/>
                    </w:rPr>
                    <w:t>生活垃圾</w:t>
                  </w:r>
                </w:p>
              </w:tc>
              <w:tc>
                <w:tcPr>
                  <w:tcW w:w="1593" w:type="pct"/>
                  <w:vAlign w:val="center"/>
                </w:tcPr>
                <w:p w14:paraId="02E262C9">
                  <w:pPr>
                    <w:jc w:val="center"/>
                    <w:rPr>
                      <w:color w:val="auto"/>
                      <w:szCs w:val="21"/>
                    </w:rPr>
                  </w:pPr>
                  <w:r>
                    <w:rPr>
                      <w:rFonts w:hint="eastAsia" w:ascii="宋体" w:hAnsi="宋体" w:cs="宋体"/>
                      <w:color w:val="auto"/>
                      <w:szCs w:val="21"/>
                    </w:rPr>
                    <w:t>由环卫部门清运处置</w:t>
                  </w:r>
                </w:p>
              </w:tc>
              <w:tc>
                <w:tcPr>
                  <w:tcW w:w="2140" w:type="pct"/>
                  <w:vMerge w:val="continue"/>
                  <w:vAlign w:val="center"/>
                </w:tcPr>
                <w:p w14:paraId="5317253E">
                  <w:pPr>
                    <w:jc w:val="center"/>
                    <w:rPr>
                      <w:rFonts w:hint="eastAsia" w:ascii="宋体" w:hAnsi="宋体" w:cs="宋体"/>
                      <w:color w:val="auto"/>
                      <w:szCs w:val="21"/>
                    </w:rPr>
                  </w:pPr>
                </w:p>
              </w:tc>
            </w:tr>
          </w:tbl>
          <w:p w14:paraId="2AF9DC05">
            <w:pPr>
              <w:pStyle w:val="3"/>
              <w:spacing w:before="0" w:after="0" w:line="360" w:lineRule="auto"/>
              <w:ind w:firstLine="1687" w:firstLineChars="700"/>
              <w:rPr>
                <w:rFonts w:hint="eastAsia" w:ascii="宋体" w:hAnsi="宋体" w:eastAsia="宋体" w:cs="宋体"/>
                <w:color w:val="auto"/>
                <w:sz w:val="24"/>
                <w:szCs w:val="24"/>
              </w:rPr>
            </w:pPr>
            <w:r>
              <w:rPr>
                <w:rFonts w:hint="eastAsia" w:ascii="宋体" w:hAnsi="宋体" w:eastAsia="宋体" w:cs="宋体"/>
                <w:color w:val="auto"/>
                <w:sz w:val="24"/>
                <w:szCs w:val="24"/>
              </w:rPr>
              <w:t>表5-5  项目杨广卫生院环保设施竣工验收一览表</w:t>
            </w:r>
          </w:p>
          <w:tbl>
            <w:tblPr>
              <w:tblStyle w:val="33"/>
              <w:tblW w:w="7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965"/>
              <w:gridCol w:w="965"/>
              <w:gridCol w:w="2387"/>
              <w:gridCol w:w="2289"/>
            </w:tblGrid>
            <w:tr w14:paraId="393A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18" w:type="pct"/>
                  <w:vAlign w:val="center"/>
                </w:tcPr>
                <w:p w14:paraId="0E0592A4">
                  <w:pPr>
                    <w:jc w:val="center"/>
                    <w:rPr>
                      <w:rFonts w:hint="eastAsia" w:ascii="宋体" w:hAnsi="宋体" w:cs="宋体"/>
                      <w:b/>
                      <w:bCs/>
                      <w:color w:val="auto"/>
                      <w:szCs w:val="21"/>
                    </w:rPr>
                  </w:pPr>
                  <w:r>
                    <w:rPr>
                      <w:rFonts w:hint="eastAsia" w:ascii="宋体" w:hAnsi="宋体" w:cs="宋体"/>
                      <w:b/>
                      <w:bCs/>
                      <w:color w:val="auto"/>
                      <w:szCs w:val="21"/>
                    </w:rPr>
                    <w:t>项目</w:t>
                  </w:r>
                </w:p>
              </w:tc>
              <w:tc>
                <w:tcPr>
                  <w:tcW w:w="640" w:type="pct"/>
                  <w:vAlign w:val="center"/>
                </w:tcPr>
                <w:p w14:paraId="2C75982B">
                  <w:pPr>
                    <w:jc w:val="center"/>
                    <w:rPr>
                      <w:rFonts w:hint="eastAsia" w:ascii="宋体" w:hAnsi="宋体" w:cs="宋体"/>
                      <w:b/>
                      <w:bCs/>
                      <w:color w:val="auto"/>
                      <w:szCs w:val="21"/>
                    </w:rPr>
                  </w:pPr>
                  <w:r>
                    <w:rPr>
                      <w:rFonts w:hint="eastAsia" w:ascii="宋体" w:hAnsi="宋体" w:cs="宋体"/>
                      <w:b/>
                      <w:bCs/>
                      <w:color w:val="auto"/>
                      <w:szCs w:val="21"/>
                    </w:rPr>
                    <w:t>分区</w:t>
                  </w:r>
                </w:p>
              </w:tc>
              <w:tc>
                <w:tcPr>
                  <w:tcW w:w="640" w:type="pct"/>
                  <w:vAlign w:val="center"/>
                </w:tcPr>
                <w:p w14:paraId="78C53EEF">
                  <w:pPr>
                    <w:jc w:val="center"/>
                    <w:rPr>
                      <w:rFonts w:hint="eastAsia" w:ascii="宋体" w:hAnsi="宋体" w:cs="宋体"/>
                      <w:b/>
                      <w:bCs/>
                      <w:color w:val="auto"/>
                      <w:szCs w:val="21"/>
                    </w:rPr>
                  </w:pPr>
                  <w:r>
                    <w:rPr>
                      <w:rFonts w:hint="eastAsia" w:ascii="宋体" w:hAnsi="宋体" w:cs="宋体"/>
                      <w:b/>
                      <w:bCs/>
                      <w:color w:val="auto"/>
                      <w:szCs w:val="21"/>
                    </w:rPr>
                    <w:t>验收对象</w:t>
                  </w:r>
                </w:p>
              </w:tc>
              <w:tc>
                <w:tcPr>
                  <w:tcW w:w="1583" w:type="pct"/>
                  <w:vAlign w:val="center"/>
                </w:tcPr>
                <w:p w14:paraId="4A87808D">
                  <w:pPr>
                    <w:jc w:val="center"/>
                    <w:rPr>
                      <w:rFonts w:hint="eastAsia" w:ascii="宋体" w:hAnsi="宋体" w:cs="宋体"/>
                      <w:b/>
                      <w:bCs/>
                      <w:color w:val="auto"/>
                      <w:szCs w:val="21"/>
                    </w:rPr>
                  </w:pPr>
                  <w:r>
                    <w:rPr>
                      <w:rFonts w:hint="eastAsia" w:ascii="宋体" w:hAnsi="宋体" w:cs="宋体"/>
                      <w:b/>
                      <w:bCs/>
                      <w:color w:val="auto"/>
                      <w:szCs w:val="21"/>
                    </w:rPr>
                    <w:t>治理措施</w:t>
                  </w:r>
                </w:p>
              </w:tc>
              <w:tc>
                <w:tcPr>
                  <w:tcW w:w="1518" w:type="pct"/>
                  <w:vAlign w:val="center"/>
                </w:tcPr>
                <w:p w14:paraId="4311E465">
                  <w:pPr>
                    <w:jc w:val="center"/>
                    <w:rPr>
                      <w:rFonts w:hint="eastAsia" w:ascii="宋体" w:hAnsi="宋体" w:cs="宋体"/>
                      <w:b/>
                      <w:bCs/>
                      <w:color w:val="auto"/>
                      <w:szCs w:val="21"/>
                    </w:rPr>
                  </w:pPr>
                  <w:r>
                    <w:rPr>
                      <w:rFonts w:hint="eastAsia" w:ascii="宋体" w:hAnsi="宋体" w:cs="宋体"/>
                      <w:b/>
                      <w:bCs/>
                      <w:color w:val="auto"/>
                      <w:szCs w:val="21"/>
                    </w:rPr>
                    <w:t>验收标准</w:t>
                  </w:r>
                </w:p>
              </w:tc>
            </w:tr>
            <w:tr w14:paraId="373C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618" w:type="pct"/>
                  <w:vMerge w:val="restart"/>
                  <w:vAlign w:val="center"/>
                </w:tcPr>
                <w:p w14:paraId="7FCDA152">
                  <w:pPr>
                    <w:jc w:val="center"/>
                    <w:rPr>
                      <w:rFonts w:hint="eastAsia" w:ascii="宋体" w:hAnsi="宋体" w:cs="宋体"/>
                      <w:color w:val="auto"/>
                      <w:szCs w:val="21"/>
                    </w:rPr>
                  </w:pPr>
                  <w:r>
                    <w:rPr>
                      <w:rFonts w:hint="eastAsia" w:ascii="宋体" w:hAnsi="宋体" w:cs="宋体"/>
                      <w:color w:val="auto"/>
                      <w:szCs w:val="21"/>
                    </w:rPr>
                    <w:t>大气污染防治措施</w:t>
                  </w:r>
                </w:p>
              </w:tc>
              <w:tc>
                <w:tcPr>
                  <w:tcW w:w="640" w:type="pct"/>
                  <w:vAlign w:val="center"/>
                </w:tcPr>
                <w:p w14:paraId="76F88930">
                  <w:pPr>
                    <w:jc w:val="center"/>
                    <w:rPr>
                      <w:rFonts w:hint="eastAsia" w:ascii="宋体" w:hAnsi="宋体" w:cs="宋体"/>
                      <w:bCs/>
                      <w:color w:val="auto"/>
                      <w:spacing w:val="-10"/>
                      <w:szCs w:val="21"/>
                    </w:rPr>
                  </w:pPr>
                  <w:r>
                    <w:rPr>
                      <w:rFonts w:hint="eastAsia" w:ascii="宋体" w:hAnsi="宋体" w:cs="宋体"/>
                      <w:bCs/>
                      <w:color w:val="auto"/>
                      <w:spacing w:val="-10"/>
                      <w:szCs w:val="21"/>
                    </w:rPr>
                    <w:t>杨广卫生院</w:t>
                  </w:r>
                </w:p>
              </w:tc>
              <w:tc>
                <w:tcPr>
                  <w:tcW w:w="640" w:type="pct"/>
                  <w:vAlign w:val="center"/>
                </w:tcPr>
                <w:p w14:paraId="2A7F4C3A">
                  <w:pPr>
                    <w:jc w:val="center"/>
                    <w:rPr>
                      <w:rFonts w:hint="eastAsia" w:ascii="宋体" w:hAnsi="宋体" w:cs="宋体"/>
                      <w:bCs/>
                      <w:color w:val="auto"/>
                      <w:spacing w:val="-10"/>
                      <w:szCs w:val="21"/>
                    </w:rPr>
                  </w:pPr>
                  <w:r>
                    <w:rPr>
                      <w:rFonts w:hint="eastAsia" w:ascii="宋体" w:hAnsi="宋体" w:cs="宋体"/>
                      <w:bCs/>
                      <w:color w:val="auto"/>
                      <w:spacing w:val="-10"/>
                      <w:szCs w:val="21"/>
                    </w:rPr>
                    <w:t>污水处理站周界恶臭气体</w:t>
                  </w:r>
                </w:p>
              </w:tc>
              <w:tc>
                <w:tcPr>
                  <w:tcW w:w="1583" w:type="pct"/>
                  <w:vAlign w:val="center"/>
                </w:tcPr>
                <w:p w14:paraId="0ECDA74D">
                  <w:pPr>
                    <w:jc w:val="center"/>
                    <w:rPr>
                      <w:rFonts w:hint="eastAsia" w:ascii="宋体" w:hAnsi="宋体" w:cs="宋体"/>
                      <w:color w:val="auto"/>
                      <w:szCs w:val="21"/>
                    </w:rPr>
                  </w:pPr>
                  <w:r>
                    <w:rPr>
                      <w:rFonts w:hint="eastAsia" w:ascii="宋体" w:hAnsi="宋体" w:cs="宋体"/>
                      <w:color w:val="auto"/>
                      <w:szCs w:val="21"/>
                    </w:rPr>
                    <w:t>污水处理站设置在地下一层，为地埋式，</w:t>
                  </w:r>
                  <w:r>
                    <w:rPr>
                      <w:rFonts w:hint="eastAsia" w:ascii="宋体" w:hAnsi="宋体" w:cs="宋体"/>
                      <w:color w:val="auto"/>
                      <w:kern w:val="0"/>
                      <w:szCs w:val="21"/>
                      <w:lang w:bidi="ar"/>
                    </w:rPr>
                    <w:t>在盖板上留有换气口，并在换气口附近投放除臭剂</w:t>
                  </w:r>
                </w:p>
              </w:tc>
              <w:tc>
                <w:tcPr>
                  <w:tcW w:w="1518" w:type="pct"/>
                  <w:vAlign w:val="center"/>
                </w:tcPr>
                <w:p w14:paraId="7268C84F">
                  <w:pPr>
                    <w:jc w:val="center"/>
                    <w:rPr>
                      <w:rFonts w:hint="eastAsia" w:ascii="宋体" w:hAnsi="宋体" w:cs="宋体"/>
                      <w:bCs/>
                      <w:color w:val="auto"/>
                      <w:kern w:val="0"/>
                      <w:szCs w:val="21"/>
                      <w:lang w:bidi="ar"/>
                    </w:rPr>
                  </w:pPr>
                  <w:r>
                    <w:rPr>
                      <w:rFonts w:hint="eastAsia" w:ascii="宋体" w:hAnsi="宋体" w:cs="宋体"/>
                      <w:bCs/>
                      <w:color w:val="auto"/>
                      <w:kern w:val="0"/>
                      <w:szCs w:val="21"/>
                      <w:lang w:bidi="ar"/>
                    </w:rPr>
                    <w:t>《医疗机构水污染物排放标准》（GB 18466-2005）表3污水处理设施周边大气污染物最高允许浓度</w:t>
                  </w:r>
                </w:p>
              </w:tc>
            </w:tr>
            <w:tr w14:paraId="62C0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8" w:type="pct"/>
                  <w:vMerge w:val="restart"/>
                  <w:vAlign w:val="center"/>
                </w:tcPr>
                <w:p w14:paraId="5B0A70DB">
                  <w:pPr>
                    <w:jc w:val="center"/>
                    <w:rPr>
                      <w:rFonts w:hint="eastAsia" w:ascii="宋体" w:hAnsi="宋体" w:cs="宋体"/>
                      <w:color w:val="auto"/>
                      <w:szCs w:val="21"/>
                    </w:rPr>
                  </w:pPr>
                  <w:r>
                    <w:rPr>
                      <w:rFonts w:hint="eastAsia" w:ascii="宋体" w:hAnsi="宋体" w:cs="宋体"/>
                      <w:color w:val="auto"/>
                      <w:szCs w:val="21"/>
                    </w:rPr>
                    <w:t>噪声防治措施</w:t>
                  </w:r>
                </w:p>
              </w:tc>
              <w:tc>
                <w:tcPr>
                  <w:tcW w:w="640" w:type="pct"/>
                  <w:vMerge w:val="restart"/>
                  <w:vAlign w:val="center"/>
                </w:tcPr>
                <w:p w14:paraId="0C6ACC4F">
                  <w:pPr>
                    <w:jc w:val="center"/>
                    <w:rPr>
                      <w:rFonts w:hint="eastAsia" w:ascii="宋体" w:hAnsi="宋体" w:cs="宋体"/>
                      <w:color w:val="auto"/>
                      <w:szCs w:val="21"/>
                    </w:rPr>
                  </w:pPr>
                  <w:r>
                    <w:rPr>
                      <w:rFonts w:hint="eastAsia" w:ascii="宋体" w:hAnsi="宋体" w:cs="宋体"/>
                      <w:color w:val="auto"/>
                      <w:szCs w:val="21"/>
                    </w:rPr>
                    <w:t>杨广卫生院</w:t>
                  </w:r>
                </w:p>
              </w:tc>
              <w:tc>
                <w:tcPr>
                  <w:tcW w:w="640" w:type="pct"/>
                  <w:vMerge w:val="restart"/>
                  <w:vAlign w:val="center"/>
                </w:tcPr>
                <w:p w14:paraId="729DB8F2">
                  <w:pPr>
                    <w:jc w:val="center"/>
                    <w:rPr>
                      <w:rFonts w:hint="eastAsia" w:ascii="宋体" w:hAnsi="宋体" w:cs="宋体"/>
                      <w:color w:val="auto"/>
                      <w:szCs w:val="21"/>
                    </w:rPr>
                  </w:pPr>
                  <w:r>
                    <w:rPr>
                      <w:rFonts w:hint="eastAsia" w:ascii="宋体" w:hAnsi="宋体" w:cs="宋体"/>
                      <w:color w:val="auto"/>
                      <w:szCs w:val="21"/>
                    </w:rPr>
                    <w:t>噪声</w:t>
                  </w:r>
                </w:p>
              </w:tc>
              <w:tc>
                <w:tcPr>
                  <w:tcW w:w="1583" w:type="pct"/>
                  <w:vAlign w:val="center"/>
                </w:tcPr>
                <w:p w14:paraId="358C4280">
                  <w:pPr>
                    <w:jc w:val="center"/>
                    <w:rPr>
                      <w:rFonts w:hint="eastAsia" w:ascii="宋体" w:hAnsi="宋体" w:cs="宋体"/>
                      <w:color w:val="auto"/>
                      <w:szCs w:val="21"/>
                    </w:rPr>
                  </w:pPr>
                  <w:r>
                    <w:rPr>
                      <w:rFonts w:hint="eastAsia" w:ascii="宋体" w:hAnsi="宋体" w:cs="宋体"/>
                      <w:color w:val="auto"/>
                      <w:szCs w:val="21"/>
                    </w:rPr>
                    <w:t>水泵设备减振、风机安装消声器、建筑隔声</w:t>
                  </w:r>
                </w:p>
              </w:tc>
              <w:tc>
                <w:tcPr>
                  <w:tcW w:w="1518" w:type="pct"/>
                  <w:vMerge w:val="restart"/>
                  <w:vAlign w:val="center"/>
                </w:tcPr>
                <w:p w14:paraId="3E4576A0">
                  <w:pPr>
                    <w:jc w:val="center"/>
                    <w:rPr>
                      <w:rFonts w:hint="eastAsia" w:ascii="宋体" w:hAnsi="宋体" w:cs="宋体"/>
                      <w:snapToGrid w:val="0"/>
                      <w:color w:val="auto"/>
                      <w:szCs w:val="21"/>
                    </w:rPr>
                  </w:pPr>
                  <w:r>
                    <w:rPr>
                      <w:rFonts w:hint="eastAsia" w:ascii="宋体" w:hAnsi="宋体" w:cs="宋体"/>
                      <w:snapToGrid w:val="0"/>
                      <w:color w:val="auto"/>
                      <w:szCs w:val="21"/>
                    </w:rPr>
                    <w:t>厂界</w:t>
                  </w:r>
                  <w:r>
                    <w:rPr>
                      <w:rFonts w:hint="eastAsia" w:ascii="宋体" w:hAnsi="宋体" w:cs="宋体"/>
                      <w:color w:val="auto"/>
                      <w:kern w:val="0"/>
                      <w:szCs w:val="21"/>
                      <w:lang w:bidi="ar"/>
                    </w:rPr>
                    <w:t>执行《工业企业厂界环境噪声排放标准》（GB12348-2008）2类标准</w:t>
                  </w:r>
                </w:p>
              </w:tc>
            </w:tr>
            <w:tr w14:paraId="7888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8" w:type="pct"/>
                  <w:vMerge w:val="restart"/>
                  <w:vAlign w:val="center"/>
                </w:tcPr>
                <w:p w14:paraId="30C91366">
                  <w:pPr>
                    <w:jc w:val="center"/>
                    <w:rPr>
                      <w:rFonts w:hint="eastAsia" w:ascii="宋体" w:hAnsi="宋体" w:cs="宋体"/>
                      <w:color w:val="auto"/>
                      <w:szCs w:val="21"/>
                    </w:rPr>
                  </w:pPr>
                  <w:r>
                    <w:rPr>
                      <w:rFonts w:hint="eastAsia" w:ascii="宋体" w:hAnsi="宋体" w:cs="宋体"/>
                      <w:color w:val="auto"/>
                      <w:szCs w:val="21"/>
                    </w:rPr>
                    <w:t>废水防治措施</w:t>
                  </w:r>
                </w:p>
              </w:tc>
              <w:tc>
                <w:tcPr>
                  <w:tcW w:w="640" w:type="pct"/>
                  <w:vMerge w:val="restart"/>
                  <w:vAlign w:val="center"/>
                </w:tcPr>
                <w:p w14:paraId="29B5AB2F">
                  <w:pPr>
                    <w:jc w:val="center"/>
                    <w:rPr>
                      <w:rFonts w:hint="eastAsia" w:ascii="宋体" w:hAnsi="宋体" w:cs="宋体"/>
                      <w:color w:val="auto"/>
                      <w:szCs w:val="21"/>
                    </w:rPr>
                  </w:pPr>
                  <w:r>
                    <w:rPr>
                      <w:rFonts w:hint="eastAsia" w:ascii="宋体" w:hAnsi="宋体" w:cs="宋体"/>
                      <w:bCs/>
                      <w:color w:val="auto"/>
                      <w:spacing w:val="-10"/>
                      <w:szCs w:val="21"/>
                    </w:rPr>
                    <w:t>杨广卫生院</w:t>
                  </w:r>
                </w:p>
              </w:tc>
              <w:tc>
                <w:tcPr>
                  <w:tcW w:w="640" w:type="pct"/>
                  <w:vMerge w:val="restart"/>
                  <w:vAlign w:val="center"/>
                </w:tcPr>
                <w:p w14:paraId="038B703B">
                  <w:pPr>
                    <w:jc w:val="center"/>
                    <w:rPr>
                      <w:rFonts w:hint="eastAsia" w:ascii="宋体" w:hAnsi="宋体" w:cs="宋体"/>
                      <w:color w:val="auto"/>
                      <w:szCs w:val="21"/>
                    </w:rPr>
                  </w:pPr>
                  <w:r>
                    <w:rPr>
                      <w:rFonts w:hint="eastAsia" w:ascii="宋体" w:hAnsi="宋体" w:cs="宋体"/>
                      <w:color w:val="auto"/>
                      <w:szCs w:val="21"/>
                    </w:rPr>
                    <w:t>一般医疗废水</w:t>
                  </w:r>
                </w:p>
              </w:tc>
              <w:tc>
                <w:tcPr>
                  <w:tcW w:w="1583" w:type="pct"/>
                  <w:vAlign w:val="center"/>
                </w:tcPr>
                <w:p w14:paraId="2C6E33AA">
                  <w:pPr>
                    <w:jc w:val="center"/>
                    <w:rPr>
                      <w:rFonts w:hint="eastAsia" w:ascii="宋体" w:hAnsi="宋体" w:cs="宋体"/>
                      <w:color w:val="auto"/>
                      <w:szCs w:val="21"/>
                    </w:rPr>
                  </w:pPr>
                  <w:r>
                    <w:rPr>
                      <w:rFonts w:hint="eastAsia"/>
                      <w:bCs/>
                      <w:color w:val="auto"/>
                      <w:szCs w:val="21"/>
                    </w:rPr>
                    <w:t>化粪池：</w:t>
                  </w:r>
                  <w:r>
                    <w:rPr>
                      <w:bCs/>
                      <w:color w:val="auto"/>
                      <w:szCs w:val="21"/>
                    </w:rPr>
                    <w:t>本项目自建</w:t>
                  </w:r>
                  <w:r>
                    <w:rPr>
                      <w:color w:val="auto"/>
                      <w:szCs w:val="21"/>
                    </w:rPr>
                    <w:t>化粪池</w:t>
                  </w:r>
                  <w:r>
                    <w:rPr>
                      <w:bCs/>
                      <w:color w:val="auto"/>
                      <w:szCs w:val="21"/>
                    </w:rPr>
                    <w:t>总容积不小于9m³</w:t>
                  </w:r>
                </w:p>
              </w:tc>
              <w:tc>
                <w:tcPr>
                  <w:tcW w:w="1518" w:type="pct"/>
                  <w:vMerge w:val="restart"/>
                  <w:vAlign w:val="center"/>
                </w:tcPr>
                <w:p w14:paraId="2B785D33">
                  <w:pPr>
                    <w:pStyle w:val="12"/>
                    <w:jc w:val="center"/>
                    <w:rPr>
                      <w:rFonts w:hint="eastAsia" w:ascii="宋体" w:hAnsi="宋体" w:cs="宋体"/>
                      <w:color w:val="auto"/>
                      <w:szCs w:val="21"/>
                    </w:rPr>
                  </w:pPr>
                  <w:r>
                    <w:rPr>
                      <w:rFonts w:hint="eastAsia" w:ascii="宋体" w:hAnsi="宋体" w:cs="宋体"/>
                      <w:b w:val="0"/>
                      <w:bCs w:val="0"/>
                      <w:color w:val="auto"/>
                      <w:szCs w:val="21"/>
                    </w:rPr>
                    <w:t>《医疗机构水污染物排放标准》（GB18466-2005）“表 2 综合医疗机构和其他医疗机构水污染物排放限值（日均值）”中的预处理标准，氨氮、总磷达到《污水排入城镇下水道水质标准》（GB/T31962-2015）B 等级标准</w:t>
                  </w:r>
                </w:p>
              </w:tc>
            </w:tr>
            <w:tr w14:paraId="41EB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Merge w:val="continue"/>
                  <w:vAlign w:val="center"/>
                </w:tcPr>
                <w:p w14:paraId="323941A2">
                  <w:pPr>
                    <w:jc w:val="center"/>
                    <w:rPr>
                      <w:rFonts w:hint="eastAsia" w:ascii="宋体" w:hAnsi="宋体" w:cs="宋体"/>
                      <w:color w:val="auto"/>
                      <w:szCs w:val="21"/>
                    </w:rPr>
                  </w:pPr>
                </w:p>
              </w:tc>
              <w:tc>
                <w:tcPr>
                  <w:tcW w:w="640" w:type="pct"/>
                  <w:vMerge w:val="continue"/>
                  <w:vAlign w:val="center"/>
                </w:tcPr>
                <w:p w14:paraId="28C0FAD9">
                  <w:pPr>
                    <w:jc w:val="center"/>
                    <w:rPr>
                      <w:rFonts w:hint="eastAsia" w:ascii="宋体" w:hAnsi="宋体" w:cs="宋体"/>
                      <w:bCs/>
                      <w:color w:val="auto"/>
                      <w:spacing w:val="-10"/>
                      <w:szCs w:val="21"/>
                    </w:rPr>
                  </w:pPr>
                </w:p>
              </w:tc>
              <w:tc>
                <w:tcPr>
                  <w:tcW w:w="640" w:type="pct"/>
                  <w:vMerge w:val="continue"/>
                  <w:vAlign w:val="center"/>
                </w:tcPr>
                <w:p w14:paraId="082EEE12">
                  <w:pPr>
                    <w:jc w:val="center"/>
                    <w:rPr>
                      <w:rFonts w:hint="eastAsia" w:ascii="宋体" w:hAnsi="宋体" w:cs="宋体"/>
                      <w:color w:val="auto"/>
                      <w:szCs w:val="21"/>
                    </w:rPr>
                  </w:pPr>
                </w:p>
              </w:tc>
              <w:tc>
                <w:tcPr>
                  <w:tcW w:w="1583" w:type="pct"/>
                  <w:vAlign w:val="center"/>
                </w:tcPr>
                <w:p w14:paraId="33A97C46">
                  <w:pPr>
                    <w:jc w:val="center"/>
                    <w:rPr>
                      <w:bCs/>
                      <w:color w:val="auto"/>
                      <w:szCs w:val="21"/>
                    </w:rPr>
                  </w:pPr>
                  <w:r>
                    <w:rPr>
                      <w:rFonts w:hint="eastAsia"/>
                      <w:bCs/>
                      <w:color w:val="auto"/>
                      <w:szCs w:val="21"/>
                    </w:rPr>
                    <w:t>污水处理站：</w:t>
                  </w:r>
                  <w:r>
                    <w:rPr>
                      <w:bCs/>
                      <w:color w:val="auto"/>
                      <w:szCs w:val="21"/>
                    </w:rPr>
                    <w:t>本项目自建的污水站处理规模不小于</w:t>
                  </w:r>
                  <w:r>
                    <w:rPr>
                      <w:rFonts w:hint="eastAsia"/>
                      <w:bCs/>
                      <w:color w:val="auto"/>
                      <w:szCs w:val="21"/>
                    </w:rPr>
                    <w:t>1</w:t>
                  </w:r>
                  <w:r>
                    <w:rPr>
                      <w:bCs/>
                      <w:color w:val="auto"/>
                      <w:szCs w:val="21"/>
                    </w:rPr>
                    <w:t>0m³/d</w:t>
                  </w:r>
                </w:p>
              </w:tc>
              <w:tc>
                <w:tcPr>
                  <w:tcW w:w="1518" w:type="pct"/>
                  <w:vMerge w:val="continue"/>
                  <w:vAlign w:val="center"/>
                </w:tcPr>
                <w:p w14:paraId="5BE0EF38">
                  <w:pPr>
                    <w:jc w:val="center"/>
                    <w:rPr>
                      <w:rFonts w:hint="eastAsia" w:ascii="宋体" w:hAnsi="宋体" w:cs="宋体"/>
                      <w:color w:val="auto"/>
                      <w:szCs w:val="21"/>
                    </w:rPr>
                  </w:pPr>
                </w:p>
              </w:tc>
            </w:tr>
            <w:tr w14:paraId="7AB9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18" w:type="pct"/>
                  <w:vMerge w:val="continue"/>
                  <w:vAlign w:val="center"/>
                </w:tcPr>
                <w:p w14:paraId="4E672036">
                  <w:pPr>
                    <w:jc w:val="center"/>
                    <w:rPr>
                      <w:rFonts w:hint="eastAsia" w:ascii="宋体" w:hAnsi="宋体" w:cs="宋体"/>
                      <w:color w:val="auto"/>
                      <w:szCs w:val="21"/>
                    </w:rPr>
                  </w:pPr>
                </w:p>
              </w:tc>
              <w:tc>
                <w:tcPr>
                  <w:tcW w:w="640" w:type="pct"/>
                  <w:vMerge w:val="restart"/>
                  <w:vAlign w:val="center"/>
                </w:tcPr>
                <w:p w14:paraId="1D8184C4">
                  <w:pPr>
                    <w:jc w:val="center"/>
                    <w:rPr>
                      <w:rFonts w:hint="eastAsia" w:ascii="宋体" w:hAnsi="宋体" w:cs="宋体"/>
                      <w:color w:val="auto"/>
                      <w:szCs w:val="21"/>
                    </w:rPr>
                  </w:pPr>
                  <w:r>
                    <w:rPr>
                      <w:rFonts w:hint="eastAsia"/>
                      <w:color w:val="auto"/>
                      <w:szCs w:val="21"/>
                    </w:rPr>
                    <w:t>杨广卫生院</w:t>
                  </w:r>
                </w:p>
              </w:tc>
              <w:tc>
                <w:tcPr>
                  <w:tcW w:w="640" w:type="pct"/>
                  <w:vAlign w:val="center"/>
                </w:tcPr>
                <w:p w14:paraId="132A3440">
                  <w:pPr>
                    <w:jc w:val="center"/>
                    <w:rPr>
                      <w:rFonts w:hint="eastAsia" w:ascii="宋体" w:hAnsi="宋体" w:cs="宋体"/>
                      <w:color w:val="auto"/>
                      <w:szCs w:val="21"/>
                    </w:rPr>
                  </w:pPr>
                  <w:r>
                    <w:rPr>
                      <w:rFonts w:hint="eastAsia" w:ascii="宋体" w:hAnsi="宋体" w:cs="宋体"/>
                      <w:bCs/>
                      <w:color w:val="auto"/>
                      <w:szCs w:val="21"/>
                    </w:rPr>
                    <w:t>医疗固废</w:t>
                  </w:r>
                </w:p>
              </w:tc>
              <w:tc>
                <w:tcPr>
                  <w:tcW w:w="1583" w:type="pct"/>
                  <w:vAlign w:val="center"/>
                </w:tcPr>
                <w:p w14:paraId="27B3BBB3">
                  <w:pPr>
                    <w:autoSpaceDE w:val="0"/>
                    <w:autoSpaceDN w:val="0"/>
                    <w:jc w:val="center"/>
                    <w:rPr>
                      <w:rFonts w:hint="eastAsia" w:ascii="宋体" w:hAnsi="宋体" w:cs="宋体"/>
                      <w:color w:val="auto"/>
                      <w:szCs w:val="21"/>
                    </w:rPr>
                  </w:pPr>
                  <w:r>
                    <w:rPr>
                      <w:rFonts w:hint="eastAsia" w:ascii="宋体" w:hAnsi="宋体" w:cs="宋体"/>
                      <w:color w:val="auto"/>
                      <w:szCs w:val="21"/>
                    </w:rPr>
                    <w:t>消毒、分类、毁形、收集包装，放入卫生院已建好的医疗废物暂存间暂存，交由玉溪兴洁垃圾处理有限公司</w:t>
                  </w:r>
                </w:p>
              </w:tc>
              <w:tc>
                <w:tcPr>
                  <w:tcW w:w="1518" w:type="pct"/>
                  <w:vMerge w:val="restart"/>
                  <w:vAlign w:val="center"/>
                </w:tcPr>
                <w:p w14:paraId="50B02DB4">
                  <w:pPr>
                    <w:jc w:val="center"/>
                    <w:rPr>
                      <w:rFonts w:hint="eastAsia" w:ascii="宋体" w:hAnsi="宋体" w:cs="宋体"/>
                      <w:color w:val="auto"/>
                      <w:szCs w:val="21"/>
                    </w:rPr>
                  </w:pPr>
                  <w:r>
                    <w:rPr>
                      <w:rFonts w:hint="eastAsia" w:ascii="宋体" w:hAnsi="宋体" w:cs="宋体"/>
                      <w:color w:val="auto"/>
                      <w:szCs w:val="21"/>
                    </w:rPr>
                    <w:t>处置率100%</w:t>
                  </w:r>
                </w:p>
              </w:tc>
            </w:tr>
            <w:tr w14:paraId="4609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18" w:type="pct"/>
                  <w:vMerge w:val="continue"/>
                  <w:vAlign w:val="center"/>
                </w:tcPr>
                <w:p w14:paraId="7A77EADF">
                  <w:pPr>
                    <w:jc w:val="center"/>
                    <w:rPr>
                      <w:rFonts w:hint="eastAsia" w:ascii="宋体" w:hAnsi="宋体" w:cs="宋体"/>
                      <w:color w:val="auto"/>
                      <w:szCs w:val="21"/>
                    </w:rPr>
                  </w:pPr>
                </w:p>
              </w:tc>
              <w:tc>
                <w:tcPr>
                  <w:tcW w:w="640" w:type="pct"/>
                  <w:vMerge w:val="continue"/>
                  <w:vAlign w:val="center"/>
                </w:tcPr>
                <w:p w14:paraId="69804561">
                  <w:pPr>
                    <w:jc w:val="center"/>
                    <w:rPr>
                      <w:rFonts w:hint="eastAsia" w:ascii="宋体" w:hAnsi="宋体" w:cs="宋体"/>
                      <w:color w:val="auto"/>
                      <w:szCs w:val="21"/>
                    </w:rPr>
                  </w:pPr>
                </w:p>
              </w:tc>
              <w:tc>
                <w:tcPr>
                  <w:tcW w:w="640" w:type="pct"/>
                  <w:vAlign w:val="center"/>
                </w:tcPr>
                <w:p w14:paraId="20B3CC16">
                  <w:pPr>
                    <w:jc w:val="center"/>
                    <w:rPr>
                      <w:rFonts w:hint="eastAsia" w:ascii="宋体" w:hAnsi="宋体" w:cs="宋体"/>
                      <w:color w:val="auto"/>
                      <w:szCs w:val="21"/>
                    </w:rPr>
                  </w:pPr>
                  <w:r>
                    <w:rPr>
                      <w:rFonts w:hint="eastAsia" w:ascii="宋体" w:hAnsi="宋体" w:cs="宋体"/>
                      <w:bCs/>
                      <w:color w:val="auto"/>
                      <w:szCs w:val="21"/>
                    </w:rPr>
                    <w:t>污水站污泥和化粪池污泥</w:t>
                  </w:r>
                </w:p>
              </w:tc>
              <w:tc>
                <w:tcPr>
                  <w:tcW w:w="1583" w:type="pct"/>
                  <w:vAlign w:val="center"/>
                </w:tcPr>
                <w:p w14:paraId="749EAEF3">
                  <w:pPr>
                    <w:autoSpaceDE w:val="0"/>
                    <w:autoSpaceDN w:val="0"/>
                    <w:jc w:val="center"/>
                    <w:rPr>
                      <w:rFonts w:hint="eastAsia" w:ascii="宋体" w:hAnsi="宋体" w:cs="宋体"/>
                      <w:color w:val="auto"/>
                      <w:szCs w:val="21"/>
                    </w:rPr>
                  </w:pPr>
                  <w:r>
                    <w:rPr>
                      <w:rFonts w:hint="eastAsia"/>
                      <w:color w:val="auto"/>
                      <w:szCs w:val="21"/>
                    </w:rPr>
                    <w:t>由环卫部门定期清掏脱水后由环卫部门交由有资质单位处置</w:t>
                  </w:r>
                </w:p>
              </w:tc>
              <w:tc>
                <w:tcPr>
                  <w:tcW w:w="1518" w:type="pct"/>
                  <w:vMerge w:val="continue"/>
                  <w:vAlign w:val="center"/>
                </w:tcPr>
                <w:p w14:paraId="6AF75E72">
                  <w:pPr>
                    <w:jc w:val="center"/>
                    <w:rPr>
                      <w:rFonts w:hint="eastAsia" w:ascii="宋体" w:hAnsi="宋体" w:cs="宋体"/>
                      <w:color w:val="auto"/>
                      <w:szCs w:val="21"/>
                    </w:rPr>
                  </w:pPr>
                </w:p>
              </w:tc>
            </w:tr>
            <w:tr w14:paraId="4679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18" w:type="pct"/>
                  <w:vMerge w:val="continue"/>
                  <w:vAlign w:val="center"/>
                </w:tcPr>
                <w:p w14:paraId="549EBE3D">
                  <w:pPr>
                    <w:jc w:val="center"/>
                    <w:rPr>
                      <w:rFonts w:hint="eastAsia" w:ascii="宋体" w:hAnsi="宋体" w:cs="宋体"/>
                      <w:color w:val="auto"/>
                      <w:szCs w:val="21"/>
                    </w:rPr>
                  </w:pPr>
                </w:p>
              </w:tc>
              <w:tc>
                <w:tcPr>
                  <w:tcW w:w="640" w:type="pct"/>
                  <w:vMerge w:val="continue"/>
                  <w:vAlign w:val="center"/>
                </w:tcPr>
                <w:p w14:paraId="3CEE0770">
                  <w:pPr>
                    <w:jc w:val="center"/>
                    <w:rPr>
                      <w:rFonts w:hint="eastAsia" w:ascii="宋体" w:hAnsi="宋体" w:cs="宋体"/>
                      <w:color w:val="auto"/>
                      <w:szCs w:val="21"/>
                    </w:rPr>
                  </w:pPr>
                </w:p>
              </w:tc>
              <w:tc>
                <w:tcPr>
                  <w:tcW w:w="640" w:type="pct"/>
                  <w:vAlign w:val="center"/>
                </w:tcPr>
                <w:p w14:paraId="6573B3F0">
                  <w:pPr>
                    <w:jc w:val="center"/>
                    <w:rPr>
                      <w:rFonts w:hint="eastAsia" w:ascii="宋体" w:hAnsi="宋体" w:cs="宋体"/>
                      <w:color w:val="auto"/>
                      <w:szCs w:val="21"/>
                    </w:rPr>
                  </w:pPr>
                  <w:r>
                    <w:rPr>
                      <w:rFonts w:hint="eastAsia" w:ascii="宋体" w:hAnsi="宋体" w:cs="宋体"/>
                      <w:color w:val="auto"/>
                      <w:szCs w:val="21"/>
                    </w:rPr>
                    <w:t>生活垃圾</w:t>
                  </w:r>
                </w:p>
              </w:tc>
              <w:tc>
                <w:tcPr>
                  <w:tcW w:w="1583" w:type="pct"/>
                  <w:vAlign w:val="center"/>
                </w:tcPr>
                <w:p w14:paraId="1ED09A8D">
                  <w:pPr>
                    <w:jc w:val="center"/>
                    <w:rPr>
                      <w:rFonts w:hint="eastAsia" w:ascii="宋体" w:hAnsi="宋体" w:cs="宋体"/>
                      <w:color w:val="auto"/>
                      <w:szCs w:val="21"/>
                    </w:rPr>
                  </w:pPr>
                  <w:r>
                    <w:rPr>
                      <w:rFonts w:hint="eastAsia" w:ascii="宋体" w:hAnsi="宋体" w:cs="宋体"/>
                      <w:color w:val="auto"/>
                      <w:szCs w:val="21"/>
                    </w:rPr>
                    <w:t>由环卫部门清运处置</w:t>
                  </w:r>
                </w:p>
              </w:tc>
              <w:tc>
                <w:tcPr>
                  <w:tcW w:w="1518" w:type="pct"/>
                  <w:vMerge w:val="continue"/>
                  <w:vAlign w:val="center"/>
                </w:tcPr>
                <w:p w14:paraId="30210EFC">
                  <w:pPr>
                    <w:jc w:val="center"/>
                    <w:rPr>
                      <w:rFonts w:hint="eastAsia" w:ascii="宋体" w:hAnsi="宋体" w:cs="宋体"/>
                      <w:color w:val="auto"/>
                      <w:szCs w:val="21"/>
                    </w:rPr>
                  </w:pPr>
                </w:p>
              </w:tc>
            </w:tr>
          </w:tbl>
          <w:p w14:paraId="4BBC4D1D">
            <w:pPr>
              <w:pStyle w:val="58"/>
              <w:spacing w:before="120" w:beforeLines="50" w:line="360" w:lineRule="auto"/>
              <w:rPr>
                <w:rFonts w:hint="default"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4</w:t>
            </w:r>
            <w:r>
              <w:rPr>
                <w:rFonts w:hint="eastAsia" w:ascii="宋体" w:hAnsi="宋体" w:eastAsia="宋体" w:cs="宋体"/>
                <w:b/>
                <w:bCs/>
                <w:color w:val="auto"/>
                <w:szCs w:val="21"/>
              </w:rPr>
              <w:t>、</w:t>
            </w:r>
            <w:r>
              <w:rPr>
                <w:rFonts w:hint="eastAsia" w:ascii="宋体" w:hAnsi="宋体" w:eastAsia="宋体" w:cs="宋体"/>
                <w:b/>
                <w:bCs/>
                <w:color w:val="auto"/>
                <w:szCs w:val="21"/>
                <w:lang w:val="en-US" w:eastAsia="zh-CN"/>
              </w:rPr>
              <w:t>项目运营期自行监测计划汇总</w:t>
            </w:r>
          </w:p>
          <w:p w14:paraId="65CCE20E">
            <w:pPr>
              <w:pStyle w:val="3"/>
              <w:spacing w:before="0" w:after="0" w:line="360" w:lineRule="auto"/>
              <w:ind w:firstLine="1687" w:firstLineChars="7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表5-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项目运营期自行监测计划一览表</w:t>
            </w:r>
          </w:p>
          <w:tbl>
            <w:tblPr>
              <w:tblStyle w:val="33"/>
              <w:tblW w:w="7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709"/>
              <w:gridCol w:w="1275"/>
              <w:gridCol w:w="1544"/>
              <w:gridCol w:w="1155"/>
              <w:gridCol w:w="1984"/>
            </w:tblGrid>
            <w:tr w14:paraId="26B9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Align w:val="center"/>
                </w:tcPr>
                <w:p w14:paraId="52354FD8">
                  <w:pPr>
                    <w:adjustRightInd w:val="0"/>
                    <w:snapToGrid w:val="0"/>
                    <w:jc w:val="center"/>
                    <w:rPr>
                      <w:rFonts w:hint="eastAsia" w:ascii="宋体" w:hAnsi="宋体" w:cs="宋体"/>
                      <w:bCs/>
                      <w:color w:val="auto"/>
                      <w:szCs w:val="21"/>
                    </w:rPr>
                  </w:pPr>
                  <w:r>
                    <w:rPr>
                      <w:rFonts w:hint="eastAsia" w:ascii="宋体" w:hAnsi="宋体" w:cs="宋体"/>
                      <w:bCs/>
                      <w:color w:val="auto"/>
                      <w:szCs w:val="21"/>
                    </w:rPr>
                    <w:t>分区</w:t>
                  </w:r>
                </w:p>
              </w:tc>
              <w:tc>
                <w:tcPr>
                  <w:tcW w:w="709" w:type="dxa"/>
                  <w:vAlign w:val="center"/>
                </w:tcPr>
                <w:p w14:paraId="70FA7FDA">
                  <w:pPr>
                    <w:adjustRightInd w:val="0"/>
                    <w:snapToGrid w:val="0"/>
                    <w:jc w:val="center"/>
                    <w:rPr>
                      <w:rFonts w:cs="宋体"/>
                      <w:bCs/>
                      <w:color w:val="auto"/>
                      <w:szCs w:val="21"/>
                    </w:rPr>
                  </w:pPr>
                  <w:r>
                    <w:rPr>
                      <w:rFonts w:hint="eastAsia" w:cs="宋体"/>
                      <w:bCs/>
                      <w:color w:val="auto"/>
                      <w:szCs w:val="21"/>
                    </w:rPr>
                    <w:t>项目</w:t>
                  </w:r>
                </w:p>
              </w:tc>
              <w:tc>
                <w:tcPr>
                  <w:tcW w:w="1275" w:type="dxa"/>
                  <w:vAlign w:val="center"/>
                </w:tcPr>
                <w:p w14:paraId="4EB923D2">
                  <w:pPr>
                    <w:adjustRightInd w:val="0"/>
                    <w:snapToGrid w:val="0"/>
                    <w:jc w:val="center"/>
                    <w:rPr>
                      <w:rFonts w:hint="eastAsia" w:ascii="宋体" w:hAnsi="宋体" w:cs="宋体"/>
                      <w:bCs/>
                      <w:color w:val="auto"/>
                      <w:szCs w:val="21"/>
                    </w:rPr>
                  </w:pPr>
                  <w:r>
                    <w:rPr>
                      <w:rFonts w:hint="eastAsia" w:cs="宋体"/>
                      <w:bCs/>
                      <w:color w:val="auto"/>
                      <w:szCs w:val="21"/>
                    </w:rPr>
                    <w:t>监测点位</w:t>
                  </w:r>
                </w:p>
              </w:tc>
              <w:tc>
                <w:tcPr>
                  <w:tcW w:w="1544" w:type="dxa"/>
                  <w:vAlign w:val="center"/>
                </w:tcPr>
                <w:p w14:paraId="361884FA">
                  <w:pPr>
                    <w:adjustRightInd w:val="0"/>
                    <w:snapToGrid w:val="0"/>
                    <w:jc w:val="center"/>
                    <w:rPr>
                      <w:rFonts w:hint="eastAsia" w:ascii="宋体" w:hAnsi="宋体" w:cs="宋体"/>
                      <w:bCs/>
                      <w:color w:val="auto"/>
                      <w:szCs w:val="21"/>
                    </w:rPr>
                  </w:pPr>
                  <w:r>
                    <w:rPr>
                      <w:rFonts w:hint="eastAsia" w:cs="宋体"/>
                      <w:bCs/>
                      <w:color w:val="auto"/>
                      <w:szCs w:val="21"/>
                    </w:rPr>
                    <w:t>监测因子</w:t>
                  </w:r>
                </w:p>
              </w:tc>
              <w:tc>
                <w:tcPr>
                  <w:tcW w:w="1155" w:type="dxa"/>
                  <w:vAlign w:val="center"/>
                </w:tcPr>
                <w:p w14:paraId="40581887">
                  <w:pPr>
                    <w:adjustRightInd w:val="0"/>
                    <w:snapToGrid w:val="0"/>
                    <w:jc w:val="center"/>
                    <w:rPr>
                      <w:rFonts w:hint="eastAsia" w:ascii="宋体" w:hAnsi="宋体" w:cs="宋体"/>
                      <w:bCs/>
                      <w:color w:val="auto"/>
                      <w:szCs w:val="21"/>
                    </w:rPr>
                  </w:pPr>
                  <w:r>
                    <w:rPr>
                      <w:rFonts w:hint="eastAsia" w:cs="宋体"/>
                      <w:bCs/>
                      <w:color w:val="auto"/>
                      <w:szCs w:val="21"/>
                    </w:rPr>
                    <w:t>监测频次</w:t>
                  </w:r>
                </w:p>
              </w:tc>
              <w:tc>
                <w:tcPr>
                  <w:tcW w:w="1984" w:type="dxa"/>
                  <w:vAlign w:val="center"/>
                </w:tcPr>
                <w:p w14:paraId="2AD92707">
                  <w:pPr>
                    <w:adjustRightInd w:val="0"/>
                    <w:snapToGrid w:val="0"/>
                    <w:jc w:val="center"/>
                    <w:rPr>
                      <w:rFonts w:hint="eastAsia" w:ascii="宋体" w:hAnsi="宋体" w:cs="宋体"/>
                      <w:bCs/>
                      <w:color w:val="auto"/>
                      <w:szCs w:val="21"/>
                    </w:rPr>
                  </w:pPr>
                  <w:r>
                    <w:rPr>
                      <w:rFonts w:hint="eastAsia" w:cs="宋体"/>
                      <w:bCs/>
                      <w:color w:val="auto"/>
                      <w:szCs w:val="21"/>
                    </w:rPr>
                    <w:t>执行标准</w:t>
                  </w:r>
                </w:p>
              </w:tc>
            </w:tr>
            <w:tr w14:paraId="2464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Merge w:val="restart"/>
                  <w:vAlign w:val="center"/>
                </w:tcPr>
                <w:p w14:paraId="5EC58E8F">
                  <w:pPr>
                    <w:adjustRightInd w:val="0"/>
                    <w:snapToGrid w:val="0"/>
                    <w:jc w:val="center"/>
                    <w:rPr>
                      <w:rFonts w:hint="eastAsia" w:ascii="宋体" w:hAnsi="宋体" w:cs="宋体"/>
                      <w:bCs/>
                      <w:color w:val="auto"/>
                      <w:szCs w:val="21"/>
                    </w:rPr>
                  </w:pPr>
                  <w:r>
                    <w:rPr>
                      <w:rFonts w:hint="eastAsia" w:ascii="宋体" w:hAnsi="宋体" w:cs="宋体"/>
                      <w:bCs/>
                      <w:color w:val="auto"/>
                      <w:szCs w:val="21"/>
                    </w:rPr>
                    <w:t>纳古卫生院</w:t>
                  </w:r>
                </w:p>
              </w:tc>
              <w:tc>
                <w:tcPr>
                  <w:tcW w:w="709" w:type="dxa"/>
                  <w:vMerge w:val="restart"/>
                  <w:vAlign w:val="center"/>
                </w:tcPr>
                <w:p w14:paraId="36E3E3F5">
                  <w:pPr>
                    <w:adjustRightInd w:val="0"/>
                    <w:snapToGrid w:val="0"/>
                    <w:jc w:val="center"/>
                    <w:rPr>
                      <w:rFonts w:hint="eastAsia" w:eastAsia="宋体" w:cs="宋体"/>
                      <w:bCs/>
                      <w:color w:val="auto"/>
                      <w:szCs w:val="21"/>
                      <w:lang w:eastAsia="zh-CN"/>
                    </w:rPr>
                  </w:pPr>
                  <w:r>
                    <w:rPr>
                      <w:rFonts w:hint="eastAsia" w:cs="宋体"/>
                      <w:bCs/>
                      <w:color w:val="auto"/>
                      <w:szCs w:val="21"/>
                      <w:lang w:val="en-US" w:eastAsia="zh-CN"/>
                    </w:rPr>
                    <w:t>废水</w:t>
                  </w:r>
                </w:p>
              </w:tc>
              <w:tc>
                <w:tcPr>
                  <w:tcW w:w="1275" w:type="dxa"/>
                  <w:vMerge w:val="restart"/>
                  <w:vAlign w:val="center"/>
                </w:tcPr>
                <w:p w14:paraId="517BC505">
                  <w:pPr>
                    <w:adjustRightInd w:val="0"/>
                    <w:snapToGrid w:val="0"/>
                    <w:jc w:val="center"/>
                    <w:rPr>
                      <w:rFonts w:hint="eastAsia" w:ascii="宋体" w:hAnsi="宋体" w:cs="宋体"/>
                      <w:bCs/>
                      <w:color w:val="auto"/>
                      <w:szCs w:val="21"/>
                    </w:rPr>
                  </w:pPr>
                  <w:r>
                    <w:rPr>
                      <w:rFonts w:hint="eastAsia" w:cs="宋体"/>
                      <w:bCs/>
                      <w:color w:val="auto"/>
                      <w:szCs w:val="21"/>
                    </w:rPr>
                    <w:t>污水处理站排放口（DW001）</w:t>
                  </w:r>
                </w:p>
              </w:tc>
              <w:tc>
                <w:tcPr>
                  <w:tcW w:w="1544" w:type="dxa"/>
                  <w:vAlign w:val="center"/>
                </w:tcPr>
                <w:p w14:paraId="2ADC1C7E">
                  <w:pPr>
                    <w:adjustRightInd w:val="0"/>
                    <w:snapToGrid w:val="0"/>
                    <w:jc w:val="center"/>
                    <w:rPr>
                      <w:rFonts w:hint="eastAsia" w:ascii="宋体" w:hAnsi="宋体" w:cs="宋体"/>
                      <w:bCs/>
                      <w:color w:val="auto"/>
                      <w:szCs w:val="21"/>
                    </w:rPr>
                  </w:pPr>
                  <w:r>
                    <w:rPr>
                      <w:rFonts w:hint="eastAsia" w:cs="宋体"/>
                      <w:bCs/>
                      <w:color w:val="auto"/>
                      <w:szCs w:val="21"/>
                    </w:rPr>
                    <w:t>pH</w:t>
                  </w:r>
                </w:p>
              </w:tc>
              <w:tc>
                <w:tcPr>
                  <w:tcW w:w="1155" w:type="dxa"/>
                  <w:vAlign w:val="center"/>
                </w:tcPr>
                <w:p w14:paraId="0CA62F56">
                  <w:pPr>
                    <w:adjustRightInd w:val="0"/>
                    <w:snapToGrid w:val="0"/>
                    <w:jc w:val="center"/>
                    <w:rPr>
                      <w:rFonts w:hint="eastAsia" w:ascii="宋体" w:hAnsi="宋体" w:cs="宋体"/>
                      <w:bCs/>
                      <w:color w:val="auto"/>
                      <w:szCs w:val="21"/>
                    </w:rPr>
                  </w:pPr>
                  <w:r>
                    <w:rPr>
                      <w:rFonts w:hint="eastAsia" w:cs="宋体"/>
                      <w:bCs/>
                      <w:color w:val="auto"/>
                      <w:szCs w:val="21"/>
                    </w:rPr>
                    <w:t>1次/12小时</w:t>
                  </w:r>
                </w:p>
              </w:tc>
              <w:tc>
                <w:tcPr>
                  <w:tcW w:w="1984" w:type="dxa"/>
                  <w:vMerge w:val="restart"/>
                  <w:vAlign w:val="center"/>
                </w:tcPr>
                <w:p w14:paraId="1F60CDC4">
                  <w:pPr>
                    <w:widowControl/>
                    <w:jc w:val="center"/>
                    <w:rPr>
                      <w:rFonts w:hint="eastAsia" w:ascii="宋体" w:hAnsi="宋体" w:cs="宋体"/>
                      <w:bCs/>
                      <w:color w:val="auto"/>
                      <w:szCs w:val="21"/>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5C74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Merge w:val="continue"/>
                  <w:vAlign w:val="center"/>
                </w:tcPr>
                <w:p w14:paraId="63D11A7F">
                  <w:pPr>
                    <w:adjustRightInd w:val="0"/>
                    <w:snapToGrid w:val="0"/>
                    <w:jc w:val="center"/>
                    <w:rPr>
                      <w:rFonts w:hint="eastAsia" w:ascii="宋体" w:hAnsi="宋体" w:cs="宋体"/>
                      <w:bCs/>
                      <w:color w:val="auto"/>
                      <w:szCs w:val="21"/>
                    </w:rPr>
                  </w:pPr>
                </w:p>
              </w:tc>
              <w:tc>
                <w:tcPr>
                  <w:tcW w:w="709" w:type="dxa"/>
                  <w:vMerge w:val="continue"/>
                  <w:vAlign w:val="center"/>
                </w:tcPr>
                <w:p w14:paraId="68E549D5">
                  <w:pPr>
                    <w:adjustRightInd w:val="0"/>
                    <w:snapToGrid w:val="0"/>
                    <w:jc w:val="center"/>
                    <w:rPr>
                      <w:rFonts w:hint="eastAsia" w:cs="宋体"/>
                      <w:bCs/>
                      <w:color w:val="auto"/>
                      <w:szCs w:val="21"/>
                      <w:lang w:val="en-US" w:eastAsia="zh-CN"/>
                    </w:rPr>
                  </w:pPr>
                </w:p>
              </w:tc>
              <w:tc>
                <w:tcPr>
                  <w:tcW w:w="1275" w:type="dxa"/>
                  <w:vMerge w:val="continue"/>
                  <w:vAlign w:val="center"/>
                </w:tcPr>
                <w:p w14:paraId="7D67FB1F">
                  <w:pPr>
                    <w:adjustRightInd w:val="0"/>
                    <w:snapToGrid w:val="0"/>
                    <w:jc w:val="center"/>
                    <w:rPr>
                      <w:rFonts w:hint="eastAsia" w:cs="宋体"/>
                      <w:bCs/>
                      <w:color w:val="auto"/>
                      <w:szCs w:val="21"/>
                    </w:rPr>
                  </w:pPr>
                </w:p>
              </w:tc>
              <w:tc>
                <w:tcPr>
                  <w:tcW w:w="1544" w:type="dxa"/>
                  <w:vAlign w:val="center"/>
                </w:tcPr>
                <w:p w14:paraId="42420048">
                  <w:pPr>
                    <w:adjustRightInd w:val="0"/>
                    <w:snapToGrid w:val="0"/>
                    <w:jc w:val="center"/>
                    <w:rPr>
                      <w:rFonts w:hint="eastAsia" w:cs="宋体"/>
                      <w:bCs/>
                      <w:color w:val="auto"/>
                      <w:szCs w:val="21"/>
                    </w:rPr>
                  </w:pPr>
                </w:p>
              </w:tc>
              <w:tc>
                <w:tcPr>
                  <w:tcW w:w="1155" w:type="dxa"/>
                  <w:vAlign w:val="center"/>
                </w:tcPr>
                <w:p w14:paraId="78A1B3FA">
                  <w:pPr>
                    <w:adjustRightInd w:val="0"/>
                    <w:snapToGrid w:val="0"/>
                    <w:jc w:val="center"/>
                    <w:rPr>
                      <w:rFonts w:hint="eastAsia" w:cs="宋体"/>
                      <w:bCs/>
                      <w:color w:val="auto"/>
                      <w:szCs w:val="21"/>
                    </w:rPr>
                  </w:pPr>
                </w:p>
              </w:tc>
              <w:tc>
                <w:tcPr>
                  <w:tcW w:w="1984" w:type="dxa"/>
                  <w:vMerge w:val="continue"/>
                  <w:vAlign w:val="center"/>
                </w:tcPr>
                <w:p w14:paraId="21D62704">
                  <w:pPr>
                    <w:widowControl/>
                    <w:jc w:val="center"/>
                    <w:rPr>
                      <w:rFonts w:ascii="宋体" w:hAnsi="宋体" w:cs="宋体"/>
                      <w:color w:val="auto"/>
                      <w:kern w:val="0"/>
                      <w:szCs w:val="21"/>
                      <w:lang w:bidi="ar"/>
                    </w:rPr>
                  </w:pPr>
                </w:p>
              </w:tc>
            </w:tr>
            <w:tr w14:paraId="6913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Merge w:val="continue"/>
                  <w:vAlign w:val="center"/>
                </w:tcPr>
                <w:p w14:paraId="296CE993">
                  <w:pPr>
                    <w:adjustRightInd w:val="0"/>
                    <w:snapToGrid w:val="0"/>
                    <w:jc w:val="center"/>
                    <w:rPr>
                      <w:rFonts w:hint="eastAsia" w:ascii="宋体" w:hAnsi="宋体" w:cs="宋体"/>
                      <w:bCs/>
                      <w:color w:val="auto"/>
                      <w:szCs w:val="21"/>
                    </w:rPr>
                  </w:pPr>
                </w:p>
              </w:tc>
              <w:tc>
                <w:tcPr>
                  <w:tcW w:w="709" w:type="dxa"/>
                  <w:vMerge w:val="continue"/>
                  <w:vAlign w:val="center"/>
                </w:tcPr>
                <w:p w14:paraId="25DDFB87">
                  <w:pPr>
                    <w:adjustRightInd w:val="0"/>
                    <w:snapToGrid w:val="0"/>
                    <w:jc w:val="center"/>
                    <w:rPr>
                      <w:rFonts w:cs="宋体"/>
                      <w:bCs/>
                      <w:color w:val="auto"/>
                      <w:szCs w:val="21"/>
                    </w:rPr>
                  </w:pPr>
                </w:p>
              </w:tc>
              <w:tc>
                <w:tcPr>
                  <w:tcW w:w="1275" w:type="dxa"/>
                  <w:vMerge w:val="continue"/>
                  <w:vAlign w:val="center"/>
                </w:tcPr>
                <w:p w14:paraId="730EEA94">
                  <w:pPr>
                    <w:adjustRightInd w:val="0"/>
                    <w:snapToGrid w:val="0"/>
                    <w:jc w:val="center"/>
                    <w:rPr>
                      <w:rFonts w:cs="宋体"/>
                      <w:bCs/>
                      <w:color w:val="auto"/>
                      <w:szCs w:val="21"/>
                    </w:rPr>
                  </w:pPr>
                </w:p>
              </w:tc>
              <w:tc>
                <w:tcPr>
                  <w:tcW w:w="1544" w:type="dxa"/>
                  <w:vAlign w:val="center"/>
                </w:tcPr>
                <w:p w14:paraId="329F1189">
                  <w:pPr>
                    <w:adjustRightInd w:val="0"/>
                    <w:snapToGrid w:val="0"/>
                    <w:jc w:val="center"/>
                    <w:rPr>
                      <w:rFonts w:cs="宋体"/>
                      <w:bCs/>
                      <w:color w:val="auto"/>
                      <w:szCs w:val="21"/>
                    </w:rPr>
                  </w:pPr>
                  <w:r>
                    <w:rPr>
                      <w:rFonts w:hint="eastAsia" w:cs="宋体"/>
                      <w:bCs/>
                      <w:color w:val="auto"/>
                      <w:szCs w:val="21"/>
                    </w:rPr>
                    <w:t>CODcr、SS</w:t>
                  </w:r>
                </w:p>
              </w:tc>
              <w:tc>
                <w:tcPr>
                  <w:tcW w:w="1155" w:type="dxa"/>
                  <w:vAlign w:val="center"/>
                </w:tcPr>
                <w:p w14:paraId="3F72F76B">
                  <w:pPr>
                    <w:adjustRightInd w:val="0"/>
                    <w:snapToGrid w:val="0"/>
                    <w:jc w:val="center"/>
                    <w:rPr>
                      <w:rFonts w:cs="宋体"/>
                      <w:bCs/>
                      <w:color w:val="auto"/>
                      <w:szCs w:val="21"/>
                    </w:rPr>
                  </w:pPr>
                  <w:r>
                    <w:rPr>
                      <w:rFonts w:hint="eastAsia" w:cs="宋体"/>
                      <w:bCs/>
                      <w:color w:val="auto"/>
                      <w:szCs w:val="21"/>
                    </w:rPr>
                    <w:t>1次/周</w:t>
                  </w:r>
                </w:p>
              </w:tc>
              <w:tc>
                <w:tcPr>
                  <w:tcW w:w="1984" w:type="dxa"/>
                  <w:vMerge w:val="continue"/>
                  <w:vAlign w:val="center"/>
                </w:tcPr>
                <w:p w14:paraId="182613A0">
                  <w:pPr>
                    <w:widowControl/>
                    <w:jc w:val="center"/>
                    <w:rPr>
                      <w:rFonts w:hint="eastAsia" w:ascii="宋体" w:hAnsi="宋体" w:cs="宋体"/>
                      <w:color w:val="auto"/>
                      <w:kern w:val="0"/>
                      <w:szCs w:val="21"/>
                      <w:lang w:bidi="ar"/>
                    </w:rPr>
                  </w:pPr>
                </w:p>
              </w:tc>
            </w:tr>
            <w:tr w14:paraId="1050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Merge w:val="continue"/>
                  <w:vAlign w:val="center"/>
                </w:tcPr>
                <w:p w14:paraId="238F1915">
                  <w:pPr>
                    <w:adjustRightInd w:val="0"/>
                    <w:snapToGrid w:val="0"/>
                    <w:jc w:val="center"/>
                    <w:rPr>
                      <w:rFonts w:hint="eastAsia" w:ascii="宋体" w:hAnsi="宋体" w:cs="宋体"/>
                      <w:bCs/>
                      <w:color w:val="auto"/>
                      <w:szCs w:val="21"/>
                    </w:rPr>
                  </w:pPr>
                </w:p>
              </w:tc>
              <w:tc>
                <w:tcPr>
                  <w:tcW w:w="709" w:type="dxa"/>
                  <w:vMerge w:val="continue"/>
                  <w:vAlign w:val="center"/>
                </w:tcPr>
                <w:p w14:paraId="212BFD31">
                  <w:pPr>
                    <w:adjustRightInd w:val="0"/>
                    <w:snapToGrid w:val="0"/>
                    <w:jc w:val="center"/>
                    <w:rPr>
                      <w:rFonts w:hint="eastAsia" w:ascii="宋体" w:hAnsi="宋体" w:cs="宋体"/>
                      <w:bCs/>
                      <w:color w:val="auto"/>
                      <w:szCs w:val="21"/>
                    </w:rPr>
                  </w:pPr>
                </w:p>
              </w:tc>
              <w:tc>
                <w:tcPr>
                  <w:tcW w:w="1275" w:type="dxa"/>
                  <w:vMerge w:val="continue"/>
                  <w:vAlign w:val="center"/>
                </w:tcPr>
                <w:p w14:paraId="7FFDD80D">
                  <w:pPr>
                    <w:adjustRightInd w:val="0"/>
                    <w:snapToGrid w:val="0"/>
                    <w:jc w:val="center"/>
                    <w:rPr>
                      <w:rFonts w:hint="eastAsia" w:ascii="宋体" w:hAnsi="宋体" w:cs="宋体"/>
                      <w:bCs/>
                      <w:color w:val="auto"/>
                      <w:szCs w:val="21"/>
                    </w:rPr>
                  </w:pPr>
                </w:p>
              </w:tc>
              <w:tc>
                <w:tcPr>
                  <w:tcW w:w="1544" w:type="dxa"/>
                  <w:vAlign w:val="center"/>
                </w:tcPr>
                <w:p w14:paraId="770D0D82">
                  <w:pPr>
                    <w:adjustRightInd w:val="0"/>
                    <w:snapToGrid w:val="0"/>
                    <w:jc w:val="center"/>
                    <w:rPr>
                      <w:rFonts w:hint="eastAsia" w:ascii="宋体" w:hAnsi="宋体" w:cs="宋体"/>
                      <w:bCs/>
                      <w:color w:val="auto"/>
                      <w:szCs w:val="21"/>
                    </w:rPr>
                  </w:pPr>
                  <w:r>
                    <w:rPr>
                      <w:rFonts w:hint="eastAsia" w:cs="宋体"/>
                      <w:bCs/>
                      <w:color w:val="auto"/>
                      <w:szCs w:val="21"/>
                    </w:rPr>
                    <w:t>粪大肠菌群</w:t>
                  </w:r>
                </w:p>
              </w:tc>
              <w:tc>
                <w:tcPr>
                  <w:tcW w:w="1155" w:type="dxa"/>
                  <w:vAlign w:val="center"/>
                </w:tcPr>
                <w:p w14:paraId="0684AC35">
                  <w:pPr>
                    <w:adjustRightInd w:val="0"/>
                    <w:snapToGrid w:val="0"/>
                    <w:jc w:val="center"/>
                    <w:rPr>
                      <w:rFonts w:hint="eastAsia" w:ascii="宋体" w:hAnsi="宋体" w:cs="宋体"/>
                      <w:bCs/>
                      <w:color w:val="auto"/>
                      <w:szCs w:val="21"/>
                    </w:rPr>
                  </w:pPr>
                  <w:r>
                    <w:rPr>
                      <w:rFonts w:hint="eastAsia" w:cs="宋体"/>
                      <w:bCs/>
                      <w:color w:val="auto"/>
                      <w:szCs w:val="21"/>
                    </w:rPr>
                    <w:t>1次/月</w:t>
                  </w:r>
                </w:p>
              </w:tc>
              <w:tc>
                <w:tcPr>
                  <w:tcW w:w="1984" w:type="dxa"/>
                  <w:vMerge w:val="continue"/>
                  <w:vAlign w:val="center"/>
                </w:tcPr>
                <w:p w14:paraId="13FB97EF">
                  <w:pPr>
                    <w:adjustRightInd w:val="0"/>
                    <w:snapToGrid w:val="0"/>
                    <w:jc w:val="center"/>
                    <w:rPr>
                      <w:rFonts w:hint="eastAsia" w:ascii="宋体" w:hAnsi="宋体" w:cs="宋体"/>
                      <w:bCs/>
                      <w:color w:val="auto"/>
                      <w:szCs w:val="21"/>
                    </w:rPr>
                  </w:pPr>
                </w:p>
              </w:tc>
            </w:tr>
            <w:tr w14:paraId="19FF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849" w:type="dxa"/>
                  <w:vMerge w:val="continue"/>
                  <w:vAlign w:val="center"/>
                </w:tcPr>
                <w:p w14:paraId="4C40A3FD">
                  <w:pPr>
                    <w:adjustRightInd w:val="0"/>
                    <w:snapToGrid w:val="0"/>
                    <w:jc w:val="center"/>
                    <w:rPr>
                      <w:rFonts w:hint="eastAsia" w:ascii="宋体" w:hAnsi="宋体" w:cs="宋体"/>
                      <w:bCs/>
                      <w:color w:val="auto"/>
                      <w:szCs w:val="21"/>
                    </w:rPr>
                  </w:pPr>
                </w:p>
              </w:tc>
              <w:tc>
                <w:tcPr>
                  <w:tcW w:w="709" w:type="dxa"/>
                  <w:vMerge w:val="continue"/>
                  <w:vAlign w:val="center"/>
                </w:tcPr>
                <w:p w14:paraId="2C439BBA">
                  <w:pPr>
                    <w:adjustRightInd w:val="0"/>
                    <w:snapToGrid w:val="0"/>
                    <w:jc w:val="center"/>
                    <w:rPr>
                      <w:rFonts w:hint="eastAsia" w:ascii="宋体" w:hAnsi="宋体" w:cs="宋体"/>
                      <w:bCs/>
                      <w:color w:val="auto"/>
                      <w:szCs w:val="21"/>
                    </w:rPr>
                  </w:pPr>
                </w:p>
              </w:tc>
              <w:tc>
                <w:tcPr>
                  <w:tcW w:w="1275" w:type="dxa"/>
                  <w:vMerge w:val="continue"/>
                  <w:vAlign w:val="center"/>
                </w:tcPr>
                <w:p w14:paraId="2CC7F4D1">
                  <w:pPr>
                    <w:adjustRightInd w:val="0"/>
                    <w:snapToGrid w:val="0"/>
                    <w:jc w:val="center"/>
                    <w:rPr>
                      <w:rFonts w:hint="eastAsia" w:ascii="宋体" w:hAnsi="宋体" w:cs="宋体"/>
                      <w:bCs/>
                      <w:color w:val="auto"/>
                      <w:szCs w:val="21"/>
                    </w:rPr>
                  </w:pPr>
                </w:p>
              </w:tc>
              <w:tc>
                <w:tcPr>
                  <w:tcW w:w="1544" w:type="dxa"/>
                  <w:vAlign w:val="center"/>
                </w:tcPr>
                <w:p w14:paraId="4FDB9ACC">
                  <w:pPr>
                    <w:adjustRightInd w:val="0"/>
                    <w:snapToGrid w:val="0"/>
                    <w:jc w:val="center"/>
                    <w:rPr>
                      <w:rFonts w:hint="eastAsia" w:ascii="宋体" w:hAnsi="宋体"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155" w:type="dxa"/>
                  <w:vAlign w:val="center"/>
                </w:tcPr>
                <w:p w14:paraId="4C18A10F">
                  <w:pPr>
                    <w:adjustRightInd w:val="0"/>
                    <w:snapToGrid w:val="0"/>
                    <w:jc w:val="center"/>
                    <w:rPr>
                      <w:rFonts w:hint="eastAsia" w:ascii="宋体" w:hAnsi="宋体" w:cs="宋体"/>
                      <w:bCs/>
                      <w:color w:val="auto"/>
                      <w:szCs w:val="21"/>
                    </w:rPr>
                  </w:pPr>
                  <w:r>
                    <w:rPr>
                      <w:rFonts w:hint="eastAsia" w:cs="宋体"/>
                      <w:bCs/>
                      <w:color w:val="auto"/>
                      <w:szCs w:val="21"/>
                    </w:rPr>
                    <w:t>1次/季度</w:t>
                  </w:r>
                </w:p>
              </w:tc>
              <w:tc>
                <w:tcPr>
                  <w:tcW w:w="1984" w:type="dxa"/>
                  <w:vMerge w:val="continue"/>
                  <w:vAlign w:val="center"/>
                </w:tcPr>
                <w:p w14:paraId="4FE00813">
                  <w:pPr>
                    <w:adjustRightInd w:val="0"/>
                    <w:snapToGrid w:val="0"/>
                    <w:jc w:val="center"/>
                    <w:rPr>
                      <w:rFonts w:hint="eastAsia" w:ascii="宋体" w:hAnsi="宋体" w:cs="宋体"/>
                      <w:bCs/>
                      <w:color w:val="auto"/>
                      <w:szCs w:val="21"/>
                    </w:rPr>
                  </w:pPr>
                </w:p>
              </w:tc>
            </w:tr>
            <w:tr w14:paraId="7117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Merge w:val="continue"/>
                  <w:vAlign w:val="center"/>
                </w:tcPr>
                <w:p w14:paraId="34BF327B">
                  <w:pPr>
                    <w:adjustRightInd w:val="0"/>
                    <w:snapToGrid w:val="0"/>
                    <w:jc w:val="center"/>
                    <w:rPr>
                      <w:rFonts w:hint="eastAsia" w:ascii="宋体" w:hAnsi="宋体" w:cs="宋体"/>
                      <w:bCs/>
                      <w:color w:val="auto"/>
                      <w:szCs w:val="21"/>
                    </w:rPr>
                  </w:pPr>
                </w:p>
              </w:tc>
              <w:tc>
                <w:tcPr>
                  <w:tcW w:w="709" w:type="dxa"/>
                  <w:vMerge w:val="continue"/>
                  <w:vAlign w:val="center"/>
                </w:tcPr>
                <w:p w14:paraId="7D765A1A">
                  <w:pPr>
                    <w:adjustRightInd w:val="0"/>
                    <w:snapToGrid w:val="0"/>
                    <w:jc w:val="center"/>
                    <w:rPr>
                      <w:rFonts w:hint="eastAsia" w:ascii="宋体" w:hAnsi="宋体" w:cs="宋体"/>
                      <w:bCs/>
                      <w:color w:val="auto"/>
                      <w:szCs w:val="21"/>
                    </w:rPr>
                  </w:pPr>
                </w:p>
              </w:tc>
              <w:tc>
                <w:tcPr>
                  <w:tcW w:w="1275" w:type="dxa"/>
                  <w:vMerge w:val="continue"/>
                  <w:vAlign w:val="center"/>
                </w:tcPr>
                <w:p w14:paraId="035925AA">
                  <w:pPr>
                    <w:adjustRightInd w:val="0"/>
                    <w:snapToGrid w:val="0"/>
                    <w:jc w:val="center"/>
                    <w:rPr>
                      <w:rFonts w:hint="eastAsia" w:ascii="宋体" w:hAnsi="宋体" w:cs="宋体"/>
                      <w:bCs/>
                      <w:color w:val="auto"/>
                      <w:szCs w:val="21"/>
                    </w:rPr>
                  </w:pPr>
                </w:p>
              </w:tc>
              <w:tc>
                <w:tcPr>
                  <w:tcW w:w="1544" w:type="dxa"/>
                  <w:vAlign w:val="center"/>
                </w:tcPr>
                <w:p w14:paraId="34BAAE99">
                  <w:pPr>
                    <w:adjustRightInd w:val="0"/>
                    <w:snapToGrid w:val="0"/>
                    <w:jc w:val="center"/>
                    <w:rPr>
                      <w:rFonts w:hint="eastAsia" w:ascii="宋体" w:hAnsi="宋体" w:cs="宋体"/>
                      <w:bCs/>
                      <w:color w:val="auto"/>
                      <w:szCs w:val="21"/>
                    </w:rPr>
                  </w:pPr>
                  <w:r>
                    <w:rPr>
                      <w:rFonts w:hint="eastAsia" w:cs="宋体"/>
                      <w:bCs/>
                      <w:color w:val="auto"/>
                      <w:szCs w:val="21"/>
                    </w:rPr>
                    <w:t>流量</w:t>
                  </w:r>
                </w:p>
              </w:tc>
              <w:tc>
                <w:tcPr>
                  <w:tcW w:w="1155" w:type="dxa"/>
                  <w:vAlign w:val="center"/>
                </w:tcPr>
                <w:p w14:paraId="76CF6813">
                  <w:pPr>
                    <w:adjustRightInd w:val="0"/>
                    <w:snapToGrid w:val="0"/>
                    <w:jc w:val="center"/>
                    <w:rPr>
                      <w:rFonts w:hint="eastAsia" w:ascii="宋体" w:hAnsi="宋体" w:cs="宋体"/>
                      <w:bCs/>
                      <w:color w:val="auto"/>
                      <w:szCs w:val="21"/>
                    </w:rPr>
                  </w:pPr>
                  <w:r>
                    <w:rPr>
                      <w:rFonts w:hint="eastAsia" w:cs="宋体"/>
                      <w:bCs/>
                      <w:color w:val="auto"/>
                      <w:szCs w:val="21"/>
                    </w:rPr>
                    <w:t>自动监测</w:t>
                  </w:r>
                </w:p>
              </w:tc>
              <w:tc>
                <w:tcPr>
                  <w:tcW w:w="1984" w:type="dxa"/>
                  <w:vMerge w:val="continue"/>
                  <w:vAlign w:val="center"/>
                </w:tcPr>
                <w:p w14:paraId="23DD1FA3">
                  <w:pPr>
                    <w:adjustRightInd w:val="0"/>
                    <w:snapToGrid w:val="0"/>
                    <w:jc w:val="center"/>
                    <w:rPr>
                      <w:rFonts w:hint="eastAsia" w:ascii="宋体" w:hAnsi="宋体" w:cs="宋体"/>
                      <w:bCs/>
                      <w:color w:val="auto"/>
                      <w:szCs w:val="21"/>
                    </w:rPr>
                  </w:pPr>
                </w:p>
              </w:tc>
            </w:tr>
            <w:tr w14:paraId="017A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49" w:type="dxa"/>
                  <w:vMerge w:val="continue"/>
                  <w:vAlign w:val="center"/>
                </w:tcPr>
                <w:p w14:paraId="43237ED9">
                  <w:pPr>
                    <w:adjustRightInd w:val="0"/>
                    <w:snapToGrid w:val="0"/>
                    <w:jc w:val="center"/>
                    <w:rPr>
                      <w:rFonts w:hint="eastAsia" w:ascii="宋体" w:hAnsi="宋体" w:cs="宋体"/>
                      <w:bCs/>
                      <w:color w:val="auto"/>
                      <w:szCs w:val="21"/>
                    </w:rPr>
                  </w:pPr>
                </w:p>
              </w:tc>
              <w:tc>
                <w:tcPr>
                  <w:tcW w:w="709" w:type="dxa"/>
                  <w:vMerge w:val="continue"/>
                  <w:vAlign w:val="center"/>
                </w:tcPr>
                <w:p w14:paraId="18EA3056">
                  <w:pPr>
                    <w:adjustRightInd w:val="0"/>
                    <w:snapToGrid w:val="0"/>
                    <w:jc w:val="center"/>
                    <w:rPr>
                      <w:rFonts w:cs="宋体"/>
                      <w:bCs/>
                      <w:color w:val="auto"/>
                      <w:szCs w:val="21"/>
                    </w:rPr>
                  </w:pPr>
                </w:p>
              </w:tc>
              <w:tc>
                <w:tcPr>
                  <w:tcW w:w="1275" w:type="dxa"/>
                  <w:vAlign w:val="center"/>
                </w:tcPr>
                <w:p w14:paraId="4FFE6F71">
                  <w:pPr>
                    <w:adjustRightInd w:val="0"/>
                    <w:snapToGrid w:val="0"/>
                    <w:jc w:val="center"/>
                    <w:rPr>
                      <w:rFonts w:cs="宋体"/>
                      <w:bCs/>
                      <w:color w:val="auto"/>
                      <w:szCs w:val="21"/>
                    </w:rPr>
                  </w:pPr>
                  <w:r>
                    <w:rPr>
                      <w:rFonts w:hint="eastAsia"/>
                      <w:bCs/>
                      <w:color w:val="auto"/>
                      <w:szCs w:val="21"/>
                    </w:rPr>
                    <w:t>接触池出口</w:t>
                  </w:r>
                </w:p>
              </w:tc>
              <w:tc>
                <w:tcPr>
                  <w:tcW w:w="1544" w:type="dxa"/>
                  <w:vAlign w:val="center"/>
                </w:tcPr>
                <w:p w14:paraId="452D199C">
                  <w:pPr>
                    <w:widowControl/>
                    <w:jc w:val="center"/>
                    <w:rPr>
                      <w:rFonts w:cs="宋体"/>
                      <w:bCs/>
                      <w:color w:val="auto"/>
                      <w:szCs w:val="21"/>
                    </w:rPr>
                  </w:pPr>
                  <w:r>
                    <w:rPr>
                      <w:color w:val="auto"/>
                      <w:kern w:val="0"/>
                      <w:szCs w:val="21"/>
                      <w:lang w:bidi="ar"/>
                    </w:rPr>
                    <w:t>总余氯</w:t>
                  </w:r>
                </w:p>
              </w:tc>
              <w:tc>
                <w:tcPr>
                  <w:tcW w:w="1155" w:type="dxa"/>
                  <w:vAlign w:val="center"/>
                </w:tcPr>
                <w:p w14:paraId="6A9B8DE0">
                  <w:pPr>
                    <w:jc w:val="center"/>
                    <w:rPr>
                      <w:rFonts w:cs="宋体"/>
                      <w:bCs/>
                      <w:color w:val="auto"/>
                      <w:szCs w:val="21"/>
                    </w:rPr>
                  </w:pPr>
                  <w:r>
                    <w:rPr>
                      <w:rFonts w:hint="eastAsia"/>
                      <w:bCs/>
                      <w:color w:val="auto"/>
                      <w:szCs w:val="21"/>
                    </w:rPr>
                    <w:t>1次/12小时</w:t>
                  </w:r>
                </w:p>
              </w:tc>
              <w:tc>
                <w:tcPr>
                  <w:tcW w:w="1984" w:type="dxa"/>
                  <w:vMerge w:val="continue"/>
                  <w:vAlign w:val="center"/>
                </w:tcPr>
                <w:p w14:paraId="35DCD2A7">
                  <w:pPr>
                    <w:widowControl/>
                    <w:jc w:val="center"/>
                    <w:rPr>
                      <w:rFonts w:hint="eastAsia" w:ascii="宋体" w:hAnsi="宋体" w:cs="宋体"/>
                      <w:color w:val="auto"/>
                      <w:kern w:val="0"/>
                      <w:szCs w:val="21"/>
                      <w:lang w:bidi="ar"/>
                    </w:rPr>
                  </w:pPr>
                </w:p>
              </w:tc>
            </w:tr>
            <w:tr w14:paraId="65E7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49" w:type="dxa"/>
                  <w:vMerge w:val="continue"/>
                  <w:vAlign w:val="center"/>
                </w:tcPr>
                <w:p w14:paraId="3F79517B">
                  <w:pPr>
                    <w:adjustRightInd w:val="0"/>
                    <w:snapToGrid w:val="0"/>
                    <w:jc w:val="center"/>
                    <w:rPr>
                      <w:rFonts w:hint="eastAsia" w:ascii="宋体" w:hAnsi="宋体" w:cs="宋体"/>
                      <w:bCs/>
                      <w:color w:val="auto"/>
                      <w:szCs w:val="21"/>
                    </w:rPr>
                  </w:pPr>
                </w:p>
              </w:tc>
              <w:tc>
                <w:tcPr>
                  <w:tcW w:w="709" w:type="dxa"/>
                  <w:vAlign w:val="center"/>
                </w:tcPr>
                <w:p w14:paraId="45B682A5">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无组织废气</w:t>
                  </w:r>
                </w:p>
              </w:tc>
              <w:tc>
                <w:tcPr>
                  <w:tcW w:w="1275" w:type="dxa"/>
                  <w:vAlign w:val="center"/>
                </w:tcPr>
                <w:p w14:paraId="396E1C63">
                  <w:pPr>
                    <w:adjustRightInd w:val="0"/>
                    <w:snapToGrid w:val="0"/>
                    <w:jc w:val="center"/>
                    <w:rPr>
                      <w:rFonts w:hint="eastAsia"/>
                      <w:bCs/>
                      <w:color w:val="auto"/>
                      <w:szCs w:val="21"/>
                    </w:rPr>
                  </w:pPr>
                  <w:r>
                    <w:rPr>
                      <w:rFonts w:hint="eastAsia"/>
                      <w:bCs/>
                      <w:color w:val="auto"/>
                      <w:spacing w:val="-10"/>
                      <w:szCs w:val="21"/>
                    </w:rPr>
                    <w:t>污水处理站周界</w:t>
                  </w:r>
                </w:p>
              </w:tc>
              <w:tc>
                <w:tcPr>
                  <w:tcW w:w="1544" w:type="dxa"/>
                  <w:vAlign w:val="center"/>
                </w:tcPr>
                <w:p w14:paraId="613DB534">
                  <w:pPr>
                    <w:widowControl/>
                    <w:jc w:val="center"/>
                    <w:rPr>
                      <w:color w:val="auto"/>
                      <w:kern w:val="0"/>
                      <w:szCs w:val="21"/>
                      <w:lang w:bidi="ar"/>
                    </w:rPr>
                  </w:pPr>
                  <w:r>
                    <w:rPr>
                      <w:rFonts w:ascii="宋体" w:hAnsi="宋体" w:cs="宋体"/>
                      <w:bCs/>
                      <w:color w:val="auto"/>
                      <w:kern w:val="0"/>
                      <w:szCs w:val="21"/>
                      <w:lang w:bidi="ar"/>
                    </w:rPr>
                    <w:t>氨、硫化氢、臭 气浓度、氯气、 甲烷</w:t>
                  </w:r>
                </w:p>
              </w:tc>
              <w:tc>
                <w:tcPr>
                  <w:tcW w:w="1155" w:type="dxa"/>
                  <w:vAlign w:val="center"/>
                </w:tcPr>
                <w:p w14:paraId="0091BE1D">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07426927">
                  <w:pPr>
                    <w:jc w:val="center"/>
                    <w:rPr>
                      <w:rFonts w:hint="eastAsia"/>
                      <w:bCs/>
                      <w:color w:val="auto"/>
                      <w:szCs w:val="21"/>
                    </w:rPr>
                  </w:pPr>
                </w:p>
              </w:tc>
              <w:tc>
                <w:tcPr>
                  <w:tcW w:w="1984" w:type="dxa"/>
                  <w:vAlign w:val="center"/>
                </w:tcPr>
                <w:p w14:paraId="3453D7F5">
                  <w:pPr>
                    <w:widowControl/>
                    <w:jc w:val="center"/>
                    <w:rPr>
                      <w:rFonts w:hint="eastAsia" w:ascii="宋体" w:hAnsi="宋体" w:cs="宋体"/>
                      <w:color w:val="auto"/>
                      <w:kern w:val="0"/>
                      <w:szCs w:val="21"/>
                      <w:lang w:bidi="ar"/>
                    </w:rPr>
                  </w:pPr>
                  <w:r>
                    <w:rPr>
                      <w:rFonts w:ascii="宋体" w:hAnsi="宋体" w:cs="宋体"/>
                      <w:bCs/>
                      <w:color w:val="auto"/>
                      <w:szCs w:val="21"/>
                      <w:lang w:bidi="ar"/>
                    </w:rPr>
                    <w:t>《医疗机构水污染物排放标准》（</w:t>
                  </w:r>
                  <w:r>
                    <w:rPr>
                      <w:bCs/>
                      <w:color w:val="auto"/>
                      <w:szCs w:val="21"/>
                      <w:lang w:bidi="ar"/>
                    </w:rPr>
                    <w:t>GB 18466-2005</w:t>
                  </w:r>
                  <w:r>
                    <w:rPr>
                      <w:rFonts w:ascii="宋体" w:hAnsi="宋体" w:cs="宋体"/>
                      <w:bCs/>
                      <w:color w:val="auto"/>
                      <w:szCs w:val="21"/>
                      <w:lang w:bidi="ar"/>
                    </w:rPr>
                    <w:t>）表</w:t>
                  </w:r>
                  <w:r>
                    <w:rPr>
                      <w:bCs/>
                      <w:color w:val="auto"/>
                      <w:szCs w:val="21"/>
                      <w:lang w:bidi="ar"/>
                    </w:rPr>
                    <w:t>3</w:t>
                  </w:r>
                  <w:r>
                    <w:rPr>
                      <w:rFonts w:ascii="宋体" w:hAnsi="宋体" w:cs="宋体"/>
                      <w:bCs/>
                      <w:color w:val="auto"/>
                      <w:szCs w:val="21"/>
                      <w:lang w:bidi="ar"/>
                    </w:rPr>
                    <w:t>污水处理设施周边大气污染物最高允许浓度</w:t>
                  </w:r>
                </w:p>
              </w:tc>
            </w:tr>
            <w:tr w14:paraId="2305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49" w:type="dxa"/>
                  <w:vMerge w:val="continue"/>
                  <w:vAlign w:val="center"/>
                </w:tcPr>
                <w:p w14:paraId="373A5E3C">
                  <w:pPr>
                    <w:adjustRightInd w:val="0"/>
                    <w:snapToGrid w:val="0"/>
                    <w:jc w:val="center"/>
                    <w:rPr>
                      <w:rFonts w:hint="eastAsia" w:ascii="宋体" w:hAnsi="宋体" w:cs="宋体"/>
                      <w:bCs/>
                      <w:color w:val="auto"/>
                      <w:szCs w:val="21"/>
                    </w:rPr>
                  </w:pPr>
                </w:p>
              </w:tc>
              <w:tc>
                <w:tcPr>
                  <w:tcW w:w="709" w:type="dxa"/>
                  <w:vAlign w:val="center"/>
                </w:tcPr>
                <w:p w14:paraId="63ECFD64">
                  <w:pPr>
                    <w:adjustRightInd w:val="0"/>
                    <w:snapToGrid w:val="0"/>
                    <w:jc w:val="center"/>
                    <w:rPr>
                      <w:rFonts w:hint="default" w:cs="宋体"/>
                      <w:bCs/>
                      <w:color w:val="auto"/>
                      <w:szCs w:val="21"/>
                      <w:lang w:val="en-US" w:eastAsia="zh-CN"/>
                    </w:rPr>
                  </w:pPr>
                  <w:r>
                    <w:rPr>
                      <w:rFonts w:hint="eastAsia" w:cs="宋体"/>
                      <w:bCs/>
                      <w:color w:val="auto"/>
                      <w:szCs w:val="21"/>
                      <w:lang w:val="en-US" w:eastAsia="zh-CN"/>
                    </w:rPr>
                    <w:t>噪声</w:t>
                  </w:r>
                </w:p>
              </w:tc>
              <w:tc>
                <w:tcPr>
                  <w:tcW w:w="1275" w:type="dxa"/>
                  <w:vAlign w:val="center"/>
                </w:tcPr>
                <w:p w14:paraId="3B5050E0">
                  <w:pPr>
                    <w:adjustRightInd w:val="0"/>
                    <w:snapToGrid w:val="0"/>
                    <w:jc w:val="center"/>
                    <w:rPr>
                      <w:rFonts w:hint="eastAsia"/>
                      <w:bCs/>
                      <w:color w:val="auto"/>
                      <w:spacing w:val="-10"/>
                      <w:szCs w:val="21"/>
                    </w:rPr>
                  </w:pPr>
                  <w:r>
                    <w:rPr>
                      <w:bCs/>
                      <w:color w:val="auto"/>
                      <w:spacing w:val="-10"/>
                      <w:szCs w:val="21"/>
                    </w:rPr>
                    <w:t>东南西北厂界</w:t>
                  </w:r>
                </w:p>
              </w:tc>
              <w:tc>
                <w:tcPr>
                  <w:tcW w:w="1544" w:type="dxa"/>
                  <w:vAlign w:val="center"/>
                </w:tcPr>
                <w:p w14:paraId="4A77E51C">
                  <w:pPr>
                    <w:widowControl/>
                    <w:jc w:val="center"/>
                    <w:rPr>
                      <w:color w:val="auto"/>
                      <w:szCs w:val="21"/>
                    </w:rPr>
                  </w:pPr>
                  <w:r>
                    <w:rPr>
                      <w:color w:val="auto"/>
                      <w:kern w:val="0"/>
                      <w:szCs w:val="21"/>
                      <w:lang w:bidi="ar"/>
                    </w:rPr>
                    <w:t>昼间、夜间等效声级</w:t>
                  </w:r>
                </w:p>
                <w:p w14:paraId="7DD4C9EC">
                  <w:pPr>
                    <w:widowControl/>
                    <w:jc w:val="center"/>
                    <w:rPr>
                      <w:rFonts w:ascii="宋体" w:hAnsi="宋体" w:cs="宋体"/>
                      <w:bCs/>
                      <w:color w:val="auto"/>
                      <w:kern w:val="0"/>
                      <w:szCs w:val="21"/>
                      <w:lang w:bidi="ar"/>
                    </w:rPr>
                  </w:pPr>
                  <w:r>
                    <w:rPr>
                      <w:color w:val="auto"/>
                      <w:kern w:val="0"/>
                      <w:szCs w:val="21"/>
                      <w:lang w:bidi="ar"/>
                    </w:rPr>
                    <w:t>Leq(A)</w:t>
                  </w:r>
                </w:p>
              </w:tc>
              <w:tc>
                <w:tcPr>
                  <w:tcW w:w="1155" w:type="dxa"/>
                  <w:vAlign w:val="center"/>
                </w:tcPr>
                <w:p w14:paraId="511D8051">
                  <w:pPr>
                    <w:widowControl/>
                    <w:jc w:val="center"/>
                    <w:rPr>
                      <w:bCs/>
                      <w:color w:val="auto"/>
                      <w:szCs w:val="21"/>
                    </w:rPr>
                  </w:pPr>
                  <w:r>
                    <w:rPr>
                      <w:bCs/>
                      <w:color w:val="auto"/>
                      <w:kern w:val="0"/>
                      <w:szCs w:val="21"/>
                      <w:lang w:bidi="ar"/>
                    </w:rPr>
                    <w:t>1 次/季度</w:t>
                  </w:r>
                </w:p>
                <w:p w14:paraId="7D6AD1A3">
                  <w:pPr>
                    <w:jc w:val="center"/>
                    <w:rPr>
                      <w:rFonts w:hint="eastAsia"/>
                      <w:bCs/>
                      <w:color w:val="auto"/>
                      <w:szCs w:val="21"/>
                    </w:rPr>
                  </w:pPr>
                </w:p>
              </w:tc>
              <w:tc>
                <w:tcPr>
                  <w:tcW w:w="1984" w:type="dxa"/>
                  <w:vAlign w:val="center"/>
                </w:tcPr>
                <w:p w14:paraId="61B951F8">
                  <w:pPr>
                    <w:widowControl/>
                    <w:jc w:val="center"/>
                    <w:rPr>
                      <w:rFonts w:ascii="宋体" w:hAnsi="宋体" w:cs="宋体"/>
                      <w:bCs/>
                      <w:color w:val="auto"/>
                      <w:szCs w:val="21"/>
                      <w:lang w:bidi="ar"/>
                    </w:rPr>
                  </w:pPr>
                  <w:r>
                    <w:rPr>
                      <w:rFonts w:hint="eastAsia" w:ascii="宋体" w:hAnsi="宋体" w:cs="宋体"/>
                      <w:color w:val="auto"/>
                      <w:kern w:val="0"/>
                      <w:szCs w:val="21"/>
                      <w:lang w:bidi="ar"/>
                    </w:rPr>
                    <w:t>厂界噪声排放限值执行《工业企业厂界环境噪声排放标准》GB12348-2008）执行 2 类标准</w:t>
                  </w:r>
                </w:p>
              </w:tc>
            </w:tr>
            <w:tr w14:paraId="1917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49" w:type="dxa"/>
                  <w:vMerge w:val="continue"/>
                  <w:vAlign w:val="center"/>
                </w:tcPr>
                <w:p w14:paraId="1520B756">
                  <w:pPr>
                    <w:adjustRightInd w:val="0"/>
                    <w:snapToGrid w:val="0"/>
                    <w:jc w:val="center"/>
                    <w:rPr>
                      <w:rFonts w:hint="eastAsia" w:ascii="宋体" w:hAnsi="宋体" w:cs="宋体"/>
                      <w:bCs/>
                      <w:color w:val="auto"/>
                      <w:szCs w:val="21"/>
                    </w:rPr>
                  </w:pPr>
                </w:p>
              </w:tc>
              <w:tc>
                <w:tcPr>
                  <w:tcW w:w="709" w:type="dxa"/>
                  <w:vAlign w:val="center"/>
                </w:tcPr>
                <w:p w14:paraId="25F4633E">
                  <w:pPr>
                    <w:adjustRightInd w:val="0"/>
                    <w:snapToGrid w:val="0"/>
                    <w:jc w:val="center"/>
                    <w:rPr>
                      <w:rFonts w:hint="eastAsia" w:cs="宋体"/>
                      <w:bCs/>
                      <w:color w:val="auto"/>
                      <w:szCs w:val="21"/>
                      <w:lang w:val="en-US" w:eastAsia="zh-CN"/>
                    </w:rPr>
                  </w:pPr>
                  <w:r>
                    <w:rPr>
                      <w:rFonts w:hint="eastAsia" w:ascii="宋体" w:hAnsi="宋体" w:cs="宋体"/>
                      <w:bCs/>
                      <w:color w:val="auto"/>
                      <w:spacing w:val="-10"/>
                      <w:szCs w:val="21"/>
                    </w:rPr>
                    <w:t>敏感点噪声</w:t>
                  </w:r>
                </w:p>
              </w:tc>
              <w:tc>
                <w:tcPr>
                  <w:tcW w:w="1275" w:type="dxa"/>
                  <w:vAlign w:val="center"/>
                </w:tcPr>
                <w:p w14:paraId="706885C7">
                  <w:pPr>
                    <w:adjustRightInd w:val="0"/>
                    <w:snapToGrid w:val="0"/>
                    <w:jc w:val="center"/>
                    <w:rPr>
                      <w:bCs/>
                      <w:color w:val="auto"/>
                      <w:spacing w:val="-10"/>
                      <w:szCs w:val="21"/>
                    </w:rPr>
                  </w:pPr>
                  <w:r>
                    <w:rPr>
                      <w:bCs/>
                      <w:color w:val="auto"/>
                      <w:spacing w:val="-10"/>
                      <w:szCs w:val="21"/>
                    </w:rPr>
                    <w:t>纳古镇（坐标东经102°43′53.743″，24°10′55.815″）</w:t>
                  </w:r>
                </w:p>
              </w:tc>
              <w:tc>
                <w:tcPr>
                  <w:tcW w:w="1544" w:type="dxa"/>
                  <w:vAlign w:val="center"/>
                </w:tcPr>
                <w:p w14:paraId="3E209118">
                  <w:pPr>
                    <w:widowControl/>
                    <w:jc w:val="center"/>
                    <w:rPr>
                      <w:color w:val="auto"/>
                      <w:szCs w:val="21"/>
                    </w:rPr>
                  </w:pPr>
                  <w:r>
                    <w:rPr>
                      <w:color w:val="auto"/>
                      <w:kern w:val="0"/>
                      <w:szCs w:val="21"/>
                      <w:lang w:bidi="ar"/>
                    </w:rPr>
                    <w:t>昼间、夜间等效声级</w:t>
                  </w:r>
                </w:p>
                <w:p w14:paraId="1547DD4B">
                  <w:pPr>
                    <w:widowControl/>
                    <w:jc w:val="center"/>
                    <w:rPr>
                      <w:color w:val="auto"/>
                      <w:kern w:val="0"/>
                      <w:szCs w:val="21"/>
                      <w:lang w:bidi="ar"/>
                    </w:rPr>
                  </w:pPr>
                  <w:r>
                    <w:rPr>
                      <w:color w:val="auto"/>
                      <w:kern w:val="0"/>
                      <w:szCs w:val="21"/>
                      <w:lang w:bidi="ar"/>
                    </w:rPr>
                    <w:t>Leq(A)</w:t>
                  </w:r>
                </w:p>
              </w:tc>
              <w:tc>
                <w:tcPr>
                  <w:tcW w:w="1155" w:type="dxa"/>
                  <w:vAlign w:val="center"/>
                </w:tcPr>
                <w:p w14:paraId="78B84636">
                  <w:pPr>
                    <w:widowControl/>
                    <w:jc w:val="center"/>
                    <w:rPr>
                      <w:bCs/>
                      <w:color w:val="auto"/>
                      <w:szCs w:val="21"/>
                    </w:rPr>
                  </w:pPr>
                  <w:r>
                    <w:rPr>
                      <w:bCs/>
                      <w:color w:val="auto"/>
                      <w:kern w:val="0"/>
                      <w:szCs w:val="21"/>
                      <w:lang w:bidi="ar"/>
                    </w:rPr>
                    <w:t>1 次/季度</w:t>
                  </w:r>
                </w:p>
                <w:p w14:paraId="7FEBE35C">
                  <w:pPr>
                    <w:jc w:val="center"/>
                    <w:rPr>
                      <w:rFonts w:hint="eastAsia"/>
                      <w:bCs/>
                      <w:color w:val="auto"/>
                      <w:szCs w:val="21"/>
                    </w:rPr>
                  </w:pPr>
                </w:p>
              </w:tc>
              <w:tc>
                <w:tcPr>
                  <w:tcW w:w="1984" w:type="dxa"/>
                  <w:vAlign w:val="center"/>
                </w:tcPr>
                <w:p w14:paraId="29EC0F86">
                  <w:pPr>
                    <w:widowControl/>
                    <w:jc w:val="center"/>
                    <w:rPr>
                      <w:rFonts w:hint="eastAsia" w:ascii="宋体" w:hAnsi="宋体" w:cs="宋体"/>
                      <w:color w:val="auto"/>
                      <w:kern w:val="0"/>
                      <w:szCs w:val="21"/>
                      <w:lang w:bidi="ar"/>
                    </w:rPr>
                  </w:pPr>
                  <w:r>
                    <w:rPr>
                      <w:bCs/>
                      <w:color w:val="auto"/>
                      <w:spacing w:val="-10"/>
                      <w:szCs w:val="21"/>
                    </w:rPr>
                    <w:t>执行《声环境质量标准》GB3096-2008）2类标准要求</w:t>
                  </w:r>
                </w:p>
              </w:tc>
            </w:tr>
            <w:tr w14:paraId="44F5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49" w:type="dxa"/>
                  <w:vMerge w:val="restart"/>
                  <w:vAlign w:val="center"/>
                </w:tcPr>
                <w:p w14:paraId="69767589">
                  <w:pPr>
                    <w:adjustRightInd w:val="0"/>
                    <w:snapToGrid w:val="0"/>
                    <w:jc w:val="center"/>
                    <w:rPr>
                      <w:rFonts w:hint="eastAsia" w:ascii="宋体" w:hAnsi="宋体" w:cs="宋体"/>
                      <w:bCs/>
                      <w:color w:val="auto"/>
                      <w:szCs w:val="21"/>
                    </w:rPr>
                  </w:pPr>
                  <w:r>
                    <w:rPr>
                      <w:rFonts w:hint="eastAsia" w:ascii="宋体" w:hAnsi="宋体" w:cs="宋体"/>
                      <w:bCs/>
                      <w:color w:val="auto"/>
                      <w:szCs w:val="21"/>
                    </w:rPr>
                    <w:t>四街卫生院</w:t>
                  </w:r>
                </w:p>
              </w:tc>
              <w:tc>
                <w:tcPr>
                  <w:tcW w:w="709" w:type="dxa"/>
                  <w:vMerge w:val="restart"/>
                  <w:vAlign w:val="center"/>
                </w:tcPr>
                <w:p w14:paraId="2AB76B45">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废水</w:t>
                  </w:r>
                </w:p>
              </w:tc>
              <w:tc>
                <w:tcPr>
                  <w:tcW w:w="1275" w:type="dxa"/>
                  <w:vMerge w:val="restart"/>
                  <w:vAlign w:val="center"/>
                </w:tcPr>
                <w:p w14:paraId="2FC2DB51">
                  <w:pPr>
                    <w:adjustRightInd w:val="0"/>
                    <w:snapToGrid w:val="0"/>
                    <w:jc w:val="center"/>
                    <w:rPr>
                      <w:rFonts w:cs="宋体"/>
                      <w:bCs/>
                      <w:color w:val="auto"/>
                      <w:szCs w:val="21"/>
                    </w:rPr>
                  </w:pPr>
                  <w:r>
                    <w:rPr>
                      <w:rFonts w:hint="eastAsia" w:cs="宋体"/>
                      <w:bCs/>
                      <w:color w:val="auto"/>
                      <w:szCs w:val="21"/>
                    </w:rPr>
                    <w:t>污水处理站排放口（DW001）</w:t>
                  </w:r>
                </w:p>
              </w:tc>
              <w:tc>
                <w:tcPr>
                  <w:tcW w:w="1544" w:type="dxa"/>
                  <w:vAlign w:val="center"/>
                </w:tcPr>
                <w:p w14:paraId="4396FD82">
                  <w:pPr>
                    <w:adjustRightInd w:val="0"/>
                    <w:snapToGrid w:val="0"/>
                    <w:jc w:val="center"/>
                    <w:rPr>
                      <w:rFonts w:cs="宋体"/>
                      <w:bCs/>
                      <w:color w:val="auto"/>
                      <w:szCs w:val="21"/>
                    </w:rPr>
                  </w:pPr>
                  <w:r>
                    <w:rPr>
                      <w:rFonts w:hint="eastAsia" w:cs="宋体"/>
                      <w:bCs/>
                      <w:color w:val="auto"/>
                      <w:szCs w:val="21"/>
                    </w:rPr>
                    <w:t>pH</w:t>
                  </w:r>
                </w:p>
              </w:tc>
              <w:tc>
                <w:tcPr>
                  <w:tcW w:w="1155" w:type="dxa"/>
                  <w:vAlign w:val="center"/>
                </w:tcPr>
                <w:p w14:paraId="6705D5E6">
                  <w:pPr>
                    <w:adjustRightInd w:val="0"/>
                    <w:snapToGrid w:val="0"/>
                    <w:jc w:val="center"/>
                    <w:rPr>
                      <w:rFonts w:cs="宋体"/>
                      <w:bCs/>
                      <w:color w:val="auto"/>
                      <w:szCs w:val="21"/>
                    </w:rPr>
                  </w:pPr>
                  <w:r>
                    <w:rPr>
                      <w:rFonts w:hint="eastAsia" w:cs="宋体"/>
                      <w:bCs/>
                      <w:color w:val="auto"/>
                      <w:szCs w:val="21"/>
                    </w:rPr>
                    <w:t>1次/12小时</w:t>
                  </w:r>
                </w:p>
              </w:tc>
              <w:tc>
                <w:tcPr>
                  <w:tcW w:w="1984" w:type="dxa"/>
                  <w:vMerge w:val="restart"/>
                  <w:vAlign w:val="center"/>
                </w:tcPr>
                <w:p w14:paraId="14964FDE">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6402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49" w:type="dxa"/>
                  <w:vMerge w:val="continue"/>
                  <w:vAlign w:val="center"/>
                </w:tcPr>
                <w:p w14:paraId="5A75CA9F">
                  <w:pPr>
                    <w:adjustRightInd w:val="0"/>
                    <w:snapToGrid w:val="0"/>
                    <w:jc w:val="center"/>
                    <w:rPr>
                      <w:rFonts w:hint="eastAsia" w:ascii="宋体" w:hAnsi="宋体" w:cs="宋体"/>
                      <w:bCs/>
                      <w:color w:val="auto"/>
                      <w:szCs w:val="21"/>
                    </w:rPr>
                  </w:pPr>
                </w:p>
              </w:tc>
              <w:tc>
                <w:tcPr>
                  <w:tcW w:w="709" w:type="dxa"/>
                  <w:vMerge w:val="continue"/>
                  <w:vAlign w:val="center"/>
                </w:tcPr>
                <w:p w14:paraId="3D3ECD8C">
                  <w:pPr>
                    <w:adjustRightInd w:val="0"/>
                    <w:snapToGrid w:val="0"/>
                    <w:jc w:val="center"/>
                    <w:rPr>
                      <w:rFonts w:cs="宋体"/>
                      <w:bCs/>
                      <w:color w:val="auto"/>
                      <w:szCs w:val="21"/>
                    </w:rPr>
                  </w:pPr>
                </w:p>
              </w:tc>
              <w:tc>
                <w:tcPr>
                  <w:tcW w:w="1275" w:type="dxa"/>
                  <w:vMerge w:val="continue"/>
                  <w:vAlign w:val="center"/>
                </w:tcPr>
                <w:p w14:paraId="4B515310">
                  <w:pPr>
                    <w:adjustRightInd w:val="0"/>
                    <w:snapToGrid w:val="0"/>
                    <w:jc w:val="center"/>
                    <w:rPr>
                      <w:rFonts w:cs="宋体"/>
                      <w:bCs/>
                      <w:color w:val="auto"/>
                      <w:szCs w:val="21"/>
                    </w:rPr>
                  </w:pPr>
                </w:p>
              </w:tc>
              <w:tc>
                <w:tcPr>
                  <w:tcW w:w="1544" w:type="dxa"/>
                  <w:vAlign w:val="center"/>
                </w:tcPr>
                <w:p w14:paraId="2D88F563">
                  <w:pPr>
                    <w:adjustRightInd w:val="0"/>
                    <w:snapToGrid w:val="0"/>
                    <w:jc w:val="center"/>
                    <w:rPr>
                      <w:rFonts w:cs="宋体"/>
                      <w:bCs/>
                      <w:color w:val="auto"/>
                      <w:szCs w:val="21"/>
                    </w:rPr>
                  </w:pPr>
                  <w:r>
                    <w:rPr>
                      <w:rFonts w:hint="eastAsia" w:cs="宋体"/>
                      <w:bCs/>
                      <w:color w:val="auto"/>
                      <w:szCs w:val="21"/>
                    </w:rPr>
                    <w:t>CODcr、SS</w:t>
                  </w:r>
                </w:p>
              </w:tc>
              <w:tc>
                <w:tcPr>
                  <w:tcW w:w="1155" w:type="dxa"/>
                  <w:vAlign w:val="center"/>
                </w:tcPr>
                <w:p w14:paraId="7ADF5219">
                  <w:pPr>
                    <w:adjustRightInd w:val="0"/>
                    <w:snapToGrid w:val="0"/>
                    <w:jc w:val="center"/>
                    <w:rPr>
                      <w:rFonts w:cs="宋体"/>
                      <w:bCs/>
                      <w:color w:val="auto"/>
                      <w:szCs w:val="21"/>
                    </w:rPr>
                  </w:pPr>
                  <w:r>
                    <w:rPr>
                      <w:rFonts w:hint="eastAsia" w:cs="宋体"/>
                      <w:bCs/>
                      <w:color w:val="auto"/>
                      <w:szCs w:val="21"/>
                    </w:rPr>
                    <w:t>1次/周</w:t>
                  </w:r>
                </w:p>
              </w:tc>
              <w:tc>
                <w:tcPr>
                  <w:tcW w:w="1984" w:type="dxa"/>
                  <w:vMerge w:val="continue"/>
                  <w:vAlign w:val="center"/>
                </w:tcPr>
                <w:p w14:paraId="0A9560D8">
                  <w:pPr>
                    <w:widowControl/>
                    <w:jc w:val="center"/>
                    <w:rPr>
                      <w:rFonts w:hint="eastAsia" w:ascii="宋体" w:hAnsi="宋体" w:cs="宋体"/>
                      <w:color w:val="auto"/>
                      <w:kern w:val="0"/>
                      <w:szCs w:val="21"/>
                      <w:lang w:bidi="ar"/>
                    </w:rPr>
                  </w:pPr>
                </w:p>
              </w:tc>
            </w:tr>
            <w:tr w14:paraId="65A6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9" w:type="dxa"/>
                  <w:vMerge w:val="continue"/>
                  <w:vAlign w:val="center"/>
                </w:tcPr>
                <w:p w14:paraId="1EE6AA9E">
                  <w:pPr>
                    <w:adjustRightInd w:val="0"/>
                    <w:snapToGrid w:val="0"/>
                    <w:jc w:val="center"/>
                    <w:rPr>
                      <w:rFonts w:hint="eastAsia" w:ascii="宋体" w:hAnsi="宋体" w:cs="宋体"/>
                      <w:bCs/>
                      <w:color w:val="auto"/>
                      <w:szCs w:val="21"/>
                    </w:rPr>
                  </w:pPr>
                </w:p>
              </w:tc>
              <w:tc>
                <w:tcPr>
                  <w:tcW w:w="709" w:type="dxa"/>
                  <w:vMerge w:val="continue"/>
                  <w:vAlign w:val="center"/>
                </w:tcPr>
                <w:p w14:paraId="052FF3E7">
                  <w:pPr>
                    <w:adjustRightInd w:val="0"/>
                    <w:snapToGrid w:val="0"/>
                    <w:jc w:val="center"/>
                    <w:rPr>
                      <w:rFonts w:cs="宋体"/>
                      <w:bCs/>
                      <w:color w:val="auto"/>
                      <w:szCs w:val="21"/>
                    </w:rPr>
                  </w:pPr>
                </w:p>
              </w:tc>
              <w:tc>
                <w:tcPr>
                  <w:tcW w:w="1275" w:type="dxa"/>
                  <w:vMerge w:val="continue"/>
                  <w:vAlign w:val="center"/>
                </w:tcPr>
                <w:p w14:paraId="54163350">
                  <w:pPr>
                    <w:adjustRightInd w:val="0"/>
                    <w:snapToGrid w:val="0"/>
                    <w:jc w:val="center"/>
                    <w:rPr>
                      <w:rFonts w:cs="宋体"/>
                      <w:bCs/>
                      <w:color w:val="auto"/>
                      <w:szCs w:val="21"/>
                    </w:rPr>
                  </w:pPr>
                </w:p>
              </w:tc>
              <w:tc>
                <w:tcPr>
                  <w:tcW w:w="1544" w:type="dxa"/>
                  <w:vAlign w:val="center"/>
                </w:tcPr>
                <w:p w14:paraId="226FFF0B">
                  <w:pPr>
                    <w:adjustRightInd w:val="0"/>
                    <w:snapToGrid w:val="0"/>
                    <w:jc w:val="center"/>
                    <w:rPr>
                      <w:rFonts w:cs="宋体"/>
                      <w:bCs/>
                      <w:color w:val="auto"/>
                      <w:szCs w:val="21"/>
                    </w:rPr>
                  </w:pPr>
                  <w:r>
                    <w:rPr>
                      <w:rFonts w:hint="eastAsia" w:cs="宋体"/>
                      <w:bCs/>
                      <w:color w:val="auto"/>
                      <w:szCs w:val="21"/>
                    </w:rPr>
                    <w:t>粪大肠菌群</w:t>
                  </w:r>
                </w:p>
              </w:tc>
              <w:tc>
                <w:tcPr>
                  <w:tcW w:w="1155" w:type="dxa"/>
                  <w:vAlign w:val="center"/>
                </w:tcPr>
                <w:p w14:paraId="6C086406">
                  <w:pPr>
                    <w:adjustRightInd w:val="0"/>
                    <w:snapToGrid w:val="0"/>
                    <w:jc w:val="center"/>
                    <w:rPr>
                      <w:rFonts w:cs="宋体"/>
                      <w:bCs/>
                      <w:color w:val="auto"/>
                      <w:szCs w:val="21"/>
                    </w:rPr>
                  </w:pPr>
                  <w:r>
                    <w:rPr>
                      <w:rFonts w:hint="eastAsia" w:cs="宋体"/>
                      <w:bCs/>
                      <w:color w:val="auto"/>
                      <w:szCs w:val="21"/>
                    </w:rPr>
                    <w:t>1次/月</w:t>
                  </w:r>
                </w:p>
              </w:tc>
              <w:tc>
                <w:tcPr>
                  <w:tcW w:w="1984" w:type="dxa"/>
                  <w:vMerge w:val="continue"/>
                  <w:vAlign w:val="center"/>
                </w:tcPr>
                <w:p w14:paraId="564AB389">
                  <w:pPr>
                    <w:widowControl/>
                    <w:jc w:val="center"/>
                    <w:rPr>
                      <w:rFonts w:hint="eastAsia" w:ascii="宋体" w:hAnsi="宋体" w:cs="宋体"/>
                      <w:color w:val="auto"/>
                      <w:kern w:val="0"/>
                      <w:szCs w:val="21"/>
                      <w:lang w:bidi="ar"/>
                    </w:rPr>
                  </w:pPr>
                </w:p>
              </w:tc>
            </w:tr>
            <w:tr w14:paraId="777B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49" w:type="dxa"/>
                  <w:vMerge w:val="continue"/>
                  <w:vAlign w:val="center"/>
                </w:tcPr>
                <w:p w14:paraId="27C67C68">
                  <w:pPr>
                    <w:adjustRightInd w:val="0"/>
                    <w:snapToGrid w:val="0"/>
                    <w:jc w:val="center"/>
                    <w:rPr>
                      <w:rFonts w:hint="eastAsia" w:ascii="宋体" w:hAnsi="宋体" w:cs="宋体"/>
                      <w:bCs/>
                      <w:color w:val="auto"/>
                      <w:szCs w:val="21"/>
                    </w:rPr>
                  </w:pPr>
                </w:p>
              </w:tc>
              <w:tc>
                <w:tcPr>
                  <w:tcW w:w="709" w:type="dxa"/>
                  <w:vMerge w:val="continue"/>
                  <w:vAlign w:val="center"/>
                </w:tcPr>
                <w:p w14:paraId="736D86CE">
                  <w:pPr>
                    <w:adjustRightInd w:val="0"/>
                    <w:snapToGrid w:val="0"/>
                    <w:jc w:val="center"/>
                    <w:rPr>
                      <w:rFonts w:cs="宋体"/>
                      <w:bCs/>
                      <w:color w:val="auto"/>
                      <w:szCs w:val="21"/>
                    </w:rPr>
                  </w:pPr>
                </w:p>
              </w:tc>
              <w:tc>
                <w:tcPr>
                  <w:tcW w:w="1275" w:type="dxa"/>
                  <w:vMerge w:val="continue"/>
                  <w:vAlign w:val="center"/>
                </w:tcPr>
                <w:p w14:paraId="3F3658A8">
                  <w:pPr>
                    <w:adjustRightInd w:val="0"/>
                    <w:snapToGrid w:val="0"/>
                    <w:jc w:val="center"/>
                    <w:rPr>
                      <w:rFonts w:cs="宋体"/>
                      <w:bCs/>
                      <w:color w:val="auto"/>
                      <w:szCs w:val="21"/>
                    </w:rPr>
                  </w:pPr>
                </w:p>
              </w:tc>
              <w:tc>
                <w:tcPr>
                  <w:tcW w:w="1544" w:type="dxa"/>
                  <w:vAlign w:val="center"/>
                </w:tcPr>
                <w:p w14:paraId="4CCEE73A">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155" w:type="dxa"/>
                  <w:vAlign w:val="center"/>
                </w:tcPr>
                <w:p w14:paraId="3B292157">
                  <w:pPr>
                    <w:adjustRightInd w:val="0"/>
                    <w:snapToGrid w:val="0"/>
                    <w:jc w:val="center"/>
                    <w:rPr>
                      <w:rFonts w:cs="宋体"/>
                      <w:bCs/>
                      <w:color w:val="auto"/>
                      <w:szCs w:val="21"/>
                    </w:rPr>
                  </w:pPr>
                  <w:r>
                    <w:rPr>
                      <w:rFonts w:hint="eastAsia" w:cs="宋体"/>
                      <w:bCs/>
                      <w:color w:val="auto"/>
                      <w:szCs w:val="21"/>
                    </w:rPr>
                    <w:t>1次/季度</w:t>
                  </w:r>
                </w:p>
              </w:tc>
              <w:tc>
                <w:tcPr>
                  <w:tcW w:w="1984" w:type="dxa"/>
                  <w:vMerge w:val="continue"/>
                  <w:vAlign w:val="center"/>
                </w:tcPr>
                <w:p w14:paraId="0B1C063B">
                  <w:pPr>
                    <w:widowControl/>
                    <w:jc w:val="center"/>
                    <w:rPr>
                      <w:rFonts w:hint="eastAsia" w:ascii="宋体" w:hAnsi="宋体" w:cs="宋体"/>
                      <w:color w:val="auto"/>
                      <w:kern w:val="0"/>
                      <w:szCs w:val="21"/>
                      <w:lang w:bidi="ar"/>
                    </w:rPr>
                  </w:pPr>
                </w:p>
              </w:tc>
            </w:tr>
            <w:tr w14:paraId="5918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49" w:type="dxa"/>
                  <w:vMerge w:val="continue"/>
                  <w:vAlign w:val="center"/>
                </w:tcPr>
                <w:p w14:paraId="5E0757DA">
                  <w:pPr>
                    <w:adjustRightInd w:val="0"/>
                    <w:snapToGrid w:val="0"/>
                    <w:jc w:val="center"/>
                    <w:rPr>
                      <w:rFonts w:hint="eastAsia" w:ascii="宋体" w:hAnsi="宋体" w:cs="宋体"/>
                      <w:bCs/>
                      <w:color w:val="auto"/>
                      <w:szCs w:val="21"/>
                    </w:rPr>
                  </w:pPr>
                </w:p>
              </w:tc>
              <w:tc>
                <w:tcPr>
                  <w:tcW w:w="709" w:type="dxa"/>
                  <w:vMerge w:val="continue"/>
                  <w:vAlign w:val="center"/>
                </w:tcPr>
                <w:p w14:paraId="4CE1FBBA">
                  <w:pPr>
                    <w:adjustRightInd w:val="0"/>
                    <w:snapToGrid w:val="0"/>
                    <w:jc w:val="center"/>
                    <w:rPr>
                      <w:rFonts w:cs="宋体"/>
                      <w:bCs/>
                      <w:color w:val="auto"/>
                      <w:szCs w:val="21"/>
                    </w:rPr>
                  </w:pPr>
                </w:p>
              </w:tc>
              <w:tc>
                <w:tcPr>
                  <w:tcW w:w="1275" w:type="dxa"/>
                  <w:vMerge w:val="continue"/>
                  <w:vAlign w:val="center"/>
                </w:tcPr>
                <w:p w14:paraId="2F99F738">
                  <w:pPr>
                    <w:adjustRightInd w:val="0"/>
                    <w:snapToGrid w:val="0"/>
                    <w:jc w:val="center"/>
                    <w:rPr>
                      <w:rFonts w:cs="宋体"/>
                      <w:bCs/>
                      <w:color w:val="auto"/>
                      <w:szCs w:val="21"/>
                    </w:rPr>
                  </w:pPr>
                </w:p>
              </w:tc>
              <w:tc>
                <w:tcPr>
                  <w:tcW w:w="1544" w:type="dxa"/>
                  <w:vAlign w:val="center"/>
                </w:tcPr>
                <w:p w14:paraId="62F59050">
                  <w:pPr>
                    <w:adjustRightInd w:val="0"/>
                    <w:snapToGrid w:val="0"/>
                    <w:jc w:val="center"/>
                    <w:rPr>
                      <w:rFonts w:cs="宋体"/>
                      <w:bCs/>
                      <w:color w:val="auto"/>
                      <w:szCs w:val="21"/>
                    </w:rPr>
                  </w:pPr>
                  <w:r>
                    <w:rPr>
                      <w:rFonts w:hint="eastAsia" w:cs="宋体"/>
                      <w:bCs/>
                      <w:color w:val="auto"/>
                      <w:szCs w:val="21"/>
                    </w:rPr>
                    <w:t>流量</w:t>
                  </w:r>
                </w:p>
              </w:tc>
              <w:tc>
                <w:tcPr>
                  <w:tcW w:w="1155" w:type="dxa"/>
                  <w:vAlign w:val="center"/>
                </w:tcPr>
                <w:p w14:paraId="74F23BD4">
                  <w:pPr>
                    <w:adjustRightInd w:val="0"/>
                    <w:snapToGrid w:val="0"/>
                    <w:jc w:val="center"/>
                    <w:rPr>
                      <w:rFonts w:cs="宋体"/>
                      <w:bCs/>
                      <w:color w:val="auto"/>
                      <w:szCs w:val="21"/>
                    </w:rPr>
                  </w:pPr>
                  <w:r>
                    <w:rPr>
                      <w:rFonts w:hint="eastAsia" w:cs="宋体"/>
                      <w:bCs/>
                      <w:color w:val="auto"/>
                      <w:szCs w:val="21"/>
                    </w:rPr>
                    <w:t>自动监测</w:t>
                  </w:r>
                </w:p>
              </w:tc>
              <w:tc>
                <w:tcPr>
                  <w:tcW w:w="1984" w:type="dxa"/>
                  <w:vMerge w:val="continue"/>
                  <w:vAlign w:val="center"/>
                </w:tcPr>
                <w:p w14:paraId="15E3986A">
                  <w:pPr>
                    <w:widowControl/>
                    <w:jc w:val="center"/>
                    <w:rPr>
                      <w:rFonts w:hint="eastAsia" w:ascii="宋体" w:hAnsi="宋体" w:cs="宋体"/>
                      <w:color w:val="auto"/>
                      <w:kern w:val="0"/>
                      <w:szCs w:val="21"/>
                      <w:lang w:bidi="ar"/>
                    </w:rPr>
                  </w:pPr>
                </w:p>
              </w:tc>
            </w:tr>
            <w:tr w14:paraId="4AE6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49" w:type="dxa"/>
                  <w:vMerge w:val="continue"/>
                  <w:vAlign w:val="center"/>
                </w:tcPr>
                <w:p w14:paraId="06B05CC6">
                  <w:pPr>
                    <w:adjustRightInd w:val="0"/>
                    <w:snapToGrid w:val="0"/>
                    <w:jc w:val="center"/>
                    <w:rPr>
                      <w:rFonts w:hint="eastAsia" w:ascii="宋体" w:hAnsi="宋体" w:cs="宋体"/>
                      <w:bCs/>
                      <w:color w:val="auto"/>
                      <w:szCs w:val="21"/>
                    </w:rPr>
                  </w:pPr>
                </w:p>
              </w:tc>
              <w:tc>
                <w:tcPr>
                  <w:tcW w:w="709" w:type="dxa"/>
                  <w:vMerge w:val="continue"/>
                  <w:vAlign w:val="center"/>
                </w:tcPr>
                <w:p w14:paraId="1C904B9F">
                  <w:pPr>
                    <w:adjustRightInd w:val="0"/>
                    <w:snapToGrid w:val="0"/>
                    <w:jc w:val="center"/>
                    <w:rPr>
                      <w:rFonts w:cs="宋体"/>
                      <w:bCs/>
                      <w:color w:val="auto"/>
                      <w:szCs w:val="21"/>
                    </w:rPr>
                  </w:pPr>
                </w:p>
              </w:tc>
              <w:tc>
                <w:tcPr>
                  <w:tcW w:w="1275" w:type="dxa"/>
                  <w:vAlign w:val="center"/>
                </w:tcPr>
                <w:p w14:paraId="560E24AF">
                  <w:pPr>
                    <w:adjustRightInd w:val="0"/>
                    <w:snapToGrid w:val="0"/>
                    <w:jc w:val="center"/>
                    <w:rPr>
                      <w:rFonts w:cs="宋体"/>
                      <w:bCs/>
                      <w:color w:val="auto"/>
                      <w:szCs w:val="21"/>
                    </w:rPr>
                  </w:pPr>
                  <w:r>
                    <w:rPr>
                      <w:rFonts w:hint="eastAsia"/>
                      <w:bCs/>
                      <w:color w:val="auto"/>
                      <w:szCs w:val="21"/>
                    </w:rPr>
                    <w:t>接触池出口</w:t>
                  </w:r>
                </w:p>
              </w:tc>
              <w:tc>
                <w:tcPr>
                  <w:tcW w:w="1544" w:type="dxa"/>
                  <w:vAlign w:val="center"/>
                </w:tcPr>
                <w:p w14:paraId="749B4068">
                  <w:pPr>
                    <w:widowControl/>
                    <w:jc w:val="center"/>
                    <w:rPr>
                      <w:rFonts w:cs="宋体"/>
                      <w:bCs/>
                      <w:color w:val="auto"/>
                      <w:szCs w:val="21"/>
                    </w:rPr>
                  </w:pPr>
                  <w:r>
                    <w:rPr>
                      <w:color w:val="auto"/>
                      <w:kern w:val="0"/>
                      <w:szCs w:val="21"/>
                      <w:lang w:bidi="ar"/>
                    </w:rPr>
                    <w:t>总余氯</w:t>
                  </w:r>
                </w:p>
              </w:tc>
              <w:tc>
                <w:tcPr>
                  <w:tcW w:w="1155" w:type="dxa"/>
                  <w:vAlign w:val="center"/>
                </w:tcPr>
                <w:p w14:paraId="68F90E1E">
                  <w:pPr>
                    <w:jc w:val="center"/>
                    <w:rPr>
                      <w:rFonts w:cs="宋体"/>
                      <w:bCs/>
                      <w:color w:val="auto"/>
                      <w:szCs w:val="21"/>
                    </w:rPr>
                  </w:pPr>
                  <w:r>
                    <w:rPr>
                      <w:rFonts w:hint="eastAsia"/>
                      <w:bCs/>
                      <w:color w:val="auto"/>
                      <w:szCs w:val="21"/>
                    </w:rPr>
                    <w:t>1次/12小时</w:t>
                  </w:r>
                </w:p>
              </w:tc>
              <w:tc>
                <w:tcPr>
                  <w:tcW w:w="1984" w:type="dxa"/>
                  <w:vMerge w:val="continue"/>
                  <w:vAlign w:val="center"/>
                </w:tcPr>
                <w:p w14:paraId="3F6CD374">
                  <w:pPr>
                    <w:widowControl/>
                    <w:jc w:val="center"/>
                    <w:rPr>
                      <w:rFonts w:hint="eastAsia" w:ascii="宋体" w:hAnsi="宋体" w:cs="宋体"/>
                      <w:color w:val="auto"/>
                      <w:kern w:val="0"/>
                      <w:szCs w:val="21"/>
                      <w:lang w:bidi="ar"/>
                    </w:rPr>
                  </w:pPr>
                </w:p>
              </w:tc>
            </w:tr>
            <w:tr w14:paraId="26C7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49" w:type="dxa"/>
                  <w:vMerge w:val="continue"/>
                  <w:vAlign w:val="center"/>
                </w:tcPr>
                <w:p w14:paraId="2CF6F16E">
                  <w:pPr>
                    <w:adjustRightInd w:val="0"/>
                    <w:snapToGrid w:val="0"/>
                    <w:jc w:val="center"/>
                    <w:rPr>
                      <w:rFonts w:hint="eastAsia" w:ascii="宋体" w:hAnsi="宋体" w:cs="宋体"/>
                      <w:bCs/>
                      <w:color w:val="auto"/>
                      <w:szCs w:val="21"/>
                    </w:rPr>
                  </w:pPr>
                </w:p>
              </w:tc>
              <w:tc>
                <w:tcPr>
                  <w:tcW w:w="709" w:type="dxa"/>
                  <w:vMerge w:val="continue"/>
                  <w:vAlign w:val="center"/>
                </w:tcPr>
                <w:p w14:paraId="575570FB">
                  <w:pPr>
                    <w:adjustRightInd w:val="0"/>
                    <w:snapToGrid w:val="0"/>
                    <w:jc w:val="center"/>
                    <w:rPr>
                      <w:rFonts w:cs="宋体"/>
                      <w:bCs/>
                      <w:color w:val="auto"/>
                      <w:szCs w:val="21"/>
                    </w:rPr>
                  </w:pPr>
                </w:p>
              </w:tc>
              <w:tc>
                <w:tcPr>
                  <w:tcW w:w="1275" w:type="dxa"/>
                  <w:vAlign w:val="center"/>
                </w:tcPr>
                <w:p w14:paraId="62341215">
                  <w:pPr>
                    <w:adjustRightInd w:val="0"/>
                    <w:snapToGrid w:val="0"/>
                    <w:jc w:val="center"/>
                    <w:rPr>
                      <w:rFonts w:cs="宋体"/>
                      <w:bCs/>
                      <w:color w:val="auto"/>
                      <w:szCs w:val="21"/>
                    </w:rPr>
                  </w:pPr>
                  <w:r>
                    <w:rPr>
                      <w:rFonts w:hint="eastAsia" w:cs="宋体"/>
                      <w:bCs/>
                      <w:color w:val="auto"/>
                      <w:szCs w:val="21"/>
                    </w:rPr>
                    <w:t>生活区总排口（DW002）</w:t>
                  </w:r>
                </w:p>
              </w:tc>
              <w:tc>
                <w:tcPr>
                  <w:tcW w:w="1544" w:type="dxa"/>
                  <w:vAlign w:val="center"/>
                </w:tcPr>
                <w:p w14:paraId="1401EBA0">
                  <w:pPr>
                    <w:pStyle w:val="11"/>
                    <w:rPr>
                      <w:rFonts w:cs="宋体"/>
                      <w:bCs/>
                      <w:color w:val="auto"/>
                      <w:sz w:val="21"/>
                      <w:szCs w:val="21"/>
                    </w:rPr>
                  </w:pPr>
                  <w:r>
                    <w:rPr>
                      <w:rFonts w:hint="eastAsia" w:cs="宋体"/>
                      <w:bCs/>
                      <w:color w:val="auto"/>
                      <w:sz w:val="21"/>
                      <w:szCs w:val="21"/>
                    </w:rPr>
                    <w:t>pH、CODcr、SS、BOD</w:t>
                  </w:r>
                  <w:r>
                    <w:rPr>
                      <w:rFonts w:hint="eastAsia" w:cs="宋体"/>
                      <w:bCs/>
                      <w:color w:val="auto"/>
                      <w:sz w:val="21"/>
                      <w:szCs w:val="21"/>
                      <w:vertAlign w:val="subscript"/>
                    </w:rPr>
                    <w:t>5</w:t>
                  </w:r>
                  <w:r>
                    <w:rPr>
                      <w:rFonts w:hint="eastAsia" w:cs="宋体"/>
                      <w:bCs/>
                      <w:color w:val="auto"/>
                      <w:sz w:val="21"/>
                      <w:szCs w:val="21"/>
                    </w:rPr>
                    <w:t>、氨氮、</w:t>
                  </w:r>
                  <w:r>
                    <w:rPr>
                      <w:rFonts w:hint="eastAsia"/>
                      <w:color w:val="auto"/>
                      <w:sz w:val="21"/>
                      <w:szCs w:val="21"/>
                    </w:rPr>
                    <w:t>动植物油、SS</w:t>
                  </w:r>
                </w:p>
              </w:tc>
              <w:tc>
                <w:tcPr>
                  <w:tcW w:w="1155" w:type="dxa"/>
                  <w:vAlign w:val="center"/>
                </w:tcPr>
                <w:p w14:paraId="74341EB5">
                  <w:pPr>
                    <w:adjustRightInd w:val="0"/>
                    <w:snapToGrid w:val="0"/>
                    <w:jc w:val="center"/>
                    <w:rPr>
                      <w:rFonts w:cs="宋体"/>
                      <w:bCs/>
                      <w:color w:val="auto"/>
                      <w:szCs w:val="21"/>
                    </w:rPr>
                  </w:pPr>
                  <w:r>
                    <w:rPr>
                      <w:rFonts w:hint="eastAsia" w:cs="宋体"/>
                      <w:bCs/>
                      <w:color w:val="auto"/>
                      <w:szCs w:val="21"/>
                    </w:rPr>
                    <w:t>1次/年</w:t>
                  </w:r>
                </w:p>
              </w:tc>
              <w:tc>
                <w:tcPr>
                  <w:tcW w:w="1984" w:type="dxa"/>
                  <w:vAlign w:val="center"/>
                </w:tcPr>
                <w:p w14:paraId="69F8058C">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7DB6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49" w:type="dxa"/>
                  <w:vMerge w:val="continue"/>
                  <w:vAlign w:val="center"/>
                </w:tcPr>
                <w:p w14:paraId="060F08D0">
                  <w:pPr>
                    <w:adjustRightInd w:val="0"/>
                    <w:snapToGrid w:val="0"/>
                    <w:jc w:val="center"/>
                    <w:rPr>
                      <w:rFonts w:hint="eastAsia" w:ascii="宋体" w:hAnsi="宋体" w:cs="宋体"/>
                      <w:bCs/>
                      <w:color w:val="auto"/>
                      <w:szCs w:val="21"/>
                    </w:rPr>
                  </w:pPr>
                </w:p>
              </w:tc>
              <w:tc>
                <w:tcPr>
                  <w:tcW w:w="709" w:type="dxa"/>
                  <w:vAlign w:val="center"/>
                </w:tcPr>
                <w:p w14:paraId="44417A70">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无组织废气</w:t>
                  </w:r>
                </w:p>
              </w:tc>
              <w:tc>
                <w:tcPr>
                  <w:tcW w:w="1275" w:type="dxa"/>
                  <w:vAlign w:val="center"/>
                </w:tcPr>
                <w:p w14:paraId="1C29937C">
                  <w:pPr>
                    <w:adjustRightInd w:val="0"/>
                    <w:snapToGrid w:val="0"/>
                    <w:jc w:val="center"/>
                    <w:rPr>
                      <w:rFonts w:hint="eastAsia" w:cs="宋体"/>
                      <w:bCs/>
                      <w:color w:val="auto"/>
                      <w:szCs w:val="21"/>
                    </w:rPr>
                  </w:pPr>
                  <w:r>
                    <w:rPr>
                      <w:rFonts w:hint="eastAsia"/>
                      <w:bCs/>
                      <w:color w:val="auto"/>
                      <w:spacing w:val="-10"/>
                      <w:szCs w:val="21"/>
                    </w:rPr>
                    <w:t>污水处理站周界</w:t>
                  </w:r>
                </w:p>
              </w:tc>
              <w:tc>
                <w:tcPr>
                  <w:tcW w:w="1544" w:type="dxa"/>
                  <w:vAlign w:val="center"/>
                </w:tcPr>
                <w:p w14:paraId="3E9B3B29">
                  <w:pPr>
                    <w:pStyle w:val="11"/>
                    <w:rPr>
                      <w:rFonts w:hint="eastAsia" w:cs="宋体"/>
                      <w:bCs/>
                      <w:color w:val="auto"/>
                      <w:sz w:val="21"/>
                      <w:szCs w:val="21"/>
                    </w:rPr>
                  </w:pPr>
                  <w:r>
                    <w:rPr>
                      <w:rFonts w:hint="eastAsia" w:cs="宋体"/>
                      <w:bCs/>
                      <w:color w:val="auto"/>
                      <w:sz w:val="21"/>
                      <w:szCs w:val="21"/>
                    </w:rPr>
                    <w:t>氨、硫化氢、臭 气浓度、氯气、 甲烷</w:t>
                  </w:r>
                </w:p>
              </w:tc>
              <w:tc>
                <w:tcPr>
                  <w:tcW w:w="1155" w:type="dxa"/>
                  <w:vAlign w:val="center"/>
                </w:tcPr>
                <w:p w14:paraId="17F1FA31">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51768DC6">
                  <w:pPr>
                    <w:adjustRightInd w:val="0"/>
                    <w:snapToGrid w:val="0"/>
                    <w:jc w:val="center"/>
                    <w:rPr>
                      <w:rFonts w:hint="eastAsia" w:cs="宋体"/>
                      <w:bCs/>
                      <w:color w:val="auto"/>
                      <w:szCs w:val="21"/>
                    </w:rPr>
                  </w:pPr>
                </w:p>
              </w:tc>
              <w:tc>
                <w:tcPr>
                  <w:tcW w:w="1984" w:type="dxa"/>
                  <w:vAlign w:val="center"/>
                </w:tcPr>
                <w:p w14:paraId="36C4C3E1">
                  <w:pPr>
                    <w:widowControl/>
                    <w:jc w:val="center"/>
                    <w:rPr>
                      <w:rFonts w:ascii="宋体" w:hAnsi="宋体" w:cs="宋体"/>
                      <w:color w:val="auto"/>
                      <w:kern w:val="0"/>
                      <w:szCs w:val="21"/>
                      <w:lang w:bidi="ar"/>
                    </w:rPr>
                  </w:pPr>
                  <w:r>
                    <w:rPr>
                      <w:rFonts w:ascii="宋体" w:hAnsi="宋体" w:cs="宋体"/>
                      <w:bCs/>
                      <w:color w:val="auto"/>
                      <w:szCs w:val="21"/>
                      <w:lang w:bidi="ar"/>
                    </w:rPr>
                    <w:t>《医疗机构水污染物排放标准》（</w:t>
                  </w:r>
                  <w:r>
                    <w:rPr>
                      <w:bCs/>
                      <w:color w:val="auto"/>
                      <w:szCs w:val="21"/>
                      <w:lang w:bidi="ar"/>
                    </w:rPr>
                    <w:t>GB 18466-2005</w:t>
                  </w:r>
                  <w:r>
                    <w:rPr>
                      <w:rFonts w:ascii="宋体" w:hAnsi="宋体" w:cs="宋体"/>
                      <w:bCs/>
                      <w:color w:val="auto"/>
                      <w:szCs w:val="21"/>
                      <w:lang w:bidi="ar"/>
                    </w:rPr>
                    <w:t>）表</w:t>
                  </w:r>
                  <w:r>
                    <w:rPr>
                      <w:bCs/>
                      <w:color w:val="auto"/>
                      <w:szCs w:val="21"/>
                      <w:lang w:bidi="ar"/>
                    </w:rPr>
                    <w:t>3</w:t>
                  </w:r>
                  <w:r>
                    <w:rPr>
                      <w:rFonts w:ascii="宋体" w:hAnsi="宋体" w:cs="宋体"/>
                      <w:bCs/>
                      <w:color w:val="auto"/>
                      <w:szCs w:val="21"/>
                      <w:lang w:bidi="ar"/>
                    </w:rPr>
                    <w:t>污水处理设施周边大气污染物最高允许浓度</w:t>
                  </w:r>
                </w:p>
              </w:tc>
            </w:tr>
            <w:tr w14:paraId="3478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49" w:type="dxa"/>
                  <w:vMerge w:val="continue"/>
                  <w:vAlign w:val="center"/>
                </w:tcPr>
                <w:p w14:paraId="147D32DB">
                  <w:pPr>
                    <w:adjustRightInd w:val="0"/>
                    <w:snapToGrid w:val="0"/>
                    <w:jc w:val="center"/>
                    <w:rPr>
                      <w:rFonts w:hint="eastAsia" w:ascii="宋体" w:hAnsi="宋体" w:cs="宋体"/>
                      <w:bCs/>
                      <w:color w:val="auto"/>
                      <w:szCs w:val="21"/>
                    </w:rPr>
                  </w:pPr>
                </w:p>
              </w:tc>
              <w:tc>
                <w:tcPr>
                  <w:tcW w:w="709" w:type="dxa"/>
                  <w:vAlign w:val="center"/>
                </w:tcPr>
                <w:p w14:paraId="6D86A033">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厂界噪声</w:t>
                  </w:r>
                </w:p>
              </w:tc>
              <w:tc>
                <w:tcPr>
                  <w:tcW w:w="1275" w:type="dxa"/>
                  <w:vAlign w:val="center"/>
                </w:tcPr>
                <w:p w14:paraId="0BFC39A7">
                  <w:pPr>
                    <w:pStyle w:val="31"/>
                    <w:adjustRightInd w:val="0"/>
                    <w:spacing w:line="240" w:lineRule="auto"/>
                    <w:ind w:right="113" w:rightChars="0" w:firstLine="0" w:firstLineChars="0"/>
                    <w:jc w:val="center"/>
                    <w:rPr>
                      <w:rFonts w:hint="eastAsia"/>
                      <w:bCs/>
                      <w:color w:val="auto"/>
                      <w:spacing w:val="-10"/>
                      <w:szCs w:val="21"/>
                    </w:rPr>
                  </w:pPr>
                  <w:r>
                    <w:rPr>
                      <w:bCs/>
                      <w:color w:val="auto"/>
                      <w:spacing w:val="-10"/>
                      <w:szCs w:val="21"/>
                    </w:rPr>
                    <w:t>东南西北厂界</w:t>
                  </w:r>
                </w:p>
              </w:tc>
              <w:tc>
                <w:tcPr>
                  <w:tcW w:w="1544" w:type="dxa"/>
                  <w:vAlign w:val="center"/>
                </w:tcPr>
                <w:p w14:paraId="33CA98D7">
                  <w:pPr>
                    <w:widowControl/>
                    <w:jc w:val="center"/>
                    <w:rPr>
                      <w:color w:val="auto"/>
                      <w:szCs w:val="21"/>
                    </w:rPr>
                  </w:pPr>
                  <w:r>
                    <w:rPr>
                      <w:color w:val="auto"/>
                      <w:kern w:val="0"/>
                      <w:szCs w:val="21"/>
                      <w:lang w:bidi="ar"/>
                    </w:rPr>
                    <w:t>昼间、夜间等效声级</w:t>
                  </w:r>
                </w:p>
                <w:p w14:paraId="3968D783">
                  <w:pPr>
                    <w:widowControl/>
                    <w:jc w:val="center"/>
                    <w:rPr>
                      <w:color w:val="auto"/>
                      <w:szCs w:val="21"/>
                    </w:rPr>
                  </w:pPr>
                  <w:r>
                    <w:rPr>
                      <w:color w:val="auto"/>
                      <w:kern w:val="0"/>
                      <w:szCs w:val="21"/>
                      <w:lang w:bidi="ar"/>
                    </w:rPr>
                    <w:t>Leq(A)</w:t>
                  </w:r>
                </w:p>
                <w:p w14:paraId="3BD13B2D">
                  <w:pPr>
                    <w:widowControl/>
                    <w:jc w:val="center"/>
                    <w:rPr>
                      <w:rFonts w:hint="eastAsia" w:cs="宋体"/>
                      <w:bCs/>
                      <w:color w:val="auto"/>
                      <w:sz w:val="21"/>
                      <w:szCs w:val="21"/>
                    </w:rPr>
                  </w:pPr>
                </w:p>
              </w:tc>
              <w:tc>
                <w:tcPr>
                  <w:tcW w:w="1155" w:type="dxa"/>
                  <w:vAlign w:val="center"/>
                </w:tcPr>
                <w:p w14:paraId="2FC1E87B">
                  <w:pPr>
                    <w:widowControl/>
                    <w:jc w:val="center"/>
                    <w:rPr>
                      <w:bCs/>
                      <w:color w:val="auto"/>
                      <w:szCs w:val="21"/>
                    </w:rPr>
                  </w:pPr>
                  <w:r>
                    <w:rPr>
                      <w:bCs/>
                      <w:color w:val="auto"/>
                      <w:kern w:val="0"/>
                      <w:szCs w:val="21"/>
                      <w:lang w:bidi="ar"/>
                    </w:rPr>
                    <w:t>1 次/季度</w:t>
                  </w:r>
                </w:p>
                <w:p w14:paraId="501E2E0C">
                  <w:pPr>
                    <w:pStyle w:val="31"/>
                    <w:adjustRightInd w:val="0"/>
                    <w:spacing w:line="240" w:lineRule="auto"/>
                    <w:ind w:right="113" w:rightChars="0" w:firstLine="0" w:firstLineChars="0"/>
                    <w:jc w:val="center"/>
                    <w:rPr>
                      <w:rFonts w:hint="eastAsia" w:cs="宋体"/>
                      <w:bCs/>
                      <w:color w:val="auto"/>
                      <w:szCs w:val="21"/>
                    </w:rPr>
                  </w:pPr>
                </w:p>
              </w:tc>
              <w:tc>
                <w:tcPr>
                  <w:tcW w:w="1984" w:type="dxa"/>
                  <w:vAlign w:val="center"/>
                </w:tcPr>
                <w:p w14:paraId="610CE92F">
                  <w:pPr>
                    <w:widowControl/>
                    <w:jc w:val="center"/>
                    <w:rPr>
                      <w:rFonts w:ascii="宋体" w:hAnsi="宋体" w:cs="宋体"/>
                      <w:bCs/>
                      <w:color w:val="auto"/>
                      <w:szCs w:val="21"/>
                      <w:lang w:bidi="ar"/>
                    </w:rPr>
                  </w:pPr>
                  <w:r>
                    <w:rPr>
                      <w:color w:val="auto"/>
                      <w:kern w:val="0"/>
                      <w:szCs w:val="21"/>
                      <w:lang w:bidi="ar"/>
                    </w:rPr>
                    <w:t>项目四街卫生院西面为G245国道，西厂界执行《工业企业厂界环境噪声排放标准》（GB12348-2008）4类标准，其余东、南、北厂界噪声排放限值执行2类标准</w:t>
                  </w:r>
                </w:p>
              </w:tc>
            </w:tr>
            <w:tr w14:paraId="0016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49" w:type="dxa"/>
                  <w:vMerge w:val="continue"/>
                  <w:vAlign w:val="center"/>
                </w:tcPr>
                <w:p w14:paraId="1CF53CFF">
                  <w:pPr>
                    <w:adjustRightInd w:val="0"/>
                    <w:snapToGrid w:val="0"/>
                    <w:jc w:val="center"/>
                    <w:rPr>
                      <w:rFonts w:hint="eastAsia" w:ascii="宋体" w:hAnsi="宋体" w:cs="宋体"/>
                      <w:bCs/>
                      <w:color w:val="auto"/>
                      <w:szCs w:val="21"/>
                    </w:rPr>
                  </w:pPr>
                </w:p>
              </w:tc>
              <w:tc>
                <w:tcPr>
                  <w:tcW w:w="709" w:type="dxa"/>
                  <w:vMerge w:val="restart"/>
                  <w:vAlign w:val="center"/>
                </w:tcPr>
                <w:p w14:paraId="071823BD">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敏感点噪声</w:t>
                  </w:r>
                </w:p>
              </w:tc>
              <w:tc>
                <w:tcPr>
                  <w:tcW w:w="1275" w:type="dxa"/>
                  <w:vAlign w:val="center"/>
                </w:tcPr>
                <w:p w14:paraId="6055ED04">
                  <w:pPr>
                    <w:pStyle w:val="31"/>
                    <w:adjustRightInd w:val="0"/>
                    <w:spacing w:line="240" w:lineRule="auto"/>
                    <w:ind w:right="113" w:rightChars="0" w:firstLine="0" w:firstLineChars="0"/>
                    <w:jc w:val="center"/>
                    <w:rPr>
                      <w:rFonts w:hint="eastAsia"/>
                      <w:bCs/>
                      <w:color w:val="auto"/>
                      <w:spacing w:val="-10"/>
                      <w:szCs w:val="21"/>
                    </w:rPr>
                  </w:pPr>
                  <w:r>
                    <w:rPr>
                      <w:rFonts w:hint="eastAsia" w:ascii="宋体" w:hAnsi="宋体" w:cs="宋体"/>
                      <w:color w:val="auto"/>
                      <w:szCs w:val="21"/>
                    </w:rPr>
                    <w:t>四街镇（坐标</w:t>
                  </w:r>
                  <w:r>
                    <w:rPr>
                      <w:color w:val="auto"/>
                      <w:szCs w:val="21"/>
                    </w:rPr>
                    <w:t>为东经102°42′10.803″，24°9′54.233″</w:t>
                  </w:r>
                  <w:r>
                    <w:rPr>
                      <w:rFonts w:hint="eastAsia" w:ascii="宋体" w:hAnsi="宋体" w:cs="宋体"/>
                      <w:color w:val="auto"/>
                      <w:szCs w:val="21"/>
                    </w:rPr>
                    <w:t>)</w:t>
                  </w:r>
                </w:p>
              </w:tc>
              <w:tc>
                <w:tcPr>
                  <w:tcW w:w="1544" w:type="dxa"/>
                  <w:vMerge w:val="restart"/>
                  <w:vAlign w:val="center"/>
                </w:tcPr>
                <w:p w14:paraId="0D275E9F">
                  <w:pPr>
                    <w:widowControl/>
                    <w:jc w:val="center"/>
                    <w:rPr>
                      <w:color w:val="auto"/>
                      <w:szCs w:val="21"/>
                    </w:rPr>
                  </w:pPr>
                  <w:r>
                    <w:rPr>
                      <w:color w:val="auto"/>
                      <w:kern w:val="0"/>
                      <w:szCs w:val="21"/>
                      <w:lang w:bidi="ar"/>
                    </w:rPr>
                    <w:t>昼间、夜间等效声级</w:t>
                  </w:r>
                </w:p>
                <w:p w14:paraId="5BB092A1">
                  <w:pPr>
                    <w:widowControl/>
                    <w:jc w:val="center"/>
                    <w:rPr>
                      <w:color w:val="auto"/>
                      <w:szCs w:val="21"/>
                    </w:rPr>
                  </w:pPr>
                  <w:r>
                    <w:rPr>
                      <w:color w:val="auto"/>
                      <w:kern w:val="0"/>
                      <w:szCs w:val="21"/>
                      <w:lang w:bidi="ar"/>
                    </w:rPr>
                    <w:t>Leq(A)</w:t>
                  </w:r>
                </w:p>
                <w:p w14:paraId="504C787D">
                  <w:pPr>
                    <w:widowControl/>
                    <w:jc w:val="center"/>
                    <w:rPr>
                      <w:rFonts w:hint="eastAsia" w:cs="宋体"/>
                      <w:bCs/>
                      <w:color w:val="auto"/>
                      <w:sz w:val="21"/>
                      <w:szCs w:val="21"/>
                    </w:rPr>
                  </w:pPr>
                </w:p>
              </w:tc>
              <w:tc>
                <w:tcPr>
                  <w:tcW w:w="1155" w:type="dxa"/>
                  <w:vMerge w:val="restart"/>
                  <w:vAlign w:val="center"/>
                </w:tcPr>
                <w:p w14:paraId="594F67A1">
                  <w:pPr>
                    <w:widowControl/>
                    <w:jc w:val="center"/>
                    <w:rPr>
                      <w:bCs/>
                      <w:color w:val="auto"/>
                      <w:szCs w:val="21"/>
                    </w:rPr>
                  </w:pPr>
                  <w:r>
                    <w:rPr>
                      <w:bCs/>
                      <w:color w:val="auto"/>
                      <w:kern w:val="0"/>
                      <w:szCs w:val="21"/>
                      <w:lang w:bidi="ar"/>
                    </w:rPr>
                    <w:t>1 次/季度</w:t>
                  </w:r>
                </w:p>
                <w:p w14:paraId="5573E223">
                  <w:pPr>
                    <w:pStyle w:val="31"/>
                    <w:adjustRightInd w:val="0"/>
                    <w:spacing w:line="240" w:lineRule="auto"/>
                    <w:ind w:right="113" w:rightChars="0" w:firstLine="0" w:firstLineChars="0"/>
                    <w:jc w:val="center"/>
                    <w:rPr>
                      <w:rFonts w:hint="eastAsia" w:cs="宋体"/>
                      <w:bCs/>
                      <w:color w:val="auto"/>
                      <w:szCs w:val="21"/>
                    </w:rPr>
                  </w:pPr>
                </w:p>
              </w:tc>
              <w:tc>
                <w:tcPr>
                  <w:tcW w:w="1984" w:type="dxa"/>
                  <w:vMerge w:val="restart"/>
                  <w:vAlign w:val="center"/>
                </w:tcPr>
                <w:p w14:paraId="77D34DB2">
                  <w:pPr>
                    <w:widowControl/>
                    <w:jc w:val="center"/>
                    <w:rPr>
                      <w:rFonts w:ascii="宋体" w:hAnsi="宋体" w:cs="宋体"/>
                      <w:bCs/>
                      <w:color w:val="auto"/>
                      <w:szCs w:val="21"/>
                      <w:lang w:bidi="ar"/>
                    </w:rPr>
                  </w:pPr>
                  <w:r>
                    <w:rPr>
                      <w:bCs/>
                      <w:color w:val="auto"/>
                      <w:spacing w:val="-10"/>
                      <w:szCs w:val="21"/>
                    </w:rPr>
                    <w:t>执行《声环境质量标准》GB3096-2008）2类标准要求</w:t>
                  </w:r>
                </w:p>
              </w:tc>
            </w:tr>
            <w:tr w14:paraId="0A19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49" w:type="dxa"/>
                  <w:vMerge w:val="continue"/>
                  <w:vAlign w:val="center"/>
                </w:tcPr>
                <w:p w14:paraId="06FA6142">
                  <w:pPr>
                    <w:adjustRightInd w:val="0"/>
                    <w:snapToGrid w:val="0"/>
                    <w:jc w:val="center"/>
                    <w:rPr>
                      <w:rFonts w:hint="eastAsia" w:ascii="宋体" w:hAnsi="宋体" w:cs="宋体"/>
                      <w:bCs/>
                      <w:color w:val="auto"/>
                      <w:szCs w:val="21"/>
                    </w:rPr>
                  </w:pPr>
                </w:p>
              </w:tc>
              <w:tc>
                <w:tcPr>
                  <w:tcW w:w="709" w:type="dxa"/>
                  <w:vMerge w:val="continue"/>
                  <w:vAlign w:val="center"/>
                </w:tcPr>
                <w:p w14:paraId="33A0B35C">
                  <w:pPr>
                    <w:pStyle w:val="31"/>
                    <w:adjustRightInd w:val="0"/>
                    <w:spacing w:line="240" w:lineRule="auto"/>
                    <w:ind w:right="113" w:rightChars="0" w:firstLine="0" w:firstLineChars="0"/>
                    <w:jc w:val="center"/>
                    <w:rPr>
                      <w:rFonts w:hint="eastAsia" w:ascii="宋体" w:hAnsi="宋体" w:cs="宋体"/>
                      <w:bCs/>
                      <w:color w:val="auto"/>
                      <w:spacing w:val="-10"/>
                      <w:szCs w:val="21"/>
                    </w:rPr>
                  </w:pPr>
                </w:p>
              </w:tc>
              <w:tc>
                <w:tcPr>
                  <w:tcW w:w="1275" w:type="dxa"/>
                  <w:vAlign w:val="center"/>
                </w:tcPr>
                <w:p w14:paraId="5E7FF440">
                  <w:pPr>
                    <w:pStyle w:val="31"/>
                    <w:adjustRightInd w:val="0"/>
                    <w:spacing w:line="240" w:lineRule="auto"/>
                    <w:ind w:right="113" w:rightChars="0" w:firstLine="0" w:firstLineChars="0"/>
                    <w:jc w:val="center"/>
                    <w:rPr>
                      <w:rFonts w:hint="eastAsia"/>
                      <w:bCs/>
                      <w:color w:val="auto"/>
                      <w:spacing w:val="-10"/>
                      <w:szCs w:val="21"/>
                    </w:rPr>
                  </w:pPr>
                  <w:r>
                    <w:rPr>
                      <w:rFonts w:hint="eastAsia" w:ascii="宋体" w:hAnsi="宋体" w:cs="宋体"/>
                      <w:color w:val="auto"/>
                      <w:szCs w:val="21"/>
                    </w:rPr>
                    <w:t>四街村（坐标为</w:t>
                  </w:r>
                  <w:r>
                    <w:rPr>
                      <w:color w:val="auto"/>
                      <w:szCs w:val="21"/>
                    </w:rPr>
                    <w:t>东经102°42′6.186″，北纬24°9′54.637″</w:t>
                  </w:r>
                  <w:r>
                    <w:rPr>
                      <w:rFonts w:hint="eastAsia" w:ascii="宋体" w:hAnsi="宋体" w:cs="宋体"/>
                      <w:color w:val="auto"/>
                      <w:szCs w:val="21"/>
                    </w:rPr>
                    <w:t>）</w:t>
                  </w:r>
                </w:p>
              </w:tc>
              <w:tc>
                <w:tcPr>
                  <w:tcW w:w="1544" w:type="dxa"/>
                  <w:vMerge w:val="continue"/>
                  <w:vAlign w:val="center"/>
                </w:tcPr>
                <w:p w14:paraId="51D3DAB4">
                  <w:pPr>
                    <w:pStyle w:val="11"/>
                    <w:rPr>
                      <w:rFonts w:hint="eastAsia" w:cs="宋体"/>
                      <w:bCs/>
                      <w:color w:val="auto"/>
                      <w:sz w:val="21"/>
                      <w:szCs w:val="21"/>
                    </w:rPr>
                  </w:pPr>
                </w:p>
              </w:tc>
              <w:tc>
                <w:tcPr>
                  <w:tcW w:w="1155" w:type="dxa"/>
                  <w:vMerge w:val="continue"/>
                  <w:vAlign w:val="center"/>
                </w:tcPr>
                <w:p w14:paraId="6F4A4C05">
                  <w:pPr>
                    <w:adjustRightInd w:val="0"/>
                    <w:snapToGrid w:val="0"/>
                    <w:jc w:val="center"/>
                    <w:rPr>
                      <w:rFonts w:hint="eastAsia" w:cs="宋体"/>
                      <w:bCs/>
                      <w:color w:val="auto"/>
                      <w:szCs w:val="21"/>
                    </w:rPr>
                  </w:pPr>
                </w:p>
              </w:tc>
              <w:tc>
                <w:tcPr>
                  <w:tcW w:w="1984" w:type="dxa"/>
                  <w:vMerge w:val="continue"/>
                  <w:vAlign w:val="center"/>
                </w:tcPr>
                <w:p w14:paraId="09BF6887">
                  <w:pPr>
                    <w:widowControl/>
                    <w:jc w:val="center"/>
                    <w:rPr>
                      <w:rFonts w:ascii="宋体" w:hAnsi="宋体" w:cs="宋体"/>
                      <w:bCs/>
                      <w:color w:val="auto"/>
                      <w:szCs w:val="21"/>
                      <w:lang w:bidi="ar"/>
                    </w:rPr>
                  </w:pPr>
                </w:p>
              </w:tc>
            </w:tr>
            <w:tr w14:paraId="697B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9" w:type="dxa"/>
                  <w:vMerge w:val="restart"/>
                  <w:vAlign w:val="center"/>
                </w:tcPr>
                <w:p w14:paraId="0AAC075C">
                  <w:pPr>
                    <w:adjustRightInd w:val="0"/>
                    <w:snapToGrid w:val="0"/>
                    <w:jc w:val="center"/>
                    <w:rPr>
                      <w:rFonts w:hint="eastAsia" w:ascii="宋体" w:hAnsi="宋体" w:cs="宋体"/>
                      <w:bCs/>
                      <w:color w:val="auto"/>
                      <w:szCs w:val="21"/>
                    </w:rPr>
                  </w:pPr>
                  <w:r>
                    <w:rPr>
                      <w:rFonts w:hint="eastAsia" w:ascii="宋体" w:hAnsi="宋体" w:cs="宋体"/>
                      <w:bCs/>
                      <w:color w:val="auto"/>
                      <w:szCs w:val="21"/>
                    </w:rPr>
                    <w:t>九龙卫生院</w:t>
                  </w:r>
                </w:p>
              </w:tc>
              <w:tc>
                <w:tcPr>
                  <w:tcW w:w="709" w:type="dxa"/>
                  <w:vMerge w:val="restart"/>
                  <w:vAlign w:val="center"/>
                </w:tcPr>
                <w:p w14:paraId="2C2B3F7B">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废水</w:t>
                  </w:r>
                </w:p>
              </w:tc>
              <w:tc>
                <w:tcPr>
                  <w:tcW w:w="1275" w:type="dxa"/>
                  <w:vMerge w:val="restart"/>
                  <w:vAlign w:val="center"/>
                </w:tcPr>
                <w:p w14:paraId="06FDD513">
                  <w:pPr>
                    <w:adjustRightInd w:val="0"/>
                    <w:snapToGrid w:val="0"/>
                    <w:jc w:val="center"/>
                    <w:rPr>
                      <w:rFonts w:cs="宋体"/>
                      <w:bCs/>
                      <w:color w:val="auto"/>
                      <w:szCs w:val="21"/>
                    </w:rPr>
                  </w:pPr>
                  <w:r>
                    <w:rPr>
                      <w:rFonts w:hint="eastAsia" w:cs="宋体"/>
                      <w:bCs/>
                      <w:color w:val="auto"/>
                      <w:szCs w:val="21"/>
                    </w:rPr>
                    <w:t>污水处理站排放口（DW001）</w:t>
                  </w:r>
                </w:p>
              </w:tc>
              <w:tc>
                <w:tcPr>
                  <w:tcW w:w="1544" w:type="dxa"/>
                  <w:vAlign w:val="center"/>
                </w:tcPr>
                <w:p w14:paraId="0F5EEB28">
                  <w:pPr>
                    <w:adjustRightInd w:val="0"/>
                    <w:snapToGrid w:val="0"/>
                    <w:jc w:val="center"/>
                    <w:rPr>
                      <w:rFonts w:cs="宋体"/>
                      <w:bCs/>
                      <w:color w:val="auto"/>
                      <w:szCs w:val="21"/>
                    </w:rPr>
                  </w:pPr>
                  <w:r>
                    <w:rPr>
                      <w:rFonts w:hint="eastAsia" w:cs="宋体"/>
                      <w:bCs/>
                      <w:color w:val="auto"/>
                      <w:szCs w:val="21"/>
                    </w:rPr>
                    <w:t>pH</w:t>
                  </w:r>
                </w:p>
              </w:tc>
              <w:tc>
                <w:tcPr>
                  <w:tcW w:w="1155" w:type="dxa"/>
                  <w:vAlign w:val="center"/>
                </w:tcPr>
                <w:p w14:paraId="3E847739">
                  <w:pPr>
                    <w:adjustRightInd w:val="0"/>
                    <w:snapToGrid w:val="0"/>
                    <w:jc w:val="center"/>
                    <w:rPr>
                      <w:rFonts w:cs="宋体"/>
                      <w:bCs/>
                      <w:color w:val="auto"/>
                      <w:szCs w:val="21"/>
                    </w:rPr>
                  </w:pPr>
                  <w:r>
                    <w:rPr>
                      <w:rFonts w:hint="eastAsia" w:cs="宋体"/>
                      <w:bCs/>
                      <w:color w:val="auto"/>
                      <w:szCs w:val="21"/>
                    </w:rPr>
                    <w:t>1次/12小时</w:t>
                  </w:r>
                </w:p>
              </w:tc>
              <w:tc>
                <w:tcPr>
                  <w:tcW w:w="1984" w:type="dxa"/>
                  <w:vMerge w:val="restart"/>
                  <w:vAlign w:val="center"/>
                </w:tcPr>
                <w:p w14:paraId="77255713">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1586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42633957">
                  <w:pPr>
                    <w:adjustRightInd w:val="0"/>
                    <w:snapToGrid w:val="0"/>
                    <w:jc w:val="center"/>
                    <w:rPr>
                      <w:rFonts w:hint="eastAsia" w:ascii="宋体" w:hAnsi="宋体" w:cs="宋体"/>
                      <w:bCs/>
                      <w:color w:val="auto"/>
                      <w:szCs w:val="21"/>
                    </w:rPr>
                  </w:pPr>
                </w:p>
              </w:tc>
              <w:tc>
                <w:tcPr>
                  <w:tcW w:w="709" w:type="dxa"/>
                  <w:vMerge w:val="continue"/>
                  <w:vAlign w:val="center"/>
                </w:tcPr>
                <w:p w14:paraId="58E46432">
                  <w:pPr>
                    <w:adjustRightInd w:val="0"/>
                    <w:snapToGrid w:val="0"/>
                    <w:jc w:val="center"/>
                    <w:rPr>
                      <w:rFonts w:cs="宋体"/>
                      <w:bCs/>
                      <w:color w:val="auto"/>
                      <w:szCs w:val="21"/>
                    </w:rPr>
                  </w:pPr>
                </w:p>
              </w:tc>
              <w:tc>
                <w:tcPr>
                  <w:tcW w:w="1275" w:type="dxa"/>
                  <w:vMerge w:val="continue"/>
                  <w:vAlign w:val="center"/>
                </w:tcPr>
                <w:p w14:paraId="6595A876">
                  <w:pPr>
                    <w:adjustRightInd w:val="0"/>
                    <w:snapToGrid w:val="0"/>
                    <w:jc w:val="center"/>
                    <w:rPr>
                      <w:rFonts w:cs="宋体"/>
                      <w:bCs/>
                      <w:color w:val="auto"/>
                      <w:szCs w:val="21"/>
                    </w:rPr>
                  </w:pPr>
                </w:p>
              </w:tc>
              <w:tc>
                <w:tcPr>
                  <w:tcW w:w="1544" w:type="dxa"/>
                  <w:vAlign w:val="center"/>
                </w:tcPr>
                <w:p w14:paraId="07CCDE84">
                  <w:pPr>
                    <w:adjustRightInd w:val="0"/>
                    <w:snapToGrid w:val="0"/>
                    <w:jc w:val="center"/>
                    <w:rPr>
                      <w:rFonts w:cs="宋体"/>
                      <w:bCs/>
                      <w:color w:val="auto"/>
                      <w:szCs w:val="21"/>
                    </w:rPr>
                  </w:pPr>
                  <w:r>
                    <w:rPr>
                      <w:rFonts w:hint="eastAsia" w:cs="宋体"/>
                      <w:bCs/>
                      <w:color w:val="auto"/>
                      <w:szCs w:val="21"/>
                    </w:rPr>
                    <w:t>CODcr、SS</w:t>
                  </w:r>
                </w:p>
              </w:tc>
              <w:tc>
                <w:tcPr>
                  <w:tcW w:w="1155" w:type="dxa"/>
                  <w:vAlign w:val="center"/>
                </w:tcPr>
                <w:p w14:paraId="68BB924C">
                  <w:pPr>
                    <w:adjustRightInd w:val="0"/>
                    <w:snapToGrid w:val="0"/>
                    <w:jc w:val="center"/>
                    <w:rPr>
                      <w:rFonts w:cs="宋体"/>
                      <w:bCs/>
                      <w:color w:val="auto"/>
                      <w:szCs w:val="21"/>
                    </w:rPr>
                  </w:pPr>
                  <w:r>
                    <w:rPr>
                      <w:rFonts w:hint="eastAsia" w:cs="宋体"/>
                      <w:bCs/>
                      <w:color w:val="auto"/>
                      <w:szCs w:val="21"/>
                    </w:rPr>
                    <w:t>1次/周</w:t>
                  </w:r>
                </w:p>
              </w:tc>
              <w:tc>
                <w:tcPr>
                  <w:tcW w:w="1984" w:type="dxa"/>
                  <w:vMerge w:val="continue"/>
                  <w:vAlign w:val="center"/>
                </w:tcPr>
                <w:p w14:paraId="35BE4D53">
                  <w:pPr>
                    <w:widowControl/>
                    <w:jc w:val="center"/>
                    <w:rPr>
                      <w:rFonts w:hint="eastAsia" w:ascii="宋体" w:hAnsi="宋体" w:cs="宋体"/>
                      <w:color w:val="auto"/>
                      <w:kern w:val="0"/>
                      <w:szCs w:val="21"/>
                      <w:lang w:bidi="ar"/>
                    </w:rPr>
                  </w:pPr>
                </w:p>
              </w:tc>
            </w:tr>
            <w:tr w14:paraId="3CCB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4342782E">
                  <w:pPr>
                    <w:adjustRightInd w:val="0"/>
                    <w:snapToGrid w:val="0"/>
                    <w:jc w:val="center"/>
                    <w:rPr>
                      <w:rFonts w:hint="eastAsia" w:ascii="宋体" w:hAnsi="宋体" w:cs="宋体"/>
                      <w:bCs/>
                      <w:color w:val="auto"/>
                      <w:szCs w:val="21"/>
                    </w:rPr>
                  </w:pPr>
                </w:p>
              </w:tc>
              <w:tc>
                <w:tcPr>
                  <w:tcW w:w="709" w:type="dxa"/>
                  <w:vMerge w:val="continue"/>
                  <w:vAlign w:val="center"/>
                </w:tcPr>
                <w:p w14:paraId="5867751A">
                  <w:pPr>
                    <w:adjustRightInd w:val="0"/>
                    <w:snapToGrid w:val="0"/>
                    <w:jc w:val="center"/>
                    <w:rPr>
                      <w:rFonts w:cs="宋体"/>
                      <w:bCs/>
                      <w:color w:val="auto"/>
                      <w:szCs w:val="21"/>
                    </w:rPr>
                  </w:pPr>
                </w:p>
              </w:tc>
              <w:tc>
                <w:tcPr>
                  <w:tcW w:w="1275" w:type="dxa"/>
                  <w:vMerge w:val="continue"/>
                  <w:vAlign w:val="center"/>
                </w:tcPr>
                <w:p w14:paraId="14263B5A">
                  <w:pPr>
                    <w:adjustRightInd w:val="0"/>
                    <w:snapToGrid w:val="0"/>
                    <w:jc w:val="center"/>
                    <w:rPr>
                      <w:rFonts w:cs="宋体"/>
                      <w:bCs/>
                      <w:color w:val="auto"/>
                      <w:szCs w:val="21"/>
                    </w:rPr>
                  </w:pPr>
                </w:p>
              </w:tc>
              <w:tc>
                <w:tcPr>
                  <w:tcW w:w="1544" w:type="dxa"/>
                  <w:vAlign w:val="center"/>
                </w:tcPr>
                <w:p w14:paraId="21BC16F1">
                  <w:pPr>
                    <w:adjustRightInd w:val="0"/>
                    <w:snapToGrid w:val="0"/>
                    <w:jc w:val="center"/>
                    <w:rPr>
                      <w:rFonts w:cs="宋体"/>
                      <w:bCs/>
                      <w:color w:val="auto"/>
                      <w:szCs w:val="21"/>
                    </w:rPr>
                  </w:pPr>
                  <w:r>
                    <w:rPr>
                      <w:rFonts w:hint="eastAsia" w:cs="宋体"/>
                      <w:bCs/>
                      <w:color w:val="auto"/>
                      <w:szCs w:val="21"/>
                    </w:rPr>
                    <w:t>粪大肠菌群</w:t>
                  </w:r>
                </w:p>
              </w:tc>
              <w:tc>
                <w:tcPr>
                  <w:tcW w:w="1155" w:type="dxa"/>
                  <w:vAlign w:val="center"/>
                </w:tcPr>
                <w:p w14:paraId="20B8F7A6">
                  <w:pPr>
                    <w:adjustRightInd w:val="0"/>
                    <w:snapToGrid w:val="0"/>
                    <w:jc w:val="center"/>
                    <w:rPr>
                      <w:rFonts w:cs="宋体"/>
                      <w:bCs/>
                      <w:color w:val="auto"/>
                      <w:szCs w:val="21"/>
                    </w:rPr>
                  </w:pPr>
                  <w:r>
                    <w:rPr>
                      <w:rFonts w:hint="eastAsia" w:cs="宋体"/>
                      <w:bCs/>
                      <w:color w:val="auto"/>
                      <w:szCs w:val="21"/>
                    </w:rPr>
                    <w:t>1次/月</w:t>
                  </w:r>
                </w:p>
              </w:tc>
              <w:tc>
                <w:tcPr>
                  <w:tcW w:w="1984" w:type="dxa"/>
                  <w:vMerge w:val="continue"/>
                  <w:vAlign w:val="center"/>
                </w:tcPr>
                <w:p w14:paraId="11202CBE">
                  <w:pPr>
                    <w:widowControl/>
                    <w:jc w:val="center"/>
                    <w:rPr>
                      <w:rFonts w:hint="eastAsia" w:ascii="宋体" w:hAnsi="宋体" w:cs="宋体"/>
                      <w:color w:val="auto"/>
                      <w:kern w:val="0"/>
                      <w:szCs w:val="21"/>
                      <w:lang w:bidi="ar"/>
                    </w:rPr>
                  </w:pPr>
                </w:p>
              </w:tc>
            </w:tr>
            <w:tr w14:paraId="0F8D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849" w:type="dxa"/>
                  <w:vMerge w:val="continue"/>
                  <w:vAlign w:val="center"/>
                </w:tcPr>
                <w:p w14:paraId="44F72406">
                  <w:pPr>
                    <w:adjustRightInd w:val="0"/>
                    <w:snapToGrid w:val="0"/>
                    <w:jc w:val="center"/>
                    <w:rPr>
                      <w:rFonts w:hint="eastAsia" w:ascii="宋体" w:hAnsi="宋体" w:cs="宋体"/>
                      <w:bCs/>
                      <w:color w:val="auto"/>
                      <w:szCs w:val="21"/>
                    </w:rPr>
                  </w:pPr>
                </w:p>
              </w:tc>
              <w:tc>
                <w:tcPr>
                  <w:tcW w:w="709" w:type="dxa"/>
                  <w:vMerge w:val="continue"/>
                  <w:vAlign w:val="center"/>
                </w:tcPr>
                <w:p w14:paraId="18695D3A">
                  <w:pPr>
                    <w:adjustRightInd w:val="0"/>
                    <w:snapToGrid w:val="0"/>
                    <w:jc w:val="center"/>
                    <w:rPr>
                      <w:rFonts w:cs="宋体"/>
                      <w:bCs/>
                      <w:color w:val="auto"/>
                      <w:szCs w:val="21"/>
                    </w:rPr>
                  </w:pPr>
                </w:p>
              </w:tc>
              <w:tc>
                <w:tcPr>
                  <w:tcW w:w="1275" w:type="dxa"/>
                  <w:vMerge w:val="continue"/>
                  <w:vAlign w:val="center"/>
                </w:tcPr>
                <w:p w14:paraId="32672574">
                  <w:pPr>
                    <w:adjustRightInd w:val="0"/>
                    <w:snapToGrid w:val="0"/>
                    <w:jc w:val="center"/>
                    <w:rPr>
                      <w:rFonts w:cs="宋体"/>
                      <w:bCs/>
                      <w:color w:val="auto"/>
                      <w:szCs w:val="21"/>
                    </w:rPr>
                  </w:pPr>
                </w:p>
              </w:tc>
              <w:tc>
                <w:tcPr>
                  <w:tcW w:w="1544" w:type="dxa"/>
                  <w:vAlign w:val="center"/>
                </w:tcPr>
                <w:p w14:paraId="22E32867">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155" w:type="dxa"/>
                  <w:vAlign w:val="center"/>
                </w:tcPr>
                <w:p w14:paraId="7C57F329">
                  <w:pPr>
                    <w:adjustRightInd w:val="0"/>
                    <w:snapToGrid w:val="0"/>
                    <w:jc w:val="center"/>
                    <w:rPr>
                      <w:rFonts w:cs="宋体"/>
                      <w:bCs/>
                      <w:color w:val="auto"/>
                      <w:szCs w:val="21"/>
                    </w:rPr>
                  </w:pPr>
                  <w:r>
                    <w:rPr>
                      <w:rFonts w:hint="eastAsia" w:cs="宋体"/>
                      <w:bCs/>
                      <w:color w:val="auto"/>
                      <w:szCs w:val="21"/>
                    </w:rPr>
                    <w:t>1次/季度</w:t>
                  </w:r>
                </w:p>
              </w:tc>
              <w:tc>
                <w:tcPr>
                  <w:tcW w:w="1984" w:type="dxa"/>
                  <w:vMerge w:val="continue"/>
                  <w:vAlign w:val="center"/>
                </w:tcPr>
                <w:p w14:paraId="5176E7F3">
                  <w:pPr>
                    <w:widowControl/>
                    <w:jc w:val="center"/>
                    <w:rPr>
                      <w:rFonts w:hint="eastAsia" w:ascii="宋体" w:hAnsi="宋体" w:cs="宋体"/>
                      <w:color w:val="auto"/>
                      <w:kern w:val="0"/>
                      <w:szCs w:val="21"/>
                      <w:lang w:bidi="ar"/>
                    </w:rPr>
                  </w:pPr>
                </w:p>
              </w:tc>
            </w:tr>
            <w:tr w14:paraId="62D3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053D06C7">
                  <w:pPr>
                    <w:adjustRightInd w:val="0"/>
                    <w:snapToGrid w:val="0"/>
                    <w:jc w:val="center"/>
                    <w:rPr>
                      <w:rFonts w:hint="eastAsia" w:ascii="宋体" w:hAnsi="宋体" w:cs="宋体"/>
                      <w:bCs/>
                      <w:color w:val="auto"/>
                      <w:szCs w:val="21"/>
                    </w:rPr>
                  </w:pPr>
                </w:p>
              </w:tc>
              <w:tc>
                <w:tcPr>
                  <w:tcW w:w="709" w:type="dxa"/>
                  <w:vMerge w:val="continue"/>
                  <w:vAlign w:val="center"/>
                </w:tcPr>
                <w:p w14:paraId="3F193739">
                  <w:pPr>
                    <w:adjustRightInd w:val="0"/>
                    <w:snapToGrid w:val="0"/>
                    <w:jc w:val="center"/>
                    <w:rPr>
                      <w:rFonts w:cs="宋体"/>
                      <w:bCs/>
                      <w:color w:val="auto"/>
                      <w:szCs w:val="21"/>
                    </w:rPr>
                  </w:pPr>
                </w:p>
              </w:tc>
              <w:tc>
                <w:tcPr>
                  <w:tcW w:w="1275" w:type="dxa"/>
                  <w:vMerge w:val="continue"/>
                  <w:vAlign w:val="center"/>
                </w:tcPr>
                <w:p w14:paraId="585DD000">
                  <w:pPr>
                    <w:adjustRightInd w:val="0"/>
                    <w:snapToGrid w:val="0"/>
                    <w:jc w:val="center"/>
                    <w:rPr>
                      <w:rFonts w:cs="宋体"/>
                      <w:bCs/>
                      <w:color w:val="auto"/>
                      <w:szCs w:val="21"/>
                    </w:rPr>
                  </w:pPr>
                </w:p>
              </w:tc>
              <w:tc>
                <w:tcPr>
                  <w:tcW w:w="1544" w:type="dxa"/>
                  <w:vAlign w:val="center"/>
                </w:tcPr>
                <w:p w14:paraId="2AFAEEAA">
                  <w:pPr>
                    <w:adjustRightInd w:val="0"/>
                    <w:snapToGrid w:val="0"/>
                    <w:jc w:val="center"/>
                    <w:rPr>
                      <w:rFonts w:cs="宋体"/>
                      <w:bCs/>
                      <w:color w:val="auto"/>
                      <w:szCs w:val="21"/>
                    </w:rPr>
                  </w:pPr>
                  <w:r>
                    <w:rPr>
                      <w:rFonts w:hint="eastAsia" w:cs="宋体"/>
                      <w:bCs/>
                      <w:color w:val="auto"/>
                      <w:szCs w:val="21"/>
                    </w:rPr>
                    <w:t>流量</w:t>
                  </w:r>
                </w:p>
              </w:tc>
              <w:tc>
                <w:tcPr>
                  <w:tcW w:w="1155" w:type="dxa"/>
                  <w:vAlign w:val="center"/>
                </w:tcPr>
                <w:p w14:paraId="64219B7F">
                  <w:pPr>
                    <w:adjustRightInd w:val="0"/>
                    <w:snapToGrid w:val="0"/>
                    <w:jc w:val="center"/>
                    <w:rPr>
                      <w:rFonts w:cs="宋体"/>
                      <w:bCs/>
                      <w:color w:val="auto"/>
                      <w:szCs w:val="21"/>
                    </w:rPr>
                  </w:pPr>
                  <w:r>
                    <w:rPr>
                      <w:rFonts w:hint="eastAsia" w:cs="宋体"/>
                      <w:bCs/>
                      <w:color w:val="auto"/>
                      <w:szCs w:val="21"/>
                    </w:rPr>
                    <w:t>自动监测</w:t>
                  </w:r>
                </w:p>
              </w:tc>
              <w:tc>
                <w:tcPr>
                  <w:tcW w:w="1984" w:type="dxa"/>
                  <w:vMerge w:val="continue"/>
                  <w:vAlign w:val="center"/>
                </w:tcPr>
                <w:p w14:paraId="4B6311DC">
                  <w:pPr>
                    <w:widowControl/>
                    <w:jc w:val="center"/>
                    <w:rPr>
                      <w:rFonts w:hint="eastAsia" w:ascii="宋体" w:hAnsi="宋体" w:cs="宋体"/>
                      <w:color w:val="auto"/>
                      <w:kern w:val="0"/>
                      <w:szCs w:val="21"/>
                      <w:lang w:bidi="ar"/>
                    </w:rPr>
                  </w:pPr>
                </w:p>
              </w:tc>
            </w:tr>
            <w:tr w14:paraId="3ACB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645AACA7">
                  <w:pPr>
                    <w:adjustRightInd w:val="0"/>
                    <w:snapToGrid w:val="0"/>
                    <w:jc w:val="center"/>
                    <w:rPr>
                      <w:rFonts w:hint="eastAsia" w:ascii="宋体" w:hAnsi="宋体" w:cs="宋体"/>
                      <w:bCs/>
                      <w:color w:val="auto"/>
                      <w:szCs w:val="21"/>
                    </w:rPr>
                  </w:pPr>
                </w:p>
              </w:tc>
              <w:tc>
                <w:tcPr>
                  <w:tcW w:w="709" w:type="dxa"/>
                  <w:vMerge w:val="continue"/>
                  <w:vAlign w:val="center"/>
                </w:tcPr>
                <w:p w14:paraId="0EF2F22B">
                  <w:pPr>
                    <w:adjustRightInd w:val="0"/>
                    <w:snapToGrid w:val="0"/>
                    <w:jc w:val="center"/>
                    <w:rPr>
                      <w:rFonts w:cs="宋体"/>
                      <w:bCs/>
                      <w:color w:val="auto"/>
                      <w:szCs w:val="21"/>
                    </w:rPr>
                  </w:pPr>
                </w:p>
              </w:tc>
              <w:tc>
                <w:tcPr>
                  <w:tcW w:w="1275" w:type="dxa"/>
                  <w:vAlign w:val="center"/>
                </w:tcPr>
                <w:p w14:paraId="68FAB8B1">
                  <w:pPr>
                    <w:adjustRightInd w:val="0"/>
                    <w:snapToGrid w:val="0"/>
                    <w:jc w:val="center"/>
                    <w:rPr>
                      <w:rFonts w:cs="宋体"/>
                      <w:bCs/>
                      <w:color w:val="auto"/>
                      <w:szCs w:val="21"/>
                    </w:rPr>
                  </w:pPr>
                  <w:r>
                    <w:rPr>
                      <w:rFonts w:hint="eastAsia"/>
                      <w:bCs/>
                      <w:color w:val="auto"/>
                      <w:szCs w:val="21"/>
                    </w:rPr>
                    <w:t>接触池出口</w:t>
                  </w:r>
                </w:p>
              </w:tc>
              <w:tc>
                <w:tcPr>
                  <w:tcW w:w="1544" w:type="dxa"/>
                  <w:vAlign w:val="center"/>
                </w:tcPr>
                <w:p w14:paraId="1A4E9A57">
                  <w:pPr>
                    <w:widowControl/>
                    <w:jc w:val="center"/>
                    <w:rPr>
                      <w:rFonts w:cs="宋体"/>
                      <w:bCs/>
                      <w:color w:val="auto"/>
                      <w:szCs w:val="21"/>
                    </w:rPr>
                  </w:pPr>
                  <w:r>
                    <w:rPr>
                      <w:color w:val="auto"/>
                      <w:kern w:val="0"/>
                      <w:szCs w:val="21"/>
                      <w:lang w:bidi="ar"/>
                    </w:rPr>
                    <w:t>总余氯</w:t>
                  </w:r>
                </w:p>
              </w:tc>
              <w:tc>
                <w:tcPr>
                  <w:tcW w:w="1155" w:type="dxa"/>
                  <w:vAlign w:val="center"/>
                </w:tcPr>
                <w:p w14:paraId="6A64A5EE">
                  <w:pPr>
                    <w:jc w:val="center"/>
                    <w:rPr>
                      <w:rFonts w:cs="宋体"/>
                      <w:bCs/>
                      <w:color w:val="auto"/>
                      <w:szCs w:val="21"/>
                    </w:rPr>
                  </w:pPr>
                  <w:r>
                    <w:rPr>
                      <w:rFonts w:hint="eastAsia"/>
                      <w:bCs/>
                      <w:color w:val="auto"/>
                      <w:szCs w:val="21"/>
                    </w:rPr>
                    <w:t>1次/12小时</w:t>
                  </w:r>
                </w:p>
              </w:tc>
              <w:tc>
                <w:tcPr>
                  <w:tcW w:w="1984" w:type="dxa"/>
                  <w:vMerge w:val="continue"/>
                  <w:vAlign w:val="center"/>
                </w:tcPr>
                <w:p w14:paraId="70DC65ED">
                  <w:pPr>
                    <w:widowControl/>
                    <w:jc w:val="center"/>
                    <w:rPr>
                      <w:rFonts w:hint="eastAsia" w:ascii="宋体" w:hAnsi="宋体" w:cs="宋体"/>
                      <w:color w:val="auto"/>
                      <w:kern w:val="0"/>
                      <w:szCs w:val="21"/>
                      <w:lang w:bidi="ar"/>
                    </w:rPr>
                  </w:pPr>
                </w:p>
              </w:tc>
            </w:tr>
            <w:tr w14:paraId="28DA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849" w:type="dxa"/>
                  <w:vMerge w:val="continue"/>
                  <w:vAlign w:val="center"/>
                </w:tcPr>
                <w:p w14:paraId="26EED3FA">
                  <w:pPr>
                    <w:adjustRightInd w:val="0"/>
                    <w:snapToGrid w:val="0"/>
                    <w:jc w:val="center"/>
                    <w:rPr>
                      <w:rFonts w:hint="eastAsia" w:ascii="宋体" w:hAnsi="宋体" w:cs="宋体"/>
                      <w:bCs/>
                      <w:color w:val="auto"/>
                      <w:szCs w:val="21"/>
                    </w:rPr>
                  </w:pPr>
                </w:p>
              </w:tc>
              <w:tc>
                <w:tcPr>
                  <w:tcW w:w="709" w:type="dxa"/>
                  <w:vMerge w:val="continue"/>
                  <w:vAlign w:val="center"/>
                </w:tcPr>
                <w:p w14:paraId="222F1026">
                  <w:pPr>
                    <w:adjustRightInd w:val="0"/>
                    <w:snapToGrid w:val="0"/>
                    <w:jc w:val="center"/>
                    <w:rPr>
                      <w:rFonts w:cs="宋体"/>
                      <w:bCs/>
                      <w:color w:val="auto"/>
                      <w:szCs w:val="21"/>
                    </w:rPr>
                  </w:pPr>
                </w:p>
              </w:tc>
              <w:tc>
                <w:tcPr>
                  <w:tcW w:w="1275" w:type="dxa"/>
                  <w:vAlign w:val="center"/>
                </w:tcPr>
                <w:p w14:paraId="205A16C6">
                  <w:pPr>
                    <w:adjustRightInd w:val="0"/>
                    <w:snapToGrid w:val="0"/>
                    <w:jc w:val="center"/>
                    <w:rPr>
                      <w:rFonts w:cs="宋体"/>
                      <w:bCs/>
                      <w:color w:val="auto"/>
                      <w:szCs w:val="21"/>
                    </w:rPr>
                  </w:pPr>
                  <w:r>
                    <w:rPr>
                      <w:rFonts w:hint="eastAsia" w:cs="宋体"/>
                      <w:bCs/>
                      <w:color w:val="auto"/>
                      <w:szCs w:val="21"/>
                    </w:rPr>
                    <w:t>生活区总排口（DW002）</w:t>
                  </w:r>
                </w:p>
              </w:tc>
              <w:tc>
                <w:tcPr>
                  <w:tcW w:w="1544" w:type="dxa"/>
                  <w:vAlign w:val="center"/>
                </w:tcPr>
                <w:p w14:paraId="6AFFF1C0">
                  <w:pPr>
                    <w:adjustRightInd w:val="0"/>
                    <w:snapToGrid w:val="0"/>
                    <w:jc w:val="center"/>
                    <w:rPr>
                      <w:rFonts w:cs="宋体"/>
                      <w:bCs/>
                      <w:color w:val="auto"/>
                      <w:szCs w:val="21"/>
                    </w:rPr>
                  </w:pPr>
                  <w:r>
                    <w:rPr>
                      <w:rFonts w:hint="eastAsia" w:cs="宋体"/>
                      <w:bCs/>
                      <w:color w:val="auto"/>
                      <w:szCs w:val="21"/>
                    </w:rPr>
                    <w:t>pH、CODcr、SS、BOD</w:t>
                  </w:r>
                  <w:r>
                    <w:rPr>
                      <w:rFonts w:hint="eastAsia" w:cs="宋体"/>
                      <w:bCs/>
                      <w:color w:val="auto"/>
                      <w:szCs w:val="21"/>
                      <w:vertAlign w:val="subscript"/>
                    </w:rPr>
                    <w:t>5</w:t>
                  </w:r>
                  <w:r>
                    <w:rPr>
                      <w:rFonts w:hint="eastAsia" w:cs="宋体"/>
                      <w:bCs/>
                      <w:color w:val="auto"/>
                      <w:szCs w:val="21"/>
                    </w:rPr>
                    <w:t>、氨氮、</w:t>
                  </w:r>
                  <w:r>
                    <w:rPr>
                      <w:rFonts w:hint="eastAsia"/>
                      <w:color w:val="auto"/>
                      <w:szCs w:val="21"/>
                    </w:rPr>
                    <w:t>动植物油、SS</w:t>
                  </w:r>
                </w:p>
              </w:tc>
              <w:tc>
                <w:tcPr>
                  <w:tcW w:w="1155" w:type="dxa"/>
                  <w:vAlign w:val="center"/>
                </w:tcPr>
                <w:p w14:paraId="1661CFFC">
                  <w:pPr>
                    <w:adjustRightInd w:val="0"/>
                    <w:snapToGrid w:val="0"/>
                    <w:jc w:val="center"/>
                    <w:rPr>
                      <w:rFonts w:cs="宋体"/>
                      <w:bCs/>
                      <w:color w:val="auto"/>
                      <w:szCs w:val="21"/>
                    </w:rPr>
                  </w:pPr>
                  <w:r>
                    <w:rPr>
                      <w:rFonts w:hint="eastAsia" w:cs="宋体"/>
                      <w:bCs/>
                      <w:color w:val="auto"/>
                      <w:szCs w:val="21"/>
                    </w:rPr>
                    <w:t>1次/年</w:t>
                  </w:r>
                </w:p>
              </w:tc>
              <w:tc>
                <w:tcPr>
                  <w:tcW w:w="1984" w:type="dxa"/>
                  <w:vAlign w:val="center"/>
                </w:tcPr>
                <w:p w14:paraId="0803E36E">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447D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49" w:type="dxa"/>
                  <w:vMerge w:val="continue"/>
                  <w:vAlign w:val="center"/>
                </w:tcPr>
                <w:p w14:paraId="3398686E">
                  <w:pPr>
                    <w:adjustRightInd w:val="0"/>
                    <w:snapToGrid w:val="0"/>
                    <w:jc w:val="center"/>
                    <w:rPr>
                      <w:rFonts w:hint="eastAsia" w:ascii="宋体" w:hAnsi="宋体" w:cs="宋体"/>
                      <w:bCs/>
                      <w:color w:val="auto"/>
                      <w:szCs w:val="21"/>
                    </w:rPr>
                  </w:pPr>
                </w:p>
              </w:tc>
              <w:tc>
                <w:tcPr>
                  <w:tcW w:w="709" w:type="dxa"/>
                  <w:vAlign w:val="center"/>
                </w:tcPr>
                <w:p w14:paraId="0C36F990">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废气</w:t>
                  </w:r>
                </w:p>
              </w:tc>
              <w:tc>
                <w:tcPr>
                  <w:tcW w:w="1275" w:type="dxa"/>
                  <w:vAlign w:val="center"/>
                </w:tcPr>
                <w:p w14:paraId="7EA31544">
                  <w:pPr>
                    <w:adjustRightInd w:val="0"/>
                    <w:snapToGrid w:val="0"/>
                    <w:jc w:val="center"/>
                    <w:rPr>
                      <w:rFonts w:hint="eastAsia" w:cs="宋体"/>
                      <w:bCs/>
                      <w:color w:val="auto"/>
                      <w:szCs w:val="21"/>
                    </w:rPr>
                  </w:pPr>
                  <w:r>
                    <w:rPr>
                      <w:rFonts w:hint="eastAsia"/>
                      <w:bCs/>
                      <w:color w:val="auto"/>
                      <w:spacing w:val="-10"/>
                      <w:szCs w:val="21"/>
                    </w:rPr>
                    <w:t>污水处理站周界</w:t>
                  </w:r>
                </w:p>
              </w:tc>
              <w:tc>
                <w:tcPr>
                  <w:tcW w:w="1544" w:type="dxa"/>
                  <w:vAlign w:val="center"/>
                </w:tcPr>
                <w:p w14:paraId="600E8BAE">
                  <w:pPr>
                    <w:adjustRightInd w:val="0"/>
                    <w:snapToGrid w:val="0"/>
                    <w:jc w:val="center"/>
                    <w:rPr>
                      <w:rFonts w:hint="eastAsia" w:cs="宋体"/>
                      <w:bCs/>
                      <w:color w:val="auto"/>
                      <w:szCs w:val="21"/>
                    </w:rPr>
                  </w:pPr>
                  <w:r>
                    <w:rPr>
                      <w:rFonts w:ascii="宋体" w:hAnsi="宋体" w:cs="宋体"/>
                      <w:bCs/>
                      <w:color w:val="auto"/>
                      <w:kern w:val="0"/>
                      <w:szCs w:val="21"/>
                      <w:lang w:bidi="ar"/>
                    </w:rPr>
                    <w:t>氨、硫化氢、臭 气浓度、氯气、 甲烷</w:t>
                  </w:r>
                </w:p>
              </w:tc>
              <w:tc>
                <w:tcPr>
                  <w:tcW w:w="1155" w:type="dxa"/>
                  <w:vAlign w:val="center"/>
                </w:tcPr>
                <w:p w14:paraId="22EBA2B5">
                  <w:pPr>
                    <w:adjustRightInd w:val="0"/>
                    <w:snapToGrid w:val="0"/>
                    <w:jc w:val="center"/>
                    <w:rPr>
                      <w:rFonts w:hint="eastAsia" w:cs="宋体"/>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tc>
              <w:tc>
                <w:tcPr>
                  <w:tcW w:w="1984" w:type="dxa"/>
                  <w:vAlign w:val="center"/>
                </w:tcPr>
                <w:p w14:paraId="6B4C656F">
                  <w:pPr>
                    <w:widowControl/>
                    <w:jc w:val="center"/>
                    <w:rPr>
                      <w:rFonts w:ascii="宋体" w:hAnsi="宋体" w:cs="宋体"/>
                      <w:color w:val="auto"/>
                      <w:kern w:val="0"/>
                      <w:szCs w:val="21"/>
                      <w:lang w:bidi="ar"/>
                    </w:rPr>
                  </w:pPr>
                  <w:r>
                    <w:rPr>
                      <w:rFonts w:ascii="宋体" w:hAnsi="宋体" w:cs="宋体"/>
                      <w:bCs/>
                      <w:color w:val="auto"/>
                      <w:szCs w:val="21"/>
                      <w:lang w:bidi="ar"/>
                    </w:rPr>
                    <w:t>《医疗机构水污染物排放标准》（</w:t>
                  </w:r>
                  <w:r>
                    <w:rPr>
                      <w:bCs/>
                      <w:color w:val="auto"/>
                      <w:szCs w:val="21"/>
                      <w:lang w:bidi="ar"/>
                    </w:rPr>
                    <w:t>GB 18466-2005</w:t>
                  </w:r>
                  <w:r>
                    <w:rPr>
                      <w:rFonts w:ascii="宋体" w:hAnsi="宋体" w:cs="宋体"/>
                      <w:bCs/>
                      <w:color w:val="auto"/>
                      <w:szCs w:val="21"/>
                      <w:lang w:bidi="ar"/>
                    </w:rPr>
                    <w:t>）表</w:t>
                  </w:r>
                  <w:r>
                    <w:rPr>
                      <w:bCs/>
                      <w:color w:val="auto"/>
                      <w:szCs w:val="21"/>
                      <w:lang w:bidi="ar"/>
                    </w:rPr>
                    <w:t>3</w:t>
                  </w:r>
                  <w:r>
                    <w:rPr>
                      <w:rFonts w:ascii="宋体" w:hAnsi="宋体" w:cs="宋体"/>
                      <w:bCs/>
                      <w:color w:val="auto"/>
                      <w:szCs w:val="21"/>
                      <w:lang w:bidi="ar"/>
                    </w:rPr>
                    <w:t>污水处理设施周边大气污染物最高允许浓度</w:t>
                  </w:r>
                </w:p>
              </w:tc>
            </w:tr>
            <w:tr w14:paraId="557B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49" w:type="dxa"/>
                  <w:vMerge w:val="continue"/>
                  <w:vAlign w:val="center"/>
                </w:tcPr>
                <w:p w14:paraId="5B886A9E">
                  <w:pPr>
                    <w:adjustRightInd w:val="0"/>
                    <w:snapToGrid w:val="0"/>
                    <w:jc w:val="center"/>
                    <w:rPr>
                      <w:rFonts w:hint="eastAsia" w:ascii="宋体" w:hAnsi="宋体" w:cs="宋体"/>
                      <w:bCs/>
                      <w:color w:val="auto"/>
                      <w:szCs w:val="21"/>
                    </w:rPr>
                  </w:pPr>
                </w:p>
              </w:tc>
              <w:tc>
                <w:tcPr>
                  <w:tcW w:w="709" w:type="dxa"/>
                  <w:vAlign w:val="center"/>
                </w:tcPr>
                <w:p w14:paraId="7C14851F">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厂界噪声</w:t>
                  </w:r>
                </w:p>
              </w:tc>
              <w:tc>
                <w:tcPr>
                  <w:tcW w:w="1275" w:type="dxa"/>
                  <w:vAlign w:val="center"/>
                </w:tcPr>
                <w:p w14:paraId="4E29193C">
                  <w:pPr>
                    <w:pStyle w:val="31"/>
                    <w:adjustRightInd w:val="0"/>
                    <w:spacing w:line="240" w:lineRule="auto"/>
                    <w:ind w:right="113" w:rightChars="0" w:firstLine="0" w:firstLineChars="0"/>
                    <w:jc w:val="center"/>
                    <w:rPr>
                      <w:rFonts w:hint="eastAsia"/>
                      <w:bCs/>
                      <w:color w:val="auto"/>
                      <w:spacing w:val="-10"/>
                      <w:szCs w:val="21"/>
                    </w:rPr>
                  </w:pPr>
                  <w:r>
                    <w:rPr>
                      <w:bCs/>
                      <w:color w:val="auto"/>
                      <w:spacing w:val="-10"/>
                      <w:szCs w:val="21"/>
                    </w:rPr>
                    <w:t>东南西北厂界</w:t>
                  </w:r>
                </w:p>
              </w:tc>
              <w:tc>
                <w:tcPr>
                  <w:tcW w:w="1544" w:type="dxa"/>
                  <w:vAlign w:val="center"/>
                </w:tcPr>
                <w:p w14:paraId="5983D0CE">
                  <w:pPr>
                    <w:widowControl/>
                    <w:jc w:val="center"/>
                    <w:rPr>
                      <w:color w:val="auto"/>
                      <w:szCs w:val="21"/>
                    </w:rPr>
                  </w:pPr>
                  <w:r>
                    <w:rPr>
                      <w:color w:val="auto"/>
                      <w:kern w:val="0"/>
                      <w:szCs w:val="21"/>
                      <w:lang w:bidi="ar"/>
                    </w:rPr>
                    <w:t>昼间、夜间等效声级</w:t>
                  </w:r>
                </w:p>
                <w:p w14:paraId="5671AB15">
                  <w:pPr>
                    <w:widowControl/>
                    <w:jc w:val="center"/>
                    <w:rPr>
                      <w:color w:val="auto"/>
                      <w:szCs w:val="21"/>
                    </w:rPr>
                  </w:pPr>
                  <w:r>
                    <w:rPr>
                      <w:color w:val="auto"/>
                      <w:kern w:val="0"/>
                      <w:szCs w:val="21"/>
                      <w:lang w:bidi="ar"/>
                    </w:rPr>
                    <w:t>Leq(A)</w:t>
                  </w:r>
                </w:p>
                <w:p w14:paraId="729A1DDE">
                  <w:pPr>
                    <w:widowControl/>
                    <w:jc w:val="center"/>
                    <w:rPr>
                      <w:rFonts w:ascii="宋体" w:hAnsi="宋体" w:cs="宋体"/>
                      <w:bCs/>
                      <w:color w:val="auto"/>
                      <w:kern w:val="0"/>
                      <w:szCs w:val="21"/>
                      <w:lang w:bidi="ar"/>
                    </w:rPr>
                  </w:pPr>
                </w:p>
              </w:tc>
              <w:tc>
                <w:tcPr>
                  <w:tcW w:w="1155" w:type="dxa"/>
                  <w:vAlign w:val="center"/>
                </w:tcPr>
                <w:p w14:paraId="1E10BEEE">
                  <w:pPr>
                    <w:widowControl/>
                    <w:jc w:val="center"/>
                    <w:rPr>
                      <w:bCs/>
                      <w:color w:val="auto"/>
                      <w:szCs w:val="21"/>
                    </w:rPr>
                  </w:pPr>
                  <w:r>
                    <w:rPr>
                      <w:bCs/>
                      <w:color w:val="auto"/>
                      <w:kern w:val="0"/>
                      <w:szCs w:val="21"/>
                      <w:lang w:bidi="ar"/>
                    </w:rPr>
                    <w:t>1 次/季度</w:t>
                  </w:r>
                </w:p>
                <w:p w14:paraId="264C9E44">
                  <w:pPr>
                    <w:pStyle w:val="31"/>
                    <w:adjustRightInd w:val="0"/>
                    <w:spacing w:line="240" w:lineRule="auto"/>
                    <w:ind w:right="113" w:rightChars="0" w:firstLine="0" w:firstLineChars="0"/>
                    <w:jc w:val="center"/>
                    <w:rPr>
                      <w:bCs/>
                      <w:color w:val="auto"/>
                      <w:kern w:val="0"/>
                      <w:szCs w:val="21"/>
                      <w:lang w:bidi="ar"/>
                    </w:rPr>
                  </w:pPr>
                </w:p>
              </w:tc>
              <w:tc>
                <w:tcPr>
                  <w:tcW w:w="1984" w:type="dxa"/>
                  <w:vAlign w:val="center"/>
                </w:tcPr>
                <w:p w14:paraId="6B594DA9">
                  <w:pPr>
                    <w:widowControl/>
                    <w:jc w:val="center"/>
                    <w:rPr>
                      <w:rFonts w:ascii="宋体" w:hAnsi="宋体" w:cs="宋体"/>
                      <w:bCs/>
                      <w:color w:val="auto"/>
                      <w:szCs w:val="21"/>
                      <w:lang w:bidi="ar"/>
                    </w:rPr>
                  </w:pPr>
                  <w:r>
                    <w:rPr>
                      <w:rFonts w:hint="eastAsia" w:ascii="宋体" w:hAnsi="宋体" w:cs="宋体"/>
                      <w:color w:val="auto"/>
                      <w:kern w:val="0"/>
                      <w:szCs w:val="21"/>
                      <w:lang w:bidi="ar"/>
                    </w:rPr>
                    <w:t>厂界噪声排放限值执行《工业企业厂界环境噪声排放标准》（GB12348-2008）执行 2 类标准</w:t>
                  </w:r>
                </w:p>
              </w:tc>
            </w:tr>
            <w:tr w14:paraId="0069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49" w:type="dxa"/>
                  <w:vMerge w:val="continue"/>
                  <w:vAlign w:val="center"/>
                </w:tcPr>
                <w:p w14:paraId="31F4361D">
                  <w:pPr>
                    <w:adjustRightInd w:val="0"/>
                    <w:snapToGrid w:val="0"/>
                    <w:jc w:val="center"/>
                    <w:rPr>
                      <w:rFonts w:hint="eastAsia" w:ascii="宋体" w:hAnsi="宋体" w:cs="宋体"/>
                      <w:bCs/>
                      <w:color w:val="auto"/>
                      <w:szCs w:val="21"/>
                    </w:rPr>
                  </w:pPr>
                </w:p>
              </w:tc>
              <w:tc>
                <w:tcPr>
                  <w:tcW w:w="709" w:type="dxa"/>
                  <w:vAlign w:val="center"/>
                </w:tcPr>
                <w:p w14:paraId="0387B636">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敏感点噪声</w:t>
                  </w:r>
                </w:p>
              </w:tc>
              <w:tc>
                <w:tcPr>
                  <w:tcW w:w="1275" w:type="dxa"/>
                  <w:vAlign w:val="center"/>
                </w:tcPr>
                <w:p w14:paraId="3EFF9997">
                  <w:pPr>
                    <w:pStyle w:val="31"/>
                    <w:adjustRightInd w:val="0"/>
                    <w:spacing w:line="240" w:lineRule="auto"/>
                    <w:ind w:right="113" w:rightChars="0" w:firstLine="0" w:firstLineChars="0"/>
                    <w:jc w:val="center"/>
                    <w:rPr>
                      <w:rFonts w:hint="eastAsia"/>
                      <w:bCs/>
                      <w:color w:val="auto"/>
                      <w:spacing w:val="-10"/>
                      <w:szCs w:val="21"/>
                    </w:rPr>
                  </w:pPr>
                  <w:r>
                    <w:rPr>
                      <w:rFonts w:hint="eastAsia" w:ascii="宋体" w:hAnsi="宋体" w:cs="宋体"/>
                      <w:color w:val="auto"/>
                      <w:szCs w:val="21"/>
                    </w:rPr>
                    <w:t>九龙街道（</w:t>
                  </w:r>
                  <w:r>
                    <w:rPr>
                      <w:rFonts w:hint="eastAsia" w:ascii="宋体" w:hAnsi="宋体" w:cs="宋体"/>
                      <w:color w:val="auto"/>
                      <w:kern w:val="2"/>
                      <w:szCs w:val="21"/>
                    </w:rPr>
                    <w:t>坐标为东经102°41′25.745″，24°6′48.128″)</w:t>
                  </w:r>
                </w:p>
              </w:tc>
              <w:tc>
                <w:tcPr>
                  <w:tcW w:w="1544" w:type="dxa"/>
                  <w:vAlign w:val="center"/>
                </w:tcPr>
                <w:p w14:paraId="3513E109">
                  <w:pPr>
                    <w:widowControl/>
                    <w:jc w:val="center"/>
                    <w:rPr>
                      <w:color w:val="auto"/>
                      <w:szCs w:val="21"/>
                    </w:rPr>
                  </w:pPr>
                  <w:r>
                    <w:rPr>
                      <w:color w:val="auto"/>
                      <w:kern w:val="0"/>
                      <w:szCs w:val="21"/>
                      <w:lang w:bidi="ar"/>
                    </w:rPr>
                    <w:t>昼间、夜间等效声级</w:t>
                  </w:r>
                </w:p>
                <w:p w14:paraId="513F0F91">
                  <w:pPr>
                    <w:widowControl/>
                    <w:jc w:val="center"/>
                    <w:rPr>
                      <w:color w:val="auto"/>
                      <w:szCs w:val="21"/>
                    </w:rPr>
                  </w:pPr>
                  <w:r>
                    <w:rPr>
                      <w:color w:val="auto"/>
                      <w:kern w:val="0"/>
                      <w:szCs w:val="21"/>
                      <w:lang w:bidi="ar"/>
                    </w:rPr>
                    <w:t>Leq(A)</w:t>
                  </w:r>
                </w:p>
                <w:p w14:paraId="16B3029C">
                  <w:pPr>
                    <w:widowControl/>
                    <w:jc w:val="center"/>
                    <w:rPr>
                      <w:rFonts w:ascii="宋体" w:hAnsi="宋体" w:cs="宋体"/>
                      <w:bCs/>
                      <w:color w:val="auto"/>
                      <w:kern w:val="0"/>
                      <w:szCs w:val="21"/>
                      <w:lang w:bidi="ar"/>
                    </w:rPr>
                  </w:pPr>
                </w:p>
              </w:tc>
              <w:tc>
                <w:tcPr>
                  <w:tcW w:w="1155" w:type="dxa"/>
                  <w:vAlign w:val="center"/>
                </w:tcPr>
                <w:p w14:paraId="2CAB68D4">
                  <w:pPr>
                    <w:widowControl/>
                    <w:jc w:val="center"/>
                    <w:rPr>
                      <w:bCs/>
                      <w:color w:val="auto"/>
                      <w:szCs w:val="21"/>
                    </w:rPr>
                  </w:pPr>
                  <w:r>
                    <w:rPr>
                      <w:bCs/>
                      <w:color w:val="auto"/>
                      <w:kern w:val="0"/>
                      <w:szCs w:val="21"/>
                      <w:lang w:bidi="ar"/>
                    </w:rPr>
                    <w:t>1 次/季度</w:t>
                  </w:r>
                </w:p>
                <w:p w14:paraId="0B4327B9">
                  <w:pPr>
                    <w:pStyle w:val="31"/>
                    <w:adjustRightInd w:val="0"/>
                    <w:spacing w:line="240" w:lineRule="auto"/>
                    <w:ind w:right="113" w:rightChars="0" w:firstLine="0" w:firstLineChars="0"/>
                    <w:jc w:val="center"/>
                    <w:rPr>
                      <w:bCs/>
                      <w:color w:val="auto"/>
                      <w:kern w:val="0"/>
                      <w:szCs w:val="21"/>
                      <w:lang w:bidi="ar"/>
                    </w:rPr>
                  </w:pPr>
                </w:p>
              </w:tc>
              <w:tc>
                <w:tcPr>
                  <w:tcW w:w="1984" w:type="dxa"/>
                  <w:vAlign w:val="center"/>
                </w:tcPr>
                <w:p w14:paraId="1F176162">
                  <w:pPr>
                    <w:widowControl/>
                    <w:jc w:val="center"/>
                    <w:rPr>
                      <w:rFonts w:ascii="宋体" w:hAnsi="宋体" w:cs="宋体"/>
                      <w:bCs/>
                      <w:color w:val="auto"/>
                      <w:szCs w:val="21"/>
                      <w:lang w:bidi="ar"/>
                    </w:rPr>
                  </w:pPr>
                  <w:r>
                    <w:rPr>
                      <w:bCs/>
                      <w:color w:val="auto"/>
                      <w:spacing w:val="-10"/>
                      <w:szCs w:val="21"/>
                    </w:rPr>
                    <w:t>执行《声环境质量标准》GB3096-2008）2类标准要求</w:t>
                  </w:r>
                </w:p>
              </w:tc>
            </w:tr>
            <w:tr w14:paraId="6459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restart"/>
                  <w:vAlign w:val="center"/>
                </w:tcPr>
                <w:p w14:paraId="74578F59">
                  <w:pPr>
                    <w:adjustRightInd w:val="0"/>
                    <w:snapToGrid w:val="0"/>
                    <w:jc w:val="center"/>
                    <w:rPr>
                      <w:rFonts w:hint="eastAsia" w:ascii="宋体" w:hAnsi="宋体" w:cs="宋体"/>
                      <w:bCs/>
                      <w:color w:val="auto"/>
                      <w:szCs w:val="21"/>
                    </w:rPr>
                  </w:pPr>
                  <w:r>
                    <w:rPr>
                      <w:rFonts w:hint="eastAsia" w:ascii="宋体" w:hAnsi="宋体" w:cs="宋体"/>
                      <w:bCs/>
                      <w:color w:val="auto"/>
                      <w:szCs w:val="21"/>
                    </w:rPr>
                    <w:t>杨广卫生院</w:t>
                  </w:r>
                </w:p>
              </w:tc>
              <w:tc>
                <w:tcPr>
                  <w:tcW w:w="709" w:type="dxa"/>
                  <w:vMerge w:val="restart"/>
                  <w:vAlign w:val="center"/>
                </w:tcPr>
                <w:p w14:paraId="7313AC7D">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废水</w:t>
                  </w:r>
                </w:p>
              </w:tc>
              <w:tc>
                <w:tcPr>
                  <w:tcW w:w="1275" w:type="dxa"/>
                  <w:vMerge w:val="restart"/>
                  <w:vAlign w:val="center"/>
                </w:tcPr>
                <w:p w14:paraId="74315324">
                  <w:pPr>
                    <w:adjustRightInd w:val="0"/>
                    <w:snapToGrid w:val="0"/>
                    <w:jc w:val="center"/>
                    <w:rPr>
                      <w:rFonts w:cs="宋体"/>
                      <w:bCs/>
                      <w:color w:val="auto"/>
                      <w:szCs w:val="21"/>
                    </w:rPr>
                  </w:pPr>
                  <w:r>
                    <w:rPr>
                      <w:rFonts w:hint="eastAsia" w:cs="宋体"/>
                      <w:bCs/>
                      <w:color w:val="auto"/>
                      <w:szCs w:val="21"/>
                    </w:rPr>
                    <w:t>污水处理站排放口（DW001）</w:t>
                  </w:r>
                </w:p>
              </w:tc>
              <w:tc>
                <w:tcPr>
                  <w:tcW w:w="1544" w:type="dxa"/>
                  <w:vAlign w:val="center"/>
                </w:tcPr>
                <w:p w14:paraId="51CFA285">
                  <w:pPr>
                    <w:adjustRightInd w:val="0"/>
                    <w:snapToGrid w:val="0"/>
                    <w:jc w:val="center"/>
                    <w:rPr>
                      <w:rFonts w:cs="宋体"/>
                      <w:bCs/>
                      <w:color w:val="auto"/>
                      <w:szCs w:val="21"/>
                    </w:rPr>
                  </w:pPr>
                  <w:r>
                    <w:rPr>
                      <w:rFonts w:hint="eastAsia" w:cs="宋体"/>
                      <w:bCs/>
                      <w:color w:val="auto"/>
                      <w:szCs w:val="21"/>
                    </w:rPr>
                    <w:t>pH</w:t>
                  </w:r>
                </w:p>
              </w:tc>
              <w:tc>
                <w:tcPr>
                  <w:tcW w:w="1155" w:type="dxa"/>
                  <w:vAlign w:val="center"/>
                </w:tcPr>
                <w:p w14:paraId="26B72C1C">
                  <w:pPr>
                    <w:adjustRightInd w:val="0"/>
                    <w:snapToGrid w:val="0"/>
                    <w:jc w:val="center"/>
                    <w:rPr>
                      <w:rFonts w:cs="宋体"/>
                      <w:bCs/>
                      <w:color w:val="auto"/>
                      <w:szCs w:val="21"/>
                    </w:rPr>
                  </w:pPr>
                  <w:r>
                    <w:rPr>
                      <w:rFonts w:hint="eastAsia" w:cs="宋体"/>
                      <w:bCs/>
                      <w:color w:val="auto"/>
                      <w:szCs w:val="21"/>
                    </w:rPr>
                    <w:t>1次/12小时</w:t>
                  </w:r>
                </w:p>
              </w:tc>
              <w:tc>
                <w:tcPr>
                  <w:tcW w:w="1984" w:type="dxa"/>
                  <w:vMerge w:val="restart"/>
                  <w:vAlign w:val="center"/>
                </w:tcPr>
                <w:p w14:paraId="7DD5AEA7">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6E86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47159697">
                  <w:pPr>
                    <w:adjustRightInd w:val="0"/>
                    <w:snapToGrid w:val="0"/>
                    <w:jc w:val="center"/>
                    <w:rPr>
                      <w:rFonts w:hint="eastAsia" w:ascii="宋体" w:hAnsi="宋体" w:cs="宋体"/>
                      <w:bCs/>
                      <w:color w:val="auto"/>
                      <w:szCs w:val="21"/>
                    </w:rPr>
                  </w:pPr>
                </w:p>
              </w:tc>
              <w:tc>
                <w:tcPr>
                  <w:tcW w:w="709" w:type="dxa"/>
                  <w:vMerge w:val="continue"/>
                  <w:vAlign w:val="center"/>
                </w:tcPr>
                <w:p w14:paraId="0EE0BAE7">
                  <w:pPr>
                    <w:adjustRightInd w:val="0"/>
                    <w:snapToGrid w:val="0"/>
                    <w:jc w:val="center"/>
                    <w:rPr>
                      <w:rFonts w:cs="宋体"/>
                      <w:bCs/>
                      <w:color w:val="auto"/>
                      <w:szCs w:val="21"/>
                    </w:rPr>
                  </w:pPr>
                </w:p>
              </w:tc>
              <w:tc>
                <w:tcPr>
                  <w:tcW w:w="1275" w:type="dxa"/>
                  <w:vMerge w:val="continue"/>
                  <w:vAlign w:val="center"/>
                </w:tcPr>
                <w:p w14:paraId="42B6607F">
                  <w:pPr>
                    <w:adjustRightInd w:val="0"/>
                    <w:snapToGrid w:val="0"/>
                    <w:jc w:val="center"/>
                    <w:rPr>
                      <w:rFonts w:cs="宋体"/>
                      <w:bCs/>
                      <w:color w:val="auto"/>
                      <w:szCs w:val="21"/>
                    </w:rPr>
                  </w:pPr>
                </w:p>
              </w:tc>
              <w:tc>
                <w:tcPr>
                  <w:tcW w:w="1544" w:type="dxa"/>
                  <w:vAlign w:val="center"/>
                </w:tcPr>
                <w:p w14:paraId="5061AA39">
                  <w:pPr>
                    <w:adjustRightInd w:val="0"/>
                    <w:snapToGrid w:val="0"/>
                    <w:jc w:val="center"/>
                    <w:rPr>
                      <w:rFonts w:cs="宋体"/>
                      <w:bCs/>
                      <w:color w:val="auto"/>
                      <w:szCs w:val="21"/>
                    </w:rPr>
                  </w:pPr>
                  <w:r>
                    <w:rPr>
                      <w:rFonts w:hint="eastAsia" w:cs="宋体"/>
                      <w:bCs/>
                      <w:color w:val="auto"/>
                      <w:szCs w:val="21"/>
                    </w:rPr>
                    <w:t>CODcr、SS</w:t>
                  </w:r>
                </w:p>
              </w:tc>
              <w:tc>
                <w:tcPr>
                  <w:tcW w:w="1155" w:type="dxa"/>
                  <w:vAlign w:val="center"/>
                </w:tcPr>
                <w:p w14:paraId="29B7BAF4">
                  <w:pPr>
                    <w:adjustRightInd w:val="0"/>
                    <w:snapToGrid w:val="0"/>
                    <w:jc w:val="center"/>
                    <w:rPr>
                      <w:rFonts w:cs="宋体"/>
                      <w:bCs/>
                      <w:color w:val="auto"/>
                      <w:szCs w:val="21"/>
                    </w:rPr>
                  </w:pPr>
                  <w:r>
                    <w:rPr>
                      <w:rFonts w:hint="eastAsia" w:cs="宋体"/>
                      <w:bCs/>
                      <w:color w:val="auto"/>
                      <w:szCs w:val="21"/>
                    </w:rPr>
                    <w:t>1次/周</w:t>
                  </w:r>
                </w:p>
              </w:tc>
              <w:tc>
                <w:tcPr>
                  <w:tcW w:w="1984" w:type="dxa"/>
                  <w:vMerge w:val="continue"/>
                  <w:vAlign w:val="center"/>
                </w:tcPr>
                <w:p w14:paraId="1D7B3CC0">
                  <w:pPr>
                    <w:widowControl/>
                    <w:jc w:val="center"/>
                    <w:rPr>
                      <w:rFonts w:hint="eastAsia" w:ascii="宋体" w:hAnsi="宋体" w:cs="宋体"/>
                      <w:color w:val="auto"/>
                      <w:kern w:val="0"/>
                      <w:szCs w:val="21"/>
                      <w:lang w:bidi="ar"/>
                    </w:rPr>
                  </w:pPr>
                </w:p>
              </w:tc>
            </w:tr>
            <w:tr w14:paraId="2456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30E8121D">
                  <w:pPr>
                    <w:adjustRightInd w:val="0"/>
                    <w:snapToGrid w:val="0"/>
                    <w:jc w:val="center"/>
                    <w:rPr>
                      <w:rFonts w:hint="eastAsia" w:ascii="宋体" w:hAnsi="宋体" w:cs="宋体"/>
                      <w:bCs/>
                      <w:color w:val="auto"/>
                      <w:szCs w:val="21"/>
                    </w:rPr>
                  </w:pPr>
                </w:p>
              </w:tc>
              <w:tc>
                <w:tcPr>
                  <w:tcW w:w="709" w:type="dxa"/>
                  <w:vMerge w:val="continue"/>
                  <w:vAlign w:val="center"/>
                </w:tcPr>
                <w:p w14:paraId="6E4D0503">
                  <w:pPr>
                    <w:adjustRightInd w:val="0"/>
                    <w:snapToGrid w:val="0"/>
                    <w:jc w:val="center"/>
                    <w:rPr>
                      <w:rFonts w:cs="宋体"/>
                      <w:bCs/>
                      <w:color w:val="auto"/>
                      <w:szCs w:val="21"/>
                    </w:rPr>
                  </w:pPr>
                </w:p>
              </w:tc>
              <w:tc>
                <w:tcPr>
                  <w:tcW w:w="1275" w:type="dxa"/>
                  <w:vMerge w:val="continue"/>
                  <w:vAlign w:val="center"/>
                </w:tcPr>
                <w:p w14:paraId="0B98C8B2">
                  <w:pPr>
                    <w:adjustRightInd w:val="0"/>
                    <w:snapToGrid w:val="0"/>
                    <w:jc w:val="center"/>
                    <w:rPr>
                      <w:rFonts w:cs="宋体"/>
                      <w:bCs/>
                      <w:color w:val="auto"/>
                      <w:szCs w:val="21"/>
                    </w:rPr>
                  </w:pPr>
                </w:p>
              </w:tc>
              <w:tc>
                <w:tcPr>
                  <w:tcW w:w="1544" w:type="dxa"/>
                  <w:vAlign w:val="center"/>
                </w:tcPr>
                <w:p w14:paraId="15EAF41C">
                  <w:pPr>
                    <w:adjustRightInd w:val="0"/>
                    <w:snapToGrid w:val="0"/>
                    <w:jc w:val="center"/>
                    <w:rPr>
                      <w:rFonts w:cs="宋体"/>
                      <w:bCs/>
                      <w:color w:val="auto"/>
                      <w:szCs w:val="21"/>
                    </w:rPr>
                  </w:pPr>
                  <w:r>
                    <w:rPr>
                      <w:rFonts w:hint="eastAsia" w:cs="宋体"/>
                      <w:bCs/>
                      <w:color w:val="auto"/>
                      <w:szCs w:val="21"/>
                    </w:rPr>
                    <w:t>粪大肠菌群</w:t>
                  </w:r>
                </w:p>
              </w:tc>
              <w:tc>
                <w:tcPr>
                  <w:tcW w:w="1155" w:type="dxa"/>
                  <w:vAlign w:val="center"/>
                </w:tcPr>
                <w:p w14:paraId="7E7717BB">
                  <w:pPr>
                    <w:adjustRightInd w:val="0"/>
                    <w:snapToGrid w:val="0"/>
                    <w:jc w:val="center"/>
                    <w:rPr>
                      <w:rFonts w:cs="宋体"/>
                      <w:bCs/>
                      <w:color w:val="auto"/>
                      <w:szCs w:val="21"/>
                    </w:rPr>
                  </w:pPr>
                  <w:r>
                    <w:rPr>
                      <w:rFonts w:hint="eastAsia" w:cs="宋体"/>
                      <w:bCs/>
                      <w:color w:val="auto"/>
                      <w:szCs w:val="21"/>
                    </w:rPr>
                    <w:t>1次/月</w:t>
                  </w:r>
                </w:p>
              </w:tc>
              <w:tc>
                <w:tcPr>
                  <w:tcW w:w="1984" w:type="dxa"/>
                  <w:vMerge w:val="continue"/>
                  <w:vAlign w:val="center"/>
                </w:tcPr>
                <w:p w14:paraId="50E6B39A">
                  <w:pPr>
                    <w:widowControl/>
                    <w:jc w:val="center"/>
                    <w:rPr>
                      <w:rFonts w:hint="eastAsia" w:ascii="宋体" w:hAnsi="宋体" w:cs="宋体"/>
                      <w:color w:val="auto"/>
                      <w:kern w:val="0"/>
                      <w:szCs w:val="21"/>
                      <w:lang w:bidi="ar"/>
                    </w:rPr>
                  </w:pPr>
                </w:p>
              </w:tc>
            </w:tr>
            <w:tr w14:paraId="3303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849" w:type="dxa"/>
                  <w:vMerge w:val="continue"/>
                  <w:vAlign w:val="center"/>
                </w:tcPr>
                <w:p w14:paraId="41F33EDE">
                  <w:pPr>
                    <w:adjustRightInd w:val="0"/>
                    <w:snapToGrid w:val="0"/>
                    <w:jc w:val="center"/>
                    <w:rPr>
                      <w:rFonts w:hint="eastAsia" w:ascii="宋体" w:hAnsi="宋体" w:cs="宋体"/>
                      <w:bCs/>
                      <w:color w:val="auto"/>
                      <w:szCs w:val="21"/>
                    </w:rPr>
                  </w:pPr>
                </w:p>
              </w:tc>
              <w:tc>
                <w:tcPr>
                  <w:tcW w:w="709" w:type="dxa"/>
                  <w:vMerge w:val="continue"/>
                  <w:vAlign w:val="center"/>
                </w:tcPr>
                <w:p w14:paraId="3206C0F4">
                  <w:pPr>
                    <w:adjustRightInd w:val="0"/>
                    <w:snapToGrid w:val="0"/>
                    <w:jc w:val="center"/>
                    <w:rPr>
                      <w:rFonts w:cs="宋体"/>
                      <w:bCs/>
                      <w:color w:val="auto"/>
                      <w:szCs w:val="21"/>
                    </w:rPr>
                  </w:pPr>
                </w:p>
              </w:tc>
              <w:tc>
                <w:tcPr>
                  <w:tcW w:w="1275" w:type="dxa"/>
                  <w:vMerge w:val="continue"/>
                  <w:vAlign w:val="center"/>
                </w:tcPr>
                <w:p w14:paraId="699450F7">
                  <w:pPr>
                    <w:adjustRightInd w:val="0"/>
                    <w:snapToGrid w:val="0"/>
                    <w:jc w:val="center"/>
                    <w:rPr>
                      <w:rFonts w:cs="宋体"/>
                      <w:bCs/>
                      <w:color w:val="auto"/>
                      <w:szCs w:val="21"/>
                    </w:rPr>
                  </w:pPr>
                </w:p>
              </w:tc>
              <w:tc>
                <w:tcPr>
                  <w:tcW w:w="1544" w:type="dxa"/>
                  <w:vAlign w:val="center"/>
                </w:tcPr>
                <w:p w14:paraId="24B566F6">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155" w:type="dxa"/>
                  <w:vAlign w:val="center"/>
                </w:tcPr>
                <w:p w14:paraId="28D7B9DF">
                  <w:pPr>
                    <w:adjustRightInd w:val="0"/>
                    <w:snapToGrid w:val="0"/>
                    <w:jc w:val="center"/>
                    <w:rPr>
                      <w:rFonts w:cs="宋体"/>
                      <w:bCs/>
                      <w:color w:val="auto"/>
                      <w:szCs w:val="21"/>
                    </w:rPr>
                  </w:pPr>
                  <w:r>
                    <w:rPr>
                      <w:rFonts w:hint="eastAsia" w:cs="宋体"/>
                      <w:bCs/>
                      <w:color w:val="auto"/>
                      <w:szCs w:val="21"/>
                    </w:rPr>
                    <w:t>1次/季度</w:t>
                  </w:r>
                </w:p>
              </w:tc>
              <w:tc>
                <w:tcPr>
                  <w:tcW w:w="1984" w:type="dxa"/>
                  <w:vMerge w:val="continue"/>
                  <w:vAlign w:val="center"/>
                </w:tcPr>
                <w:p w14:paraId="4443B7FB">
                  <w:pPr>
                    <w:widowControl/>
                    <w:jc w:val="center"/>
                    <w:rPr>
                      <w:rFonts w:hint="eastAsia" w:ascii="宋体" w:hAnsi="宋体" w:cs="宋体"/>
                      <w:color w:val="auto"/>
                      <w:kern w:val="0"/>
                      <w:szCs w:val="21"/>
                      <w:lang w:bidi="ar"/>
                    </w:rPr>
                  </w:pPr>
                </w:p>
              </w:tc>
            </w:tr>
            <w:tr w14:paraId="5626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13170634">
                  <w:pPr>
                    <w:adjustRightInd w:val="0"/>
                    <w:snapToGrid w:val="0"/>
                    <w:jc w:val="center"/>
                    <w:rPr>
                      <w:rFonts w:hint="eastAsia" w:ascii="宋体" w:hAnsi="宋体" w:cs="宋体"/>
                      <w:bCs/>
                      <w:color w:val="auto"/>
                      <w:szCs w:val="21"/>
                    </w:rPr>
                  </w:pPr>
                </w:p>
              </w:tc>
              <w:tc>
                <w:tcPr>
                  <w:tcW w:w="709" w:type="dxa"/>
                  <w:vMerge w:val="continue"/>
                  <w:vAlign w:val="center"/>
                </w:tcPr>
                <w:p w14:paraId="1AB9CED4">
                  <w:pPr>
                    <w:adjustRightInd w:val="0"/>
                    <w:snapToGrid w:val="0"/>
                    <w:jc w:val="center"/>
                    <w:rPr>
                      <w:rFonts w:cs="宋体"/>
                      <w:bCs/>
                      <w:color w:val="auto"/>
                      <w:szCs w:val="21"/>
                    </w:rPr>
                  </w:pPr>
                </w:p>
              </w:tc>
              <w:tc>
                <w:tcPr>
                  <w:tcW w:w="1275" w:type="dxa"/>
                  <w:vMerge w:val="continue"/>
                  <w:vAlign w:val="center"/>
                </w:tcPr>
                <w:p w14:paraId="66E5ADC8">
                  <w:pPr>
                    <w:adjustRightInd w:val="0"/>
                    <w:snapToGrid w:val="0"/>
                    <w:jc w:val="center"/>
                    <w:rPr>
                      <w:rFonts w:cs="宋体"/>
                      <w:bCs/>
                      <w:color w:val="auto"/>
                      <w:szCs w:val="21"/>
                    </w:rPr>
                  </w:pPr>
                </w:p>
              </w:tc>
              <w:tc>
                <w:tcPr>
                  <w:tcW w:w="1544" w:type="dxa"/>
                  <w:vAlign w:val="center"/>
                </w:tcPr>
                <w:p w14:paraId="1C579A74">
                  <w:pPr>
                    <w:adjustRightInd w:val="0"/>
                    <w:snapToGrid w:val="0"/>
                    <w:jc w:val="center"/>
                    <w:rPr>
                      <w:rFonts w:cs="宋体"/>
                      <w:bCs/>
                      <w:color w:val="auto"/>
                      <w:szCs w:val="21"/>
                    </w:rPr>
                  </w:pPr>
                  <w:r>
                    <w:rPr>
                      <w:rFonts w:hint="eastAsia" w:cs="宋体"/>
                      <w:bCs/>
                      <w:color w:val="auto"/>
                      <w:szCs w:val="21"/>
                    </w:rPr>
                    <w:t>流量</w:t>
                  </w:r>
                </w:p>
              </w:tc>
              <w:tc>
                <w:tcPr>
                  <w:tcW w:w="1155" w:type="dxa"/>
                  <w:vAlign w:val="center"/>
                </w:tcPr>
                <w:p w14:paraId="5E6A4C26">
                  <w:pPr>
                    <w:adjustRightInd w:val="0"/>
                    <w:snapToGrid w:val="0"/>
                    <w:jc w:val="center"/>
                    <w:rPr>
                      <w:rFonts w:cs="宋体"/>
                      <w:bCs/>
                      <w:color w:val="auto"/>
                      <w:szCs w:val="21"/>
                    </w:rPr>
                  </w:pPr>
                  <w:r>
                    <w:rPr>
                      <w:rFonts w:hint="eastAsia" w:cs="宋体"/>
                      <w:bCs/>
                      <w:color w:val="auto"/>
                      <w:szCs w:val="21"/>
                    </w:rPr>
                    <w:t>自动监测</w:t>
                  </w:r>
                </w:p>
              </w:tc>
              <w:tc>
                <w:tcPr>
                  <w:tcW w:w="1984" w:type="dxa"/>
                  <w:vMerge w:val="continue"/>
                  <w:vAlign w:val="center"/>
                </w:tcPr>
                <w:p w14:paraId="5D5F5154">
                  <w:pPr>
                    <w:widowControl/>
                    <w:jc w:val="center"/>
                    <w:rPr>
                      <w:rFonts w:hint="eastAsia" w:ascii="宋体" w:hAnsi="宋体" w:cs="宋体"/>
                      <w:color w:val="auto"/>
                      <w:kern w:val="0"/>
                      <w:szCs w:val="21"/>
                      <w:lang w:bidi="ar"/>
                    </w:rPr>
                  </w:pPr>
                </w:p>
              </w:tc>
            </w:tr>
            <w:tr w14:paraId="0D0D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49" w:type="dxa"/>
                  <w:vMerge w:val="continue"/>
                  <w:vAlign w:val="center"/>
                </w:tcPr>
                <w:p w14:paraId="56FCDBC2">
                  <w:pPr>
                    <w:adjustRightInd w:val="0"/>
                    <w:snapToGrid w:val="0"/>
                    <w:jc w:val="center"/>
                    <w:rPr>
                      <w:rFonts w:hint="eastAsia" w:ascii="宋体" w:hAnsi="宋体" w:cs="宋体"/>
                      <w:bCs/>
                      <w:color w:val="auto"/>
                      <w:szCs w:val="21"/>
                    </w:rPr>
                  </w:pPr>
                </w:p>
              </w:tc>
              <w:tc>
                <w:tcPr>
                  <w:tcW w:w="709" w:type="dxa"/>
                  <w:vMerge w:val="continue"/>
                  <w:vAlign w:val="center"/>
                </w:tcPr>
                <w:p w14:paraId="67C48F30">
                  <w:pPr>
                    <w:adjustRightInd w:val="0"/>
                    <w:snapToGrid w:val="0"/>
                    <w:jc w:val="center"/>
                    <w:rPr>
                      <w:rFonts w:cs="宋体"/>
                      <w:bCs/>
                      <w:color w:val="auto"/>
                      <w:szCs w:val="21"/>
                    </w:rPr>
                  </w:pPr>
                </w:p>
              </w:tc>
              <w:tc>
                <w:tcPr>
                  <w:tcW w:w="1275" w:type="dxa"/>
                  <w:vAlign w:val="center"/>
                </w:tcPr>
                <w:p w14:paraId="672FA0C9">
                  <w:pPr>
                    <w:adjustRightInd w:val="0"/>
                    <w:snapToGrid w:val="0"/>
                    <w:jc w:val="center"/>
                    <w:rPr>
                      <w:rFonts w:cs="宋体"/>
                      <w:bCs/>
                      <w:color w:val="auto"/>
                      <w:szCs w:val="21"/>
                    </w:rPr>
                  </w:pPr>
                  <w:r>
                    <w:rPr>
                      <w:rFonts w:hint="eastAsia"/>
                      <w:bCs/>
                      <w:color w:val="auto"/>
                      <w:szCs w:val="21"/>
                    </w:rPr>
                    <w:t>接触池出口</w:t>
                  </w:r>
                </w:p>
              </w:tc>
              <w:tc>
                <w:tcPr>
                  <w:tcW w:w="1544" w:type="dxa"/>
                  <w:vAlign w:val="center"/>
                </w:tcPr>
                <w:p w14:paraId="62A0A90A">
                  <w:pPr>
                    <w:widowControl/>
                    <w:jc w:val="center"/>
                    <w:rPr>
                      <w:rFonts w:cs="宋体"/>
                      <w:bCs/>
                      <w:color w:val="auto"/>
                      <w:szCs w:val="21"/>
                    </w:rPr>
                  </w:pPr>
                  <w:r>
                    <w:rPr>
                      <w:color w:val="auto"/>
                      <w:kern w:val="0"/>
                      <w:szCs w:val="21"/>
                      <w:lang w:bidi="ar"/>
                    </w:rPr>
                    <w:t>总余氯</w:t>
                  </w:r>
                </w:p>
              </w:tc>
              <w:tc>
                <w:tcPr>
                  <w:tcW w:w="1155" w:type="dxa"/>
                  <w:vAlign w:val="center"/>
                </w:tcPr>
                <w:p w14:paraId="599469AD">
                  <w:pPr>
                    <w:jc w:val="center"/>
                    <w:rPr>
                      <w:rFonts w:cs="宋体"/>
                      <w:bCs/>
                      <w:color w:val="auto"/>
                      <w:szCs w:val="21"/>
                    </w:rPr>
                  </w:pPr>
                  <w:r>
                    <w:rPr>
                      <w:rFonts w:hint="eastAsia"/>
                      <w:bCs/>
                      <w:color w:val="auto"/>
                      <w:szCs w:val="21"/>
                    </w:rPr>
                    <w:t>1次/12小时</w:t>
                  </w:r>
                </w:p>
              </w:tc>
              <w:tc>
                <w:tcPr>
                  <w:tcW w:w="1984" w:type="dxa"/>
                  <w:vMerge w:val="continue"/>
                  <w:vAlign w:val="center"/>
                </w:tcPr>
                <w:p w14:paraId="64C44F8A">
                  <w:pPr>
                    <w:widowControl/>
                    <w:jc w:val="center"/>
                    <w:rPr>
                      <w:rFonts w:hint="eastAsia" w:ascii="宋体" w:hAnsi="宋体" w:cs="宋体"/>
                      <w:color w:val="auto"/>
                      <w:kern w:val="0"/>
                      <w:szCs w:val="21"/>
                      <w:lang w:bidi="ar"/>
                    </w:rPr>
                  </w:pPr>
                </w:p>
              </w:tc>
            </w:tr>
            <w:tr w14:paraId="4EE9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49" w:type="dxa"/>
                  <w:vMerge w:val="continue"/>
                  <w:vAlign w:val="center"/>
                </w:tcPr>
                <w:p w14:paraId="6DAA3BD6">
                  <w:pPr>
                    <w:adjustRightInd w:val="0"/>
                    <w:snapToGrid w:val="0"/>
                    <w:jc w:val="center"/>
                    <w:rPr>
                      <w:rFonts w:hint="eastAsia" w:ascii="宋体" w:hAnsi="宋体" w:cs="宋体"/>
                      <w:bCs/>
                      <w:color w:val="auto"/>
                      <w:szCs w:val="21"/>
                    </w:rPr>
                  </w:pPr>
                </w:p>
              </w:tc>
              <w:tc>
                <w:tcPr>
                  <w:tcW w:w="709" w:type="dxa"/>
                  <w:vMerge w:val="continue"/>
                  <w:vAlign w:val="center"/>
                </w:tcPr>
                <w:p w14:paraId="6E1E47AC">
                  <w:pPr>
                    <w:adjustRightInd w:val="0"/>
                    <w:snapToGrid w:val="0"/>
                    <w:jc w:val="center"/>
                    <w:rPr>
                      <w:rFonts w:cs="宋体"/>
                      <w:bCs/>
                      <w:color w:val="auto"/>
                      <w:szCs w:val="21"/>
                    </w:rPr>
                  </w:pPr>
                </w:p>
              </w:tc>
              <w:tc>
                <w:tcPr>
                  <w:tcW w:w="1275" w:type="dxa"/>
                  <w:vAlign w:val="center"/>
                </w:tcPr>
                <w:p w14:paraId="620580DE">
                  <w:pPr>
                    <w:adjustRightInd w:val="0"/>
                    <w:snapToGrid w:val="0"/>
                    <w:jc w:val="center"/>
                    <w:rPr>
                      <w:rFonts w:cs="宋体"/>
                      <w:bCs/>
                      <w:color w:val="auto"/>
                      <w:szCs w:val="21"/>
                    </w:rPr>
                  </w:pPr>
                  <w:r>
                    <w:rPr>
                      <w:rFonts w:hint="eastAsia" w:cs="宋体"/>
                      <w:bCs/>
                      <w:color w:val="auto"/>
                      <w:szCs w:val="21"/>
                    </w:rPr>
                    <w:t>生活区总排口（DW002）</w:t>
                  </w:r>
                </w:p>
              </w:tc>
              <w:tc>
                <w:tcPr>
                  <w:tcW w:w="1544" w:type="dxa"/>
                  <w:vAlign w:val="center"/>
                </w:tcPr>
                <w:p w14:paraId="766D01DD">
                  <w:pPr>
                    <w:adjustRightInd w:val="0"/>
                    <w:snapToGrid w:val="0"/>
                    <w:jc w:val="center"/>
                    <w:rPr>
                      <w:rFonts w:cs="宋体"/>
                      <w:bCs/>
                      <w:color w:val="auto"/>
                      <w:szCs w:val="21"/>
                    </w:rPr>
                  </w:pPr>
                  <w:r>
                    <w:rPr>
                      <w:rFonts w:hint="eastAsia" w:cs="宋体"/>
                      <w:bCs/>
                      <w:color w:val="auto"/>
                      <w:szCs w:val="21"/>
                    </w:rPr>
                    <w:t>pH、CODcr、SS、BOD</w:t>
                  </w:r>
                  <w:r>
                    <w:rPr>
                      <w:rFonts w:hint="eastAsia" w:cs="宋体"/>
                      <w:bCs/>
                      <w:color w:val="auto"/>
                      <w:szCs w:val="21"/>
                      <w:vertAlign w:val="subscript"/>
                    </w:rPr>
                    <w:t>5</w:t>
                  </w:r>
                  <w:r>
                    <w:rPr>
                      <w:rFonts w:hint="eastAsia" w:cs="宋体"/>
                      <w:bCs/>
                      <w:color w:val="auto"/>
                      <w:szCs w:val="21"/>
                    </w:rPr>
                    <w:t>、氨氮、</w:t>
                  </w:r>
                  <w:r>
                    <w:rPr>
                      <w:rFonts w:hint="eastAsia"/>
                      <w:color w:val="auto"/>
                      <w:szCs w:val="21"/>
                    </w:rPr>
                    <w:t>动植物油、SS</w:t>
                  </w:r>
                </w:p>
              </w:tc>
              <w:tc>
                <w:tcPr>
                  <w:tcW w:w="1155" w:type="dxa"/>
                  <w:vAlign w:val="center"/>
                </w:tcPr>
                <w:p w14:paraId="5A3465AB">
                  <w:pPr>
                    <w:adjustRightInd w:val="0"/>
                    <w:snapToGrid w:val="0"/>
                    <w:jc w:val="center"/>
                    <w:rPr>
                      <w:rFonts w:cs="宋体"/>
                      <w:bCs/>
                      <w:color w:val="auto"/>
                      <w:szCs w:val="21"/>
                    </w:rPr>
                  </w:pPr>
                  <w:r>
                    <w:rPr>
                      <w:rFonts w:hint="eastAsia" w:cs="宋体"/>
                      <w:bCs/>
                      <w:color w:val="auto"/>
                      <w:szCs w:val="21"/>
                    </w:rPr>
                    <w:t>1次/年</w:t>
                  </w:r>
                </w:p>
              </w:tc>
              <w:tc>
                <w:tcPr>
                  <w:tcW w:w="1984" w:type="dxa"/>
                  <w:vAlign w:val="center"/>
                </w:tcPr>
                <w:p w14:paraId="4154585A">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7884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49" w:type="dxa"/>
                  <w:vMerge w:val="continue"/>
                  <w:vAlign w:val="center"/>
                </w:tcPr>
                <w:p w14:paraId="1B8F2B70">
                  <w:pPr>
                    <w:adjustRightInd w:val="0"/>
                    <w:snapToGrid w:val="0"/>
                    <w:jc w:val="center"/>
                    <w:rPr>
                      <w:rFonts w:hint="eastAsia" w:ascii="宋体" w:hAnsi="宋体" w:cs="宋体"/>
                      <w:bCs/>
                      <w:color w:val="auto"/>
                      <w:szCs w:val="21"/>
                    </w:rPr>
                  </w:pPr>
                </w:p>
              </w:tc>
              <w:tc>
                <w:tcPr>
                  <w:tcW w:w="709" w:type="dxa"/>
                  <w:vAlign w:val="center"/>
                </w:tcPr>
                <w:p w14:paraId="5CE71E37">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废气</w:t>
                  </w:r>
                </w:p>
              </w:tc>
              <w:tc>
                <w:tcPr>
                  <w:tcW w:w="1275" w:type="dxa"/>
                  <w:vAlign w:val="center"/>
                </w:tcPr>
                <w:p w14:paraId="753CE354">
                  <w:pPr>
                    <w:adjustRightInd w:val="0"/>
                    <w:snapToGrid w:val="0"/>
                    <w:jc w:val="center"/>
                    <w:rPr>
                      <w:rFonts w:hint="eastAsia" w:cs="宋体"/>
                      <w:bCs/>
                      <w:color w:val="auto"/>
                      <w:szCs w:val="21"/>
                    </w:rPr>
                  </w:pPr>
                  <w:r>
                    <w:rPr>
                      <w:rFonts w:hint="eastAsia"/>
                      <w:bCs/>
                      <w:color w:val="auto"/>
                      <w:spacing w:val="-10"/>
                      <w:szCs w:val="21"/>
                    </w:rPr>
                    <w:t>污水处理站周界</w:t>
                  </w:r>
                </w:p>
              </w:tc>
              <w:tc>
                <w:tcPr>
                  <w:tcW w:w="1544" w:type="dxa"/>
                  <w:vAlign w:val="center"/>
                </w:tcPr>
                <w:p w14:paraId="651AAB37">
                  <w:pPr>
                    <w:adjustRightInd w:val="0"/>
                    <w:snapToGrid w:val="0"/>
                    <w:jc w:val="center"/>
                    <w:rPr>
                      <w:rFonts w:hint="eastAsia" w:cs="宋体"/>
                      <w:bCs/>
                      <w:color w:val="auto"/>
                      <w:szCs w:val="21"/>
                    </w:rPr>
                  </w:pPr>
                  <w:r>
                    <w:rPr>
                      <w:rFonts w:ascii="宋体" w:hAnsi="宋体" w:cs="宋体"/>
                      <w:bCs/>
                      <w:color w:val="auto"/>
                      <w:kern w:val="0"/>
                      <w:szCs w:val="21"/>
                      <w:lang w:bidi="ar"/>
                    </w:rPr>
                    <w:t>氨、硫化氢、臭 气浓度、氯气、 甲烷</w:t>
                  </w:r>
                </w:p>
              </w:tc>
              <w:tc>
                <w:tcPr>
                  <w:tcW w:w="1155" w:type="dxa"/>
                  <w:vAlign w:val="center"/>
                </w:tcPr>
                <w:p w14:paraId="412FC83D">
                  <w:pPr>
                    <w:adjustRightInd w:val="0"/>
                    <w:snapToGrid w:val="0"/>
                    <w:jc w:val="center"/>
                    <w:rPr>
                      <w:rFonts w:hint="eastAsia" w:cs="宋体"/>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tc>
              <w:tc>
                <w:tcPr>
                  <w:tcW w:w="1984" w:type="dxa"/>
                  <w:vAlign w:val="center"/>
                </w:tcPr>
                <w:p w14:paraId="280DB7E2">
                  <w:pPr>
                    <w:widowControl/>
                    <w:jc w:val="center"/>
                    <w:rPr>
                      <w:rFonts w:ascii="宋体" w:hAnsi="宋体" w:cs="宋体"/>
                      <w:color w:val="auto"/>
                      <w:kern w:val="0"/>
                      <w:szCs w:val="21"/>
                      <w:lang w:bidi="ar"/>
                    </w:rPr>
                  </w:pPr>
                  <w:r>
                    <w:rPr>
                      <w:rFonts w:ascii="宋体" w:hAnsi="宋体" w:cs="宋体"/>
                      <w:bCs/>
                      <w:color w:val="auto"/>
                      <w:szCs w:val="21"/>
                      <w:lang w:bidi="ar"/>
                    </w:rPr>
                    <w:t>《医疗机构水污染物排放标准》（</w:t>
                  </w:r>
                  <w:r>
                    <w:rPr>
                      <w:bCs/>
                      <w:color w:val="auto"/>
                      <w:szCs w:val="21"/>
                      <w:lang w:bidi="ar"/>
                    </w:rPr>
                    <w:t>GB 18466-2005</w:t>
                  </w:r>
                  <w:r>
                    <w:rPr>
                      <w:rFonts w:ascii="宋体" w:hAnsi="宋体" w:cs="宋体"/>
                      <w:bCs/>
                      <w:color w:val="auto"/>
                      <w:szCs w:val="21"/>
                      <w:lang w:bidi="ar"/>
                    </w:rPr>
                    <w:t>）表</w:t>
                  </w:r>
                  <w:r>
                    <w:rPr>
                      <w:bCs/>
                      <w:color w:val="auto"/>
                      <w:szCs w:val="21"/>
                      <w:lang w:bidi="ar"/>
                    </w:rPr>
                    <w:t>3</w:t>
                  </w:r>
                  <w:r>
                    <w:rPr>
                      <w:rFonts w:ascii="宋体" w:hAnsi="宋体" w:cs="宋体"/>
                      <w:bCs/>
                      <w:color w:val="auto"/>
                      <w:szCs w:val="21"/>
                      <w:lang w:bidi="ar"/>
                    </w:rPr>
                    <w:t>污水处理设施周边大气污染物最高允许浓度</w:t>
                  </w:r>
                </w:p>
              </w:tc>
            </w:tr>
            <w:tr w14:paraId="4E96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49" w:type="dxa"/>
                  <w:vMerge w:val="continue"/>
                  <w:vAlign w:val="center"/>
                </w:tcPr>
                <w:p w14:paraId="2097FFDE">
                  <w:pPr>
                    <w:adjustRightInd w:val="0"/>
                    <w:snapToGrid w:val="0"/>
                    <w:jc w:val="center"/>
                    <w:rPr>
                      <w:rFonts w:hint="eastAsia" w:ascii="宋体" w:hAnsi="宋体" w:cs="宋体"/>
                      <w:bCs/>
                      <w:color w:val="auto"/>
                      <w:szCs w:val="21"/>
                    </w:rPr>
                  </w:pPr>
                </w:p>
              </w:tc>
              <w:tc>
                <w:tcPr>
                  <w:tcW w:w="709" w:type="dxa"/>
                  <w:vAlign w:val="center"/>
                </w:tcPr>
                <w:p w14:paraId="30B44EB8">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厂界噪声</w:t>
                  </w:r>
                </w:p>
              </w:tc>
              <w:tc>
                <w:tcPr>
                  <w:tcW w:w="1275" w:type="dxa"/>
                  <w:vAlign w:val="center"/>
                </w:tcPr>
                <w:p w14:paraId="1DFCD648">
                  <w:pPr>
                    <w:pStyle w:val="31"/>
                    <w:adjustRightInd w:val="0"/>
                    <w:spacing w:line="240" w:lineRule="auto"/>
                    <w:ind w:right="113" w:rightChars="0" w:firstLine="0" w:firstLineChars="0"/>
                    <w:jc w:val="center"/>
                    <w:rPr>
                      <w:rFonts w:hint="eastAsia"/>
                      <w:bCs/>
                      <w:color w:val="auto"/>
                      <w:spacing w:val="-10"/>
                      <w:szCs w:val="21"/>
                    </w:rPr>
                  </w:pPr>
                  <w:r>
                    <w:rPr>
                      <w:bCs/>
                      <w:color w:val="auto"/>
                      <w:spacing w:val="-10"/>
                      <w:szCs w:val="21"/>
                    </w:rPr>
                    <w:t>东南西北厂界</w:t>
                  </w:r>
                </w:p>
              </w:tc>
              <w:tc>
                <w:tcPr>
                  <w:tcW w:w="1544" w:type="dxa"/>
                  <w:vAlign w:val="center"/>
                </w:tcPr>
                <w:p w14:paraId="3C5AC285">
                  <w:pPr>
                    <w:widowControl/>
                    <w:jc w:val="center"/>
                    <w:rPr>
                      <w:color w:val="auto"/>
                      <w:szCs w:val="21"/>
                    </w:rPr>
                  </w:pPr>
                  <w:r>
                    <w:rPr>
                      <w:color w:val="auto"/>
                      <w:kern w:val="0"/>
                      <w:szCs w:val="21"/>
                      <w:lang w:bidi="ar"/>
                    </w:rPr>
                    <w:t>昼间、夜间等效声级</w:t>
                  </w:r>
                </w:p>
                <w:p w14:paraId="5032E816">
                  <w:pPr>
                    <w:widowControl/>
                    <w:jc w:val="center"/>
                    <w:rPr>
                      <w:color w:val="auto"/>
                      <w:szCs w:val="21"/>
                    </w:rPr>
                  </w:pPr>
                  <w:r>
                    <w:rPr>
                      <w:color w:val="auto"/>
                      <w:kern w:val="0"/>
                      <w:szCs w:val="21"/>
                      <w:lang w:bidi="ar"/>
                    </w:rPr>
                    <w:t>Leq(A)</w:t>
                  </w:r>
                </w:p>
                <w:p w14:paraId="6A12571F">
                  <w:pPr>
                    <w:widowControl/>
                    <w:jc w:val="center"/>
                    <w:rPr>
                      <w:rFonts w:ascii="宋体" w:hAnsi="宋体" w:cs="宋体"/>
                      <w:bCs/>
                      <w:color w:val="auto"/>
                      <w:kern w:val="0"/>
                      <w:szCs w:val="21"/>
                      <w:lang w:bidi="ar"/>
                    </w:rPr>
                  </w:pPr>
                </w:p>
              </w:tc>
              <w:tc>
                <w:tcPr>
                  <w:tcW w:w="1155" w:type="dxa"/>
                  <w:vAlign w:val="center"/>
                </w:tcPr>
                <w:p w14:paraId="7A1A8DD1">
                  <w:pPr>
                    <w:widowControl/>
                    <w:jc w:val="center"/>
                    <w:rPr>
                      <w:bCs/>
                      <w:color w:val="auto"/>
                      <w:szCs w:val="21"/>
                    </w:rPr>
                  </w:pPr>
                  <w:r>
                    <w:rPr>
                      <w:bCs/>
                      <w:color w:val="auto"/>
                      <w:kern w:val="0"/>
                      <w:szCs w:val="21"/>
                      <w:lang w:bidi="ar"/>
                    </w:rPr>
                    <w:t>1 次/季度</w:t>
                  </w:r>
                </w:p>
                <w:p w14:paraId="4A3ED57C">
                  <w:pPr>
                    <w:pStyle w:val="31"/>
                    <w:adjustRightInd w:val="0"/>
                    <w:spacing w:line="240" w:lineRule="auto"/>
                    <w:ind w:right="113" w:rightChars="0" w:firstLine="0" w:firstLineChars="0"/>
                    <w:jc w:val="center"/>
                    <w:rPr>
                      <w:bCs/>
                      <w:color w:val="auto"/>
                      <w:kern w:val="0"/>
                      <w:szCs w:val="21"/>
                      <w:lang w:bidi="ar"/>
                    </w:rPr>
                  </w:pPr>
                </w:p>
              </w:tc>
              <w:tc>
                <w:tcPr>
                  <w:tcW w:w="1984" w:type="dxa"/>
                  <w:vAlign w:val="center"/>
                </w:tcPr>
                <w:p w14:paraId="44977128">
                  <w:pPr>
                    <w:widowControl/>
                    <w:jc w:val="center"/>
                    <w:rPr>
                      <w:rFonts w:ascii="宋体" w:hAnsi="宋体" w:cs="宋体"/>
                      <w:bCs/>
                      <w:color w:val="auto"/>
                      <w:szCs w:val="21"/>
                      <w:lang w:bidi="ar"/>
                    </w:rPr>
                  </w:pPr>
                  <w:r>
                    <w:rPr>
                      <w:rFonts w:hint="eastAsia" w:ascii="宋体" w:hAnsi="宋体" w:cs="宋体"/>
                      <w:color w:val="auto"/>
                      <w:kern w:val="0"/>
                      <w:szCs w:val="21"/>
                      <w:lang w:bidi="ar"/>
                    </w:rPr>
                    <w:t>厂界噪声排放限值执行《工业企业厂界环境噪声排放标准》（GB12348-2008）执行 2 类标准</w:t>
                  </w:r>
                </w:p>
              </w:tc>
            </w:tr>
            <w:tr w14:paraId="7330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49" w:type="dxa"/>
                  <w:vMerge w:val="continue"/>
                  <w:vAlign w:val="center"/>
                </w:tcPr>
                <w:p w14:paraId="5A08F3D8">
                  <w:pPr>
                    <w:adjustRightInd w:val="0"/>
                    <w:snapToGrid w:val="0"/>
                    <w:jc w:val="center"/>
                    <w:rPr>
                      <w:rFonts w:hint="eastAsia" w:ascii="宋体" w:hAnsi="宋体" w:cs="宋体"/>
                      <w:bCs/>
                      <w:color w:val="auto"/>
                      <w:szCs w:val="21"/>
                    </w:rPr>
                  </w:pPr>
                </w:p>
              </w:tc>
              <w:tc>
                <w:tcPr>
                  <w:tcW w:w="709" w:type="dxa"/>
                  <w:vAlign w:val="center"/>
                </w:tcPr>
                <w:p w14:paraId="30122F51">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敏感点噪声</w:t>
                  </w:r>
                </w:p>
              </w:tc>
              <w:tc>
                <w:tcPr>
                  <w:tcW w:w="1275" w:type="dxa"/>
                  <w:vAlign w:val="center"/>
                </w:tcPr>
                <w:p w14:paraId="54027B8E">
                  <w:pPr>
                    <w:pStyle w:val="31"/>
                    <w:adjustRightInd w:val="0"/>
                    <w:spacing w:line="240" w:lineRule="auto"/>
                    <w:ind w:right="113" w:rightChars="0" w:firstLine="0" w:firstLineChars="0"/>
                    <w:jc w:val="center"/>
                    <w:rPr>
                      <w:rFonts w:hint="eastAsia"/>
                      <w:bCs/>
                      <w:color w:val="auto"/>
                      <w:spacing w:val="-10"/>
                      <w:szCs w:val="21"/>
                    </w:rPr>
                  </w:pPr>
                  <w:r>
                    <w:rPr>
                      <w:rFonts w:hint="eastAsia" w:ascii="宋体" w:hAnsi="宋体" w:cs="宋体"/>
                      <w:color w:val="auto"/>
                      <w:szCs w:val="21"/>
                      <w:lang w:val="en-US" w:eastAsia="zh-CN"/>
                    </w:rPr>
                    <w:t>杨广镇</w:t>
                  </w:r>
                  <w:r>
                    <w:rPr>
                      <w:rFonts w:hint="eastAsia" w:ascii="宋体" w:hAnsi="宋体" w:cs="宋体"/>
                      <w:color w:val="auto"/>
                      <w:szCs w:val="21"/>
                    </w:rPr>
                    <w:t>（</w:t>
                  </w:r>
                  <w:r>
                    <w:rPr>
                      <w:rFonts w:hint="eastAsia" w:ascii="宋体" w:hAnsi="宋体" w:cs="宋体"/>
                      <w:color w:val="auto"/>
                      <w:kern w:val="2"/>
                      <w:szCs w:val="21"/>
                    </w:rPr>
                    <w:t>坐标为东经</w:t>
                  </w:r>
                  <w:r>
                    <w:rPr>
                      <w:color w:val="auto"/>
                      <w:szCs w:val="21"/>
                    </w:rPr>
                    <w:t>102°47′52.175″</w:t>
                  </w:r>
                  <w:r>
                    <w:rPr>
                      <w:rFonts w:hint="eastAsia" w:ascii="宋体" w:hAnsi="宋体" w:cs="宋体"/>
                      <w:color w:val="auto"/>
                      <w:kern w:val="2"/>
                      <w:szCs w:val="21"/>
                    </w:rPr>
                    <w:t>，24°8′18.990″)</w:t>
                  </w:r>
                </w:p>
              </w:tc>
              <w:tc>
                <w:tcPr>
                  <w:tcW w:w="1544" w:type="dxa"/>
                  <w:vAlign w:val="center"/>
                </w:tcPr>
                <w:p w14:paraId="516C36C5">
                  <w:pPr>
                    <w:widowControl/>
                    <w:jc w:val="center"/>
                    <w:rPr>
                      <w:color w:val="auto"/>
                      <w:szCs w:val="21"/>
                    </w:rPr>
                  </w:pPr>
                  <w:r>
                    <w:rPr>
                      <w:color w:val="auto"/>
                      <w:kern w:val="0"/>
                      <w:szCs w:val="21"/>
                      <w:lang w:bidi="ar"/>
                    </w:rPr>
                    <w:t>昼间、夜间等效声级</w:t>
                  </w:r>
                </w:p>
                <w:p w14:paraId="22BBF570">
                  <w:pPr>
                    <w:widowControl/>
                    <w:jc w:val="center"/>
                    <w:rPr>
                      <w:color w:val="auto"/>
                      <w:szCs w:val="21"/>
                    </w:rPr>
                  </w:pPr>
                  <w:r>
                    <w:rPr>
                      <w:color w:val="auto"/>
                      <w:kern w:val="0"/>
                      <w:szCs w:val="21"/>
                      <w:lang w:bidi="ar"/>
                    </w:rPr>
                    <w:t>Leq(A)</w:t>
                  </w:r>
                </w:p>
                <w:p w14:paraId="7D417F9D">
                  <w:pPr>
                    <w:widowControl/>
                    <w:jc w:val="center"/>
                    <w:rPr>
                      <w:rFonts w:ascii="宋体" w:hAnsi="宋体" w:cs="宋体"/>
                      <w:bCs/>
                      <w:color w:val="auto"/>
                      <w:kern w:val="0"/>
                      <w:szCs w:val="21"/>
                      <w:lang w:bidi="ar"/>
                    </w:rPr>
                  </w:pPr>
                </w:p>
              </w:tc>
              <w:tc>
                <w:tcPr>
                  <w:tcW w:w="1155" w:type="dxa"/>
                  <w:vAlign w:val="center"/>
                </w:tcPr>
                <w:p w14:paraId="353C899E">
                  <w:pPr>
                    <w:widowControl/>
                    <w:jc w:val="center"/>
                    <w:rPr>
                      <w:bCs/>
                      <w:color w:val="auto"/>
                      <w:szCs w:val="21"/>
                    </w:rPr>
                  </w:pPr>
                  <w:r>
                    <w:rPr>
                      <w:bCs/>
                      <w:color w:val="auto"/>
                      <w:kern w:val="0"/>
                      <w:szCs w:val="21"/>
                      <w:lang w:bidi="ar"/>
                    </w:rPr>
                    <w:t>1 次/季度</w:t>
                  </w:r>
                </w:p>
                <w:p w14:paraId="4F0C4D49">
                  <w:pPr>
                    <w:pStyle w:val="31"/>
                    <w:adjustRightInd w:val="0"/>
                    <w:spacing w:line="240" w:lineRule="auto"/>
                    <w:ind w:right="113" w:rightChars="0" w:firstLine="0" w:firstLineChars="0"/>
                    <w:jc w:val="center"/>
                    <w:rPr>
                      <w:bCs/>
                      <w:color w:val="auto"/>
                      <w:kern w:val="0"/>
                      <w:szCs w:val="21"/>
                      <w:lang w:bidi="ar"/>
                    </w:rPr>
                  </w:pPr>
                </w:p>
              </w:tc>
              <w:tc>
                <w:tcPr>
                  <w:tcW w:w="1984" w:type="dxa"/>
                  <w:vAlign w:val="center"/>
                </w:tcPr>
                <w:p w14:paraId="46C496DE">
                  <w:pPr>
                    <w:widowControl/>
                    <w:jc w:val="center"/>
                    <w:rPr>
                      <w:rFonts w:ascii="宋体" w:hAnsi="宋体" w:cs="宋体"/>
                      <w:bCs/>
                      <w:color w:val="auto"/>
                      <w:szCs w:val="21"/>
                      <w:lang w:bidi="ar"/>
                    </w:rPr>
                  </w:pPr>
                  <w:r>
                    <w:rPr>
                      <w:bCs/>
                      <w:color w:val="auto"/>
                      <w:spacing w:val="-10"/>
                      <w:szCs w:val="21"/>
                    </w:rPr>
                    <w:t>执行《声环境质量标准》GB3096-2008）2类标准要求</w:t>
                  </w:r>
                </w:p>
              </w:tc>
            </w:tr>
          </w:tbl>
          <w:p w14:paraId="1A7F9DA4">
            <w:pPr>
              <w:pStyle w:val="3"/>
              <w:spacing w:before="0" w:after="0" w:line="360" w:lineRule="auto"/>
              <w:ind w:firstLine="1687" w:firstLineChars="700"/>
              <w:rPr>
                <w:rFonts w:hint="eastAsia" w:ascii="宋体" w:hAnsi="宋体" w:eastAsia="宋体" w:cs="宋体"/>
                <w:color w:val="auto"/>
                <w:sz w:val="24"/>
                <w:szCs w:val="24"/>
              </w:rPr>
            </w:pPr>
          </w:p>
          <w:p w14:paraId="228CB47F">
            <w:pPr>
              <w:rPr>
                <w:rFonts w:hint="eastAsia" w:ascii="宋体" w:hAnsi="宋体" w:eastAsia="宋体" w:cs="宋体"/>
                <w:color w:val="auto"/>
                <w:sz w:val="24"/>
                <w:szCs w:val="24"/>
              </w:rPr>
            </w:pPr>
          </w:p>
          <w:p w14:paraId="17BA3F7E">
            <w:pPr>
              <w:rPr>
                <w:rFonts w:hint="eastAsia" w:ascii="宋体" w:hAnsi="宋体" w:eastAsia="宋体" w:cs="宋体"/>
                <w:color w:val="auto"/>
                <w:sz w:val="24"/>
                <w:szCs w:val="24"/>
              </w:rPr>
            </w:pPr>
          </w:p>
          <w:p w14:paraId="2E5E0973">
            <w:pPr>
              <w:rPr>
                <w:rFonts w:hint="eastAsia" w:ascii="宋体" w:hAnsi="宋体" w:eastAsia="宋体" w:cs="宋体"/>
                <w:color w:val="auto"/>
                <w:sz w:val="24"/>
                <w:szCs w:val="24"/>
              </w:rPr>
            </w:pPr>
          </w:p>
          <w:p w14:paraId="349F770B">
            <w:pPr>
              <w:rPr>
                <w:rFonts w:hint="eastAsia" w:ascii="宋体" w:hAnsi="宋体" w:eastAsia="宋体" w:cs="宋体"/>
                <w:color w:val="auto"/>
                <w:sz w:val="24"/>
                <w:szCs w:val="24"/>
              </w:rPr>
            </w:pPr>
          </w:p>
          <w:p w14:paraId="2588FFD1">
            <w:pPr>
              <w:rPr>
                <w:rFonts w:hint="eastAsia" w:ascii="宋体" w:hAnsi="宋体" w:eastAsia="宋体" w:cs="宋体"/>
                <w:color w:val="auto"/>
                <w:sz w:val="24"/>
                <w:szCs w:val="24"/>
              </w:rPr>
            </w:pPr>
          </w:p>
          <w:p w14:paraId="2AB29946">
            <w:pPr>
              <w:rPr>
                <w:rFonts w:hint="eastAsia" w:ascii="宋体" w:hAnsi="宋体" w:eastAsia="宋体" w:cs="宋体"/>
                <w:color w:val="auto"/>
                <w:sz w:val="24"/>
                <w:szCs w:val="24"/>
              </w:rPr>
            </w:pPr>
          </w:p>
          <w:p w14:paraId="21AA77CE">
            <w:pPr>
              <w:rPr>
                <w:rFonts w:hint="eastAsia" w:ascii="宋体" w:hAnsi="宋体" w:eastAsia="宋体" w:cs="宋体"/>
                <w:color w:val="auto"/>
                <w:sz w:val="24"/>
                <w:szCs w:val="24"/>
              </w:rPr>
            </w:pPr>
          </w:p>
          <w:p w14:paraId="33E90056">
            <w:pPr>
              <w:rPr>
                <w:rFonts w:hint="eastAsia" w:ascii="宋体" w:hAnsi="宋体" w:eastAsia="宋体" w:cs="宋体"/>
                <w:color w:val="auto"/>
                <w:sz w:val="24"/>
                <w:szCs w:val="24"/>
              </w:rPr>
            </w:pPr>
          </w:p>
          <w:p w14:paraId="6F2584FB">
            <w:pPr>
              <w:rPr>
                <w:rFonts w:hint="eastAsia" w:ascii="宋体" w:hAnsi="宋体" w:eastAsia="宋体" w:cs="宋体"/>
                <w:color w:val="auto"/>
                <w:sz w:val="24"/>
                <w:szCs w:val="24"/>
              </w:rPr>
            </w:pPr>
          </w:p>
          <w:p w14:paraId="2DF0E034">
            <w:pPr>
              <w:rPr>
                <w:rFonts w:hint="eastAsia" w:ascii="宋体" w:hAnsi="宋体" w:eastAsia="宋体" w:cs="宋体"/>
                <w:color w:val="auto"/>
                <w:sz w:val="24"/>
                <w:szCs w:val="24"/>
              </w:rPr>
            </w:pPr>
          </w:p>
          <w:p w14:paraId="4C3EE9DE">
            <w:pPr>
              <w:rPr>
                <w:rFonts w:hint="eastAsia" w:ascii="宋体" w:hAnsi="宋体" w:eastAsia="宋体" w:cs="宋体"/>
                <w:color w:val="auto"/>
                <w:sz w:val="24"/>
                <w:szCs w:val="24"/>
              </w:rPr>
            </w:pPr>
          </w:p>
          <w:p w14:paraId="45628F37">
            <w:pPr>
              <w:rPr>
                <w:rFonts w:hint="eastAsia" w:ascii="宋体" w:hAnsi="宋体" w:eastAsia="宋体" w:cs="宋体"/>
                <w:color w:val="auto"/>
                <w:sz w:val="24"/>
                <w:szCs w:val="24"/>
              </w:rPr>
            </w:pPr>
          </w:p>
          <w:p w14:paraId="1F098442">
            <w:pPr>
              <w:rPr>
                <w:rFonts w:hint="eastAsia" w:ascii="宋体" w:hAnsi="宋体" w:eastAsia="宋体" w:cs="宋体"/>
                <w:color w:val="auto"/>
                <w:sz w:val="24"/>
                <w:szCs w:val="24"/>
              </w:rPr>
            </w:pPr>
          </w:p>
          <w:p w14:paraId="174461AB">
            <w:pPr>
              <w:rPr>
                <w:rFonts w:hint="eastAsia" w:ascii="宋体" w:hAnsi="宋体" w:eastAsia="宋体" w:cs="宋体"/>
                <w:color w:val="auto"/>
                <w:sz w:val="24"/>
                <w:szCs w:val="24"/>
              </w:rPr>
            </w:pPr>
          </w:p>
          <w:p w14:paraId="307FD24E">
            <w:pPr>
              <w:rPr>
                <w:rFonts w:hint="eastAsia" w:ascii="宋体" w:hAnsi="宋体" w:eastAsia="宋体" w:cs="宋体"/>
                <w:color w:val="auto"/>
                <w:sz w:val="24"/>
                <w:szCs w:val="24"/>
              </w:rPr>
            </w:pPr>
          </w:p>
          <w:p w14:paraId="5799556D">
            <w:pPr>
              <w:rPr>
                <w:rFonts w:hint="eastAsia" w:ascii="宋体" w:hAnsi="宋体" w:eastAsia="宋体" w:cs="宋体"/>
                <w:color w:val="auto"/>
                <w:sz w:val="24"/>
                <w:szCs w:val="24"/>
              </w:rPr>
            </w:pPr>
          </w:p>
          <w:p w14:paraId="067B8793">
            <w:pPr>
              <w:rPr>
                <w:rFonts w:hint="eastAsia" w:ascii="宋体" w:hAnsi="宋体" w:eastAsia="宋体" w:cs="宋体"/>
                <w:color w:val="auto"/>
                <w:sz w:val="24"/>
                <w:szCs w:val="24"/>
              </w:rPr>
            </w:pPr>
          </w:p>
          <w:p w14:paraId="6E5E5D89">
            <w:pPr>
              <w:rPr>
                <w:rFonts w:hint="eastAsia" w:ascii="宋体" w:hAnsi="宋体" w:eastAsia="宋体" w:cs="宋体"/>
                <w:color w:val="auto"/>
                <w:sz w:val="24"/>
                <w:szCs w:val="24"/>
              </w:rPr>
            </w:pPr>
          </w:p>
          <w:p w14:paraId="504B519F">
            <w:pPr>
              <w:rPr>
                <w:rFonts w:hint="eastAsia" w:ascii="宋体" w:hAnsi="宋体" w:eastAsia="宋体" w:cs="宋体"/>
                <w:color w:val="auto"/>
                <w:sz w:val="24"/>
                <w:szCs w:val="24"/>
              </w:rPr>
            </w:pPr>
          </w:p>
          <w:p w14:paraId="51054969">
            <w:pPr>
              <w:rPr>
                <w:rFonts w:hint="eastAsia" w:ascii="宋体" w:hAnsi="宋体" w:eastAsia="宋体" w:cs="宋体"/>
                <w:color w:val="auto"/>
                <w:sz w:val="24"/>
                <w:szCs w:val="24"/>
              </w:rPr>
            </w:pPr>
          </w:p>
          <w:p w14:paraId="1BB9EE77">
            <w:pPr>
              <w:rPr>
                <w:rFonts w:hint="eastAsia" w:ascii="宋体" w:hAnsi="宋体" w:eastAsia="宋体" w:cs="宋体"/>
                <w:color w:val="auto"/>
                <w:sz w:val="24"/>
                <w:szCs w:val="24"/>
              </w:rPr>
            </w:pPr>
          </w:p>
          <w:p w14:paraId="1B242D03">
            <w:pPr>
              <w:rPr>
                <w:rFonts w:hint="eastAsia" w:ascii="宋体" w:hAnsi="宋体" w:eastAsia="宋体" w:cs="宋体"/>
                <w:color w:val="auto"/>
                <w:sz w:val="24"/>
                <w:szCs w:val="24"/>
              </w:rPr>
            </w:pPr>
          </w:p>
          <w:p w14:paraId="5E3093AD">
            <w:pPr>
              <w:rPr>
                <w:rFonts w:hint="eastAsia" w:ascii="宋体" w:hAnsi="宋体" w:eastAsia="宋体" w:cs="宋体"/>
                <w:color w:val="auto"/>
                <w:sz w:val="24"/>
                <w:szCs w:val="24"/>
              </w:rPr>
            </w:pPr>
          </w:p>
          <w:p w14:paraId="394554E3">
            <w:pPr>
              <w:rPr>
                <w:rFonts w:hint="eastAsia" w:ascii="宋体" w:hAnsi="宋体" w:eastAsia="宋体" w:cs="宋体"/>
                <w:color w:val="auto"/>
                <w:sz w:val="24"/>
                <w:szCs w:val="24"/>
              </w:rPr>
            </w:pPr>
          </w:p>
          <w:p w14:paraId="7F2DA827">
            <w:pPr>
              <w:rPr>
                <w:rFonts w:hint="eastAsia" w:ascii="宋体" w:hAnsi="宋体" w:eastAsia="宋体" w:cs="宋体"/>
                <w:color w:val="auto"/>
                <w:sz w:val="24"/>
                <w:szCs w:val="24"/>
              </w:rPr>
            </w:pPr>
          </w:p>
          <w:p w14:paraId="293E7D7C">
            <w:pPr>
              <w:jc w:val="left"/>
              <w:rPr>
                <w:rFonts w:hint="eastAsia"/>
                <w:color w:val="auto"/>
                <w:szCs w:val="21"/>
              </w:rPr>
            </w:pPr>
          </w:p>
        </w:tc>
      </w:tr>
    </w:tbl>
    <w:p w14:paraId="17758BC8">
      <w:pPr>
        <w:pStyle w:val="29"/>
        <w:jc w:val="both"/>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87" w:name="_Toc13516"/>
      <w:r>
        <w:rPr>
          <w:rFonts w:hint="eastAsia" w:ascii="Times New Roman" w:hAnsi="Times New Roman" w:eastAsia="黑体"/>
          <w:snapToGrid w:val="0"/>
          <w:color w:val="auto"/>
          <w:sz w:val="30"/>
          <w:szCs w:val="30"/>
        </w:rPr>
        <w:t>六、</w:t>
      </w:r>
      <w:r>
        <w:rPr>
          <w:rFonts w:ascii="Times New Roman" w:hAnsi="Times New Roman" w:eastAsia="黑体"/>
          <w:snapToGrid w:val="0"/>
          <w:color w:val="auto"/>
          <w:sz w:val="30"/>
          <w:szCs w:val="30"/>
        </w:rPr>
        <w:t>结论</w:t>
      </w:r>
      <w:bookmarkEnd w:id="87"/>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14:paraId="2049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9060" w:type="dxa"/>
          </w:tcPr>
          <w:p w14:paraId="13802D88">
            <w:pPr>
              <w:keepNext/>
              <w:keepLines/>
              <w:adjustRightInd w:val="0"/>
              <w:snapToGrid w:val="0"/>
              <w:spacing w:line="360" w:lineRule="auto"/>
              <w:ind w:firstLine="480" w:firstLineChars="200"/>
              <w:jc w:val="left"/>
              <w:rPr>
                <w:color w:val="auto"/>
                <w:sz w:val="24"/>
              </w:rPr>
            </w:pPr>
            <w:r>
              <w:rPr>
                <w:rFonts w:hint="eastAsia"/>
                <w:color w:val="auto"/>
                <w:sz w:val="24"/>
              </w:rPr>
              <w:t>本</w:t>
            </w:r>
            <w:r>
              <w:rPr>
                <w:color w:val="auto"/>
                <w:sz w:val="24"/>
              </w:rPr>
              <w:t>项目位于</w:t>
            </w:r>
            <w:r>
              <w:rPr>
                <w:rFonts w:hint="eastAsia"/>
                <w:color w:val="auto"/>
                <w:sz w:val="24"/>
              </w:rPr>
              <w:t>云南省通海县，</w:t>
            </w:r>
            <w:r>
              <w:rPr>
                <w:color w:val="auto"/>
                <w:sz w:val="24"/>
              </w:rPr>
              <w:t>通过对该项目的工程分析和环境影响分析可得如下结论：</w:t>
            </w:r>
          </w:p>
          <w:p w14:paraId="375F84E3">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r>
              <w:rPr>
                <w:rFonts w:hint="eastAsia" w:ascii="Times New Roman" w:hAnsi="Times New Roman"/>
                <w:color w:val="auto"/>
                <w:szCs w:val="24"/>
              </w:rPr>
              <w:t>本项目的建设</w:t>
            </w:r>
            <w:r>
              <w:rPr>
                <w:color w:val="auto"/>
                <w:kern w:val="24"/>
              </w:rPr>
              <w:t>符合</w:t>
            </w:r>
            <w:r>
              <w:rPr>
                <w:rFonts w:hint="eastAsia"/>
                <w:color w:val="auto"/>
                <w:kern w:val="24"/>
              </w:rPr>
              <w:t>所在地“三线一单”（生态保护红线、环境质量底线、资源利用上线和生态环境准入清单）中相关要求，符合相关生态环境保护法律法规政策。符合</w:t>
            </w:r>
            <w:r>
              <w:rPr>
                <w:rFonts w:hint="eastAsia" w:ascii="Times New Roman" w:hAnsi="Times New Roman"/>
                <w:color w:val="auto"/>
                <w:szCs w:val="24"/>
              </w:rPr>
              <w:t>国家产业政策，选址合理，通过对项目所在地区的环境现状以及项目产生的环境影响进行分析，</w:t>
            </w:r>
            <w:r>
              <w:rPr>
                <w:color w:val="auto"/>
                <w:kern w:val="24"/>
              </w:rPr>
              <w:t>项目运营期产生的废气、废水、噪声、固废通过采取相应的措施处理、处置后，能够达标排放，不会对项目区及外环境造成大的影响。通过</w:t>
            </w:r>
            <w:r>
              <w:rPr>
                <w:rFonts w:hint="eastAsia"/>
                <w:color w:val="auto"/>
                <w:kern w:val="24"/>
              </w:rPr>
              <w:t>本</w:t>
            </w:r>
            <w:r>
              <w:rPr>
                <w:color w:val="auto"/>
                <w:kern w:val="24"/>
              </w:rPr>
              <w:t>分析，项目采取的污染控制措施有效、可行。在认真落实环评中提出的污染防治对策措施，保证治理设施正常运转，确保污染物达标排放的情况下，项目建设不会降低和改变该区域的环境质量和环境功能。从环境保护角度看，项目的建设是可行的。</w:t>
            </w:r>
          </w:p>
          <w:p w14:paraId="6679C111">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67F0A9C0">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16AD1F44">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0A95387E">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19A4E383">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65B8D2BB">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7E794E56">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0EBF237E">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55C16221">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76DE5F28">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4BF57332">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22513423">
            <w:pPr>
              <w:pStyle w:val="29"/>
              <w:adjustRightInd w:val="0"/>
              <w:snapToGrid w:val="0"/>
              <w:spacing w:beforeAutospacing="0" w:afterAutospacing="0" w:line="360" w:lineRule="auto"/>
              <w:jc w:val="both"/>
              <w:rPr>
                <w:rFonts w:ascii="Times New Roman" w:hAnsi="Times New Roman"/>
                <w:color w:val="auto"/>
                <w:szCs w:val="24"/>
              </w:rPr>
            </w:pPr>
          </w:p>
        </w:tc>
      </w:tr>
    </w:tbl>
    <w:p w14:paraId="3272345F">
      <w:pPr>
        <w:pStyle w:val="29"/>
        <w:jc w:val="both"/>
        <w:outlineLvl w:val="0"/>
        <w:rPr>
          <w:rFonts w:ascii="Times New Roman" w:hAnsi="Times New Roman" w:eastAsia="黑体"/>
          <w:snapToGrid w:val="0"/>
          <w:color w:val="auto"/>
          <w:sz w:val="30"/>
          <w:szCs w:val="30"/>
        </w:rPr>
        <w:sectPr>
          <w:footerReference r:id="rId7" w:type="default"/>
          <w:pgSz w:w="11906" w:h="16838"/>
          <w:pgMar w:top="1531" w:right="1701" w:bottom="1531" w:left="1701" w:header="851" w:footer="851" w:gutter="0"/>
          <w:cols w:space="720" w:num="1"/>
          <w:docGrid w:linePitch="312" w:charSpace="0"/>
        </w:sectPr>
      </w:pPr>
    </w:p>
    <w:p w14:paraId="1DDEF7CD">
      <w:pPr>
        <w:pStyle w:val="29"/>
        <w:jc w:val="both"/>
        <w:outlineLvl w:val="0"/>
        <w:rPr>
          <w:rFonts w:ascii="Times New Roman" w:hAnsi="Times New Roman" w:eastAsia="黑体"/>
          <w:snapToGrid w:val="0"/>
          <w:color w:val="auto"/>
          <w:sz w:val="30"/>
          <w:szCs w:val="30"/>
        </w:rPr>
      </w:pPr>
    </w:p>
    <w:p w14:paraId="0DD54393">
      <w:pPr>
        <w:pStyle w:val="29"/>
        <w:adjustRightInd w:val="0"/>
        <w:snapToGrid w:val="0"/>
        <w:spacing w:before="0" w:beforeAutospacing="0" w:after="0" w:afterAutospacing="0"/>
        <w:outlineLvl w:val="0"/>
        <w:rPr>
          <w:rFonts w:ascii="Times New Roman" w:hAnsi="Times New Roman" w:eastAsia="黑体"/>
          <w:snapToGrid w:val="0"/>
          <w:color w:val="auto"/>
          <w:sz w:val="32"/>
          <w:szCs w:val="32"/>
        </w:rPr>
      </w:pPr>
      <w:bookmarkStart w:id="88" w:name="_Toc21860"/>
      <w:r>
        <w:rPr>
          <w:rFonts w:ascii="Times New Roman" w:hAnsi="Times New Roman" w:eastAsia="黑体"/>
          <w:snapToGrid w:val="0"/>
          <w:color w:val="auto"/>
          <w:sz w:val="32"/>
          <w:szCs w:val="32"/>
        </w:rPr>
        <w:t>附表</w:t>
      </w:r>
      <w:bookmarkEnd w:id="88"/>
    </w:p>
    <w:p w14:paraId="498E188C">
      <w:pPr>
        <w:pStyle w:val="29"/>
        <w:adjustRightInd w:val="0"/>
        <w:snapToGrid w:val="0"/>
        <w:spacing w:before="0" w:beforeAutospacing="0" w:after="0" w:afterAutospacing="0"/>
        <w:jc w:val="center"/>
        <w:outlineLvl w:val="0"/>
        <w:rPr>
          <w:rFonts w:ascii="Times New Roman" w:hAnsi="Times New Roman" w:eastAsia="方正小标宋_GBK"/>
          <w:snapToGrid w:val="0"/>
          <w:color w:val="auto"/>
          <w:sz w:val="38"/>
          <w:szCs w:val="38"/>
        </w:rPr>
      </w:pPr>
      <w:bookmarkStart w:id="89" w:name="_Toc10689"/>
      <w:r>
        <w:rPr>
          <w:rFonts w:ascii="Times New Roman" w:hAnsi="Times New Roman" w:eastAsia="方正小标宋_GBK"/>
          <w:snapToGrid w:val="0"/>
          <w:color w:val="auto"/>
          <w:sz w:val="38"/>
          <w:szCs w:val="38"/>
        </w:rPr>
        <w:t>建设项目污染物排放量汇总表</w:t>
      </w:r>
      <w:bookmarkEnd w:id="89"/>
    </w:p>
    <w:tbl>
      <w:tblPr>
        <w:tblStyle w:val="3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708"/>
        <w:gridCol w:w="873"/>
        <w:gridCol w:w="1537"/>
        <w:gridCol w:w="1276"/>
        <w:gridCol w:w="1701"/>
        <w:gridCol w:w="1495"/>
        <w:gridCol w:w="1825"/>
        <w:gridCol w:w="1811"/>
        <w:gridCol w:w="974"/>
      </w:tblGrid>
      <w:tr w14:paraId="3AFB88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6B508AE6">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项目</w:t>
            </w:r>
          </w:p>
          <w:p w14:paraId="0BED83CE">
            <w:pPr>
              <w:pStyle w:val="65"/>
              <w:spacing w:beforeLines="0" w:afterLines="0" w:line="240" w:lineRule="auto"/>
              <w:ind w:firstLine="198" w:firstLineChars="100"/>
              <w:jc w:val="both"/>
              <w:rPr>
                <w:rFonts w:ascii="Times New Roman"/>
                <w:bCs/>
                <w:snapToGrid w:val="0"/>
                <w:color w:val="0000FF"/>
                <w:spacing w:val="-6"/>
                <w:kern w:val="21"/>
                <w:szCs w:val="21"/>
              </w:rPr>
            </w:pPr>
            <w:r>
              <w:rPr>
                <w:rFonts w:ascii="Times New Roman"/>
                <w:bCs/>
                <w:snapToGrid w:val="0"/>
                <w:color w:val="0000FF"/>
                <w:spacing w:val="-6"/>
                <w:kern w:val="21"/>
                <w:szCs w:val="21"/>
              </w:rPr>
              <w:t>分类</w:t>
            </w:r>
          </w:p>
        </w:tc>
        <w:tc>
          <w:tcPr>
            <w:tcW w:w="1581" w:type="dxa"/>
            <w:gridSpan w:val="2"/>
            <w:tcMar>
              <w:left w:w="28" w:type="dxa"/>
              <w:right w:w="28" w:type="dxa"/>
            </w:tcMar>
            <w:vAlign w:val="center"/>
          </w:tcPr>
          <w:p w14:paraId="31E63F31">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污染物名称</w:t>
            </w:r>
          </w:p>
        </w:tc>
        <w:tc>
          <w:tcPr>
            <w:tcW w:w="1537" w:type="dxa"/>
            <w:tcMar>
              <w:left w:w="28" w:type="dxa"/>
              <w:right w:w="28" w:type="dxa"/>
            </w:tcMar>
            <w:vAlign w:val="center"/>
          </w:tcPr>
          <w:p w14:paraId="69130DF8">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现有工程</w:t>
            </w:r>
          </w:p>
          <w:p w14:paraId="1B0BD4C3">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排放量（固体废物产生量）</w:t>
            </w:r>
            <w:r>
              <w:rPr>
                <w:rFonts w:ascii="Times New Roman"/>
                <w:bCs/>
                <w:snapToGrid w:val="0"/>
                <w:color w:val="0000FF"/>
                <w:spacing w:val="-6"/>
                <w:kern w:val="21"/>
                <w:szCs w:val="21"/>
              </w:rPr>
              <w:fldChar w:fldCharType="begin"/>
            </w:r>
            <w:r>
              <w:rPr>
                <w:rFonts w:ascii="Times New Roman"/>
                <w:bCs/>
                <w:snapToGrid w:val="0"/>
                <w:color w:val="0000FF"/>
                <w:spacing w:val="-6"/>
                <w:kern w:val="21"/>
                <w:szCs w:val="21"/>
              </w:rPr>
              <w:instrText xml:space="preserve"> = 1 \* GB3 \* MERGEFORMAT </w:instrText>
            </w:r>
            <w:r>
              <w:rPr>
                <w:rFonts w:ascii="Times New Roman"/>
                <w:bCs/>
                <w:snapToGrid w:val="0"/>
                <w:color w:val="0000FF"/>
                <w:spacing w:val="-6"/>
                <w:kern w:val="21"/>
                <w:szCs w:val="21"/>
              </w:rPr>
              <w:fldChar w:fldCharType="separate"/>
            </w:r>
            <w:r>
              <w:rPr>
                <w:rFonts w:ascii="Times New Roman"/>
                <w:bCs/>
                <w:color w:val="0000FF"/>
                <w:kern w:val="2"/>
                <w:szCs w:val="21"/>
              </w:rPr>
              <w:t>①</w:t>
            </w:r>
            <w:r>
              <w:rPr>
                <w:rFonts w:ascii="Times New Roman"/>
                <w:bCs/>
                <w:snapToGrid w:val="0"/>
                <w:color w:val="0000FF"/>
                <w:spacing w:val="-6"/>
                <w:kern w:val="21"/>
                <w:szCs w:val="21"/>
              </w:rPr>
              <w:fldChar w:fldCharType="end"/>
            </w:r>
          </w:p>
        </w:tc>
        <w:tc>
          <w:tcPr>
            <w:tcW w:w="1276" w:type="dxa"/>
            <w:tcMar>
              <w:left w:w="28" w:type="dxa"/>
              <w:right w:w="28" w:type="dxa"/>
            </w:tcMar>
            <w:vAlign w:val="center"/>
          </w:tcPr>
          <w:p w14:paraId="2FEE055F">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现有工程</w:t>
            </w:r>
          </w:p>
          <w:p w14:paraId="5950E0C1">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许可排放量</w:t>
            </w:r>
          </w:p>
          <w:p w14:paraId="0ECB44C0">
            <w:pPr>
              <w:pStyle w:val="65"/>
              <w:spacing w:beforeLines="0" w:afterLines="0"/>
              <w:rPr>
                <w:rFonts w:ascii="Times New Roman"/>
                <w:bCs/>
                <w:snapToGrid w:val="0"/>
                <w:color w:val="0000FF"/>
                <w:spacing w:val="-6"/>
                <w:kern w:val="21"/>
                <w:szCs w:val="21"/>
              </w:rPr>
            </w:pPr>
            <w:r>
              <w:rPr>
                <w:rFonts w:ascii="Times New Roman"/>
                <w:bCs/>
                <w:snapToGrid w:val="0"/>
                <w:color w:val="0000FF"/>
                <w:spacing w:val="-6"/>
                <w:kern w:val="21"/>
                <w:szCs w:val="21"/>
              </w:rPr>
              <w:fldChar w:fldCharType="begin"/>
            </w:r>
            <w:r>
              <w:rPr>
                <w:rFonts w:ascii="Times New Roman"/>
                <w:bCs/>
                <w:snapToGrid w:val="0"/>
                <w:color w:val="0000FF"/>
                <w:spacing w:val="-6"/>
                <w:kern w:val="21"/>
                <w:szCs w:val="21"/>
              </w:rPr>
              <w:instrText xml:space="preserve"> = 2 \* GB3 \* MERGEFORMAT </w:instrText>
            </w:r>
            <w:r>
              <w:rPr>
                <w:rFonts w:ascii="Times New Roman"/>
                <w:bCs/>
                <w:snapToGrid w:val="0"/>
                <w:color w:val="0000FF"/>
                <w:spacing w:val="-6"/>
                <w:kern w:val="21"/>
                <w:szCs w:val="21"/>
              </w:rPr>
              <w:fldChar w:fldCharType="separate"/>
            </w:r>
            <w:r>
              <w:rPr>
                <w:rFonts w:ascii="Times New Roman"/>
                <w:bCs/>
                <w:snapToGrid w:val="0"/>
                <w:color w:val="0000FF"/>
                <w:spacing w:val="-6"/>
                <w:kern w:val="21"/>
                <w:szCs w:val="21"/>
              </w:rPr>
              <w:t>②</w:t>
            </w:r>
            <w:r>
              <w:rPr>
                <w:rFonts w:ascii="Times New Roman"/>
                <w:bCs/>
                <w:snapToGrid w:val="0"/>
                <w:color w:val="0000FF"/>
                <w:spacing w:val="-6"/>
                <w:kern w:val="21"/>
                <w:szCs w:val="21"/>
              </w:rPr>
              <w:fldChar w:fldCharType="end"/>
            </w:r>
          </w:p>
        </w:tc>
        <w:tc>
          <w:tcPr>
            <w:tcW w:w="1701" w:type="dxa"/>
            <w:tcMar>
              <w:left w:w="28" w:type="dxa"/>
              <w:right w:w="28" w:type="dxa"/>
            </w:tcMar>
            <w:vAlign w:val="center"/>
          </w:tcPr>
          <w:p w14:paraId="27193E29">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在建工程</w:t>
            </w:r>
          </w:p>
          <w:p w14:paraId="0E727E85">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排放量（固体废物产生量）</w:t>
            </w:r>
            <w:r>
              <w:rPr>
                <w:rFonts w:ascii="Times New Roman"/>
                <w:bCs/>
                <w:snapToGrid w:val="0"/>
                <w:color w:val="0000FF"/>
                <w:spacing w:val="-6"/>
                <w:kern w:val="21"/>
                <w:szCs w:val="21"/>
              </w:rPr>
              <w:fldChar w:fldCharType="begin"/>
            </w:r>
            <w:r>
              <w:rPr>
                <w:rFonts w:ascii="Times New Roman"/>
                <w:bCs/>
                <w:snapToGrid w:val="0"/>
                <w:color w:val="0000FF"/>
                <w:spacing w:val="-6"/>
                <w:kern w:val="21"/>
                <w:szCs w:val="21"/>
              </w:rPr>
              <w:instrText xml:space="preserve"> = 3 \* GB3 \* MERGEFORMAT </w:instrText>
            </w:r>
            <w:r>
              <w:rPr>
                <w:rFonts w:ascii="Times New Roman"/>
                <w:bCs/>
                <w:snapToGrid w:val="0"/>
                <w:color w:val="0000FF"/>
                <w:spacing w:val="-6"/>
                <w:kern w:val="21"/>
                <w:szCs w:val="21"/>
              </w:rPr>
              <w:fldChar w:fldCharType="separate"/>
            </w:r>
            <w:r>
              <w:rPr>
                <w:rFonts w:ascii="Times New Roman"/>
                <w:bCs/>
                <w:color w:val="0000FF"/>
                <w:kern w:val="2"/>
                <w:szCs w:val="21"/>
              </w:rPr>
              <w:t>③</w:t>
            </w:r>
            <w:r>
              <w:rPr>
                <w:rFonts w:ascii="Times New Roman"/>
                <w:bCs/>
                <w:snapToGrid w:val="0"/>
                <w:color w:val="0000FF"/>
                <w:spacing w:val="-6"/>
                <w:kern w:val="21"/>
                <w:szCs w:val="21"/>
              </w:rPr>
              <w:fldChar w:fldCharType="end"/>
            </w:r>
          </w:p>
        </w:tc>
        <w:tc>
          <w:tcPr>
            <w:tcW w:w="1495" w:type="dxa"/>
            <w:tcMar>
              <w:left w:w="28" w:type="dxa"/>
              <w:right w:w="28" w:type="dxa"/>
            </w:tcMar>
            <w:vAlign w:val="center"/>
          </w:tcPr>
          <w:p w14:paraId="596C5CB4">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本项目</w:t>
            </w:r>
          </w:p>
          <w:p w14:paraId="2D2D3B8F">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排放量（固体废物产生量）</w:t>
            </w:r>
            <w:r>
              <w:rPr>
                <w:rFonts w:ascii="Times New Roman"/>
                <w:bCs/>
                <w:snapToGrid w:val="0"/>
                <w:color w:val="0000FF"/>
                <w:spacing w:val="-6"/>
                <w:kern w:val="21"/>
                <w:szCs w:val="21"/>
              </w:rPr>
              <w:fldChar w:fldCharType="begin"/>
            </w:r>
            <w:r>
              <w:rPr>
                <w:rFonts w:ascii="Times New Roman"/>
                <w:bCs/>
                <w:snapToGrid w:val="0"/>
                <w:color w:val="0000FF"/>
                <w:spacing w:val="-6"/>
                <w:kern w:val="21"/>
                <w:szCs w:val="21"/>
              </w:rPr>
              <w:instrText xml:space="preserve"> = 4 \* GB3 \* MERGEFORMAT </w:instrText>
            </w:r>
            <w:r>
              <w:rPr>
                <w:rFonts w:ascii="Times New Roman"/>
                <w:bCs/>
                <w:snapToGrid w:val="0"/>
                <w:color w:val="0000FF"/>
                <w:spacing w:val="-6"/>
                <w:kern w:val="21"/>
                <w:szCs w:val="21"/>
              </w:rPr>
              <w:fldChar w:fldCharType="separate"/>
            </w:r>
            <w:r>
              <w:rPr>
                <w:rFonts w:ascii="Times New Roman"/>
                <w:bCs/>
                <w:color w:val="0000FF"/>
                <w:kern w:val="2"/>
                <w:szCs w:val="21"/>
              </w:rPr>
              <w:t>④</w:t>
            </w:r>
            <w:r>
              <w:rPr>
                <w:rFonts w:ascii="Times New Roman"/>
                <w:bCs/>
                <w:snapToGrid w:val="0"/>
                <w:color w:val="0000FF"/>
                <w:spacing w:val="-6"/>
                <w:kern w:val="21"/>
                <w:szCs w:val="21"/>
              </w:rPr>
              <w:fldChar w:fldCharType="end"/>
            </w:r>
          </w:p>
        </w:tc>
        <w:tc>
          <w:tcPr>
            <w:tcW w:w="1825" w:type="dxa"/>
            <w:tcMar>
              <w:left w:w="28" w:type="dxa"/>
              <w:right w:w="28" w:type="dxa"/>
            </w:tcMar>
            <w:vAlign w:val="center"/>
          </w:tcPr>
          <w:p w14:paraId="3B52B271">
            <w:pPr>
              <w:pStyle w:val="65"/>
              <w:spacing w:beforeLines="0" w:afterLines="0" w:line="240" w:lineRule="auto"/>
              <w:rPr>
                <w:rFonts w:ascii="Times New Roman"/>
                <w:bCs/>
                <w:snapToGrid w:val="0"/>
                <w:color w:val="0000FF"/>
                <w:spacing w:val="-16"/>
                <w:kern w:val="21"/>
                <w:szCs w:val="21"/>
              </w:rPr>
            </w:pPr>
            <w:r>
              <w:rPr>
                <w:rFonts w:ascii="Times New Roman"/>
                <w:bCs/>
                <w:snapToGrid w:val="0"/>
                <w:color w:val="0000FF"/>
                <w:spacing w:val="-16"/>
                <w:kern w:val="21"/>
                <w:szCs w:val="21"/>
              </w:rPr>
              <w:t>以新带老削减量</w:t>
            </w:r>
          </w:p>
          <w:p w14:paraId="6E947C8E">
            <w:pPr>
              <w:pStyle w:val="65"/>
              <w:spacing w:beforeLines="0" w:afterLines="0" w:line="240" w:lineRule="auto"/>
              <w:rPr>
                <w:rFonts w:ascii="Times New Roman"/>
                <w:bCs/>
                <w:snapToGrid w:val="0"/>
                <w:color w:val="0000FF"/>
                <w:spacing w:val="-16"/>
                <w:kern w:val="21"/>
                <w:szCs w:val="21"/>
              </w:rPr>
            </w:pPr>
            <w:r>
              <w:rPr>
                <w:rFonts w:ascii="Times New Roman"/>
                <w:bCs/>
                <w:snapToGrid w:val="0"/>
                <w:color w:val="0000FF"/>
                <w:spacing w:val="-16"/>
                <w:kern w:val="21"/>
                <w:szCs w:val="21"/>
              </w:rPr>
              <w:t>（新建项目不填）</w:t>
            </w:r>
            <w:r>
              <w:rPr>
                <w:rFonts w:ascii="Times New Roman"/>
                <w:bCs/>
                <w:snapToGrid w:val="0"/>
                <w:color w:val="0000FF"/>
                <w:spacing w:val="-16"/>
                <w:kern w:val="21"/>
                <w:szCs w:val="21"/>
              </w:rPr>
              <w:fldChar w:fldCharType="begin"/>
            </w:r>
            <w:r>
              <w:rPr>
                <w:rFonts w:ascii="Times New Roman"/>
                <w:bCs/>
                <w:snapToGrid w:val="0"/>
                <w:color w:val="0000FF"/>
                <w:spacing w:val="-16"/>
                <w:kern w:val="21"/>
                <w:szCs w:val="21"/>
              </w:rPr>
              <w:instrText xml:space="preserve"> = 5 \* GB3 \* MERGEFORMAT </w:instrText>
            </w:r>
            <w:r>
              <w:rPr>
                <w:rFonts w:ascii="Times New Roman"/>
                <w:bCs/>
                <w:snapToGrid w:val="0"/>
                <w:color w:val="0000FF"/>
                <w:spacing w:val="-16"/>
                <w:kern w:val="21"/>
                <w:szCs w:val="21"/>
              </w:rPr>
              <w:fldChar w:fldCharType="separate"/>
            </w:r>
            <w:r>
              <w:rPr>
                <w:rFonts w:ascii="Times New Roman"/>
                <w:bCs/>
                <w:color w:val="0000FF"/>
                <w:kern w:val="2"/>
                <w:szCs w:val="21"/>
              </w:rPr>
              <w:t>⑤</w:t>
            </w:r>
            <w:r>
              <w:rPr>
                <w:rFonts w:ascii="Times New Roman"/>
                <w:bCs/>
                <w:snapToGrid w:val="0"/>
                <w:color w:val="0000FF"/>
                <w:spacing w:val="-16"/>
                <w:kern w:val="21"/>
                <w:szCs w:val="21"/>
              </w:rPr>
              <w:fldChar w:fldCharType="end"/>
            </w:r>
          </w:p>
        </w:tc>
        <w:tc>
          <w:tcPr>
            <w:tcW w:w="1811" w:type="dxa"/>
            <w:tcMar>
              <w:left w:w="28" w:type="dxa"/>
              <w:right w:w="28" w:type="dxa"/>
            </w:tcMar>
            <w:vAlign w:val="center"/>
          </w:tcPr>
          <w:p w14:paraId="517B35D1">
            <w:pPr>
              <w:pStyle w:val="65"/>
              <w:spacing w:beforeLines="0" w:afterLines="0" w:line="240" w:lineRule="auto"/>
              <w:rPr>
                <w:rFonts w:ascii="Times New Roman"/>
                <w:bCs/>
                <w:snapToGrid w:val="0"/>
                <w:color w:val="0000FF"/>
                <w:spacing w:val="-16"/>
                <w:kern w:val="21"/>
                <w:szCs w:val="21"/>
              </w:rPr>
            </w:pPr>
            <w:r>
              <w:rPr>
                <w:rFonts w:ascii="Times New Roman"/>
                <w:bCs/>
                <w:snapToGrid w:val="0"/>
                <w:color w:val="0000FF"/>
                <w:spacing w:val="-16"/>
                <w:kern w:val="21"/>
                <w:szCs w:val="21"/>
              </w:rPr>
              <w:t>本项目建成后</w:t>
            </w:r>
          </w:p>
          <w:p w14:paraId="7ECC71DB">
            <w:pPr>
              <w:pStyle w:val="65"/>
              <w:spacing w:beforeLines="0" w:afterLines="0" w:line="240" w:lineRule="auto"/>
              <w:rPr>
                <w:rFonts w:ascii="Times New Roman"/>
                <w:bCs/>
                <w:snapToGrid w:val="0"/>
                <w:color w:val="0000FF"/>
                <w:spacing w:val="-16"/>
                <w:kern w:val="21"/>
                <w:szCs w:val="21"/>
              </w:rPr>
            </w:pPr>
            <w:r>
              <w:rPr>
                <w:rFonts w:ascii="Times New Roman"/>
                <w:bCs/>
                <w:snapToGrid w:val="0"/>
                <w:color w:val="0000FF"/>
                <w:spacing w:val="-16"/>
                <w:kern w:val="21"/>
                <w:szCs w:val="21"/>
              </w:rPr>
              <w:t>全厂排放量（固体废物产生量）</w:t>
            </w:r>
            <w:r>
              <w:rPr>
                <w:rFonts w:ascii="Times New Roman"/>
                <w:bCs/>
                <w:snapToGrid w:val="0"/>
                <w:color w:val="0000FF"/>
                <w:spacing w:val="-16"/>
                <w:kern w:val="21"/>
                <w:szCs w:val="21"/>
              </w:rPr>
              <w:fldChar w:fldCharType="begin"/>
            </w:r>
            <w:r>
              <w:rPr>
                <w:rFonts w:ascii="Times New Roman"/>
                <w:bCs/>
                <w:snapToGrid w:val="0"/>
                <w:color w:val="0000FF"/>
                <w:spacing w:val="-16"/>
                <w:kern w:val="21"/>
                <w:szCs w:val="21"/>
              </w:rPr>
              <w:instrText xml:space="preserve"> = 6 \* GB3 \* MERGEFORMAT </w:instrText>
            </w:r>
            <w:r>
              <w:rPr>
                <w:rFonts w:ascii="Times New Roman"/>
                <w:bCs/>
                <w:snapToGrid w:val="0"/>
                <w:color w:val="0000FF"/>
                <w:spacing w:val="-16"/>
                <w:kern w:val="21"/>
                <w:szCs w:val="21"/>
              </w:rPr>
              <w:fldChar w:fldCharType="separate"/>
            </w:r>
            <w:r>
              <w:rPr>
                <w:rFonts w:ascii="Times New Roman"/>
                <w:bCs/>
                <w:color w:val="0000FF"/>
                <w:kern w:val="2"/>
                <w:szCs w:val="21"/>
              </w:rPr>
              <w:t>⑥</w:t>
            </w:r>
            <w:r>
              <w:rPr>
                <w:rFonts w:ascii="Times New Roman"/>
                <w:bCs/>
                <w:snapToGrid w:val="0"/>
                <w:color w:val="0000FF"/>
                <w:spacing w:val="-16"/>
                <w:kern w:val="21"/>
                <w:szCs w:val="21"/>
              </w:rPr>
              <w:fldChar w:fldCharType="end"/>
            </w:r>
          </w:p>
        </w:tc>
        <w:tc>
          <w:tcPr>
            <w:tcW w:w="974" w:type="dxa"/>
            <w:tcMar>
              <w:left w:w="28" w:type="dxa"/>
              <w:right w:w="28" w:type="dxa"/>
            </w:tcMar>
            <w:vAlign w:val="center"/>
          </w:tcPr>
          <w:p w14:paraId="0438E416">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变化量</w:t>
            </w:r>
          </w:p>
          <w:p w14:paraId="1592C77B">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fldChar w:fldCharType="begin"/>
            </w:r>
            <w:r>
              <w:rPr>
                <w:rFonts w:ascii="Times New Roman"/>
                <w:bCs/>
                <w:snapToGrid w:val="0"/>
                <w:color w:val="0000FF"/>
                <w:spacing w:val="-6"/>
                <w:kern w:val="21"/>
                <w:szCs w:val="21"/>
              </w:rPr>
              <w:instrText xml:space="preserve"> = 7 \* GB3 \* MERGEFORMAT </w:instrText>
            </w:r>
            <w:r>
              <w:rPr>
                <w:rFonts w:ascii="Times New Roman"/>
                <w:bCs/>
                <w:snapToGrid w:val="0"/>
                <w:color w:val="0000FF"/>
                <w:spacing w:val="-6"/>
                <w:kern w:val="21"/>
                <w:szCs w:val="21"/>
              </w:rPr>
              <w:fldChar w:fldCharType="separate"/>
            </w:r>
            <w:r>
              <w:rPr>
                <w:rFonts w:ascii="Times New Roman"/>
                <w:bCs/>
                <w:color w:val="0000FF"/>
                <w:kern w:val="2"/>
                <w:szCs w:val="21"/>
              </w:rPr>
              <w:t>⑦</w:t>
            </w:r>
            <w:r>
              <w:rPr>
                <w:rFonts w:ascii="Times New Roman"/>
                <w:bCs/>
                <w:snapToGrid w:val="0"/>
                <w:color w:val="0000FF"/>
                <w:spacing w:val="-6"/>
                <w:kern w:val="21"/>
                <w:szCs w:val="21"/>
              </w:rPr>
              <w:fldChar w:fldCharType="end"/>
            </w:r>
          </w:p>
        </w:tc>
      </w:tr>
      <w:tr w14:paraId="4D00F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restart"/>
            <w:vAlign w:val="center"/>
          </w:tcPr>
          <w:p w14:paraId="5EC1FF96">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废气</w:t>
            </w:r>
          </w:p>
        </w:tc>
        <w:tc>
          <w:tcPr>
            <w:tcW w:w="708" w:type="dxa"/>
            <w:vMerge w:val="restart"/>
            <w:vAlign w:val="center"/>
          </w:tcPr>
          <w:p w14:paraId="5376FC80">
            <w:pPr>
              <w:pStyle w:val="65"/>
              <w:spacing w:beforeLines="0" w:afterLines="0" w:line="240" w:lineRule="auto"/>
              <w:rPr>
                <w:bCs/>
                <w:color w:val="0000FF"/>
                <w:szCs w:val="21"/>
              </w:rPr>
            </w:pPr>
            <w:r>
              <w:rPr>
                <w:rFonts w:hint="eastAsia" w:ascii="Times New Roman"/>
                <w:bCs/>
                <w:snapToGrid w:val="0"/>
                <w:color w:val="0000FF"/>
                <w:kern w:val="21"/>
                <w:szCs w:val="21"/>
              </w:rPr>
              <w:t>纳古卫生院</w:t>
            </w:r>
          </w:p>
        </w:tc>
        <w:tc>
          <w:tcPr>
            <w:tcW w:w="873" w:type="dxa"/>
            <w:vAlign w:val="center"/>
          </w:tcPr>
          <w:p w14:paraId="16C1A0A1">
            <w:pPr>
              <w:pStyle w:val="65"/>
              <w:spacing w:beforeLines="0" w:afterLines="0" w:line="240" w:lineRule="auto"/>
              <w:rPr>
                <w:bCs/>
                <w:color w:val="0000FF"/>
                <w:szCs w:val="21"/>
              </w:rPr>
            </w:pPr>
            <w:r>
              <w:rPr>
                <w:rFonts w:hint="eastAsia"/>
                <w:snapToGrid w:val="0"/>
                <w:color w:val="0000FF"/>
                <w:kern w:val="21"/>
                <w:szCs w:val="21"/>
              </w:rPr>
              <w:t>NH</w:t>
            </w:r>
            <w:r>
              <w:rPr>
                <w:rFonts w:hint="eastAsia"/>
                <w:snapToGrid w:val="0"/>
                <w:color w:val="0000FF"/>
                <w:kern w:val="21"/>
                <w:szCs w:val="21"/>
                <w:vertAlign w:val="subscript"/>
              </w:rPr>
              <w:t>3</w:t>
            </w:r>
          </w:p>
        </w:tc>
        <w:tc>
          <w:tcPr>
            <w:tcW w:w="1537" w:type="dxa"/>
            <w:vAlign w:val="center"/>
          </w:tcPr>
          <w:p w14:paraId="1D3C0A12">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0.00048</w:t>
            </w:r>
            <w:r>
              <w:rPr>
                <w:rFonts w:ascii="Times New Roman"/>
                <w:bCs/>
                <w:color w:val="0000FF"/>
                <w:szCs w:val="21"/>
              </w:rPr>
              <w:t>t/a</w:t>
            </w:r>
          </w:p>
        </w:tc>
        <w:tc>
          <w:tcPr>
            <w:tcW w:w="1276" w:type="dxa"/>
            <w:vAlign w:val="center"/>
          </w:tcPr>
          <w:p w14:paraId="235B1641">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w:t>
            </w:r>
          </w:p>
        </w:tc>
        <w:tc>
          <w:tcPr>
            <w:tcW w:w="1701" w:type="dxa"/>
            <w:vAlign w:val="center"/>
          </w:tcPr>
          <w:p w14:paraId="78717A8D">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w:t>
            </w:r>
          </w:p>
        </w:tc>
        <w:tc>
          <w:tcPr>
            <w:tcW w:w="1495" w:type="dxa"/>
            <w:vAlign w:val="center"/>
          </w:tcPr>
          <w:p w14:paraId="3477633E">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rPr>
              <w:t>0.00043</w:t>
            </w:r>
            <w:r>
              <w:rPr>
                <w:rFonts w:ascii="Times New Roman"/>
                <w:bCs/>
                <w:color w:val="0000FF"/>
                <w:szCs w:val="21"/>
              </w:rPr>
              <w:t>t/a</w:t>
            </w:r>
          </w:p>
        </w:tc>
        <w:tc>
          <w:tcPr>
            <w:tcW w:w="1825" w:type="dxa"/>
            <w:vAlign w:val="center"/>
          </w:tcPr>
          <w:p w14:paraId="63270A47">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w:t>
            </w:r>
          </w:p>
        </w:tc>
        <w:tc>
          <w:tcPr>
            <w:tcW w:w="1811" w:type="dxa"/>
            <w:vAlign w:val="center"/>
          </w:tcPr>
          <w:p w14:paraId="6BC22DF1">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rPr>
              <w:t>0.00091</w:t>
            </w:r>
            <w:r>
              <w:rPr>
                <w:rFonts w:ascii="Times New Roman"/>
                <w:bCs/>
                <w:color w:val="0000FF"/>
                <w:szCs w:val="21"/>
              </w:rPr>
              <w:t>t/a</w:t>
            </w:r>
          </w:p>
        </w:tc>
        <w:tc>
          <w:tcPr>
            <w:tcW w:w="974" w:type="dxa"/>
            <w:vAlign w:val="center"/>
          </w:tcPr>
          <w:p w14:paraId="136962D3">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+0.00043</w:t>
            </w:r>
            <w:r>
              <w:rPr>
                <w:rFonts w:ascii="Times New Roman"/>
                <w:bCs/>
                <w:color w:val="0000FF"/>
                <w:szCs w:val="21"/>
              </w:rPr>
              <w:t>t/a</w:t>
            </w:r>
          </w:p>
        </w:tc>
      </w:tr>
      <w:tr w14:paraId="41C6B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3A27205D">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0A116954">
            <w:pPr>
              <w:topLinePunct/>
              <w:adjustRightInd w:val="0"/>
              <w:snapToGrid w:val="0"/>
              <w:jc w:val="center"/>
              <w:rPr>
                <w:bCs/>
                <w:color w:val="auto"/>
                <w:szCs w:val="21"/>
              </w:rPr>
            </w:pPr>
          </w:p>
        </w:tc>
        <w:tc>
          <w:tcPr>
            <w:tcW w:w="873" w:type="dxa"/>
            <w:vAlign w:val="center"/>
          </w:tcPr>
          <w:p w14:paraId="59027150">
            <w:pPr>
              <w:pStyle w:val="65"/>
              <w:spacing w:beforeLines="0" w:afterLines="0" w:line="240" w:lineRule="auto"/>
              <w:rPr>
                <w:bCs/>
                <w:color w:val="0000FF"/>
                <w:szCs w:val="21"/>
              </w:rPr>
            </w:pPr>
            <w:r>
              <w:rPr>
                <w:rFonts w:hint="eastAsia"/>
                <w:snapToGrid w:val="0"/>
                <w:color w:val="0000FF"/>
                <w:kern w:val="21"/>
                <w:szCs w:val="21"/>
              </w:rPr>
              <w:t>H</w:t>
            </w:r>
            <w:r>
              <w:rPr>
                <w:rFonts w:hint="eastAsia"/>
                <w:snapToGrid w:val="0"/>
                <w:color w:val="0000FF"/>
                <w:kern w:val="21"/>
                <w:szCs w:val="21"/>
                <w:vertAlign w:val="subscript"/>
              </w:rPr>
              <w:t>2</w:t>
            </w:r>
            <w:r>
              <w:rPr>
                <w:rFonts w:hint="eastAsia"/>
                <w:snapToGrid w:val="0"/>
                <w:color w:val="0000FF"/>
                <w:kern w:val="21"/>
                <w:szCs w:val="21"/>
              </w:rPr>
              <w:t>S</w:t>
            </w:r>
          </w:p>
        </w:tc>
        <w:tc>
          <w:tcPr>
            <w:tcW w:w="1537" w:type="dxa"/>
            <w:vAlign w:val="center"/>
          </w:tcPr>
          <w:p w14:paraId="4DC1F3F0">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0.000018</w:t>
            </w:r>
            <w:r>
              <w:rPr>
                <w:rFonts w:ascii="Times New Roman"/>
                <w:bCs/>
                <w:color w:val="0000FF"/>
                <w:szCs w:val="21"/>
              </w:rPr>
              <w:t>t/a</w:t>
            </w:r>
          </w:p>
        </w:tc>
        <w:tc>
          <w:tcPr>
            <w:tcW w:w="1276" w:type="dxa"/>
            <w:vAlign w:val="center"/>
          </w:tcPr>
          <w:p w14:paraId="24B80AEB">
            <w:pPr>
              <w:pStyle w:val="65"/>
              <w:spacing w:beforeLines="0" w:afterLines="0" w:line="240" w:lineRule="auto"/>
              <w:rPr>
                <w:rFonts w:hint="eastAsia" w:ascii="Times New Roman" w:eastAsia="宋体"/>
                <w:bCs/>
                <w:snapToGrid w:val="0"/>
                <w:color w:val="auto"/>
                <w:kern w:val="21"/>
                <w:szCs w:val="21"/>
                <w:lang w:val="en-US" w:eastAsia="zh-CN"/>
              </w:rPr>
            </w:pPr>
            <w:r>
              <w:rPr>
                <w:rFonts w:hint="eastAsia" w:ascii="Times New Roman"/>
                <w:bCs/>
                <w:snapToGrid w:val="0"/>
                <w:color w:val="auto"/>
                <w:kern w:val="21"/>
                <w:szCs w:val="21"/>
                <w:lang w:val="en-US" w:eastAsia="zh-CN"/>
              </w:rPr>
              <w:t>/</w:t>
            </w:r>
          </w:p>
        </w:tc>
        <w:tc>
          <w:tcPr>
            <w:tcW w:w="1701" w:type="dxa"/>
            <w:vAlign w:val="center"/>
          </w:tcPr>
          <w:p w14:paraId="43878CD9">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0000FF"/>
                <w:kern w:val="21"/>
                <w:szCs w:val="21"/>
                <w:lang w:val="en-US" w:eastAsia="zh-CN"/>
              </w:rPr>
              <w:t>/</w:t>
            </w:r>
          </w:p>
        </w:tc>
        <w:tc>
          <w:tcPr>
            <w:tcW w:w="1495" w:type="dxa"/>
            <w:vAlign w:val="center"/>
          </w:tcPr>
          <w:p w14:paraId="42333281">
            <w:pPr>
              <w:pStyle w:val="65"/>
              <w:spacing w:beforeLines="0" w:afterLines="0" w:line="240" w:lineRule="auto"/>
              <w:rPr>
                <w:rFonts w:ascii="Times New Roman"/>
                <w:bCs/>
                <w:color w:val="auto"/>
                <w:szCs w:val="21"/>
              </w:rPr>
            </w:pPr>
            <w:r>
              <w:rPr>
                <w:rFonts w:hint="eastAsia" w:ascii="Times New Roman"/>
                <w:bCs/>
                <w:color w:val="0000FF"/>
                <w:szCs w:val="21"/>
              </w:rPr>
              <w:t>0.000017</w:t>
            </w:r>
            <w:r>
              <w:rPr>
                <w:rFonts w:ascii="Times New Roman"/>
                <w:bCs/>
                <w:color w:val="0000FF"/>
                <w:szCs w:val="21"/>
              </w:rPr>
              <w:t>t/a</w:t>
            </w:r>
          </w:p>
        </w:tc>
        <w:tc>
          <w:tcPr>
            <w:tcW w:w="1825" w:type="dxa"/>
            <w:vAlign w:val="center"/>
          </w:tcPr>
          <w:p w14:paraId="41255841">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auto"/>
                <w:kern w:val="21"/>
                <w:szCs w:val="21"/>
                <w:lang w:val="en-US" w:eastAsia="zh-CN"/>
              </w:rPr>
              <w:t>/</w:t>
            </w:r>
          </w:p>
        </w:tc>
        <w:tc>
          <w:tcPr>
            <w:tcW w:w="1811" w:type="dxa"/>
            <w:vAlign w:val="center"/>
          </w:tcPr>
          <w:p w14:paraId="50B783D6">
            <w:pPr>
              <w:pStyle w:val="65"/>
              <w:spacing w:beforeLines="0" w:afterLines="0" w:line="240" w:lineRule="auto"/>
              <w:rPr>
                <w:rFonts w:ascii="Times New Roman"/>
                <w:bCs/>
                <w:color w:val="0000FF"/>
                <w:szCs w:val="21"/>
              </w:rPr>
            </w:pPr>
            <w:r>
              <w:rPr>
                <w:rFonts w:hint="eastAsia" w:ascii="Times New Roman"/>
                <w:bCs/>
                <w:color w:val="0000FF"/>
                <w:szCs w:val="21"/>
              </w:rPr>
              <w:t>0.000035</w:t>
            </w:r>
            <w:r>
              <w:rPr>
                <w:rFonts w:ascii="Times New Roman"/>
                <w:bCs/>
                <w:color w:val="0000FF"/>
                <w:szCs w:val="21"/>
              </w:rPr>
              <w:t>t/a</w:t>
            </w:r>
          </w:p>
        </w:tc>
        <w:tc>
          <w:tcPr>
            <w:tcW w:w="974" w:type="dxa"/>
            <w:vAlign w:val="center"/>
          </w:tcPr>
          <w:p w14:paraId="2B499ADC">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+0.000017</w:t>
            </w:r>
            <w:r>
              <w:rPr>
                <w:rFonts w:ascii="Times New Roman"/>
                <w:bCs/>
                <w:color w:val="0000FF"/>
                <w:szCs w:val="21"/>
              </w:rPr>
              <w:t>t/a</w:t>
            </w:r>
          </w:p>
        </w:tc>
      </w:tr>
      <w:tr w14:paraId="658537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7F3D196F">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6605B234">
            <w:pPr>
              <w:pStyle w:val="65"/>
              <w:spacing w:beforeLines="0" w:afterLines="0" w:line="240" w:lineRule="auto"/>
              <w:rPr>
                <w:bCs/>
                <w:color w:val="auto"/>
                <w:szCs w:val="21"/>
              </w:rPr>
            </w:pPr>
            <w:r>
              <w:rPr>
                <w:rFonts w:hint="eastAsia" w:ascii="Times New Roman"/>
                <w:bCs/>
                <w:snapToGrid w:val="0"/>
                <w:color w:val="auto"/>
                <w:kern w:val="21"/>
                <w:szCs w:val="21"/>
              </w:rPr>
              <w:t>四街卫生院</w:t>
            </w:r>
          </w:p>
        </w:tc>
        <w:tc>
          <w:tcPr>
            <w:tcW w:w="873" w:type="dxa"/>
            <w:vAlign w:val="center"/>
          </w:tcPr>
          <w:p w14:paraId="039270E7">
            <w:pPr>
              <w:pStyle w:val="65"/>
              <w:spacing w:beforeLines="0" w:afterLines="0" w:line="240" w:lineRule="auto"/>
              <w:rPr>
                <w:bCs/>
                <w:color w:val="0000FF"/>
                <w:szCs w:val="21"/>
              </w:rPr>
            </w:pPr>
            <w:r>
              <w:rPr>
                <w:rFonts w:hint="eastAsia"/>
                <w:snapToGrid w:val="0"/>
                <w:color w:val="0000FF"/>
                <w:kern w:val="21"/>
                <w:szCs w:val="21"/>
              </w:rPr>
              <w:t>NH</w:t>
            </w:r>
            <w:r>
              <w:rPr>
                <w:rFonts w:hint="eastAsia"/>
                <w:snapToGrid w:val="0"/>
                <w:color w:val="0000FF"/>
                <w:kern w:val="21"/>
                <w:szCs w:val="21"/>
                <w:vertAlign w:val="subscript"/>
              </w:rPr>
              <w:t>3</w:t>
            </w:r>
          </w:p>
        </w:tc>
        <w:tc>
          <w:tcPr>
            <w:tcW w:w="1537" w:type="dxa"/>
            <w:vAlign w:val="center"/>
          </w:tcPr>
          <w:p w14:paraId="2401F2A3">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w:t>
            </w:r>
          </w:p>
        </w:tc>
        <w:tc>
          <w:tcPr>
            <w:tcW w:w="1276" w:type="dxa"/>
            <w:vAlign w:val="center"/>
          </w:tcPr>
          <w:p w14:paraId="79C60AD6">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701" w:type="dxa"/>
            <w:vAlign w:val="center"/>
          </w:tcPr>
          <w:p w14:paraId="3D9AB9B7">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495" w:type="dxa"/>
            <w:vAlign w:val="center"/>
          </w:tcPr>
          <w:p w14:paraId="73D372A0">
            <w:pPr>
              <w:pStyle w:val="65"/>
              <w:spacing w:beforeLines="0" w:afterLines="0" w:line="240" w:lineRule="auto"/>
              <w:rPr>
                <w:rFonts w:ascii="Times New Roman"/>
                <w:bCs/>
                <w:color w:val="0000FF"/>
                <w:szCs w:val="21"/>
              </w:rPr>
            </w:pPr>
            <w:r>
              <w:rPr>
                <w:rFonts w:hint="eastAsia" w:ascii="Times New Roman"/>
                <w:bCs/>
                <w:color w:val="0000FF"/>
                <w:szCs w:val="21"/>
              </w:rPr>
              <w:t>0.00083</w:t>
            </w:r>
            <w:r>
              <w:rPr>
                <w:rFonts w:ascii="Times New Roman"/>
                <w:bCs/>
                <w:color w:val="0000FF"/>
                <w:szCs w:val="21"/>
              </w:rPr>
              <w:t>t/a</w:t>
            </w:r>
          </w:p>
        </w:tc>
        <w:tc>
          <w:tcPr>
            <w:tcW w:w="1825" w:type="dxa"/>
            <w:vAlign w:val="center"/>
          </w:tcPr>
          <w:p w14:paraId="11E15977">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811" w:type="dxa"/>
            <w:vAlign w:val="center"/>
          </w:tcPr>
          <w:p w14:paraId="0D31EF18">
            <w:pPr>
              <w:pStyle w:val="65"/>
              <w:spacing w:beforeLines="0" w:afterLines="0" w:line="240" w:lineRule="auto"/>
              <w:rPr>
                <w:rFonts w:ascii="Times New Roman"/>
                <w:bCs/>
                <w:color w:val="0000FF"/>
                <w:szCs w:val="21"/>
              </w:rPr>
            </w:pPr>
            <w:r>
              <w:rPr>
                <w:rFonts w:hint="eastAsia" w:ascii="Times New Roman"/>
                <w:bCs/>
                <w:color w:val="0000FF"/>
                <w:szCs w:val="21"/>
              </w:rPr>
              <w:t>0.00083</w:t>
            </w:r>
            <w:r>
              <w:rPr>
                <w:rFonts w:ascii="Times New Roman"/>
                <w:bCs/>
                <w:color w:val="0000FF"/>
                <w:szCs w:val="21"/>
              </w:rPr>
              <w:t>t/a</w:t>
            </w:r>
          </w:p>
        </w:tc>
        <w:tc>
          <w:tcPr>
            <w:tcW w:w="974" w:type="dxa"/>
            <w:vAlign w:val="center"/>
          </w:tcPr>
          <w:p w14:paraId="4FAE1C6C">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r>
              <w:rPr>
                <w:rFonts w:hint="eastAsia" w:ascii="Times New Roman"/>
                <w:bCs/>
                <w:color w:val="0000FF"/>
                <w:szCs w:val="21"/>
              </w:rPr>
              <w:t>0.00083</w:t>
            </w:r>
            <w:r>
              <w:rPr>
                <w:rFonts w:ascii="Times New Roman"/>
                <w:bCs/>
                <w:color w:val="0000FF"/>
                <w:szCs w:val="21"/>
              </w:rPr>
              <w:t>t/a</w:t>
            </w:r>
          </w:p>
        </w:tc>
      </w:tr>
      <w:tr w14:paraId="57F49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42B3A72D">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01215014">
            <w:pPr>
              <w:topLinePunct/>
              <w:adjustRightInd w:val="0"/>
              <w:snapToGrid w:val="0"/>
              <w:jc w:val="center"/>
              <w:rPr>
                <w:bCs/>
                <w:color w:val="auto"/>
                <w:szCs w:val="21"/>
              </w:rPr>
            </w:pPr>
          </w:p>
        </w:tc>
        <w:tc>
          <w:tcPr>
            <w:tcW w:w="873" w:type="dxa"/>
            <w:vAlign w:val="center"/>
          </w:tcPr>
          <w:p w14:paraId="7609C3DD">
            <w:pPr>
              <w:pStyle w:val="65"/>
              <w:spacing w:beforeLines="0" w:afterLines="0" w:line="240" w:lineRule="auto"/>
              <w:rPr>
                <w:bCs/>
                <w:color w:val="0000FF"/>
                <w:szCs w:val="21"/>
              </w:rPr>
            </w:pPr>
            <w:r>
              <w:rPr>
                <w:rFonts w:hint="eastAsia"/>
                <w:snapToGrid w:val="0"/>
                <w:color w:val="0000FF"/>
                <w:kern w:val="21"/>
                <w:szCs w:val="21"/>
              </w:rPr>
              <w:t>H</w:t>
            </w:r>
            <w:r>
              <w:rPr>
                <w:rFonts w:hint="eastAsia"/>
                <w:snapToGrid w:val="0"/>
                <w:color w:val="0000FF"/>
                <w:kern w:val="21"/>
                <w:szCs w:val="21"/>
                <w:vertAlign w:val="subscript"/>
              </w:rPr>
              <w:t>2</w:t>
            </w:r>
            <w:r>
              <w:rPr>
                <w:rFonts w:hint="eastAsia"/>
                <w:snapToGrid w:val="0"/>
                <w:color w:val="0000FF"/>
                <w:kern w:val="21"/>
                <w:szCs w:val="21"/>
              </w:rPr>
              <w:t>S</w:t>
            </w:r>
          </w:p>
        </w:tc>
        <w:tc>
          <w:tcPr>
            <w:tcW w:w="1537" w:type="dxa"/>
            <w:vAlign w:val="center"/>
          </w:tcPr>
          <w:p w14:paraId="6FABE2C1">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w:t>
            </w:r>
          </w:p>
        </w:tc>
        <w:tc>
          <w:tcPr>
            <w:tcW w:w="1276" w:type="dxa"/>
            <w:vAlign w:val="center"/>
          </w:tcPr>
          <w:p w14:paraId="3026FA07">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701" w:type="dxa"/>
            <w:vAlign w:val="center"/>
          </w:tcPr>
          <w:p w14:paraId="6252B861">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495" w:type="dxa"/>
            <w:vAlign w:val="center"/>
          </w:tcPr>
          <w:p w14:paraId="1A785947">
            <w:pPr>
              <w:pStyle w:val="65"/>
              <w:spacing w:beforeLines="0" w:afterLines="0" w:line="240" w:lineRule="auto"/>
              <w:rPr>
                <w:rFonts w:ascii="Times New Roman"/>
                <w:bCs/>
                <w:color w:val="0000FF"/>
                <w:szCs w:val="21"/>
              </w:rPr>
            </w:pPr>
            <w:r>
              <w:rPr>
                <w:rFonts w:hint="eastAsia" w:ascii="Times New Roman"/>
                <w:bCs/>
                <w:color w:val="0000FF"/>
                <w:szCs w:val="21"/>
              </w:rPr>
              <w:t>0.000032</w:t>
            </w:r>
            <w:r>
              <w:rPr>
                <w:rFonts w:ascii="Times New Roman"/>
                <w:bCs/>
                <w:color w:val="0000FF"/>
                <w:szCs w:val="21"/>
              </w:rPr>
              <w:t>t/a</w:t>
            </w:r>
          </w:p>
        </w:tc>
        <w:tc>
          <w:tcPr>
            <w:tcW w:w="1825" w:type="dxa"/>
            <w:vAlign w:val="center"/>
          </w:tcPr>
          <w:p w14:paraId="1605ABD2">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811" w:type="dxa"/>
            <w:vAlign w:val="center"/>
          </w:tcPr>
          <w:p w14:paraId="729D6583">
            <w:pPr>
              <w:pStyle w:val="65"/>
              <w:spacing w:beforeLines="0" w:afterLines="0" w:line="240" w:lineRule="auto"/>
              <w:rPr>
                <w:rFonts w:ascii="Times New Roman"/>
                <w:bCs/>
                <w:color w:val="0000FF"/>
                <w:szCs w:val="21"/>
              </w:rPr>
            </w:pPr>
            <w:r>
              <w:rPr>
                <w:rFonts w:hint="eastAsia" w:ascii="Times New Roman"/>
                <w:bCs/>
                <w:color w:val="0000FF"/>
                <w:szCs w:val="21"/>
              </w:rPr>
              <w:t>0.000032</w:t>
            </w:r>
            <w:r>
              <w:rPr>
                <w:rFonts w:ascii="Times New Roman"/>
                <w:bCs/>
                <w:color w:val="0000FF"/>
                <w:szCs w:val="21"/>
              </w:rPr>
              <w:t>t/a</w:t>
            </w:r>
          </w:p>
        </w:tc>
        <w:tc>
          <w:tcPr>
            <w:tcW w:w="974" w:type="dxa"/>
            <w:vAlign w:val="center"/>
          </w:tcPr>
          <w:p w14:paraId="1B4C44B5">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r>
              <w:rPr>
                <w:rFonts w:hint="eastAsia" w:ascii="Times New Roman"/>
                <w:bCs/>
                <w:color w:val="0000FF"/>
                <w:szCs w:val="21"/>
              </w:rPr>
              <w:t>0.000032</w:t>
            </w:r>
            <w:r>
              <w:rPr>
                <w:rFonts w:ascii="Times New Roman"/>
                <w:bCs/>
                <w:color w:val="0000FF"/>
                <w:szCs w:val="21"/>
              </w:rPr>
              <w:t>t/a</w:t>
            </w:r>
          </w:p>
        </w:tc>
      </w:tr>
      <w:tr w14:paraId="1855F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5EA389AF">
            <w:pPr>
              <w:pStyle w:val="65"/>
              <w:spacing w:beforeLines="0" w:afterLines="0" w:line="240" w:lineRule="auto"/>
              <w:rPr>
                <w:rFonts w:ascii="Times New Roman"/>
                <w:bCs/>
                <w:snapToGrid w:val="0"/>
                <w:color w:val="0000FF"/>
                <w:kern w:val="21"/>
                <w:szCs w:val="21"/>
              </w:rPr>
            </w:pPr>
          </w:p>
        </w:tc>
        <w:tc>
          <w:tcPr>
            <w:tcW w:w="708" w:type="dxa"/>
            <w:vMerge w:val="continue"/>
            <w:vAlign w:val="center"/>
          </w:tcPr>
          <w:p w14:paraId="42E5F556">
            <w:pPr>
              <w:topLinePunct/>
              <w:adjustRightInd w:val="0"/>
              <w:snapToGrid w:val="0"/>
              <w:jc w:val="center"/>
              <w:rPr>
                <w:bCs/>
                <w:color w:val="0000FF"/>
                <w:szCs w:val="21"/>
              </w:rPr>
            </w:pPr>
          </w:p>
        </w:tc>
        <w:tc>
          <w:tcPr>
            <w:tcW w:w="873" w:type="dxa"/>
            <w:vAlign w:val="center"/>
          </w:tcPr>
          <w:p w14:paraId="0B01BA43">
            <w:pPr>
              <w:pStyle w:val="65"/>
              <w:spacing w:beforeLines="0" w:afterLines="0" w:line="240" w:lineRule="auto"/>
              <w:rPr>
                <w:snapToGrid w:val="0"/>
                <w:color w:val="0000FF"/>
                <w:kern w:val="21"/>
                <w:szCs w:val="21"/>
              </w:rPr>
            </w:pPr>
            <w:r>
              <w:rPr>
                <w:rFonts w:hAnsi="宋体"/>
                <w:color w:val="0000FF"/>
                <w:szCs w:val="21"/>
              </w:rPr>
              <w:t>食堂油烟</w:t>
            </w:r>
          </w:p>
        </w:tc>
        <w:tc>
          <w:tcPr>
            <w:tcW w:w="1537" w:type="dxa"/>
            <w:vAlign w:val="center"/>
          </w:tcPr>
          <w:p w14:paraId="5C5363E5">
            <w:pPr>
              <w:pStyle w:val="65"/>
              <w:spacing w:beforeLines="0" w:afterLines="0" w:line="240" w:lineRule="auto"/>
              <w:rPr>
                <w:rFonts w:ascii="Times New Roman"/>
                <w:bCs/>
                <w:snapToGrid w:val="0"/>
                <w:color w:val="0000FF"/>
                <w:kern w:val="21"/>
                <w:szCs w:val="21"/>
              </w:rPr>
            </w:pPr>
            <w:r>
              <w:rPr>
                <w:rFonts w:hint="eastAsia"/>
                <w:color w:val="0000FF"/>
                <w:sz w:val="24"/>
              </w:rPr>
              <w:t>0.51kg/a</w:t>
            </w:r>
          </w:p>
        </w:tc>
        <w:tc>
          <w:tcPr>
            <w:tcW w:w="1276" w:type="dxa"/>
            <w:vAlign w:val="center"/>
          </w:tcPr>
          <w:p w14:paraId="062C33F1">
            <w:pPr>
              <w:pStyle w:val="65"/>
              <w:spacing w:beforeLines="0" w:afterLines="0" w:line="240" w:lineRule="auto"/>
              <w:rPr>
                <w:rFonts w:hint="eastAsia" w:ascii="Times New Roman" w:eastAsia="宋体"/>
                <w:bCs/>
                <w:snapToGrid w:val="0"/>
                <w:color w:val="0000FF"/>
                <w:kern w:val="21"/>
                <w:szCs w:val="21"/>
                <w:lang w:eastAsia="zh-CN"/>
              </w:rPr>
            </w:pPr>
            <w:r>
              <w:rPr>
                <w:rFonts w:hint="eastAsia"/>
                <w:color w:val="0000FF"/>
                <w:sz w:val="24"/>
                <w:lang w:val="en-US" w:eastAsia="zh-CN"/>
              </w:rPr>
              <w:t>/</w:t>
            </w:r>
          </w:p>
        </w:tc>
        <w:tc>
          <w:tcPr>
            <w:tcW w:w="1701" w:type="dxa"/>
            <w:vAlign w:val="center"/>
          </w:tcPr>
          <w:p w14:paraId="68D15FAB">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w:t>
            </w:r>
          </w:p>
        </w:tc>
        <w:tc>
          <w:tcPr>
            <w:tcW w:w="1495" w:type="dxa"/>
            <w:vAlign w:val="center"/>
          </w:tcPr>
          <w:p w14:paraId="43500906">
            <w:pPr>
              <w:pStyle w:val="65"/>
              <w:spacing w:beforeLines="0" w:afterLines="0" w:line="240" w:lineRule="auto"/>
              <w:rPr>
                <w:rFonts w:hint="eastAsia" w:ascii="Times New Roman" w:eastAsia="宋体"/>
                <w:bCs/>
                <w:color w:val="0000FF"/>
                <w:szCs w:val="21"/>
                <w:lang w:eastAsia="zh-CN"/>
              </w:rPr>
            </w:pPr>
            <w:r>
              <w:rPr>
                <w:rFonts w:hint="eastAsia" w:ascii="Times New Roman"/>
                <w:bCs/>
                <w:color w:val="0000FF"/>
                <w:szCs w:val="21"/>
                <w:lang w:val="en-US" w:eastAsia="zh-CN"/>
              </w:rPr>
              <w:t>0</w:t>
            </w:r>
          </w:p>
        </w:tc>
        <w:tc>
          <w:tcPr>
            <w:tcW w:w="1825" w:type="dxa"/>
            <w:vAlign w:val="center"/>
          </w:tcPr>
          <w:p w14:paraId="70770637">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w:t>
            </w:r>
          </w:p>
        </w:tc>
        <w:tc>
          <w:tcPr>
            <w:tcW w:w="1811" w:type="dxa"/>
            <w:vAlign w:val="center"/>
          </w:tcPr>
          <w:p w14:paraId="2136606C">
            <w:pPr>
              <w:pStyle w:val="65"/>
              <w:spacing w:beforeLines="0" w:afterLines="0" w:line="240" w:lineRule="auto"/>
              <w:rPr>
                <w:rFonts w:ascii="Times New Roman"/>
                <w:bCs/>
                <w:color w:val="0000FF"/>
                <w:szCs w:val="21"/>
              </w:rPr>
            </w:pPr>
            <w:r>
              <w:rPr>
                <w:rFonts w:hint="eastAsia"/>
                <w:color w:val="0000FF"/>
                <w:sz w:val="24"/>
              </w:rPr>
              <w:t>0.51kg/a</w:t>
            </w:r>
          </w:p>
        </w:tc>
        <w:tc>
          <w:tcPr>
            <w:tcW w:w="974" w:type="dxa"/>
            <w:vAlign w:val="center"/>
          </w:tcPr>
          <w:p w14:paraId="3E1DCD33">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0</w:t>
            </w:r>
          </w:p>
        </w:tc>
      </w:tr>
      <w:tr w14:paraId="3D3BB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363EB477">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1E9E158B">
            <w:pPr>
              <w:pStyle w:val="65"/>
              <w:spacing w:beforeLines="0" w:afterLines="0" w:line="240" w:lineRule="auto"/>
              <w:rPr>
                <w:bCs/>
                <w:color w:val="auto"/>
                <w:szCs w:val="21"/>
              </w:rPr>
            </w:pPr>
            <w:r>
              <w:rPr>
                <w:rFonts w:hint="eastAsia" w:ascii="Times New Roman"/>
                <w:bCs/>
                <w:snapToGrid w:val="0"/>
                <w:color w:val="auto"/>
                <w:kern w:val="21"/>
                <w:szCs w:val="21"/>
              </w:rPr>
              <w:t>九龙卫生院</w:t>
            </w:r>
          </w:p>
        </w:tc>
        <w:tc>
          <w:tcPr>
            <w:tcW w:w="873" w:type="dxa"/>
            <w:vAlign w:val="center"/>
          </w:tcPr>
          <w:p w14:paraId="31AD46F2">
            <w:pPr>
              <w:pStyle w:val="65"/>
              <w:spacing w:beforeLines="0" w:afterLines="0" w:line="240" w:lineRule="auto"/>
              <w:rPr>
                <w:bCs/>
                <w:color w:val="auto"/>
                <w:szCs w:val="21"/>
              </w:rPr>
            </w:pPr>
            <w:r>
              <w:rPr>
                <w:rFonts w:hint="eastAsia"/>
                <w:snapToGrid w:val="0"/>
                <w:color w:val="auto"/>
                <w:kern w:val="21"/>
                <w:szCs w:val="21"/>
              </w:rPr>
              <w:t>NH</w:t>
            </w:r>
            <w:r>
              <w:rPr>
                <w:rFonts w:hint="eastAsia"/>
                <w:snapToGrid w:val="0"/>
                <w:color w:val="auto"/>
                <w:kern w:val="21"/>
                <w:szCs w:val="21"/>
                <w:vertAlign w:val="subscript"/>
              </w:rPr>
              <w:t>3</w:t>
            </w:r>
          </w:p>
        </w:tc>
        <w:tc>
          <w:tcPr>
            <w:tcW w:w="1537" w:type="dxa"/>
            <w:vAlign w:val="center"/>
          </w:tcPr>
          <w:p w14:paraId="5F877666">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276" w:type="dxa"/>
            <w:vAlign w:val="center"/>
          </w:tcPr>
          <w:p w14:paraId="6AD601A4">
            <w:pPr>
              <w:pStyle w:val="65"/>
              <w:spacing w:beforeLines="0" w:afterLines="0" w:line="240" w:lineRule="auto"/>
              <w:rPr>
                <w:rFonts w:hint="eastAsia" w:ascii="Times New Roman" w:eastAsia="宋体"/>
                <w:bCs/>
                <w:snapToGrid w:val="0"/>
                <w:color w:val="auto"/>
                <w:kern w:val="21"/>
                <w:szCs w:val="21"/>
                <w:lang w:val="en-US" w:eastAsia="zh-CN"/>
              </w:rPr>
            </w:pPr>
            <w:r>
              <w:rPr>
                <w:rFonts w:hint="eastAsia" w:ascii="Times New Roman"/>
                <w:bCs/>
                <w:snapToGrid w:val="0"/>
                <w:color w:val="auto"/>
                <w:kern w:val="21"/>
                <w:szCs w:val="21"/>
                <w:lang w:val="en-US" w:eastAsia="zh-CN"/>
              </w:rPr>
              <w:t>/</w:t>
            </w:r>
          </w:p>
        </w:tc>
        <w:tc>
          <w:tcPr>
            <w:tcW w:w="1701" w:type="dxa"/>
            <w:vAlign w:val="center"/>
          </w:tcPr>
          <w:p w14:paraId="2F09E192">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495" w:type="dxa"/>
            <w:vAlign w:val="center"/>
          </w:tcPr>
          <w:p w14:paraId="291F7495">
            <w:pPr>
              <w:pStyle w:val="65"/>
              <w:spacing w:beforeLines="0" w:afterLines="0" w:line="240" w:lineRule="auto"/>
              <w:rPr>
                <w:rFonts w:ascii="Times New Roman"/>
                <w:bCs/>
                <w:color w:val="auto"/>
                <w:szCs w:val="21"/>
              </w:rPr>
            </w:pPr>
            <w:r>
              <w:rPr>
                <w:rFonts w:hint="eastAsia" w:ascii="Times New Roman"/>
                <w:bCs/>
                <w:color w:val="0000FF"/>
                <w:szCs w:val="21"/>
              </w:rPr>
              <w:t>0.0001</w:t>
            </w:r>
            <w:r>
              <w:rPr>
                <w:rFonts w:ascii="Times New Roman"/>
                <w:bCs/>
                <w:color w:val="0000FF"/>
                <w:szCs w:val="21"/>
              </w:rPr>
              <w:t>t/a</w:t>
            </w:r>
          </w:p>
        </w:tc>
        <w:tc>
          <w:tcPr>
            <w:tcW w:w="1825" w:type="dxa"/>
            <w:vAlign w:val="center"/>
          </w:tcPr>
          <w:p w14:paraId="36C84A1A">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811" w:type="dxa"/>
            <w:vAlign w:val="center"/>
          </w:tcPr>
          <w:p w14:paraId="3CCF9658">
            <w:pPr>
              <w:pStyle w:val="65"/>
              <w:spacing w:beforeLines="0" w:afterLines="0" w:line="240" w:lineRule="auto"/>
              <w:rPr>
                <w:rFonts w:ascii="Times New Roman"/>
                <w:bCs/>
                <w:color w:val="0000FF"/>
                <w:szCs w:val="21"/>
              </w:rPr>
            </w:pPr>
            <w:r>
              <w:rPr>
                <w:rFonts w:hint="eastAsia" w:ascii="Times New Roman"/>
                <w:bCs/>
                <w:color w:val="0000FF"/>
                <w:szCs w:val="21"/>
              </w:rPr>
              <w:t>0.0001</w:t>
            </w:r>
            <w:r>
              <w:rPr>
                <w:rFonts w:ascii="Times New Roman"/>
                <w:bCs/>
                <w:color w:val="0000FF"/>
                <w:szCs w:val="21"/>
              </w:rPr>
              <w:t>t/a</w:t>
            </w:r>
          </w:p>
        </w:tc>
        <w:tc>
          <w:tcPr>
            <w:tcW w:w="974" w:type="dxa"/>
            <w:vAlign w:val="center"/>
          </w:tcPr>
          <w:p w14:paraId="02C79214">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lang w:val="en-US" w:eastAsia="zh-CN"/>
              </w:rPr>
              <w:t>+</w:t>
            </w:r>
            <w:r>
              <w:rPr>
                <w:rFonts w:hint="eastAsia" w:ascii="Times New Roman"/>
                <w:bCs/>
                <w:color w:val="0000FF"/>
                <w:szCs w:val="21"/>
              </w:rPr>
              <w:t>0.0001</w:t>
            </w:r>
            <w:r>
              <w:rPr>
                <w:rFonts w:ascii="Times New Roman"/>
                <w:bCs/>
                <w:color w:val="0000FF"/>
                <w:szCs w:val="21"/>
              </w:rPr>
              <w:t>t/a</w:t>
            </w:r>
          </w:p>
        </w:tc>
      </w:tr>
      <w:tr w14:paraId="0B9E2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88" w:type="dxa"/>
            <w:vMerge w:val="continue"/>
            <w:vAlign w:val="center"/>
          </w:tcPr>
          <w:p w14:paraId="35E1AC6D">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2DA09D6D">
            <w:pPr>
              <w:topLinePunct/>
              <w:adjustRightInd w:val="0"/>
              <w:snapToGrid w:val="0"/>
              <w:jc w:val="center"/>
              <w:rPr>
                <w:bCs/>
                <w:color w:val="auto"/>
                <w:szCs w:val="21"/>
              </w:rPr>
            </w:pPr>
          </w:p>
        </w:tc>
        <w:tc>
          <w:tcPr>
            <w:tcW w:w="873" w:type="dxa"/>
            <w:vAlign w:val="center"/>
          </w:tcPr>
          <w:p w14:paraId="05C4318C">
            <w:pPr>
              <w:pStyle w:val="65"/>
              <w:spacing w:beforeLines="0" w:afterLines="0" w:line="240" w:lineRule="auto"/>
              <w:rPr>
                <w:bCs/>
                <w:color w:val="auto"/>
                <w:szCs w:val="21"/>
              </w:rPr>
            </w:pPr>
            <w:r>
              <w:rPr>
                <w:rFonts w:hint="eastAsia"/>
                <w:snapToGrid w:val="0"/>
                <w:color w:val="auto"/>
                <w:kern w:val="21"/>
                <w:szCs w:val="21"/>
              </w:rPr>
              <w:t>H</w:t>
            </w:r>
            <w:r>
              <w:rPr>
                <w:rFonts w:hint="eastAsia"/>
                <w:snapToGrid w:val="0"/>
                <w:color w:val="auto"/>
                <w:kern w:val="21"/>
                <w:szCs w:val="21"/>
                <w:vertAlign w:val="subscript"/>
              </w:rPr>
              <w:t>2</w:t>
            </w:r>
            <w:r>
              <w:rPr>
                <w:rFonts w:hint="eastAsia"/>
                <w:snapToGrid w:val="0"/>
                <w:color w:val="auto"/>
                <w:kern w:val="21"/>
                <w:szCs w:val="21"/>
              </w:rPr>
              <w:t>S</w:t>
            </w:r>
          </w:p>
        </w:tc>
        <w:tc>
          <w:tcPr>
            <w:tcW w:w="1537" w:type="dxa"/>
            <w:vAlign w:val="center"/>
          </w:tcPr>
          <w:p w14:paraId="52AD7E42">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276" w:type="dxa"/>
            <w:vAlign w:val="center"/>
          </w:tcPr>
          <w:p w14:paraId="64D17EDE">
            <w:pPr>
              <w:pStyle w:val="65"/>
              <w:spacing w:beforeLines="0" w:afterLines="0" w:line="240" w:lineRule="auto"/>
              <w:rPr>
                <w:rFonts w:hint="eastAsia" w:ascii="Times New Roman" w:eastAsia="宋体"/>
                <w:bCs/>
                <w:snapToGrid w:val="0"/>
                <w:color w:val="auto"/>
                <w:kern w:val="21"/>
                <w:szCs w:val="21"/>
                <w:lang w:val="en-US" w:eastAsia="zh-CN"/>
              </w:rPr>
            </w:pPr>
            <w:r>
              <w:rPr>
                <w:rFonts w:hint="eastAsia" w:ascii="Times New Roman"/>
                <w:bCs/>
                <w:snapToGrid w:val="0"/>
                <w:color w:val="auto"/>
                <w:kern w:val="21"/>
                <w:szCs w:val="21"/>
                <w:lang w:val="en-US" w:eastAsia="zh-CN"/>
              </w:rPr>
              <w:t>/</w:t>
            </w:r>
          </w:p>
        </w:tc>
        <w:tc>
          <w:tcPr>
            <w:tcW w:w="1701" w:type="dxa"/>
            <w:vAlign w:val="center"/>
          </w:tcPr>
          <w:p w14:paraId="53FD0322">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495" w:type="dxa"/>
            <w:vAlign w:val="center"/>
          </w:tcPr>
          <w:p w14:paraId="2C6E0C30">
            <w:pPr>
              <w:pStyle w:val="65"/>
              <w:spacing w:beforeLines="0" w:afterLines="0" w:line="240" w:lineRule="auto"/>
              <w:rPr>
                <w:rFonts w:ascii="Times New Roman"/>
                <w:bCs/>
                <w:color w:val="0000FF"/>
                <w:szCs w:val="21"/>
              </w:rPr>
            </w:pPr>
            <w:r>
              <w:rPr>
                <w:rFonts w:hint="eastAsia" w:ascii="Times New Roman"/>
                <w:bCs/>
                <w:color w:val="0000FF"/>
                <w:szCs w:val="21"/>
              </w:rPr>
              <w:t>0.000039</w:t>
            </w:r>
            <w:r>
              <w:rPr>
                <w:rFonts w:ascii="Times New Roman"/>
                <w:bCs/>
                <w:color w:val="0000FF"/>
                <w:szCs w:val="21"/>
              </w:rPr>
              <w:t>t/a</w:t>
            </w:r>
          </w:p>
        </w:tc>
        <w:tc>
          <w:tcPr>
            <w:tcW w:w="1825" w:type="dxa"/>
            <w:vAlign w:val="center"/>
          </w:tcPr>
          <w:p w14:paraId="14D6694D">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811" w:type="dxa"/>
            <w:vAlign w:val="center"/>
          </w:tcPr>
          <w:p w14:paraId="00927CFA">
            <w:pPr>
              <w:pStyle w:val="65"/>
              <w:spacing w:beforeLines="0" w:afterLines="0" w:line="240" w:lineRule="auto"/>
              <w:rPr>
                <w:rFonts w:ascii="Times New Roman"/>
                <w:bCs/>
                <w:color w:val="0000FF"/>
                <w:szCs w:val="21"/>
              </w:rPr>
            </w:pPr>
            <w:r>
              <w:rPr>
                <w:rFonts w:hint="eastAsia" w:ascii="Times New Roman"/>
                <w:bCs/>
                <w:color w:val="0000FF"/>
                <w:szCs w:val="21"/>
              </w:rPr>
              <w:t>0.000039</w:t>
            </w:r>
            <w:r>
              <w:rPr>
                <w:rFonts w:ascii="Times New Roman"/>
                <w:bCs/>
                <w:color w:val="0000FF"/>
                <w:szCs w:val="21"/>
              </w:rPr>
              <w:t>t/a</w:t>
            </w:r>
          </w:p>
        </w:tc>
        <w:tc>
          <w:tcPr>
            <w:tcW w:w="974" w:type="dxa"/>
            <w:vAlign w:val="center"/>
          </w:tcPr>
          <w:p w14:paraId="0ED139AC">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lang w:val="en-US" w:eastAsia="zh-CN"/>
              </w:rPr>
              <w:t>+</w:t>
            </w:r>
            <w:r>
              <w:rPr>
                <w:rFonts w:hint="eastAsia" w:ascii="Times New Roman"/>
                <w:bCs/>
                <w:color w:val="0000FF"/>
                <w:szCs w:val="21"/>
              </w:rPr>
              <w:t>0.000039</w:t>
            </w:r>
            <w:r>
              <w:rPr>
                <w:rFonts w:ascii="Times New Roman"/>
                <w:bCs/>
                <w:color w:val="0000FF"/>
                <w:szCs w:val="21"/>
              </w:rPr>
              <w:t>t/a</w:t>
            </w:r>
          </w:p>
        </w:tc>
      </w:tr>
      <w:tr w14:paraId="037F3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88" w:type="dxa"/>
            <w:vMerge w:val="continue"/>
            <w:vAlign w:val="center"/>
          </w:tcPr>
          <w:p w14:paraId="4E42F320">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7976005B">
            <w:pPr>
              <w:topLinePunct/>
              <w:adjustRightInd w:val="0"/>
              <w:snapToGrid w:val="0"/>
              <w:jc w:val="center"/>
              <w:rPr>
                <w:bCs/>
                <w:color w:val="auto"/>
                <w:szCs w:val="21"/>
              </w:rPr>
            </w:pPr>
          </w:p>
        </w:tc>
        <w:tc>
          <w:tcPr>
            <w:tcW w:w="873" w:type="dxa"/>
            <w:vAlign w:val="center"/>
          </w:tcPr>
          <w:p w14:paraId="3EF8909B">
            <w:pPr>
              <w:pStyle w:val="65"/>
              <w:spacing w:beforeLines="0" w:afterLines="0" w:line="240" w:lineRule="auto"/>
              <w:rPr>
                <w:snapToGrid w:val="0"/>
                <w:color w:val="0000FF"/>
                <w:kern w:val="21"/>
                <w:szCs w:val="21"/>
              </w:rPr>
            </w:pPr>
            <w:r>
              <w:rPr>
                <w:rFonts w:hAnsi="宋体"/>
                <w:color w:val="0000FF"/>
                <w:szCs w:val="21"/>
              </w:rPr>
              <w:t>食堂油烟</w:t>
            </w:r>
          </w:p>
        </w:tc>
        <w:tc>
          <w:tcPr>
            <w:tcW w:w="1537" w:type="dxa"/>
            <w:vAlign w:val="center"/>
          </w:tcPr>
          <w:p w14:paraId="60D0535D">
            <w:pPr>
              <w:pStyle w:val="65"/>
              <w:spacing w:beforeLines="0" w:afterLines="0" w:line="240" w:lineRule="auto"/>
              <w:rPr>
                <w:rFonts w:ascii="Times New Roman"/>
                <w:bCs/>
                <w:snapToGrid w:val="0"/>
                <w:color w:val="0000FF"/>
                <w:kern w:val="21"/>
                <w:szCs w:val="21"/>
              </w:rPr>
            </w:pPr>
            <w:r>
              <w:rPr>
                <w:rFonts w:hint="eastAsia"/>
                <w:color w:val="0000FF"/>
                <w:sz w:val="24"/>
              </w:rPr>
              <w:t>0.38kg/a</w:t>
            </w:r>
          </w:p>
        </w:tc>
        <w:tc>
          <w:tcPr>
            <w:tcW w:w="1276" w:type="dxa"/>
            <w:vAlign w:val="center"/>
          </w:tcPr>
          <w:p w14:paraId="331AF472">
            <w:pPr>
              <w:pStyle w:val="65"/>
              <w:spacing w:beforeLines="0" w:afterLines="0" w:line="240" w:lineRule="auto"/>
              <w:rPr>
                <w:rFonts w:hint="eastAsia" w:ascii="Times New Roman" w:eastAsia="宋体"/>
                <w:bCs/>
                <w:snapToGrid w:val="0"/>
                <w:color w:val="auto"/>
                <w:kern w:val="21"/>
                <w:szCs w:val="21"/>
                <w:lang w:eastAsia="zh-CN"/>
              </w:rPr>
            </w:pPr>
            <w:r>
              <w:rPr>
                <w:rFonts w:hint="eastAsia"/>
                <w:color w:val="0000FF"/>
                <w:sz w:val="24"/>
                <w:lang w:eastAsia="zh-CN"/>
              </w:rPr>
              <w:t>/</w:t>
            </w:r>
          </w:p>
        </w:tc>
        <w:tc>
          <w:tcPr>
            <w:tcW w:w="1701" w:type="dxa"/>
            <w:vAlign w:val="center"/>
          </w:tcPr>
          <w:p w14:paraId="2C209534">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495" w:type="dxa"/>
            <w:vAlign w:val="center"/>
          </w:tcPr>
          <w:p w14:paraId="7908B2EB">
            <w:pPr>
              <w:pStyle w:val="65"/>
              <w:spacing w:beforeLines="0" w:afterLines="0" w:line="240" w:lineRule="auto"/>
              <w:rPr>
                <w:rFonts w:hint="eastAsia" w:ascii="Times New Roman" w:eastAsia="宋体"/>
                <w:bCs/>
                <w:color w:val="0000FF"/>
                <w:szCs w:val="21"/>
                <w:lang w:eastAsia="zh-CN"/>
              </w:rPr>
            </w:pPr>
            <w:r>
              <w:rPr>
                <w:rFonts w:hint="eastAsia" w:ascii="Times New Roman"/>
                <w:bCs/>
                <w:color w:val="0000FF"/>
                <w:szCs w:val="21"/>
                <w:lang w:val="en-US" w:eastAsia="zh-CN"/>
              </w:rPr>
              <w:t>0</w:t>
            </w:r>
          </w:p>
        </w:tc>
        <w:tc>
          <w:tcPr>
            <w:tcW w:w="1825" w:type="dxa"/>
            <w:vAlign w:val="center"/>
          </w:tcPr>
          <w:p w14:paraId="5DC4E911">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auto"/>
                <w:kern w:val="21"/>
                <w:szCs w:val="21"/>
                <w:lang w:val="en-US" w:eastAsia="zh-CN"/>
              </w:rPr>
              <w:t>/</w:t>
            </w:r>
          </w:p>
        </w:tc>
        <w:tc>
          <w:tcPr>
            <w:tcW w:w="1811" w:type="dxa"/>
            <w:vAlign w:val="center"/>
          </w:tcPr>
          <w:p w14:paraId="662E0937">
            <w:pPr>
              <w:pStyle w:val="65"/>
              <w:spacing w:beforeLines="0" w:afterLines="0" w:line="240" w:lineRule="auto"/>
              <w:rPr>
                <w:rFonts w:ascii="Times New Roman"/>
                <w:bCs/>
                <w:color w:val="auto"/>
                <w:szCs w:val="21"/>
              </w:rPr>
            </w:pPr>
            <w:r>
              <w:rPr>
                <w:rFonts w:hint="eastAsia"/>
                <w:color w:val="auto"/>
                <w:sz w:val="24"/>
              </w:rPr>
              <w:t>0.38kg/a</w:t>
            </w:r>
          </w:p>
        </w:tc>
        <w:tc>
          <w:tcPr>
            <w:tcW w:w="974" w:type="dxa"/>
            <w:vAlign w:val="center"/>
          </w:tcPr>
          <w:p w14:paraId="0F246D3B">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auto"/>
                <w:kern w:val="21"/>
                <w:szCs w:val="21"/>
                <w:lang w:val="en-US" w:eastAsia="zh-CN"/>
              </w:rPr>
              <w:t>0</w:t>
            </w:r>
          </w:p>
        </w:tc>
      </w:tr>
      <w:tr w14:paraId="42C26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42D30DD0">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35C5B81C">
            <w:pPr>
              <w:pStyle w:val="65"/>
              <w:spacing w:beforeLines="0" w:afterLines="0" w:line="240" w:lineRule="auto"/>
              <w:rPr>
                <w:bCs/>
                <w:color w:val="auto"/>
                <w:szCs w:val="21"/>
              </w:rPr>
            </w:pPr>
            <w:r>
              <w:rPr>
                <w:rFonts w:hint="eastAsia" w:ascii="Times New Roman"/>
                <w:bCs/>
                <w:snapToGrid w:val="0"/>
                <w:color w:val="auto"/>
                <w:kern w:val="21"/>
                <w:szCs w:val="21"/>
              </w:rPr>
              <w:t>杨</w:t>
            </w:r>
            <w:r>
              <w:rPr>
                <w:rFonts w:hint="eastAsia" w:ascii="Times New Roman"/>
                <w:bCs/>
                <w:snapToGrid w:val="0"/>
                <w:color w:val="0000FF"/>
                <w:kern w:val="21"/>
                <w:szCs w:val="21"/>
              </w:rPr>
              <w:t>广卫</w:t>
            </w:r>
            <w:r>
              <w:rPr>
                <w:rFonts w:hint="eastAsia" w:ascii="Times New Roman"/>
                <w:bCs/>
                <w:snapToGrid w:val="0"/>
                <w:color w:val="auto"/>
                <w:kern w:val="21"/>
                <w:szCs w:val="21"/>
              </w:rPr>
              <w:t>生院</w:t>
            </w:r>
          </w:p>
        </w:tc>
        <w:tc>
          <w:tcPr>
            <w:tcW w:w="873" w:type="dxa"/>
            <w:vAlign w:val="center"/>
          </w:tcPr>
          <w:p w14:paraId="7D34D1F3">
            <w:pPr>
              <w:pStyle w:val="65"/>
              <w:spacing w:beforeLines="0" w:afterLines="0" w:line="240" w:lineRule="auto"/>
              <w:rPr>
                <w:bCs/>
                <w:color w:val="0000FF"/>
                <w:szCs w:val="21"/>
              </w:rPr>
            </w:pPr>
            <w:r>
              <w:rPr>
                <w:rFonts w:hint="eastAsia"/>
                <w:snapToGrid w:val="0"/>
                <w:color w:val="0000FF"/>
                <w:kern w:val="21"/>
                <w:szCs w:val="21"/>
              </w:rPr>
              <w:t>NH</w:t>
            </w:r>
            <w:r>
              <w:rPr>
                <w:rFonts w:hint="eastAsia"/>
                <w:snapToGrid w:val="0"/>
                <w:color w:val="0000FF"/>
                <w:kern w:val="21"/>
                <w:szCs w:val="21"/>
                <w:vertAlign w:val="subscript"/>
              </w:rPr>
              <w:t>3</w:t>
            </w:r>
          </w:p>
        </w:tc>
        <w:tc>
          <w:tcPr>
            <w:tcW w:w="1537" w:type="dxa"/>
            <w:vAlign w:val="center"/>
          </w:tcPr>
          <w:p w14:paraId="6E6757ED">
            <w:pPr>
              <w:jc w:val="center"/>
              <w:rPr>
                <w:bCs/>
                <w:snapToGrid w:val="0"/>
                <w:color w:val="0000FF"/>
                <w:kern w:val="21"/>
                <w:szCs w:val="21"/>
              </w:rPr>
            </w:pPr>
            <w:r>
              <w:rPr>
                <w:rFonts w:hint="eastAsia"/>
                <w:color w:val="0000FF"/>
                <w:szCs w:val="21"/>
              </w:rPr>
              <w:t>0.00042</w:t>
            </w:r>
            <w:r>
              <w:rPr>
                <w:bCs/>
                <w:color w:val="0000FF"/>
                <w:szCs w:val="21"/>
              </w:rPr>
              <w:t>t/a</w:t>
            </w:r>
          </w:p>
        </w:tc>
        <w:tc>
          <w:tcPr>
            <w:tcW w:w="1276" w:type="dxa"/>
            <w:vAlign w:val="center"/>
          </w:tcPr>
          <w:p w14:paraId="0DA51AA8">
            <w:pPr>
              <w:pStyle w:val="65"/>
              <w:spacing w:beforeLines="0" w:afterLines="0" w:line="240" w:lineRule="auto"/>
              <w:rPr>
                <w:rFonts w:hint="eastAsia" w:ascii="Times New Roman" w:eastAsia="宋体"/>
                <w:bCs/>
                <w:snapToGrid w:val="0"/>
                <w:color w:val="auto"/>
                <w:kern w:val="21"/>
                <w:szCs w:val="21"/>
                <w:lang w:val="en-US" w:eastAsia="zh-CN"/>
              </w:rPr>
            </w:pPr>
            <w:r>
              <w:rPr>
                <w:rFonts w:hint="eastAsia"/>
                <w:color w:val="0000FF"/>
                <w:szCs w:val="21"/>
                <w:lang w:val="en-US" w:eastAsia="zh-CN"/>
              </w:rPr>
              <w:t>/</w:t>
            </w:r>
          </w:p>
        </w:tc>
        <w:tc>
          <w:tcPr>
            <w:tcW w:w="1701" w:type="dxa"/>
            <w:vAlign w:val="center"/>
          </w:tcPr>
          <w:p w14:paraId="11FC66BE">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495" w:type="dxa"/>
            <w:vAlign w:val="center"/>
          </w:tcPr>
          <w:p w14:paraId="1AFE33FC">
            <w:pPr>
              <w:jc w:val="center"/>
              <w:rPr>
                <w:bCs/>
                <w:color w:val="0000FF"/>
                <w:szCs w:val="21"/>
              </w:rPr>
            </w:pPr>
            <w:r>
              <w:rPr>
                <w:rFonts w:hint="eastAsia"/>
                <w:color w:val="0000FF"/>
                <w:szCs w:val="21"/>
              </w:rPr>
              <w:t>0.00042</w:t>
            </w:r>
            <w:r>
              <w:rPr>
                <w:bCs/>
                <w:color w:val="0000FF"/>
                <w:szCs w:val="21"/>
              </w:rPr>
              <w:t>t/a</w:t>
            </w:r>
          </w:p>
        </w:tc>
        <w:tc>
          <w:tcPr>
            <w:tcW w:w="1825" w:type="dxa"/>
            <w:vAlign w:val="center"/>
          </w:tcPr>
          <w:p w14:paraId="251CFD6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811" w:type="dxa"/>
            <w:vAlign w:val="center"/>
          </w:tcPr>
          <w:p w14:paraId="6432FEE2">
            <w:pPr>
              <w:pStyle w:val="65"/>
              <w:spacing w:beforeLines="0" w:afterLines="0" w:line="240" w:lineRule="auto"/>
              <w:rPr>
                <w:rFonts w:ascii="Times New Roman"/>
                <w:bCs/>
                <w:color w:val="auto"/>
                <w:szCs w:val="21"/>
              </w:rPr>
            </w:pPr>
            <w:r>
              <w:rPr>
                <w:rFonts w:hint="eastAsia" w:ascii="Times New Roman"/>
                <w:bCs/>
                <w:color w:val="auto"/>
                <w:szCs w:val="21"/>
              </w:rPr>
              <w:t>0.00</w:t>
            </w:r>
            <w:r>
              <w:rPr>
                <w:rFonts w:hint="eastAsia" w:ascii="Times New Roman"/>
                <w:bCs/>
                <w:color w:val="auto"/>
                <w:szCs w:val="21"/>
                <w:lang w:val="en-US" w:eastAsia="zh-CN"/>
              </w:rPr>
              <w:t>084</w:t>
            </w:r>
            <w:r>
              <w:rPr>
                <w:rFonts w:ascii="Times New Roman"/>
                <w:bCs/>
                <w:color w:val="auto"/>
                <w:szCs w:val="21"/>
              </w:rPr>
              <w:t>t/a</w:t>
            </w:r>
          </w:p>
        </w:tc>
        <w:tc>
          <w:tcPr>
            <w:tcW w:w="974" w:type="dxa"/>
            <w:vAlign w:val="center"/>
          </w:tcPr>
          <w:p w14:paraId="13691E76">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color w:val="auto"/>
                <w:szCs w:val="21"/>
              </w:rPr>
              <w:t>0.00042</w:t>
            </w:r>
            <w:r>
              <w:rPr>
                <w:rFonts w:ascii="Times New Roman"/>
                <w:bCs/>
                <w:color w:val="auto"/>
                <w:szCs w:val="21"/>
              </w:rPr>
              <w:t>t/a</w:t>
            </w:r>
          </w:p>
        </w:tc>
      </w:tr>
      <w:tr w14:paraId="0AFB9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35ED60A5">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6EA1714E">
            <w:pPr>
              <w:topLinePunct/>
              <w:adjustRightInd w:val="0"/>
              <w:snapToGrid w:val="0"/>
              <w:jc w:val="center"/>
              <w:rPr>
                <w:bCs/>
                <w:color w:val="auto"/>
                <w:szCs w:val="21"/>
              </w:rPr>
            </w:pPr>
          </w:p>
        </w:tc>
        <w:tc>
          <w:tcPr>
            <w:tcW w:w="873" w:type="dxa"/>
            <w:vAlign w:val="center"/>
          </w:tcPr>
          <w:p w14:paraId="4284B599">
            <w:pPr>
              <w:pStyle w:val="65"/>
              <w:spacing w:beforeLines="0" w:afterLines="0" w:line="240" w:lineRule="auto"/>
              <w:rPr>
                <w:bCs/>
                <w:color w:val="0000FF"/>
                <w:szCs w:val="21"/>
              </w:rPr>
            </w:pPr>
            <w:r>
              <w:rPr>
                <w:rFonts w:hint="eastAsia"/>
                <w:snapToGrid w:val="0"/>
                <w:color w:val="0000FF"/>
                <w:kern w:val="21"/>
                <w:szCs w:val="21"/>
              </w:rPr>
              <w:t>H</w:t>
            </w:r>
            <w:r>
              <w:rPr>
                <w:rFonts w:hint="eastAsia"/>
                <w:snapToGrid w:val="0"/>
                <w:color w:val="0000FF"/>
                <w:kern w:val="21"/>
                <w:szCs w:val="21"/>
                <w:vertAlign w:val="subscript"/>
              </w:rPr>
              <w:t>2</w:t>
            </w:r>
            <w:r>
              <w:rPr>
                <w:rFonts w:hint="eastAsia"/>
                <w:snapToGrid w:val="0"/>
                <w:color w:val="0000FF"/>
                <w:kern w:val="21"/>
                <w:szCs w:val="21"/>
              </w:rPr>
              <w:t>S</w:t>
            </w:r>
          </w:p>
        </w:tc>
        <w:tc>
          <w:tcPr>
            <w:tcW w:w="1537" w:type="dxa"/>
            <w:vAlign w:val="center"/>
          </w:tcPr>
          <w:p w14:paraId="78377696">
            <w:pPr>
              <w:jc w:val="center"/>
              <w:rPr>
                <w:bCs/>
                <w:snapToGrid w:val="0"/>
                <w:color w:val="0000FF"/>
                <w:kern w:val="21"/>
                <w:szCs w:val="21"/>
              </w:rPr>
            </w:pPr>
            <w:r>
              <w:rPr>
                <w:rFonts w:hint="eastAsia"/>
                <w:color w:val="0000FF"/>
                <w:szCs w:val="21"/>
              </w:rPr>
              <w:t>0.000016</w:t>
            </w:r>
            <w:r>
              <w:rPr>
                <w:bCs/>
                <w:color w:val="0000FF"/>
                <w:szCs w:val="21"/>
              </w:rPr>
              <w:t>t/a</w:t>
            </w:r>
          </w:p>
        </w:tc>
        <w:tc>
          <w:tcPr>
            <w:tcW w:w="1276" w:type="dxa"/>
            <w:vAlign w:val="center"/>
          </w:tcPr>
          <w:p w14:paraId="02CD47B1">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701" w:type="dxa"/>
            <w:vAlign w:val="center"/>
          </w:tcPr>
          <w:p w14:paraId="1843F3B2">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495" w:type="dxa"/>
            <w:vAlign w:val="center"/>
          </w:tcPr>
          <w:p w14:paraId="01E8B575">
            <w:pPr>
              <w:jc w:val="center"/>
              <w:rPr>
                <w:bCs/>
                <w:color w:val="0000FF"/>
                <w:szCs w:val="21"/>
              </w:rPr>
            </w:pPr>
            <w:r>
              <w:rPr>
                <w:rFonts w:hint="eastAsia"/>
                <w:color w:val="0000FF"/>
                <w:szCs w:val="21"/>
              </w:rPr>
              <w:t>0.000016</w:t>
            </w:r>
            <w:r>
              <w:rPr>
                <w:bCs/>
                <w:color w:val="0000FF"/>
                <w:szCs w:val="21"/>
              </w:rPr>
              <w:t>t/a</w:t>
            </w:r>
          </w:p>
        </w:tc>
        <w:tc>
          <w:tcPr>
            <w:tcW w:w="1825" w:type="dxa"/>
            <w:vAlign w:val="center"/>
          </w:tcPr>
          <w:p w14:paraId="5786000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811" w:type="dxa"/>
            <w:vAlign w:val="center"/>
          </w:tcPr>
          <w:p w14:paraId="4ABCD58E">
            <w:pPr>
              <w:pStyle w:val="65"/>
              <w:spacing w:beforeLines="0" w:afterLines="0" w:line="240" w:lineRule="auto"/>
              <w:rPr>
                <w:rFonts w:ascii="Times New Roman"/>
                <w:bCs/>
                <w:color w:val="auto"/>
                <w:szCs w:val="21"/>
              </w:rPr>
            </w:pPr>
            <w:r>
              <w:rPr>
                <w:rFonts w:hint="eastAsia" w:ascii="Times New Roman"/>
                <w:bCs/>
                <w:color w:val="auto"/>
                <w:szCs w:val="21"/>
              </w:rPr>
              <w:t>0.0000</w:t>
            </w:r>
            <w:r>
              <w:rPr>
                <w:rFonts w:hint="eastAsia" w:ascii="Times New Roman"/>
                <w:bCs/>
                <w:color w:val="auto"/>
                <w:szCs w:val="21"/>
                <w:lang w:val="en-US" w:eastAsia="zh-CN"/>
              </w:rPr>
              <w:t>32</w:t>
            </w:r>
            <w:r>
              <w:rPr>
                <w:rFonts w:ascii="Times New Roman"/>
                <w:bCs/>
                <w:color w:val="auto"/>
                <w:szCs w:val="21"/>
              </w:rPr>
              <w:t>t/a</w:t>
            </w:r>
          </w:p>
        </w:tc>
        <w:tc>
          <w:tcPr>
            <w:tcW w:w="974" w:type="dxa"/>
            <w:vAlign w:val="center"/>
          </w:tcPr>
          <w:p w14:paraId="49598978">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color w:val="auto"/>
                <w:szCs w:val="21"/>
              </w:rPr>
              <w:t>0.000016</w:t>
            </w:r>
            <w:r>
              <w:rPr>
                <w:rFonts w:ascii="Times New Roman"/>
                <w:bCs/>
                <w:color w:val="auto"/>
                <w:szCs w:val="21"/>
              </w:rPr>
              <w:t>t/a</w:t>
            </w:r>
          </w:p>
        </w:tc>
      </w:tr>
      <w:tr w14:paraId="131BF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70944F2D">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04AE62CB">
            <w:pPr>
              <w:topLinePunct/>
              <w:adjustRightInd w:val="0"/>
              <w:snapToGrid w:val="0"/>
              <w:jc w:val="center"/>
              <w:rPr>
                <w:bCs/>
                <w:color w:val="auto"/>
                <w:szCs w:val="21"/>
              </w:rPr>
            </w:pPr>
          </w:p>
        </w:tc>
        <w:tc>
          <w:tcPr>
            <w:tcW w:w="873" w:type="dxa"/>
            <w:vAlign w:val="center"/>
          </w:tcPr>
          <w:p w14:paraId="3110B986">
            <w:pPr>
              <w:pStyle w:val="65"/>
              <w:spacing w:beforeLines="0" w:afterLines="0" w:line="240" w:lineRule="auto"/>
              <w:rPr>
                <w:snapToGrid w:val="0"/>
                <w:color w:val="0000FF"/>
                <w:kern w:val="21"/>
                <w:szCs w:val="21"/>
              </w:rPr>
            </w:pPr>
            <w:r>
              <w:rPr>
                <w:rFonts w:hAnsi="宋体"/>
                <w:color w:val="0000FF"/>
                <w:szCs w:val="21"/>
              </w:rPr>
              <w:t>食堂油烟</w:t>
            </w:r>
          </w:p>
        </w:tc>
        <w:tc>
          <w:tcPr>
            <w:tcW w:w="1537" w:type="dxa"/>
            <w:vAlign w:val="center"/>
          </w:tcPr>
          <w:p w14:paraId="69AA10DC">
            <w:pPr>
              <w:pStyle w:val="65"/>
              <w:spacing w:beforeLines="0" w:afterLines="0" w:line="240" w:lineRule="auto"/>
              <w:rPr>
                <w:rFonts w:ascii="Times New Roman"/>
                <w:bCs/>
                <w:snapToGrid w:val="0"/>
                <w:color w:val="0000FF"/>
                <w:kern w:val="21"/>
                <w:szCs w:val="21"/>
              </w:rPr>
            </w:pPr>
            <w:r>
              <w:rPr>
                <w:rFonts w:hint="eastAsia"/>
                <w:color w:val="0000FF"/>
                <w:sz w:val="24"/>
              </w:rPr>
              <w:t>0.47kg/a</w:t>
            </w:r>
          </w:p>
        </w:tc>
        <w:tc>
          <w:tcPr>
            <w:tcW w:w="1276" w:type="dxa"/>
            <w:vAlign w:val="center"/>
          </w:tcPr>
          <w:p w14:paraId="3C55B731">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3F61A286">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1FA4D2B6">
            <w:pPr>
              <w:pStyle w:val="65"/>
              <w:spacing w:beforeLines="0" w:afterLines="0" w:line="240" w:lineRule="auto"/>
              <w:rPr>
                <w:rFonts w:ascii="Times New Roman"/>
                <w:bCs/>
                <w:color w:val="auto"/>
                <w:szCs w:val="21"/>
              </w:rPr>
            </w:pPr>
            <w:r>
              <w:rPr>
                <w:rFonts w:hint="eastAsia" w:ascii="Times New Roman"/>
                <w:bCs/>
                <w:color w:val="auto"/>
                <w:szCs w:val="21"/>
              </w:rPr>
              <w:t>/</w:t>
            </w:r>
          </w:p>
        </w:tc>
        <w:tc>
          <w:tcPr>
            <w:tcW w:w="1825" w:type="dxa"/>
            <w:vAlign w:val="center"/>
          </w:tcPr>
          <w:p w14:paraId="11345667">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811" w:type="dxa"/>
            <w:vAlign w:val="center"/>
          </w:tcPr>
          <w:p w14:paraId="1FE36F6F">
            <w:pPr>
              <w:pStyle w:val="65"/>
              <w:spacing w:beforeLines="0" w:afterLines="0" w:line="240" w:lineRule="auto"/>
              <w:rPr>
                <w:rFonts w:ascii="Times New Roman"/>
                <w:bCs/>
                <w:snapToGrid w:val="0"/>
                <w:color w:val="auto"/>
                <w:kern w:val="21"/>
                <w:szCs w:val="21"/>
              </w:rPr>
            </w:pPr>
            <w:r>
              <w:rPr>
                <w:rFonts w:hint="eastAsia"/>
                <w:color w:val="auto"/>
                <w:sz w:val="24"/>
              </w:rPr>
              <w:t>0.47kg/a</w:t>
            </w:r>
          </w:p>
        </w:tc>
        <w:tc>
          <w:tcPr>
            <w:tcW w:w="974" w:type="dxa"/>
            <w:vAlign w:val="center"/>
          </w:tcPr>
          <w:p w14:paraId="7336A9C5">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auto"/>
                <w:kern w:val="21"/>
                <w:szCs w:val="21"/>
                <w:lang w:val="en-US" w:eastAsia="zh-CN"/>
              </w:rPr>
              <w:t>0</w:t>
            </w:r>
          </w:p>
        </w:tc>
      </w:tr>
      <w:tr w14:paraId="0D84E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restart"/>
            <w:vAlign w:val="center"/>
          </w:tcPr>
          <w:p w14:paraId="31E4CF7C">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废水</w:t>
            </w:r>
          </w:p>
        </w:tc>
        <w:tc>
          <w:tcPr>
            <w:tcW w:w="708" w:type="dxa"/>
            <w:vMerge w:val="restart"/>
            <w:vAlign w:val="center"/>
          </w:tcPr>
          <w:p w14:paraId="31F8A21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纳古卫生院</w:t>
            </w:r>
          </w:p>
        </w:tc>
        <w:tc>
          <w:tcPr>
            <w:tcW w:w="873" w:type="dxa"/>
            <w:vAlign w:val="center"/>
          </w:tcPr>
          <w:p w14:paraId="2A6FF2C0">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废水</w:t>
            </w:r>
          </w:p>
        </w:tc>
        <w:tc>
          <w:tcPr>
            <w:tcW w:w="1537" w:type="dxa"/>
            <w:vAlign w:val="center"/>
          </w:tcPr>
          <w:p w14:paraId="23C07CC7">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2774</w:t>
            </w:r>
            <w:r>
              <w:rPr>
                <w:rFonts w:ascii="Times New Roman"/>
                <w:bCs/>
                <w:color w:val="auto"/>
                <w:szCs w:val="21"/>
              </w:rPr>
              <w:t>t/a</w:t>
            </w:r>
          </w:p>
        </w:tc>
        <w:tc>
          <w:tcPr>
            <w:tcW w:w="1276" w:type="dxa"/>
            <w:vAlign w:val="center"/>
          </w:tcPr>
          <w:p w14:paraId="2A7FADA5">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7F355420">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3BE950E0">
            <w:pPr>
              <w:pStyle w:val="65"/>
              <w:spacing w:beforeLines="0" w:afterLines="0" w:line="240" w:lineRule="auto"/>
              <w:rPr>
                <w:rFonts w:ascii="Times New Roman"/>
                <w:bCs/>
                <w:snapToGrid w:val="0"/>
                <w:color w:val="auto"/>
                <w:kern w:val="21"/>
                <w:szCs w:val="21"/>
              </w:rPr>
            </w:pPr>
            <w:r>
              <w:rPr>
                <w:rFonts w:hint="eastAsia" w:ascii="Times New Roman"/>
                <w:bCs/>
                <w:color w:val="0000FF"/>
                <w:szCs w:val="21"/>
              </w:rPr>
              <w:t>2557.</w:t>
            </w:r>
            <w:r>
              <w:rPr>
                <w:rFonts w:hint="eastAsia" w:ascii="Times New Roman"/>
                <w:bCs/>
                <w:color w:val="0000FF"/>
                <w:szCs w:val="21"/>
                <w:lang w:val="en-US" w:eastAsia="zh-CN"/>
              </w:rPr>
              <w:t>5</w:t>
            </w:r>
            <w:r>
              <w:rPr>
                <w:rFonts w:hint="eastAsia" w:ascii="Times New Roman"/>
                <w:bCs/>
                <w:color w:val="0000FF"/>
                <w:szCs w:val="21"/>
              </w:rPr>
              <w:t>6</w:t>
            </w:r>
            <w:r>
              <w:rPr>
                <w:rFonts w:ascii="Times New Roman"/>
                <w:bCs/>
                <w:color w:val="0000FF"/>
                <w:szCs w:val="21"/>
              </w:rPr>
              <w:t>t/a</w:t>
            </w:r>
          </w:p>
        </w:tc>
        <w:tc>
          <w:tcPr>
            <w:tcW w:w="1825" w:type="dxa"/>
            <w:vAlign w:val="center"/>
          </w:tcPr>
          <w:p w14:paraId="00D087F5">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auto"/>
                <w:kern w:val="21"/>
                <w:szCs w:val="21"/>
                <w:lang w:val="en-US" w:eastAsia="zh-CN"/>
              </w:rPr>
              <w:t>/</w:t>
            </w:r>
          </w:p>
        </w:tc>
        <w:tc>
          <w:tcPr>
            <w:tcW w:w="1811" w:type="dxa"/>
            <w:vAlign w:val="center"/>
          </w:tcPr>
          <w:p w14:paraId="5AFC68AA">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5331.</w:t>
            </w:r>
            <w:r>
              <w:rPr>
                <w:rFonts w:hint="eastAsia" w:ascii="Times New Roman"/>
                <w:bCs/>
                <w:snapToGrid w:val="0"/>
                <w:color w:val="auto"/>
                <w:kern w:val="21"/>
                <w:szCs w:val="21"/>
                <w:lang w:val="en-US" w:eastAsia="zh-CN"/>
              </w:rPr>
              <w:t>3</w:t>
            </w:r>
            <w:r>
              <w:rPr>
                <w:rFonts w:hint="eastAsia" w:ascii="Times New Roman"/>
                <w:bCs/>
                <w:snapToGrid w:val="0"/>
                <w:color w:val="auto"/>
                <w:kern w:val="21"/>
                <w:szCs w:val="21"/>
              </w:rPr>
              <w:t>6</w:t>
            </w:r>
            <w:r>
              <w:rPr>
                <w:rFonts w:ascii="Times New Roman"/>
                <w:bCs/>
                <w:color w:val="auto"/>
                <w:szCs w:val="21"/>
              </w:rPr>
              <w:t>t/a</w:t>
            </w:r>
          </w:p>
        </w:tc>
        <w:tc>
          <w:tcPr>
            <w:tcW w:w="974" w:type="dxa"/>
            <w:vAlign w:val="center"/>
          </w:tcPr>
          <w:p w14:paraId="20483779">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+2557.36</w:t>
            </w:r>
            <w:r>
              <w:rPr>
                <w:rFonts w:ascii="Times New Roman"/>
                <w:bCs/>
                <w:color w:val="auto"/>
                <w:szCs w:val="21"/>
              </w:rPr>
              <w:t>t/a</w:t>
            </w:r>
          </w:p>
        </w:tc>
      </w:tr>
      <w:tr w14:paraId="0B2DE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14:paraId="3F02D88B">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6B3A2249">
            <w:pPr>
              <w:pStyle w:val="65"/>
              <w:spacing w:beforeLines="0" w:afterLines="0" w:line="240" w:lineRule="auto"/>
              <w:rPr>
                <w:rFonts w:ascii="Times New Roman"/>
                <w:bCs/>
                <w:snapToGrid w:val="0"/>
                <w:color w:val="auto"/>
                <w:kern w:val="21"/>
                <w:szCs w:val="21"/>
              </w:rPr>
            </w:pPr>
          </w:p>
        </w:tc>
        <w:tc>
          <w:tcPr>
            <w:tcW w:w="873" w:type="dxa"/>
            <w:vAlign w:val="center"/>
          </w:tcPr>
          <w:p w14:paraId="304249E6">
            <w:pPr>
              <w:pStyle w:val="65"/>
              <w:spacing w:beforeLines="0" w:afterLines="0" w:line="240" w:lineRule="auto"/>
              <w:rPr>
                <w:rFonts w:ascii="Times New Roman"/>
                <w:bCs/>
                <w:snapToGrid w:val="0"/>
                <w:color w:val="0000FF"/>
                <w:kern w:val="21"/>
                <w:szCs w:val="21"/>
              </w:rPr>
            </w:pPr>
            <w:r>
              <w:rPr>
                <w:rFonts w:hint="eastAsia"/>
                <w:snapToGrid w:val="0"/>
                <w:color w:val="0000FF"/>
                <w:kern w:val="21"/>
                <w:szCs w:val="21"/>
              </w:rPr>
              <w:t>CODcr</w:t>
            </w:r>
          </w:p>
        </w:tc>
        <w:tc>
          <w:tcPr>
            <w:tcW w:w="1537" w:type="dxa"/>
            <w:vAlign w:val="center"/>
          </w:tcPr>
          <w:p w14:paraId="7A19CE4C">
            <w:pPr>
              <w:pStyle w:val="65"/>
              <w:spacing w:beforeLines="0" w:afterLines="0" w:line="240" w:lineRule="auto"/>
              <w:rPr>
                <w:rFonts w:ascii="Times New Roman"/>
                <w:bCs/>
                <w:snapToGrid w:val="0"/>
                <w:color w:val="0000FF"/>
                <w:kern w:val="21"/>
                <w:szCs w:val="21"/>
              </w:rPr>
            </w:pPr>
            <w:r>
              <w:rPr>
                <w:rFonts w:hint="eastAsia" w:hAnsi="宋体" w:cs="宋体"/>
                <w:snapToGrid w:val="0"/>
                <w:color w:val="0000FF"/>
                <w:szCs w:val="21"/>
                <w:lang w:val="en-US" w:eastAsia="zh-CN"/>
              </w:rPr>
              <w:t>0.061</w:t>
            </w:r>
            <w:r>
              <w:rPr>
                <w:rFonts w:hint="eastAsia" w:hAnsi="宋体" w:cs="宋体"/>
                <w:color w:val="0000FF"/>
                <w:kern w:val="2"/>
                <w:szCs w:val="21"/>
              </w:rPr>
              <w:t>t/a</w:t>
            </w:r>
          </w:p>
        </w:tc>
        <w:tc>
          <w:tcPr>
            <w:tcW w:w="1276" w:type="dxa"/>
            <w:vAlign w:val="center"/>
          </w:tcPr>
          <w:p w14:paraId="4B0C4055">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300CC722">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75403D6A">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0.115</w:t>
            </w:r>
            <w:r>
              <w:rPr>
                <w:rFonts w:ascii="Times New Roman"/>
                <w:bCs/>
                <w:color w:val="0000FF"/>
                <w:szCs w:val="21"/>
              </w:rPr>
              <w:t>t/a</w:t>
            </w:r>
          </w:p>
        </w:tc>
        <w:tc>
          <w:tcPr>
            <w:tcW w:w="1825" w:type="dxa"/>
            <w:vAlign w:val="center"/>
          </w:tcPr>
          <w:p w14:paraId="3C80F216">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0</w:t>
            </w:r>
          </w:p>
        </w:tc>
        <w:tc>
          <w:tcPr>
            <w:tcW w:w="1811" w:type="dxa"/>
            <w:vAlign w:val="center"/>
          </w:tcPr>
          <w:p w14:paraId="39D40318">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lang w:val="en-US" w:eastAsia="zh-CN"/>
              </w:rPr>
              <w:t>0.176</w:t>
            </w:r>
            <w:r>
              <w:rPr>
                <w:rFonts w:ascii="Times New Roman"/>
                <w:bCs/>
                <w:color w:val="1552D1"/>
                <w:szCs w:val="21"/>
              </w:rPr>
              <w:t>t/a</w:t>
            </w:r>
          </w:p>
        </w:tc>
        <w:tc>
          <w:tcPr>
            <w:tcW w:w="974" w:type="dxa"/>
            <w:vAlign w:val="center"/>
          </w:tcPr>
          <w:p w14:paraId="1587860A">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w:t>
            </w:r>
            <w:r>
              <w:rPr>
                <w:rFonts w:hint="eastAsia" w:ascii="Times New Roman"/>
                <w:bCs/>
                <w:snapToGrid w:val="0"/>
                <w:color w:val="1552D1"/>
                <w:kern w:val="21"/>
                <w:szCs w:val="21"/>
                <w:lang w:val="en-US" w:eastAsia="zh-CN"/>
              </w:rPr>
              <w:t>0.115</w:t>
            </w:r>
            <w:r>
              <w:rPr>
                <w:rFonts w:ascii="Times New Roman"/>
                <w:bCs/>
                <w:color w:val="1552D1"/>
                <w:szCs w:val="21"/>
              </w:rPr>
              <w:t>t/a</w:t>
            </w:r>
          </w:p>
        </w:tc>
      </w:tr>
      <w:tr w14:paraId="5B5D3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7B91B049">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1F24E9DE">
            <w:pPr>
              <w:pStyle w:val="65"/>
              <w:spacing w:beforeLines="0" w:afterLines="0" w:line="240" w:lineRule="auto"/>
              <w:rPr>
                <w:rFonts w:ascii="Times New Roman"/>
                <w:bCs/>
                <w:snapToGrid w:val="0"/>
                <w:color w:val="auto"/>
                <w:kern w:val="21"/>
                <w:szCs w:val="21"/>
              </w:rPr>
            </w:pPr>
          </w:p>
        </w:tc>
        <w:tc>
          <w:tcPr>
            <w:tcW w:w="873" w:type="dxa"/>
            <w:vAlign w:val="center"/>
          </w:tcPr>
          <w:p w14:paraId="662C9B2D">
            <w:pPr>
              <w:pStyle w:val="65"/>
              <w:spacing w:beforeLines="0" w:afterLines="0" w:line="240" w:lineRule="auto"/>
              <w:rPr>
                <w:rFonts w:ascii="Times New Roman"/>
                <w:bCs/>
                <w:snapToGrid w:val="0"/>
                <w:color w:val="0000FF"/>
                <w:kern w:val="21"/>
                <w:szCs w:val="21"/>
              </w:rPr>
            </w:pPr>
            <w:r>
              <w:rPr>
                <w:rFonts w:hint="eastAsia"/>
                <w:snapToGrid w:val="0"/>
                <w:color w:val="0000FF"/>
                <w:kern w:val="21"/>
                <w:szCs w:val="21"/>
              </w:rPr>
              <w:t>氨氮</w:t>
            </w:r>
          </w:p>
        </w:tc>
        <w:tc>
          <w:tcPr>
            <w:tcW w:w="1537" w:type="dxa"/>
            <w:vAlign w:val="center"/>
          </w:tcPr>
          <w:p w14:paraId="5849E9A8">
            <w:pPr>
              <w:pStyle w:val="65"/>
              <w:spacing w:beforeLines="0" w:afterLines="0" w:line="240" w:lineRule="auto"/>
              <w:rPr>
                <w:rFonts w:ascii="Times New Roman"/>
                <w:bCs/>
                <w:snapToGrid w:val="0"/>
                <w:color w:val="0000FF"/>
                <w:kern w:val="21"/>
                <w:szCs w:val="21"/>
              </w:rPr>
            </w:pPr>
            <w:r>
              <w:rPr>
                <w:rFonts w:hint="eastAsia" w:hAnsi="宋体" w:cs="宋体"/>
                <w:snapToGrid w:val="0"/>
                <w:color w:val="0000FF"/>
                <w:szCs w:val="21"/>
              </w:rPr>
              <w:t>0.</w:t>
            </w:r>
            <w:r>
              <w:rPr>
                <w:rFonts w:hint="eastAsia" w:hAnsi="宋体" w:cs="宋体"/>
                <w:snapToGrid w:val="0"/>
                <w:color w:val="0000FF"/>
                <w:szCs w:val="21"/>
                <w:lang w:val="en-US" w:eastAsia="zh-CN"/>
              </w:rPr>
              <w:t>115</w:t>
            </w:r>
            <w:r>
              <w:rPr>
                <w:rFonts w:hint="eastAsia" w:hAnsi="宋体" w:cs="宋体"/>
                <w:color w:val="0000FF"/>
                <w:kern w:val="2"/>
                <w:szCs w:val="21"/>
              </w:rPr>
              <w:t>t/a</w:t>
            </w:r>
          </w:p>
        </w:tc>
        <w:tc>
          <w:tcPr>
            <w:tcW w:w="1276" w:type="dxa"/>
            <w:vAlign w:val="center"/>
          </w:tcPr>
          <w:p w14:paraId="2695C9D8">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5B6D27F4">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05A2963C">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0.035</w:t>
            </w:r>
            <w:r>
              <w:rPr>
                <w:rFonts w:ascii="Times New Roman"/>
                <w:bCs/>
                <w:color w:val="0000FF"/>
                <w:szCs w:val="21"/>
              </w:rPr>
              <w:t>t/a</w:t>
            </w:r>
          </w:p>
        </w:tc>
        <w:tc>
          <w:tcPr>
            <w:tcW w:w="1825" w:type="dxa"/>
            <w:vAlign w:val="center"/>
          </w:tcPr>
          <w:p w14:paraId="496A2010">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0</w:t>
            </w:r>
          </w:p>
        </w:tc>
        <w:tc>
          <w:tcPr>
            <w:tcW w:w="1811" w:type="dxa"/>
            <w:vAlign w:val="center"/>
          </w:tcPr>
          <w:p w14:paraId="075CDC5C">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lang w:val="en-US" w:eastAsia="zh-CN"/>
              </w:rPr>
              <w:t>0.15</w:t>
            </w:r>
            <w:r>
              <w:rPr>
                <w:rFonts w:ascii="Times New Roman"/>
                <w:bCs/>
                <w:color w:val="1552D1"/>
                <w:szCs w:val="21"/>
              </w:rPr>
              <w:t>t/a</w:t>
            </w:r>
          </w:p>
        </w:tc>
        <w:tc>
          <w:tcPr>
            <w:tcW w:w="974" w:type="dxa"/>
            <w:vAlign w:val="center"/>
          </w:tcPr>
          <w:p w14:paraId="107E6109">
            <w:pPr>
              <w:pStyle w:val="65"/>
              <w:spacing w:beforeLines="0" w:afterLines="0" w:line="240" w:lineRule="auto"/>
              <w:rPr>
                <w:rFonts w:ascii="Times New Roman"/>
                <w:bCs/>
                <w:snapToGrid w:val="0"/>
                <w:color w:val="1552D1"/>
                <w:kern w:val="21"/>
                <w:szCs w:val="21"/>
              </w:rPr>
            </w:pPr>
            <w:r>
              <w:rPr>
                <w:rFonts w:hint="eastAsia" w:ascii="Times New Roman"/>
                <w:bCs/>
                <w:color w:val="1552D1"/>
                <w:szCs w:val="21"/>
              </w:rPr>
              <w:t>+</w:t>
            </w:r>
            <w:r>
              <w:rPr>
                <w:rFonts w:hint="eastAsia" w:ascii="Times New Roman"/>
                <w:bCs/>
                <w:color w:val="1552D1"/>
                <w:szCs w:val="21"/>
                <w:lang w:val="en-US" w:eastAsia="zh-CN"/>
              </w:rPr>
              <w:t>0.035</w:t>
            </w:r>
            <w:r>
              <w:rPr>
                <w:rFonts w:ascii="Times New Roman"/>
                <w:bCs/>
                <w:color w:val="1552D1"/>
                <w:szCs w:val="21"/>
              </w:rPr>
              <w:t>t/a</w:t>
            </w:r>
          </w:p>
        </w:tc>
      </w:tr>
      <w:tr w14:paraId="3644D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233F48F1">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4DDE12C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四街卫生院</w:t>
            </w:r>
          </w:p>
        </w:tc>
        <w:tc>
          <w:tcPr>
            <w:tcW w:w="873" w:type="dxa"/>
            <w:vAlign w:val="center"/>
          </w:tcPr>
          <w:p w14:paraId="5B8426BA">
            <w:pPr>
              <w:pStyle w:val="65"/>
              <w:spacing w:beforeLines="0" w:afterLines="0" w:line="240" w:lineRule="auto"/>
              <w:rPr>
                <w:snapToGrid w:val="0"/>
                <w:color w:val="1552D1"/>
                <w:kern w:val="21"/>
                <w:szCs w:val="21"/>
              </w:rPr>
            </w:pPr>
            <w:r>
              <w:rPr>
                <w:rFonts w:hint="eastAsia" w:ascii="Times New Roman"/>
                <w:bCs/>
                <w:snapToGrid w:val="0"/>
                <w:color w:val="1552D1"/>
                <w:kern w:val="21"/>
                <w:szCs w:val="21"/>
              </w:rPr>
              <w:t>废水</w:t>
            </w:r>
          </w:p>
        </w:tc>
        <w:tc>
          <w:tcPr>
            <w:tcW w:w="1537" w:type="dxa"/>
            <w:vAlign w:val="center"/>
          </w:tcPr>
          <w:p w14:paraId="77CE88C1">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2764.51</w:t>
            </w:r>
            <w:r>
              <w:rPr>
                <w:rFonts w:ascii="Times New Roman"/>
                <w:bCs/>
                <w:color w:val="1552D1"/>
                <w:szCs w:val="21"/>
              </w:rPr>
              <w:t>t/a</w:t>
            </w:r>
          </w:p>
        </w:tc>
        <w:tc>
          <w:tcPr>
            <w:tcW w:w="1276" w:type="dxa"/>
            <w:vAlign w:val="center"/>
          </w:tcPr>
          <w:p w14:paraId="4961567D">
            <w:pPr>
              <w:pStyle w:val="65"/>
              <w:spacing w:beforeLines="0" w:afterLines="0" w:line="240" w:lineRule="auto"/>
              <w:rPr>
                <w:rFonts w:ascii="Times New Roman"/>
                <w:bCs/>
                <w:snapToGrid w:val="0"/>
                <w:color w:val="1552D1"/>
                <w:kern w:val="21"/>
                <w:szCs w:val="21"/>
              </w:rPr>
            </w:pPr>
            <w:r>
              <w:rPr>
                <w:rFonts w:ascii="Times New Roman"/>
                <w:bCs/>
                <w:snapToGrid w:val="0"/>
                <w:color w:val="1552D1"/>
                <w:kern w:val="21"/>
                <w:szCs w:val="21"/>
              </w:rPr>
              <w:t>/</w:t>
            </w:r>
          </w:p>
        </w:tc>
        <w:tc>
          <w:tcPr>
            <w:tcW w:w="1701" w:type="dxa"/>
            <w:vAlign w:val="center"/>
          </w:tcPr>
          <w:p w14:paraId="363FD559">
            <w:pPr>
              <w:pStyle w:val="65"/>
              <w:spacing w:beforeLines="0" w:afterLines="0" w:line="240" w:lineRule="auto"/>
              <w:rPr>
                <w:rFonts w:ascii="Times New Roman"/>
                <w:bCs/>
                <w:snapToGrid w:val="0"/>
                <w:color w:val="1552D1"/>
                <w:kern w:val="21"/>
                <w:szCs w:val="21"/>
              </w:rPr>
            </w:pPr>
            <w:r>
              <w:rPr>
                <w:rFonts w:ascii="Times New Roman"/>
                <w:bCs/>
                <w:snapToGrid w:val="0"/>
                <w:color w:val="1552D1"/>
                <w:kern w:val="21"/>
                <w:szCs w:val="21"/>
              </w:rPr>
              <w:t>/</w:t>
            </w:r>
          </w:p>
        </w:tc>
        <w:tc>
          <w:tcPr>
            <w:tcW w:w="1495" w:type="dxa"/>
            <w:vAlign w:val="center"/>
          </w:tcPr>
          <w:p w14:paraId="49E88C4D">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2591.5</w:t>
            </w:r>
            <w:r>
              <w:rPr>
                <w:rFonts w:ascii="Times New Roman"/>
                <w:bCs/>
                <w:color w:val="1552D1"/>
                <w:szCs w:val="21"/>
              </w:rPr>
              <w:t>t/a</w:t>
            </w:r>
          </w:p>
        </w:tc>
        <w:tc>
          <w:tcPr>
            <w:tcW w:w="1825" w:type="dxa"/>
            <w:vAlign w:val="center"/>
          </w:tcPr>
          <w:p w14:paraId="795B3F0F">
            <w:pPr>
              <w:pStyle w:val="65"/>
              <w:spacing w:beforeLines="0" w:afterLines="0" w:line="240" w:lineRule="auto"/>
              <w:rPr>
                <w:rFonts w:hint="eastAsia" w:ascii="Times New Roman" w:eastAsia="宋体"/>
                <w:bCs/>
                <w:snapToGrid w:val="0"/>
                <w:color w:val="1552D1"/>
                <w:kern w:val="21"/>
                <w:szCs w:val="21"/>
                <w:lang w:eastAsia="zh-CN"/>
              </w:rPr>
            </w:pPr>
            <w:r>
              <w:rPr>
                <w:rFonts w:hint="eastAsia" w:ascii="Times New Roman"/>
                <w:bCs/>
                <w:snapToGrid w:val="0"/>
                <w:color w:val="1552D1"/>
                <w:kern w:val="21"/>
                <w:szCs w:val="21"/>
                <w:lang w:val="en-US" w:eastAsia="zh-CN"/>
              </w:rPr>
              <w:t>/</w:t>
            </w:r>
          </w:p>
        </w:tc>
        <w:tc>
          <w:tcPr>
            <w:tcW w:w="1811" w:type="dxa"/>
            <w:vAlign w:val="center"/>
          </w:tcPr>
          <w:p w14:paraId="3C8F2187">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5356.01</w:t>
            </w:r>
            <w:r>
              <w:rPr>
                <w:rFonts w:ascii="Times New Roman"/>
                <w:bCs/>
                <w:color w:val="1552D1"/>
                <w:szCs w:val="21"/>
              </w:rPr>
              <w:t>t/a</w:t>
            </w:r>
          </w:p>
        </w:tc>
        <w:tc>
          <w:tcPr>
            <w:tcW w:w="974" w:type="dxa"/>
            <w:vAlign w:val="center"/>
          </w:tcPr>
          <w:p w14:paraId="5A061447">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+2591.5</w:t>
            </w:r>
            <w:r>
              <w:rPr>
                <w:rFonts w:ascii="Times New Roman"/>
                <w:bCs/>
                <w:color w:val="1552D1"/>
                <w:szCs w:val="21"/>
              </w:rPr>
              <w:t>t/a</w:t>
            </w:r>
          </w:p>
        </w:tc>
      </w:tr>
      <w:tr w14:paraId="3208F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0A37ADD3">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15142B81">
            <w:pPr>
              <w:pStyle w:val="65"/>
              <w:spacing w:beforeLines="0" w:afterLines="0" w:line="240" w:lineRule="auto"/>
              <w:rPr>
                <w:rFonts w:ascii="Times New Roman"/>
                <w:bCs/>
                <w:snapToGrid w:val="0"/>
                <w:color w:val="auto"/>
                <w:kern w:val="21"/>
                <w:szCs w:val="21"/>
              </w:rPr>
            </w:pPr>
          </w:p>
        </w:tc>
        <w:tc>
          <w:tcPr>
            <w:tcW w:w="873" w:type="dxa"/>
            <w:vAlign w:val="center"/>
          </w:tcPr>
          <w:p w14:paraId="41D5C204">
            <w:pPr>
              <w:pStyle w:val="65"/>
              <w:spacing w:beforeLines="0" w:afterLines="0" w:line="240" w:lineRule="auto"/>
              <w:rPr>
                <w:snapToGrid w:val="0"/>
                <w:color w:val="1552D1"/>
                <w:kern w:val="21"/>
                <w:szCs w:val="21"/>
              </w:rPr>
            </w:pPr>
            <w:r>
              <w:rPr>
                <w:rFonts w:hint="eastAsia"/>
                <w:snapToGrid w:val="0"/>
                <w:color w:val="1552D1"/>
                <w:kern w:val="21"/>
                <w:szCs w:val="21"/>
              </w:rPr>
              <w:t>CODcr</w:t>
            </w:r>
          </w:p>
        </w:tc>
        <w:tc>
          <w:tcPr>
            <w:tcW w:w="1537" w:type="dxa"/>
            <w:vAlign w:val="center"/>
          </w:tcPr>
          <w:p w14:paraId="4080D83D">
            <w:pPr>
              <w:pStyle w:val="65"/>
              <w:spacing w:beforeLines="0" w:afterLines="0" w:line="240" w:lineRule="auto"/>
              <w:rPr>
                <w:rFonts w:ascii="Times New Roman"/>
                <w:bCs/>
                <w:snapToGrid w:val="0"/>
                <w:color w:val="1552D1"/>
                <w:kern w:val="21"/>
                <w:szCs w:val="21"/>
              </w:rPr>
            </w:pPr>
            <w:r>
              <w:rPr>
                <w:rFonts w:ascii="Times New Roman"/>
                <w:color w:val="1552D1"/>
                <w:kern w:val="2"/>
                <w:szCs w:val="21"/>
              </w:rPr>
              <w:t>0.</w:t>
            </w:r>
            <w:r>
              <w:rPr>
                <w:rFonts w:hint="eastAsia" w:ascii="Times New Roman"/>
                <w:color w:val="1552D1"/>
                <w:kern w:val="2"/>
                <w:szCs w:val="21"/>
                <w:lang w:val="en-US" w:eastAsia="zh-CN"/>
              </w:rPr>
              <w:t>901</w:t>
            </w:r>
            <w:r>
              <w:rPr>
                <w:rFonts w:ascii="Times New Roman"/>
                <w:color w:val="1552D1"/>
                <w:kern w:val="2"/>
                <w:szCs w:val="21"/>
              </w:rPr>
              <w:t>t/a</w:t>
            </w:r>
          </w:p>
        </w:tc>
        <w:tc>
          <w:tcPr>
            <w:tcW w:w="1276" w:type="dxa"/>
            <w:vAlign w:val="center"/>
          </w:tcPr>
          <w:p w14:paraId="29F46C43">
            <w:pPr>
              <w:pStyle w:val="65"/>
              <w:spacing w:beforeLines="0" w:afterLines="0" w:line="240" w:lineRule="auto"/>
              <w:rPr>
                <w:rFonts w:ascii="Times New Roman"/>
                <w:bCs/>
                <w:snapToGrid w:val="0"/>
                <w:color w:val="1552D1"/>
                <w:kern w:val="21"/>
                <w:szCs w:val="21"/>
              </w:rPr>
            </w:pPr>
            <w:r>
              <w:rPr>
                <w:rFonts w:ascii="Times New Roman"/>
                <w:bCs/>
                <w:snapToGrid w:val="0"/>
                <w:color w:val="1552D1"/>
                <w:kern w:val="21"/>
                <w:szCs w:val="21"/>
              </w:rPr>
              <w:t>/</w:t>
            </w:r>
          </w:p>
        </w:tc>
        <w:tc>
          <w:tcPr>
            <w:tcW w:w="1701" w:type="dxa"/>
            <w:vAlign w:val="center"/>
          </w:tcPr>
          <w:p w14:paraId="20EA007D">
            <w:pPr>
              <w:pStyle w:val="65"/>
              <w:spacing w:beforeLines="0" w:afterLines="0" w:line="240" w:lineRule="auto"/>
              <w:rPr>
                <w:rFonts w:ascii="Times New Roman"/>
                <w:bCs/>
                <w:snapToGrid w:val="0"/>
                <w:color w:val="1552D1"/>
                <w:kern w:val="21"/>
                <w:szCs w:val="21"/>
              </w:rPr>
            </w:pPr>
            <w:r>
              <w:rPr>
                <w:rFonts w:ascii="Times New Roman"/>
                <w:bCs/>
                <w:snapToGrid w:val="0"/>
                <w:color w:val="1552D1"/>
                <w:kern w:val="21"/>
                <w:szCs w:val="21"/>
              </w:rPr>
              <w:t>/</w:t>
            </w:r>
          </w:p>
        </w:tc>
        <w:tc>
          <w:tcPr>
            <w:tcW w:w="1495" w:type="dxa"/>
            <w:vAlign w:val="center"/>
          </w:tcPr>
          <w:p w14:paraId="4C216D16">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lang w:val="en-US" w:eastAsia="zh-CN"/>
              </w:rPr>
              <w:t>0.114</w:t>
            </w:r>
            <w:r>
              <w:rPr>
                <w:rFonts w:ascii="Times New Roman"/>
                <w:bCs/>
                <w:color w:val="1552D1"/>
                <w:szCs w:val="21"/>
              </w:rPr>
              <w:t>t/a</w:t>
            </w:r>
          </w:p>
        </w:tc>
        <w:tc>
          <w:tcPr>
            <w:tcW w:w="1825" w:type="dxa"/>
            <w:vAlign w:val="center"/>
          </w:tcPr>
          <w:p w14:paraId="3962CF3E">
            <w:pPr>
              <w:pStyle w:val="65"/>
              <w:spacing w:beforeLines="0" w:afterLines="0" w:line="240" w:lineRule="auto"/>
              <w:rPr>
                <w:rFonts w:ascii="Times New Roman"/>
                <w:bCs/>
                <w:snapToGrid w:val="0"/>
                <w:color w:val="1552D1"/>
                <w:kern w:val="21"/>
                <w:szCs w:val="21"/>
              </w:rPr>
            </w:pPr>
            <w:r>
              <w:rPr>
                <w:rFonts w:hint="eastAsia" w:ascii="Times New Roman"/>
                <w:bCs/>
                <w:color w:val="1552D1"/>
                <w:szCs w:val="21"/>
                <w:lang w:val="en-US" w:eastAsia="zh-CN"/>
              </w:rPr>
              <w:t>0.657</w:t>
            </w:r>
            <w:r>
              <w:rPr>
                <w:rFonts w:ascii="Times New Roman"/>
                <w:bCs/>
                <w:color w:val="1552D1"/>
                <w:szCs w:val="21"/>
              </w:rPr>
              <w:t>t/a</w:t>
            </w:r>
          </w:p>
        </w:tc>
        <w:tc>
          <w:tcPr>
            <w:tcW w:w="1811" w:type="dxa"/>
            <w:vAlign w:val="center"/>
          </w:tcPr>
          <w:p w14:paraId="1EB546BB">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lang w:val="en-US" w:eastAsia="zh-CN"/>
              </w:rPr>
              <w:t>0.358</w:t>
            </w:r>
            <w:r>
              <w:rPr>
                <w:rFonts w:ascii="Times New Roman"/>
                <w:bCs/>
                <w:color w:val="1552D1"/>
                <w:szCs w:val="21"/>
              </w:rPr>
              <w:t>t/a</w:t>
            </w:r>
          </w:p>
        </w:tc>
        <w:tc>
          <w:tcPr>
            <w:tcW w:w="974" w:type="dxa"/>
            <w:vAlign w:val="center"/>
          </w:tcPr>
          <w:p w14:paraId="2B67392B">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w:t>
            </w:r>
            <w:r>
              <w:rPr>
                <w:rFonts w:hint="eastAsia" w:ascii="Times New Roman"/>
                <w:bCs/>
                <w:snapToGrid w:val="0"/>
                <w:color w:val="1552D1"/>
                <w:kern w:val="21"/>
                <w:szCs w:val="21"/>
                <w:lang w:val="en-US" w:eastAsia="zh-CN"/>
              </w:rPr>
              <w:t>0.543</w:t>
            </w:r>
            <w:r>
              <w:rPr>
                <w:rFonts w:ascii="Times New Roman"/>
                <w:bCs/>
                <w:color w:val="1552D1"/>
                <w:szCs w:val="21"/>
              </w:rPr>
              <w:t>t/a</w:t>
            </w:r>
          </w:p>
        </w:tc>
      </w:tr>
      <w:tr w14:paraId="33275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continue"/>
            <w:vAlign w:val="center"/>
          </w:tcPr>
          <w:p w14:paraId="1D720B68">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3B2C48B5">
            <w:pPr>
              <w:pStyle w:val="65"/>
              <w:spacing w:beforeLines="0" w:afterLines="0" w:line="240" w:lineRule="auto"/>
              <w:rPr>
                <w:rFonts w:ascii="Times New Roman"/>
                <w:bCs/>
                <w:snapToGrid w:val="0"/>
                <w:color w:val="auto"/>
                <w:kern w:val="21"/>
                <w:szCs w:val="21"/>
              </w:rPr>
            </w:pPr>
          </w:p>
        </w:tc>
        <w:tc>
          <w:tcPr>
            <w:tcW w:w="873" w:type="dxa"/>
            <w:vAlign w:val="center"/>
          </w:tcPr>
          <w:p w14:paraId="2CEE1CE0">
            <w:pPr>
              <w:pStyle w:val="65"/>
              <w:spacing w:beforeLines="0" w:afterLines="0" w:line="240" w:lineRule="auto"/>
              <w:rPr>
                <w:snapToGrid w:val="0"/>
                <w:color w:val="0000FF"/>
                <w:kern w:val="21"/>
                <w:szCs w:val="21"/>
              </w:rPr>
            </w:pPr>
            <w:r>
              <w:rPr>
                <w:rFonts w:hint="eastAsia"/>
                <w:snapToGrid w:val="0"/>
                <w:color w:val="0000FF"/>
                <w:kern w:val="21"/>
                <w:szCs w:val="21"/>
              </w:rPr>
              <w:t>氨氮</w:t>
            </w:r>
          </w:p>
        </w:tc>
        <w:tc>
          <w:tcPr>
            <w:tcW w:w="1537" w:type="dxa"/>
            <w:vAlign w:val="center"/>
          </w:tcPr>
          <w:p w14:paraId="45D67E0A">
            <w:pPr>
              <w:pStyle w:val="65"/>
              <w:spacing w:beforeLines="0" w:afterLines="0" w:line="240" w:lineRule="auto"/>
              <w:rPr>
                <w:rFonts w:ascii="Times New Roman"/>
                <w:bCs/>
                <w:snapToGrid w:val="0"/>
                <w:color w:val="0000FF"/>
                <w:kern w:val="21"/>
                <w:szCs w:val="21"/>
              </w:rPr>
            </w:pPr>
            <w:r>
              <w:rPr>
                <w:rFonts w:ascii="Times New Roman"/>
                <w:color w:val="0000FF"/>
                <w:kern w:val="2"/>
                <w:szCs w:val="21"/>
              </w:rPr>
              <w:t>0.</w:t>
            </w:r>
            <w:r>
              <w:rPr>
                <w:rFonts w:hint="eastAsia" w:ascii="Times New Roman"/>
                <w:color w:val="0000FF"/>
                <w:kern w:val="2"/>
                <w:szCs w:val="21"/>
                <w:lang w:val="en-US" w:eastAsia="zh-CN"/>
              </w:rPr>
              <w:t>168</w:t>
            </w:r>
            <w:r>
              <w:rPr>
                <w:rFonts w:ascii="Times New Roman"/>
                <w:color w:val="0000FF"/>
                <w:kern w:val="2"/>
                <w:szCs w:val="21"/>
              </w:rPr>
              <w:t>t/a</w:t>
            </w:r>
          </w:p>
        </w:tc>
        <w:tc>
          <w:tcPr>
            <w:tcW w:w="1276" w:type="dxa"/>
            <w:vAlign w:val="center"/>
          </w:tcPr>
          <w:p w14:paraId="50AE161B">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701" w:type="dxa"/>
            <w:vAlign w:val="center"/>
          </w:tcPr>
          <w:p w14:paraId="4192E6CB">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495" w:type="dxa"/>
            <w:vAlign w:val="center"/>
          </w:tcPr>
          <w:p w14:paraId="3BACE38C">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0.035</w:t>
            </w:r>
            <w:r>
              <w:rPr>
                <w:rFonts w:ascii="Times New Roman"/>
                <w:bCs/>
                <w:color w:val="0000FF"/>
                <w:szCs w:val="21"/>
              </w:rPr>
              <w:t>t/a</w:t>
            </w:r>
          </w:p>
        </w:tc>
        <w:tc>
          <w:tcPr>
            <w:tcW w:w="1825" w:type="dxa"/>
            <w:vAlign w:val="center"/>
          </w:tcPr>
          <w:p w14:paraId="72A2379D">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lang w:val="en-US" w:eastAsia="zh-CN"/>
              </w:rPr>
              <w:t>0.11</w:t>
            </w:r>
            <w:r>
              <w:rPr>
                <w:rFonts w:ascii="Times New Roman"/>
                <w:bCs/>
                <w:color w:val="0000FF"/>
                <w:szCs w:val="21"/>
              </w:rPr>
              <w:t>t/a</w:t>
            </w:r>
          </w:p>
        </w:tc>
        <w:tc>
          <w:tcPr>
            <w:tcW w:w="1811" w:type="dxa"/>
            <w:vAlign w:val="center"/>
          </w:tcPr>
          <w:p w14:paraId="543C865C">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0.093</w:t>
            </w:r>
            <w:r>
              <w:rPr>
                <w:rFonts w:ascii="Times New Roman"/>
                <w:bCs/>
                <w:color w:val="0000FF"/>
                <w:szCs w:val="21"/>
              </w:rPr>
              <w:t>t/a</w:t>
            </w:r>
          </w:p>
        </w:tc>
        <w:tc>
          <w:tcPr>
            <w:tcW w:w="974" w:type="dxa"/>
            <w:vAlign w:val="center"/>
          </w:tcPr>
          <w:p w14:paraId="30FB48DF">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w:t>
            </w:r>
            <w:r>
              <w:rPr>
                <w:rFonts w:hint="eastAsia" w:ascii="Times New Roman"/>
                <w:bCs/>
                <w:snapToGrid w:val="0"/>
                <w:color w:val="0000FF"/>
                <w:kern w:val="21"/>
                <w:szCs w:val="21"/>
                <w:lang w:val="en-US" w:eastAsia="zh-CN"/>
              </w:rPr>
              <w:t>75</w:t>
            </w:r>
            <w:r>
              <w:rPr>
                <w:rFonts w:ascii="Times New Roman"/>
                <w:bCs/>
                <w:color w:val="0000FF"/>
                <w:szCs w:val="21"/>
              </w:rPr>
              <w:t>t/a</w:t>
            </w:r>
          </w:p>
        </w:tc>
      </w:tr>
      <w:tr w14:paraId="74F2E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07547DBB">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4F681333">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九龙卫生院</w:t>
            </w:r>
          </w:p>
        </w:tc>
        <w:tc>
          <w:tcPr>
            <w:tcW w:w="873" w:type="dxa"/>
            <w:vAlign w:val="center"/>
          </w:tcPr>
          <w:p w14:paraId="66B56211">
            <w:pPr>
              <w:pStyle w:val="65"/>
              <w:spacing w:beforeLines="0" w:afterLines="0" w:line="240" w:lineRule="auto"/>
              <w:rPr>
                <w:snapToGrid w:val="0"/>
                <w:color w:val="0000FF"/>
                <w:kern w:val="21"/>
                <w:szCs w:val="21"/>
              </w:rPr>
            </w:pPr>
            <w:r>
              <w:rPr>
                <w:rFonts w:hint="eastAsia" w:ascii="Times New Roman"/>
                <w:bCs/>
                <w:snapToGrid w:val="0"/>
                <w:color w:val="0000FF"/>
                <w:kern w:val="21"/>
                <w:szCs w:val="21"/>
              </w:rPr>
              <w:t>废水</w:t>
            </w:r>
          </w:p>
        </w:tc>
        <w:tc>
          <w:tcPr>
            <w:tcW w:w="1537" w:type="dxa"/>
            <w:vAlign w:val="center"/>
          </w:tcPr>
          <w:p w14:paraId="57801E82">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rPr>
              <w:t>4206.99</w:t>
            </w:r>
            <w:r>
              <w:rPr>
                <w:rFonts w:ascii="Times New Roman"/>
                <w:bCs/>
                <w:color w:val="0000FF"/>
                <w:szCs w:val="21"/>
              </w:rPr>
              <w:t>t/a</w:t>
            </w:r>
          </w:p>
        </w:tc>
        <w:tc>
          <w:tcPr>
            <w:tcW w:w="1276" w:type="dxa"/>
            <w:vAlign w:val="center"/>
          </w:tcPr>
          <w:p w14:paraId="691F567D">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7245DD83">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7D4FDE33">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2646.25</w:t>
            </w:r>
            <w:r>
              <w:rPr>
                <w:rFonts w:ascii="Times New Roman"/>
                <w:bCs/>
                <w:color w:val="0000FF"/>
                <w:szCs w:val="21"/>
              </w:rPr>
              <w:t>t/a</w:t>
            </w:r>
          </w:p>
        </w:tc>
        <w:tc>
          <w:tcPr>
            <w:tcW w:w="1825" w:type="dxa"/>
            <w:vAlign w:val="center"/>
          </w:tcPr>
          <w:p w14:paraId="7C0C5537">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811" w:type="dxa"/>
            <w:vAlign w:val="center"/>
          </w:tcPr>
          <w:p w14:paraId="002E2794">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6853.24</w:t>
            </w:r>
            <w:r>
              <w:rPr>
                <w:rFonts w:ascii="Times New Roman"/>
                <w:bCs/>
                <w:color w:val="0000FF"/>
                <w:szCs w:val="21"/>
              </w:rPr>
              <w:t>t/a</w:t>
            </w:r>
          </w:p>
        </w:tc>
        <w:tc>
          <w:tcPr>
            <w:tcW w:w="974" w:type="dxa"/>
            <w:vAlign w:val="center"/>
          </w:tcPr>
          <w:p w14:paraId="05B11157">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r>
              <w:rPr>
                <w:rFonts w:hint="eastAsia" w:ascii="Times New Roman"/>
                <w:bCs/>
                <w:snapToGrid w:val="0"/>
                <w:color w:val="0000FF"/>
                <w:kern w:val="21"/>
                <w:szCs w:val="21"/>
              </w:rPr>
              <w:t>2646.25</w:t>
            </w:r>
            <w:r>
              <w:rPr>
                <w:rFonts w:ascii="Times New Roman"/>
                <w:bCs/>
                <w:color w:val="0000FF"/>
                <w:szCs w:val="21"/>
              </w:rPr>
              <w:t>t/a</w:t>
            </w:r>
          </w:p>
        </w:tc>
      </w:tr>
      <w:tr w14:paraId="283B7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26D71E7E">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25B993D4">
            <w:pPr>
              <w:pStyle w:val="65"/>
              <w:spacing w:beforeLines="0" w:afterLines="0" w:line="240" w:lineRule="auto"/>
              <w:rPr>
                <w:rFonts w:ascii="Times New Roman"/>
                <w:bCs/>
                <w:snapToGrid w:val="0"/>
                <w:color w:val="auto"/>
                <w:kern w:val="21"/>
                <w:szCs w:val="21"/>
              </w:rPr>
            </w:pPr>
          </w:p>
        </w:tc>
        <w:tc>
          <w:tcPr>
            <w:tcW w:w="873" w:type="dxa"/>
            <w:vAlign w:val="center"/>
          </w:tcPr>
          <w:p w14:paraId="5B68ED80">
            <w:pPr>
              <w:pStyle w:val="65"/>
              <w:spacing w:beforeLines="0" w:afterLines="0" w:line="240" w:lineRule="auto"/>
              <w:rPr>
                <w:snapToGrid w:val="0"/>
                <w:color w:val="0000FF"/>
                <w:kern w:val="21"/>
                <w:szCs w:val="21"/>
              </w:rPr>
            </w:pPr>
            <w:r>
              <w:rPr>
                <w:rFonts w:hint="eastAsia"/>
                <w:snapToGrid w:val="0"/>
                <w:color w:val="0000FF"/>
                <w:kern w:val="21"/>
                <w:szCs w:val="21"/>
              </w:rPr>
              <w:t>CODcr</w:t>
            </w:r>
          </w:p>
        </w:tc>
        <w:tc>
          <w:tcPr>
            <w:tcW w:w="1537" w:type="dxa"/>
            <w:vAlign w:val="center"/>
          </w:tcPr>
          <w:p w14:paraId="636C3E42">
            <w:pPr>
              <w:pStyle w:val="65"/>
              <w:spacing w:beforeLines="0" w:afterLines="0" w:line="240" w:lineRule="auto"/>
              <w:rPr>
                <w:rFonts w:ascii="Times New Roman"/>
                <w:bCs/>
                <w:snapToGrid w:val="0"/>
                <w:color w:val="0000FF"/>
                <w:kern w:val="21"/>
                <w:szCs w:val="21"/>
              </w:rPr>
            </w:pPr>
            <w:r>
              <w:rPr>
                <w:rFonts w:hint="eastAsia" w:ascii="Times New Roman"/>
                <w:color w:val="0000FF"/>
                <w:kern w:val="2"/>
                <w:szCs w:val="21"/>
                <w:lang w:val="en-US" w:eastAsia="zh-CN"/>
              </w:rPr>
              <w:t>1.182</w:t>
            </w:r>
            <w:r>
              <w:rPr>
                <w:rFonts w:ascii="Times New Roman"/>
                <w:color w:val="0000FF"/>
                <w:kern w:val="2"/>
                <w:szCs w:val="21"/>
              </w:rPr>
              <w:t>t/a</w:t>
            </w:r>
          </w:p>
        </w:tc>
        <w:tc>
          <w:tcPr>
            <w:tcW w:w="1276" w:type="dxa"/>
            <w:vAlign w:val="center"/>
          </w:tcPr>
          <w:p w14:paraId="4A9D665B">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136C9EFB">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491BC891">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0.119</w:t>
            </w:r>
            <w:r>
              <w:rPr>
                <w:rFonts w:ascii="Times New Roman"/>
                <w:bCs/>
                <w:color w:val="0000FF"/>
                <w:szCs w:val="21"/>
              </w:rPr>
              <w:t>t/a</w:t>
            </w:r>
          </w:p>
        </w:tc>
        <w:tc>
          <w:tcPr>
            <w:tcW w:w="1825" w:type="dxa"/>
            <w:vAlign w:val="center"/>
          </w:tcPr>
          <w:p w14:paraId="49EA4428">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0.7713</w:t>
            </w:r>
            <w:r>
              <w:rPr>
                <w:rFonts w:ascii="Times New Roman"/>
                <w:bCs/>
                <w:color w:val="0000FF"/>
                <w:szCs w:val="21"/>
              </w:rPr>
              <w:t>t/a</w:t>
            </w:r>
          </w:p>
        </w:tc>
        <w:tc>
          <w:tcPr>
            <w:tcW w:w="1811" w:type="dxa"/>
            <w:vAlign w:val="center"/>
          </w:tcPr>
          <w:p w14:paraId="3B45986F">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0.5297</w:t>
            </w:r>
            <w:r>
              <w:rPr>
                <w:rFonts w:ascii="Times New Roman"/>
                <w:bCs/>
                <w:color w:val="0000FF"/>
                <w:szCs w:val="21"/>
              </w:rPr>
              <w:t>t/a</w:t>
            </w:r>
          </w:p>
        </w:tc>
        <w:tc>
          <w:tcPr>
            <w:tcW w:w="974" w:type="dxa"/>
            <w:vAlign w:val="center"/>
          </w:tcPr>
          <w:p w14:paraId="77F5B55C">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-0.</w:t>
            </w:r>
            <w:r>
              <w:rPr>
                <w:rFonts w:hint="eastAsia" w:ascii="Times New Roman"/>
                <w:bCs/>
                <w:snapToGrid w:val="0"/>
                <w:color w:val="0000FF"/>
                <w:kern w:val="21"/>
                <w:szCs w:val="21"/>
                <w:lang w:val="en-US" w:eastAsia="zh-CN"/>
              </w:rPr>
              <w:t>6523</w:t>
            </w:r>
            <w:r>
              <w:rPr>
                <w:rFonts w:ascii="Times New Roman"/>
                <w:bCs/>
                <w:color w:val="0000FF"/>
                <w:szCs w:val="21"/>
              </w:rPr>
              <w:t>t/a</w:t>
            </w:r>
          </w:p>
        </w:tc>
      </w:tr>
      <w:tr w14:paraId="007A4F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88" w:type="dxa"/>
            <w:vMerge w:val="continue"/>
            <w:vAlign w:val="center"/>
          </w:tcPr>
          <w:p w14:paraId="0D7EA241">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4E235368">
            <w:pPr>
              <w:pStyle w:val="65"/>
              <w:spacing w:beforeLines="0" w:afterLines="0" w:line="240" w:lineRule="auto"/>
              <w:rPr>
                <w:rFonts w:ascii="Times New Roman"/>
                <w:bCs/>
                <w:snapToGrid w:val="0"/>
                <w:color w:val="auto"/>
                <w:kern w:val="21"/>
                <w:szCs w:val="21"/>
              </w:rPr>
            </w:pPr>
          </w:p>
        </w:tc>
        <w:tc>
          <w:tcPr>
            <w:tcW w:w="873" w:type="dxa"/>
            <w:vAlign w:val="center"/>
          </w:tcPr>
          <w:p w14:paraId="3C4394AC">
            <w:pPr>
              <w:pStyle w:val="65"/>
              <w:spacing w:beforeLines="0" w:afterLines="0" w:line="240" w:lineRule="auto"/>
              <w:rPr>
                <w:snapToGrid w:val="0"/>
                <w:color w:val="0000FF"/>
                <w:kern w:val="21"/>
                <w:szCs w:val="21"/>
              </w:rPr>
            </w:pPr>
            <w:r>
              <w:rPr>
                <w:rFonts w:hint="eastAsia"/>
                <w:snapToGrid w:val="0"/>
                <w:color w:val="0000FF"/>
                <w:kern w:val="21"/>
                <w:szCs w:val="21"/>
              </w:rPr>
              <w:t>氨氮</w:t>
            </w:r>
          </w:p>
        </w:tc>
        <w:tc>
          <w:tcPr>
            <w:tcW w:w="1537" w:type="dxa"/>
            <w:vAlign w:val="center"/>
          </w:tcPr>
          <w:p w14:paraId="07AB66CD">
            <w:pPr>
              <w:pStyle w:val="65"/>
              <w:spacing w:beforeLines="0" w:afterLines="0" w:line="240" w:lineRule="auto"/>
              <w:rPr>
                <w:rFonts w:ascii="Times New Roman"/>
                <w:bCs/>
                <w:snapToGrid w:val="0"/>
                <w:color w:val="0000FF"/>
                <w:kern w:val="21"/>
                <w:szCs w:val="21"/>
              </w:rPr>
            </w:pPr>
            <w:r>
              <w:rPr>
                <w:rFonts w:hint="eastAsia" w:ascii="Times New Roman"/>
                <w:color w:val="0000FF"/>
                <w:kern w:val="2"/>
                <w:szCs w:val="21"/>
                <w:lang w:val="en-US" w:eastAsia="zh-CN"/>
              </w:rPr>
              <w:t>0.208</w:t>
            </w:r>
            <w:r>
              <w:rPr>
                <w:rFonts w:ascii="Times New Roman"/>
                <w:color w:val="0000FF"/>
                <w:kern w:val="2"/>
                <w:szCs w:val="21"/>
              </w:rPr>
              <w:t>t/a</w:t>
            </w:r>
          </w:p>
        </w:tc>
        <w:tc>
          <w:tcPr>
            <w:tcW w:w="1276" w:type="dxa"/>
            <w:vAlign w:val="center"/>
          </w:tcPr>
          <w:p w14:paraId="5593718E">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701" w:type="dxa"/>
            <w:vAlign w:val="center"/>
          </w:tcPr>
          <w:p w14:paraId="14783F70">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495" w:type="dxa"/>
            <w:vAlign w:val="center"/>
          </w:tcPr>
          <w:p w14:paraId="64265FE9">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0.036</w:t>
            </w:r>
            <w:r>
              <w:rPr>
                <w:rFonts w:ascii="Times New Roman"/>
                <w:bCs/>
                <w:color w:val="0000FF"/>
                <w:szCs w:val="21"/>
              </w:rPr>
              <w:t>t/a</w:t>
            </w:r>
          </w:p>
        </w:tc>
        <w:tc>
          <w:tcPr>
            <w:tcW w:w="1825" w:type="dxa"/>
            <w:vAlign w:val="center"/>
          </w:tcPr>
          <w:p w14:paraId="2F3A5EA3">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0.</w:t>
            </w:r>
            <w:r>
              <w:rPr>
                <w:rFonts w:hint="eastAsia" w:ascii="Times New Roman"/>
                <w:bCs/>
                <w:snapToGrid w:val="0"/>
                <w:color w:val="0000FF"/>
                <w:kern w:val="21"/>
                <w:szCs w:val="21"/>
                <w:lang w:val="en-US" w:eastAsia="zh-CN"/>
              </w:rPr>
              <w:t>1171</w:t>
            </w:r>
            <w:r>
              <w:rPr>
                <w:rFonts w:ascii="Times New Roman"/>
                <w:bCs/>
                <w:color w:val="0000FF"/>
                <w:szCs w:val="21"/>
              </w:rPr>
              <w:t>t/a</w:t>
            </w:r>
          </w:p>
        </w:tc>
        <w:tc>
          <w:tcPr>
            <w:tcW w:w="1811" w:type="dxa"/>
            <w:vAlign w:val="center"/>
          </w:tcPr>
          <w:p w14:paraId="6D4D69C1">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0.1269</w:t>
            </w:r>
            <w:r>
              <w:rPr>
                <w:rFonts w:ascii="Times New Roman"/>
                <w:bCs/>
                <w:color w:val="0000FF"/>
                <w:szCs w:val="21"/>
              </w:rPr>
              <w:t>t/a</w:t>
            </w:r>
          </w:p>
        </w:tc>
        <w:tc>
          <w:tcPr>
            <w:tcW w:w="974" w:type="dxa"/>
            <w:vAlign w:val="center"/>
          </w:tcPr>
          <w:p w14:paraId="4DDF0973">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-0.0</w:t>
            </w:r>
            <w:r>
              <w:rPr>
                <w:rFonts w:hint="eastAsia" w:ascii="Times New Roman"/>
                <w:bCs/>
                <w:snapToGrid w:val="0"/>
                <w:color w:val="0000FF"/>
                <w:kern w:val="21"/>
                <w:szCs w:val="21"/>
                <w:lang w:val="en-US" w:eastAsia="zh-CN"/>
              </w:rPr>
              <w:t>811</w:t>
            </w:r>
            <w:r>
              <w:rPr>
                <w:rFonts w:ascii="Times New Roman"/>
                <w:bCs/>
                <w:color w:val="0000FF"/>
                <w:szCs w:val="21"/>
              </w:rPr>
              <w:t>t/a</w:t>
            </w:r>
          </w:p>
        </w:tc>
      </w:tr>
      <w:tr w14:paraId="42196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6F5543B1">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3512C8A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杨广卫生院</w:t>
            </w:r>
          </w:p>
        </w:tc>
        <w:tc>
          <w:tcPr>
            <w:tcW w:w="873" w:type="dxa"/>
            <w:vAlign w:val="center"/>
          </w:tcPr>
          <w:p w14:paraId="2CA95F1A">
            <w:pPr>
              <w:pStyle w:val="65"/>
              <w:spacing w:beforeLines="0" w:afterLines="0" w:line="240" w:lineRule="auto"/>
              <w:rPr>
                <w:snapToGrid w:val="0"/>
                <w:color w:val="0000FF"/>
                <w:kern w:val="21"/>
                <w:szCs w:val="21"/>
              </w:rPr>
            </w:pPr>
            <w:r>
              <w:rPr>
                <w:rFonts w:hint="eastAsia" w:ascii="Times New Roman"/>
                <w:bCs/>
                <w:snapToGrid w:val="0"/>
                <w:color w:val="0000FF"/>
                <w:kern w:val="21"/>
                <w:szCs w:val="21"/>
              </w:rPr>
              <w:t>废水</w:t>
            </w:r>
          </w:p>
        </w:tc>
        <w:tc>
          <w:tcPr>
            <w:tcW w:w="1537" w:type="dxa"/>
            <w:vAlign w:val="center"/>
          </w:tcPr>
          <w:p w14:paraId="78B24282">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rPr>
              <w:t>3533.93</w:t>
            </w:r>
            <w:r>
              <w:rPr>
                <w:rFonts w:ascii="Times New Roman"/>
                <w:bCs/>
                <w:color w:val="0000FF"/>
                <w:szCs w:val="21"/>
              </w:rPr>
              <w:t>t/a</w:t>
            </w:r>
          </w:p>
        </w:tc>
        <w:tc>
          <w:tcPr>
            <w:tcW w:w="1276" w:type="dxa"/>
            <w:vAlign w:val="center"/>
          </w:tcPr>
          <w:p w14:paraId="69AE5BCD">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6104BAEF">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0D845F82">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2483.825</w:t>
            </w:r>
            <w:r>
              <w:rPr>
                <w:rFonts w:ascii="Times New Roman"/>
                <w:bCs/>
                <w:color w:val="0000FF"/>
                <w:szCs w:val="21"/>
              </w:rPr>
              <w:t>t/a</w:t>
            </w:r>
          </w:p>
        </w:tc>
        <w:tc>
          <w:tcPr>
            <w:tcW w:w="1825" w:type="dxa"/>
            <w:vAlign w:val="center"/>
          </w:tcPr>
          <w:p w14:paraId="2A50BB4B">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811" w:type="dxa"/>
            <w:vAlign w:val="center"/>
          </w:tcPr>
          <w:p w14:paraId="762E0781">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6017.755</w:t>
            </w:r>
            <w:r>
              <w:rPr>
                <w:rFonts w:ascii="Times New Roman"/>
                <w:bCs/>
                <w:color w:val="auto"/>
                <w:szCs w:val="21"/>
              </w:rPr>
              <w:t>t/a</w:t>
            </w:r>
          </w:p>
        </w:tc>
        <w:tc>
          <w:tcPr>
            <w:tcW w:w="974" w:type="dxa"/>
            <w:vAlign w:val="center"/>
          </w:tcPr>
          <w:p w14:paraId="5EE2E935">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+2483.825</w:t>
            </w:r>
            <w:r>
              <w:rPr>
                <w:rFonts w:ascii="Times New Roman"/>
                <w:bCs/>
                <w:color w:val="auto"/>
                <w:szCs w:val="21"/>
              </w:rPr>
              <w:t>t/a</w:t>
            </w:r>
          </w:p>
        </w:tc>
      </w:tr>
      <w:tr w14:paraId="6BA78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88" w:type="dxa"/>
            <w:vMerge w:val="continue"/>
            <w:vAlign w:val="center"/>
          </w:tcPr>
          <w:p w14:paraId="64A35DC0">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6A50868F">
            <w:pPr>
              <w:pStyle w:val="65"/>
              <w:spacing w:beforeLines="0" w:afterLines="0" w:line="240" w:lineRule="auto"/>
              <w:rPr>
                <w:rFonts w:ascii="Times New Roman"/>
                <w:bCs/>
                <w:snapToGrid w:val="0"/>
                <w:color w:val="auto"/>
                <w:kern w:val="21"/>
                <w:szCs w:val="21"/>
              </w:rPr>
            </w:pPr>
          </w:p>
        </w:tc>
        <w:tc>
          <w:tcPr>
            <w:tcW w:w="873" w:type="dxa"/>
            <w:vAlign w:val="center"/>
          </w:tcPr>
          <w:p w14:paraId="2E4706CC">
            <w:pPr>
              <w:pStyle w:val="65"/>
              <w:spacing w:beforeLines="0" w:afterLines="0" w:line="240" w:lineRule="auto"/>
              <w:rPr>
                <w:snapToGrid w:val="0"/>
                <w:color w:val="0000FF"/>
                <w:kern w:val="21"/>
                <w:szCs w:val="21"/>
              </w:rPr>
            </w:pPr>
            <w:r>
              <w:rPr>
                <w:rFonts w:hint="eastAsia"/>
                <w:snapToGrid w:val="0"/>
                <w:color w:val="0000FF"/>
                <w:kern w:val="21"/>
                <w:szCs w:val="21"/>
              </w:rPr>
              <w:t>CODcr</w:t>
            </w:r>
          </w:p>
        </w:tc>
        <w:tc>
          <w:tcPr>
            <w:tcW w:w="1537" w:type="dxa"/>
            <w:vAlign w:val="center"/>
          </w:tcPr>
          <w:p w14:paraId="75DC9AB2">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lang w:val="en-US" w:eastAsia="zh-CN"/>
              </w:rPr>
              <w:t>0.451</w:t>
            </w:r>
            <w:r>
              <w:rPr>
                <w:rFonts w:ascii="Times New Roman"/>
                <w:bCs/>
                <w:color w:val="0000FF"/>
                <w:szCs w:val="21"/>
              </w:rPr>
              <w:t>t/a</w:t>
            </w:r>
          </w:p>
        </w:tc>
        <w:tc>
          <w:tcPr>
            <w:tcW w:w="1276" w:type="dxa"/>
            <w:vAlign w:val="center"/>
          </w:tcPr>
          <w:p w14:paraId="2B278FA8">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27BEF693">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6406375F">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0.109</w:t>
            </w:r>
            <w:r>
              <w:rPr>
                <w:rFonts w:ascii="Times New Roman"/>
                <w:bCs/>
                <w:color w:val="0000FF"/>
                <w:szCs w:val="21"/>
              </w:rPr>
              <w:t>t/a</w:t>
            </w:r>
          </w:p>
        </w:tc>
        <w:tc>
          <w:tcPr>
            <w:tcW w:w="1825" w:type="dxa"/>
            <w:vAlign w:val="center"/>
          </w:tcPr>
          <w:p w14:paraId="5D872CC6">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c>
          <w:tcPr>
            <w:tcW w:w="1811" w:type="dxa"/>
            <w:vAlign w:val="center"/>
          </w:tcPr>
          <w:p w14:paraId="25CD8C09">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r>
              <w:rPr>
                <w:rFonts w:hint="eastAsia" w:ascii="Times New Roman"/>
                <w:bCs/>
                <w:snapToGrid w:val="0"/>
                <w:color w:val="0000FF"/>
                <w:kern w:val="21"/>
                <w:szCs w:val="21"/>
                <w:lang w:val="en-US" w:eastAsia="zh-CN"/>
              </w:rPr>
              <w:t>56</w:t>
            </w:r>
            <w:r>
              <w:rPr>
                <w:rFonts w:ascii="Times New Roman"/>
                <w:bCs/>
                <w:color w:val="0000FF"/>
                <w:szCs w:val="21"/>
              </w:rPr>
              <w:t>t/a</w:t>
            </w:r>
          </w:p>
        </w:tc>
        <w:tc>
          <w:tcPr>
            <w:tcW w:w="974" w:type="dxa"/>
            <w:vAlign w:val="center"/>
          </w:tcPr>
          <w:p w14:paraId="59820285">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+0.109t/a</w:t>
            </w:r>
          </w:p>
        </w:tc>
      </w:tr>
      <w:tr w14:paraId="0BD1A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14:paraId="15C8983B">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4B84C528">
            <w:pPr>
              <w:pStyle w:val="65"/>
              <w:spacing w:beforeLines="0" w:afterLines="0" w:line="240" w:lineRule="auto"/>
              <w:rPr>
                <w:rFonts w:ascii="Times New Roman"/>
                <w:bCs/>
                <w:snapToGrid w:val="0"/>
                <w:color w:val="auto"/>
                <w:kern w:val="21"/>
                <w:szCs w:val="21"/>
              </w:rPr>
            </w:pPr>
          </w:p>
        </w:tc>
        <w:tc>
          <w:tcPr>
            <w:tcW w:w="873" w:type="dxa"/>
            <w:vAlign w:val="center"/>
          </w:tcPr>
          <w:p w14:paraId="3F8C7270">
            <w:pPr>
              <w:pStyle w:val="65"/>
              <w:spacing w:beforeLines="0" w:afterLines="0" w:line="240" w:lineRule="auto"/>
              <w:rPr>
                <w:snapToGrid w:val="0"/>
                <w:color w:val="0000FF"/>
                <w:kern w:val="21"/>
                <w:szCs w:val="21"/>
              </w:rPr>
            </w:pPr>
            <w:r>
              <w:rPr>
                <w:rFonts w:hint="eastAsia"/>
                <w:snapToGrid w:val="0"/>
                <w:color w:val="0000FF"/>
                <w:kern w:val="21"/>
                <w:szCs w:val="21"/>
              </w:rPr>
              <w:t>氨氮</w:t>
            </w:r>
          </w:p>
        </w:tc>
        <w:tc>
          <w:tcPr>
            <w:tcW w:w="1537" w:type="dxa"/>
            <w:vAlign w:val="center"/>
          </w:tcPr>
          <w:p w14:paraId="0A0F038A">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0.0097</w:t>
            </w:r>
            <w:r>
              <w:rPr>
                <w:rFonts w:ascii="Times New Roman"/>
                <w:bCs/>
                <w:color w:val="0000FF"/>
                <w:szCs w:val="21"/>
              </w:rPr>
              <w:t>t/a</w:t>
            </w:r>
          </w:p>
        </w:tc>
        <w:tc>
          <w:tcPr>
            <w:tcW w:w="1276" w:type="dxa"/>
            <w:vAlign w:val="center"/>
          </w:tcPr>
          <w:p w14:paraId="7D07783B">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229C6AFE">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65C159FA">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0.033</w:t>
            </w:r>
            <w:r>
              <w:rPr>
                <w:rFonts w:ascii="Times New Roman"/>
                <w:bCs/>
                <w:color w:val="0000FF"/>
                <w:szCs w:val="21"/>
              </w:rPr>
              <w:t>t/a</w:t>
            </w:r>
          </w:p>
        </w:tc>
        <w:tc>
          <w:tcPr>
            <w:tcW w:w="1825" w:type="dxa"/>
            <w:vAlign w:val="center"/>
          </w:tcPr>
          <w:p w14:paraId="45A5C581">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c>
          <w:tcPr>
            <w:tcW w:w="1811" w:type="dxa"/>
            <w:vAlign w:val="center"/>
          </w:tcPr>
          <w:p w14:paraId="0396BF1B">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0.0427</w:t>
            </w:r>
            <w:r>
              <w:rPr>
                <w:rFonts w:ascii="Times New Roman"/>
                <w:bCs/>
                <w:color w:val="0000FF"/>
                <w:szCs w:val="21"/>
              </w:rPr>
              <w:t>t/a</w:t>
            </w:r>
          </w:p>
        </w:tc>
        <w:tc>
          <w:tcPr>
            <w:tcW w:w="974" w:type="dxa"/>
            <w:vAlign w:val="center"/>
          </w:tcPr>
          <w:p w14:paraId="492E2F19">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+0.033t/a</w:t>
            </w:r>
          </w:p>
        </w:tc>
      </w:tr>
      <w:tr w14:paraId="494D5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restart"/>
            <w:vAlign w:val="center"/>
          </w:tcPr>
          <w:p w14:paraId="04DD187F">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一般</w:t>
            </w:r>
          </w:p>
          <w:p w14:paraId="310181B3">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固体废物</w:t>
            </w:r>
          </w:p>
        </w:tc>
        <w:tc>
          <w:tcPr>
            <w:tcW w:w="708" w:type="dxa"/>
            <w:vAlign w:val="center"/>
          </w:tcPr>
          <w:p w14:paraId="21D98765">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纳古卫生院</w:t>
            </w:r>
          </w:p>
        </w:tc>
        <w:tc>
          <w:tcPr>
            <w:tcW w:w="873" w:type="dxa"/>
            <w:vAlign w:val="center"/>
          </w:tcPr>
          <w:p w14:paraId="312BFF97">
            <w:pPr>
              <w:pStyle w:val="65"/>
              <w:spacing w:beforeLines="0" w:afterLines="0" w:line="240" w:lineRule="auto"/>
              <w:rPr>
                <w:rFonts w:ascii="Times New Roman"/>
                <w:bCs/>
                <w:color w:val="0000FF"/>
                <w:szCs w:val="21"/>
              </w:rPr>
            </w:pPr>
            <w:r>
              <w:rPr>
                <w:rFonts w:ascii="Times New Roman"/>
                <w:bCs/>
                <w:color w:val="0000FF"/>
                <w:szCs w:val="21"/>
              </w:rPr>
              <w:t>生活垃圾</w:t>
            </w:r>
          </w:p>
        </w:tc>
        <w:tc>
          <w:tcPr>
            <w:tcW w:w="1537" w:type="dxa"/>
            <w:vAlign w:val="center"/>
          </w:tcPr>
          <w:p w14:paraId="7FF90BC8">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15.22</w:t>
            </w:r>
            <w:r>
              <w:rPr>
                <w:rFonts w:hint="eastAsia" w:hAnsi="宋体" w:cs="宋体"/>
                <w:color w:val="0000FF"/>
                <w:szCs w:val="21"/>
              </w:rPr>
              <w:t>t/a</w:t>
            </w:r>
          </w:p>
        </w:tc>
        <w:tc>
          <w:tcPr>
            <w:tcW w:w="1276" w:type="dxa"/>
            <w:vAlign w:val="center"/>
          </w:tcPr>
          <w:p w14:paraId="1046063F">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701" w:type="dxa"/>
            <w:vAlign w:val="center"/>
          </w:tcPr>
          <w:p w14:paraId="696A6BD6">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495" w:type="dxa"/>
            <w:vAlign w:val="center"/>
          </w:tcPr>
          <w:p w14:paraId="32B7DF7D">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7.37</w:t>
            </w:r>
            <w:r>
              <w:rPr>
                <w:rFonts w:ascii="Times New Roman"/>
                <w:bCs/>
                <w:snapToGrid w:val="0"/>
                <w:color w:val="0000FF"/>
                <w:kern w:val="21"/>
                <w:szCs w:val="21"/>
              </w:rPr>
              <w:t>t/a</w:t>
            </w:r>
          </w:p>
        </w:tc>
        <w:tc>
          <w:tcPr>
            <w:tcW w:w="1825" w:type="dxa"/>
            <w:vAlign w:val="center"/>
          </w:tcPr>
          <w:p w14:paraId="530583B8">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811" w:type="dxa"/>
            <w:vAlign w:val="center"/>
          </w:tcPr>
          <w:p w14:paraId="159B045C">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0.119</w:t>
            </w:r>
            <w:r>
              <w:rPr>
                <w:rFonts w:ascii="Times New Roman"/>
                <w:bCs/>
                <w:snapToGrid w:val="0"/>
                <w:color w:val="0000FF"/>
                <w:kern w:val="21"/>
                <w:szCs w:val="21"/>
              </w:rPr>
              <w:t>t/a</w:t>
            </w:r>
          </w:p>
        </w:tc>
        <w:tc>
          <w:tcPr>
            <w:tcW w:w="974" w:type="dxa"/>
            <w:vAlign w:val="center"/>
          </w:tcPr>
          <w:p w14:paraId="77030114">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+7.37</w:t>
            </w:r>
            <w:r>
              <w:rPr>
                <w:rFonts w:ascii="Times New Roman"/>
                <w:bCs/>
                <w:snapToGrid w:val="0"/>
                <w:color w:val="0000FF"/>
                <w:kern w:val="21"/>
                <w:szCs w:val="21"/>
              </w:rPr>
              <w:t>t/a</w:t>
            </w:r>
          </w:p>
        </w:tc>
      </w:tr>
      <w:tr w14:paraId="2F80C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3800D7FE">
            <w:pPr>
              <w:pStyle w:val="65"/>
              <w:spacing w:beforeLines="0" w:afterLines="0" w:line="240" w:lineRule="auto"/>
              <w:rPr>
                <w:rFonts w:ascii="Times New Roman"/>
                <w:bCs/>
                <w:snapToGrid w:val="0"/>
                <w:color w:val="0000FF"/>
                <w:kern w:val="21"/>
                <w:szCs w:val="21"/>
              </w:rPr>
            </w:pPr>
          </w:p>
        </w:tc>
        <w:tc>
          <w:tcPr>
            <w:tcW w:w="708" w:type="dxa"/>
            <w:vMerge w:val="restart"/>
            <w:vAlign w:val="center"/>
          </w:tcPr>
          <w:p w14:paraId="136B0BA2">
            <w:pPr>
              <w:autoSpaceDE w:val="0"/>
              <w:autoSpaceDN w:val="0"/>
              <w:adjustRightInd w:val="0"/>
              <w:snapToGrid w:val="0"/>
              <w:jc w:val="center"/>
              <w:rPr>
                <w:bCs/>
                <w:color w:val="0000FF"/>
                <w:kern w:val="0"/>
                <w:szCs w:val="21"/>
              </w:rPr>
            </w:pPr>
            <w:r>
              <w:rPr>
                <w:rFonts w:hint="eastAsia"/>
                <w:bCs/>
                <w:color w:val="0000FF"/>
                <w:kern w:val="0"/>
                <w:szCs w:val="21"/>
              </w:rPr>
              <w:t>四街卫生院</w:t>
            </w:r>
          </w:p>
        </w:tc>
        <w:tc>
          <w:tcPr>
            <w:tcW w:w="873" w:type="dxa"/>
            <w:vAlign w:val="center"/>
          </w:tcPr>
          <w:p w14:paraId="0CAA0FF6">
            <w:pPr>
              <w:autoSpaceDE w:val="0"/>
              <w:autoSpaceDN w:val="0"/>
              <w:adjustRightInd w:val="0"/>
              <w:snapToGrid w:val="0"/>
              <w:jc w:val="center"/>
              <w:rPr>
                <w:bCs/>
                <w:color w:val="0000FF"/>
                <w:kern w:val="0"/>
                <w:szCs w:val="21"/>
              </w:rPr>
            </w:pPr>
            <w:r>
              <w:rPr>
                <w:rFonts w:hint="eastAsia"/>
                <w:bCs/>
                <w:color w:val="0000FF"/>
                <w:kern w:val="0"/>
                <w:szCs w:val="21"/>
              </w:rPr>
              <w:t>生活垃圾</w:t>
            </w:r>
          </w:p>
        </w:tc>
        <w:tc>
          <w:tcPr>
            <w:tcW w:w="1537" w:type="dxa"/>
            <w:vAlign w:val="center"/>
          </w:tcPr>
          <w:p w14:paraId="7332F621">
            <w:pPr>
              <w:adjustRightInd w:val="0"/>
              <w:snapToGrid w:val="0"/>
              <w:jc w:val="center"/>
              <w:rPr>
                <w:bCs/>
                <w:color w:val="0000FF"/>
                <w:kern w:val="0"/>
                <w:szCs w:val="21"/>
              </w:rPr>
            </w:pPr>
            <w:r>
              <w:rPr>
                <w:rFonts w:hint="eastAsia" w:ascii="宋体" w:hAnsi="宋体" w:cs="宋体"/>
                <w:color w:val="0000FF"/>
                <w:szCs w:val="21"/>
              </w:rPr>
              <w:t>24.64t/a</w:t>
            </w:r>
          </w:p>
        </w:tc>
        <w:tc>
          <w:tcPr>
            <w:tcW w:w="1276" w:type="dxa"/>
            <w:vAlign w:val="center"/>
          </w:tcPr>
          <w:p w14:paraId="05193ED0">
            <w:pPr>
              <w:adjustRightInd w:val="0"/>
              <w:snapToGrid w:val="0"/>
              <w:jc w:val="center"/>
              <w:rPr>
                <w:bCs/>
                <w:snapToGrid w:val="0"/>
                <w:color w:val="0000FF"/>
                <w:kern w:val="21"/>
                <w:szCs w:val="21"/>
              </w:rPr>
            </w:pPr>
            <w:r>
              <w:rPr>
                <w:bCs/>
                <w:snapToGrid w:val="0"/>
                <w:color w:val="0000FF"/>
                <w:kern w:val="21"/>
                <w:szCs w:val="21"/>
              </w:rPr>
              <w:t>/</w:t>
            </w:r>
          </w:p>
        </w:tc>
        <w:tc>
          <w:tcPr>
            <w:tcW w:w="1701" w:type="dxa"/>
            <w:vAlign w:val="center"/>
          </w:tcPr>
          <w:p w14:paraId="348B578D">
            <w:pPr>
              <w:adjustRightInd w:val="0"/>
              <w:snapToGrid w:val="0"/>
              <w:jc w:val="center"/>
              <w:rPr>
                <w:bCs/>
                <w:snapToGrid w:val="0"/>
                <w:color w:val="0000FF"/>
                <w:kern w:val="21"/>
                <w:szCs w:val="21"/>
              </w:rPr>
            </w:pPr>
            <w:r>
              <w:rPr>
                <w:bCs/>
                <w:snapToGrid w:val="0"/>
                <w:color w:val="0000FF"/>
                <w:kern w:val="21"/>
                <w:szCs w:val="21"/>
              </w:rPr>
              <w:t>/</w:t>
            </w:r>
          </w:p>
        </w:tc>
        <w:tc>
          <w:tcPr>
            <w:tcW w:w="1495" w:type="dxa"/>
            <w:vAlign w:val="center"/>
          </w:tcPr>
          <w:p w14:paraId="60AA9995">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8.58</w:t>
            </w:r>
            <w:r>
              <w:rPr>
                <w:rFonts w:ascii="Times New Roman"/>
                <w:bCs/>
                <w:snapToGrid w:val="0"/>
                <w:color w:val="0000FF"/>
                <w:kern w:val="21"/>
                <w:szCs w:val="21"/>
              </w:rPr>
              <w:t>t/a</w:t>
            </w:r>
          </w:p>
        </w:tc>
        <w:tc>
          <w:tcPr>
            <w:tcW w:w="1825" w:type="dxa"/>
            <w:vAlign w:val="center"/>
          </w:tcPr>
          <w:p w14:paraId="0BD2CF69">
            <w:pPr>
              <w:adjustRightInd w:val="0"/>
              <w:snapToGrid w:val="0"/>
              <w:jc w:val="center"/>
              <w:rPr>
                <w:bCs/>
                <w:color w:val="0000FF"/>
                <w:kern w:val="0"/>
                <w:szCs w:val="21"/>
              </w:rPr>
            </w:pPr>
            <w:r>
              <w:rPr>
                <w:bCs/>
                <w:color w:val="0000FF"/>
                <w:kern w:val="0"/>
                <w:szCs w:val="21"/>
              </w:rPr>
              <w:t>/</w:t>
            </w:r>
          </w:p>
        </w:tc>
        <w:tc>
          <w:tcPr>
            <w:tcW w:w="1811" w:type="dxa"/>
            <w:vAlign w:val="center"/>
          </w:tcPr>
          <w:p w14:paraId="316BA04C">
            <w:pPr>
              <w:pStyle w:val="65"/>
              <w:spacing w:beforeLines="0" w:afterLines="0" w:line="240" w:lineRule="auto"/>
              <w:rPr>
                <w:rFonts w:ascii="Times New Roman"/>
                <w:bCs/>
                <w:color w:val="0000FF"/>
                <w:szCs w:val="21"/>
              </w:rPr>
            </w:pPr>
            <w:r>
              <w:rPr>
                <w:rFonts w:hint="eastAsia" w:ascii="Times New Roman"/>
                <w:bCs/>
                <w:color w:val="0000FF"/>
                <w:szCs w:val="21"/>
              </w:rPr>
              <w:t>33.22</w:t>
            </w:r>
            <w:r>
              <w:rPr>
                <w:rFonts w:ascii="Times New Roman"/>
                <w:bCs/>
                <w:color w:val="0000FF"/>
                <w:szCs w:val="21"/>
              </w:rPr>
              <w:t>t/a</w:t>
            </w:r>
          </w:p>
        </w:tc>
        <w:tc>
          <w:tcPr>
            <w:tcW w:w="974" w:type="dxa"/>
            <w:vAlign w:val="center"/>
          </w:tcPr>
          <w:p w14:paraId="08F16372">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+8.58</w:t>
            </w:r>
            <w:r>
              <w:rPr>
                <w:rFonts w:ascii="Times New Roman"/>
                <w:bCs/>
                <w:snapToGrid w:val="0"/>
                <w:color w:val="0000FF"/>
                <w:kern w:val="21"/>
                <w:szCs w:val="21"/>
              </w:rPr>
              <w:t>t/a</w:t>
            </w:r>
          </w:p>
        </w:tc>
      </w:tr>
      <w:tr w14:paraId="44F1C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7B22EA6B">
            <w:pPr>
              <w:pStyle w:val="65"/>
              <w:spacing w:beforeLines="0" w:afterLines="0" w:line="240" w:lineRule="auto"/>
              <w:rPr>
                <w:rFonts w:ascii="Times New Roman"/>
                <w:bCs/>
                <w:snapToGrid w:val="0"/>
                <w:color w:val="0000FF"/>
                <w:kern w:val="21"/>
                <w:szCs w:val="21"/>
              </w:rPr>
            </w:pPr>
          </w:p>
        </w:tc>
        <w:tc>
          <w:tcPr>
            <w:tcW w:w="708" w:type="dxa"/>
            <w:vMerge w:val="continue"/>
            <w:vAlign w:val="center"/>
          </w:tcPr>
          <w:p w14:paraId="0587F712">
            <w:pPr>
              <w:autoSpaceDE w:val="0"/>
              <w:autoSpaceDN w:val="0"/>
              <w:adjustRightInd w:val="0"/>
              <w:snapToGrid w:val="0"/>
              <w:jc w:val="center"/>
              <w:rPr>
                <w:bCs/>
                <w:color w:val="0000FF"/>
                <w:kern w:val="0"/>
                <w:szCs w:val="21"/>
              </w:rPr>
            </w:pPr>
          </w:p>
        </w:tc>
        <w:tc>
          <w:tcPr>
            <w:tcW w:w="873" w:type="dxa"/>
            <w:vAlign w:val="center"/>
          </w:tcPr>
          <w:p w14:paraId="4C1E2C1B">
            <w:pPr>
              <w:autoSpaceDE w:val="0"/>
              <w:autoSpaceDN w:val="0"/>
              <w:adjustRightInd w:val="0"/>
              <w:snapToGrid w:val="0"/>
              <w:jc w:val="center"/>
              <w:rPr>
                <w:bCs/>
                <w:color w:val="0000FF"/>
                <w:kern w:val="0"/>
                <w:szCs w:val="21"/>
              </w:rPr>
            </w:pPr>
            <w:r>
              <w:rPr>
                <w:rFonts w:hint="eastAsia" w:ascii="宋体" w:hAnsi="宋体" w:cs="宋体"/>
                <w:color w:val="0000FF"/>
                <w:szCs w:val="21"/>
              </w:rPr>
              <w:t>食堂泔水</w:t>
            </w:r>
          </w:p>
        </w:tc>
        <w:tc>
          <w:tcPr>
            <w:tcW w:w="1537" w:type="dxa"/>
            <w:vAlign w:val="center"/>
          </w:tcPr>
          <w:p w14:paraId="3C8ED4FC">
            <w:pPr>
              <w:adjustRightInd w:val="0"/>
              <w:snapToGrid w:val="0"/>
              <w:jc w:val="center"/>
              <w:rPr>
                <w:bCs/>
                <w:color w:val="0000FF"/>
                <w:kern w:val="0"/>
                <w:szCs w:val="21"/>
              </w:rPr>
            </w:pPr>
            <w:r>
              <w:rPr>
                <w:rFonts w:hint="eastAsia" w:ascii="宋体" w:hAnsi="宋体" w:cs="宋体"/>
                <w:bCs/>
                <w:color w:val="0000FF"/>
                <w:szCs w:val="21"/>
              </w:rPr>
              <w:t>0.38t/a</w:t>
            </w:r>
          </w:p>
        </w:tc>
        <w:tc>
          <w:tcPr>
            <w:tcW w:w="1276" w:type="dxa"/>
            <w:vAlign w:val="center"/>
          </w:tcPr>
          <w:p w14:paraId="4E8DA4D5">
            <w:pPr>
              <w:adjustRightInd w:val="0"/>
              <w:snapToGrid w:val="0"/>
              <w:jc w:val="center"/>
              <w:rPr>
                <w:bCs/>
                <w:snapToGrid w:val="0"/>
                <w:color w:val="0000FF"/>
                <w:kern w:val="21"/>
                <w:szCs w:val="21"/>
              </w:rPr>
            </w:pPr>
            <w:r>
              <w:rPr>
                <w:bCs/>
                <w:snapToGrid w:val="0"/>
                <w:color w:val="0000FF"/>
                <w:kern w:val="21"/>
                <w:szCs w:val="21"/>
              </w:rPr>
              <w:t>/</w:t>
            </w:r>
          </w:p>
        </w:tc>
        <w:tc>
          <w:tcPr>
            <w:tcW w:w="1701" w:type="dxa"/>
            <w:vAlign w:val="center"/>
          </w:tcPr>
          <w:p w14:paraId="2AF95EB0">
            <w:pPr>
              <w:adjustRightInd w:val="0"/>
              <w:snapToGrid w:val="0"/>
              <w:jc w:val="center"/>
              <w:rPr>
                <w:bCs/>
                <w:snapToGrid w:val="0"/>
                <w:color w:val="0000FF"/>
                <w:kern w:val="21"/>
                <w:szCs w:val="21"/>
              </w:rPr>
            </w:pPr>
            <w:r>
              <w:rPr>
                <w:bCs/>
                <w:snapToGrid w:val="0"/>
                <w:color w:val="0000FF"/>
                <w:kern w:val="21"/>
                <w:szCs w:val="21"/>
              </w:rPr>
              <w:t>/</w:t>
            </w:r>
          </w:p>
        </w:tc>
        <w:tc>
          <w:tcPr>
            <w:tcW w:w="1495" w:type="dxa"/>
            <w:vAlign w:val="center"/>
          </w:tcPr>
          <w:p w14:paraId="3BB26193">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c>
          <w:tcPr>
            <w:tcW w:w="1825" w:type="dxa"/>
            <w:vAlign w:val="center"/>
          </w:tcPr>
          <w:p w14:paraId="455623DC">
            <w:pPr>
              <w:adjustRightInd w:val="0"/>
              <w:snapToGrid w:val="0"/>
              <w:jc w:val="center"/>
              <w:rPr>
                <w:bCs/>
                <w:color w:val="0000FF"/>
                <w:kern w:val="0"/>
                <w:szCs w:val="21"/>
              </w:rPr>
            </w:pPr>
            <w:r>
              <w:rPr>
                <w:rFonts w:hint="eastAsia"/>
                <w:bCs/>
                <w:color w:val="0000FF"/>
                <w:kern w:val="0"/>
                <w:szCs w:val="21"/>
              </w:rPr>
              <w:t>/</w:t>
            </w:r>
          </w:p>
        </w:tc>
        <w:tc>
          <w:tcPr>
            <w:tcW w:w="1811" w:type="dxa"/>
            <w:vAlign w:val="center"/>
          </w:tcPr>
          <w:p w14:paraId="14AA9880">
            <w:pPr>
              <w:adjustRightInd w:val="0"/>
              <w:snapToGrid w:val="0"/>
              <w:jc w:val="center"/>
              <w:rPr>
                <w:bCs/>
                <w:color w:val="0000FF"/>
                <w:szCs w:val="21"/>
              </w:rPr>
            </w:pPr>
            <w:r>
              <w:rPr>
                <w:rFonts w:hint="eastAsia" w:ascii="宋体" w:hAnsi="宋体" w:cs="宋体"/>
                <w:bCs/>
                <w:color w:val="0000FF"/>
                <w:szCs w:val="21"/>
              </w:rPr>
              <w:t>0.38t/a</w:t>
            </w:r>
          </w:p>
        </w:tc>
        <w:tc>
          <w:tcPr>
            <w:tcW w:w="974" w:type="dxa"/>
            <w:vAlign w:val="center"/>
          </w:tcPr>
          <w:p w14:paraId="6FA9175A">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r>
      <w:tr w14:paraId="485C5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09AD0A11">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4E67F642">
            <w:pPr>
              <w:autoSpaceDE w:val="0"/>
              <w:autoSpaceDN w:val="0"/>
              <w:adjustRightInd w:val="0"/>
              <w:snapToGrid w:val="0"/>
              <w:jc w:val="center"/>
              <w:rPr>
                <w:bCs/>
                <w:color w:val="auto"/>
                <w:kern w:val="0"/>
                <w:szCs w:val="21"/>
              </w:rPr>
            </w:pPr>
          </w:p>
        </w:tc>
        <w:tc>
          <w:tcPr>
            <w:tcW w:w="873" w:type="dxa"/>
            <w:vAlign w:val="center"/>
          </w:tcPr>
          <w:p w14:paraId="055F11C7">
            <w:pPr>
              <w:autoSpaceDE w:val="0"/>
              <w:autoSpaceDN w:val="0"/>
              <w:adjustRightInd w:val="0"/>
              <w:snapToGrid w:val="0"/>
              <w:jc w:val="center"/>
              <w:rPr>
                <w:bCs/>
                <w:color w:val="0000FF"/>
                <w:kern w:val="0"/>
                <w:szCs w:val="21"/>
              </w:rPr>
            </w:pPr>
            <w:r>
              <w:rPr>
                <w:rFonts w:hint="eastAsia" w:ascii="宋体" w:hAnsi="宋体" w:cs="宋体"/>
                <w:color w:val="0000FF"/>
                <w:szCs w:val="21"/>
              </w:rPr>
              <w:t>隔油池废油脂</w:t>
            </w:r>
          </w:p>
        </w:tc>
        <w:tc>
          <w:tcPr>
            <w:tcW w:w="1537" w:type="dxa"/>
            <w:vAlign w:val="center"/>
          </w:tcPr>
          <w:p w14:paraId="2B39C3EE">
            <w:pPr>
              <w:adjustRightInd w:val="0"/>
              <w:snapToGrid w:val="0"/>
              <w:jc w:val="center"/>
              <w:rPr>
                <w:bCs/>
                <w:color w:val="0000FF"/>
                <w:kern w:val="0"/>
                <w:szCs w:val="21"/>
              </w:rPr>
            </w:pPr>
            <w:r>
              <w:rPr>
                <w:rFonts w:hint="eastAsia" w:ascii="宋体" w:hAnsi="宋体" w:cs="宋体"/>
                <w:color w:val="0000FF"/>
                <w:szCs w:val="21"/>
              </w:rPr>
              <w:t>5.475kg/a</w:t>
            </w:r>
          </w:p>
        </w:tc>
        <w:tc>
          <w:tcPr>
            <w:tcW w:w="1276" w:type="dxa"/>
            <w:vAlign w:val="center"/>
          </w:tcPr>
          <w:p w14:paraId="621E439F">
            <w:pPr>
              <w:adjustRightInd w:val="0"/>
              <w:snapToGrid w:val="0"/>
              <w:jc w:val="center"/>
              <w:rPr>
                <w:bCs/>
                <w:snapToGrid w:val="0"/>
                <w:color w:val="0000FF"/>
                <w:kern w:val="21"/>
                <w:szCs w:val="21"/>
              </w:rPr>
            </w:pPr>
            <w:r>
              <w:rPr>
                <w:bCs/>
                <w:snapToGrid w:val="0"/>
                <w:color w:val="0000FF"/>
                <w:kern w:val="21"/>
                <w:szCs w:val="21"/>
              </w:rPr>
              <w:t>/</w:t>
            </w:r>
          </w:p>
        </w:tc>
        <w:tc>
          <w:tcPr>
            <w:tcW w:w="1701" w:type="dxa"/>
            <w:vAlign w:val="center"/>
          </w:tcPr>
          <w:p w14:paraId="3E151383">
            <w:pPr>
              <w:adjustRightInd w:val="0"/>
              <w:snapToGrid w:val="0"/>
              <w:jc w:val="center"/>
              <w:rPr>
                <w:bCs/>
                <w:snapToGrid w:val="0"/>
                <w:color w:val="0000FF"/>
                <w:kern w:val="21"/>
                <w:szCs w:val="21"/>
              </w:rPr>
            </w:pPr>
            <w:r>
              <w:rPr>
                <w:bCs/>
                <w:snapToGrid w:val="0"/>
                <w:color w:val="0000FF"/>
                <w:kern w:val="21"/>
                <w:szCs w:val="21"/>
              </w:rPr>
              <w:t>/</w:t>
            </w:r>
          </w:p>
        </w:tc>
        <w:tc>
          <w:tcPr>
            <w:tcW w:w="1495" w:type="dxa"/>
            <w:vAlign w:val="center"/>
          </w:tcPr>
          <w:p w14:paraId="499A5FE2">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c>
          <w:tcPr>
            <w:tcW w:w="1825" w:type="dxa"/>
            <w:vAlign w:val="center"/>
          </w:tcPr>
          <w:p w14:paraId="425D2C08">
            <w:pPr>
              <w:adjustRightInd w:val="0"/>
              <w:snapToGrid w:val="0"/>
              <w:jc w:val="center"/>
              <w:rPr>
                <w:bCs/>
                <w:color w:val="0000FF"/>
                <w:kern w:val="0"/>
                <w:szCs w:val="21"/>
              </w:rPr>
            </w:pPr>
            <w:r>
              <w:rPr>
                <w:rFonts w:hint="eastAsia"/>
                <w:bCs/>
                <w:color w:val="0000FF"/>
                <w:kern w:val="0"/>
                <w:szCs w:val="21"/>
              </w:rPr>
              <w:t>/</w:t>
            </w:r>
          </w:p>
        </w:tc>
        <w:tc>
          <w:tcPr>
            <w:tcW w:w="1811" w:type="dxa"/>
            <w:vAlign w:val="center"/>
          </w:tcPr>
          <w:p w14:paraId="0B6EFAF6">
            <w:pPr>
              <w:adjustRightInd w:val="0"/>
              <w:snapToGrid w:val="0"/>
              <w:jc w:val="center"/>
              <w:rPr>
                <w:bCs/>
                <w:color w:val="0000FF"/>
                <w:szCs w:val="21"/>
              </w:rPr>
            </w:pPr>
            <w:r>
              <w:rPr>
                <w:rFonts w:hint="eastAsia" w:ascii="宋体" w:hAnsi="宋体" w:cs="宋体"/>
                <w:color w:val="0000FF"/>
                <w:szCs w:val="21"/>
              </w:rPr>
              <w:t>5.475kg/a</w:t>
            </w:r>
          </w:p>
        </w:tc>
        <w:tc>
          <w:tcPr>
            <w:tcW w:w="974" w:type="dxa"/>
            <w:vAlign w:val="center"/>
          </w:tcPr>
          <w:p w14:paraId="3B9E70DB">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r>
      <w:tr w14:paraId="0C631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18C0FA06">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3E447FBD">
            <w:pPr>
              <w:autoSpaceDE w:val="0"/>
              <w:autoSpaceDN w:val="0"/>
              <w:adjustRightInd w:val="0"/>
              <w:snapToGrid w:val="0"/>
              <w:jc w:val="center"/>
              <w:rPr>
                <w:bCs/>
                <w:color w:val="auto"/>
                <w:kern w:val="0"/>
                <w:szCs w:val="21"/>
              </w:rPr>
            </w:pPr>
          </w:p>
        </w:tc>
        <w:tc>
          <w:tcPr>
            <w:tcW w:w="873" w:type="dxa"/>
            <w:vAlign w:val="center"/>
          </w:tcPr>
          <w:p w14:paraId="64E53B0B">
            <w:pPr>
              <w:pStyle w:val="65"/>
              <w:spacing w:beforeLines="0" w:afterLines="0" w:line="240" w:lineRule="auto"/>
              <w:rPr>
                <w:rFonts w:hint="eastAsia" w:hAnsi="宋体" w:cs="宋体"/>
                <w:color w:val="auto"/>
                <w:szCs w:val="21"/>
              </w:rPr>
            </w:pPr>
            <w:r>
              <w:rPr>
                <w:rFonts w:hint="eastAsia" w:ascii="Times New Roman"/>
                <w:bCs/>
                <w:color w:val="auto"/>
                <w:szCs w:val="21"/>
              </w:rPr>
              <w:t>中药渣</w:t>
            </w:r>
          </w:p>
        </w:tc>
        <w:tc>
          <w:tcPr>
            <w:tcW w:w="1537" w:type="dxa"/>
            <w:vAlign w:val="center"/>
          </w:tcPr>
          <w:p w14:paraId="4916F67A">
            <w:pPr>
              <w:pStyle w:val="65"/>
              <w:spacing w:beforeLines="0" w:afterLines="0" w:line="240" w:lineRule="auto"/>
              <w:rPr>
                <w:rFonts w:hint="eastAsia" w:hAnsi="宋体" w:cs="宋体"/>
                <w:color w:val="auto"/>
                <w:szCs w:val="21"/>
              </w:rPr>
            </w:pPr>
            <w:r>
              <w:rPr>
                <w:rFonts w:hint="eastAsia" w:ascii="Times New Roman"/>
                <w:bCs/>
                <w:snapToGrid w:val="0"/>
                <w:color w:val="auto"/>
                <w:kern w:val="21"/>
                <w:szCs w:val="21"/>
              </w:rPr>
              <w:t>0</w:t>
            </w:r>
            <w:r>
              <w:rPr>
                <w:rFonts w:hint="eastAsia" w:hAnsi="宋体" w:cs="宋体"/>
                <w:color w:val="auto"/>
                <w:szCs w:val="21"/>
              </w:rPr>
              <w:t>t/a</w:t>
            </w:r>
          </w:p>
        </w:tc>
        <w:tc>
          <w:tcPr>
            <w:tcW w:w="1276" w:type="dxa"/>
            <w:vAlign w:val="center"/>
          </w:tcPr>
          <w:p w14:paraId="10FA8C3A">
            <w:pPr>
              <w:adjustRightInd w:val="0"/>
              <w:snapToGrid w:val="0"/>
              <w:jc w:val="center"/>
              <w:rPr>
                <w:bCs/>
                <w:snapToGrid w:val="0"/>
                <w:color w:val="auto"/>
                <w:kern w:val="21"/>
                <w:szCs w:val="21"/>
              </w:rPr>
            </w:pPr>
          </w:p>
        </w:tc>
        <w:tc>
          <w:tcPr>
            <w:tcW w:w="1701" w:type="dxa"/>
            <w:vAlign w:val="center"/>
          </w:tcPr>
          <w:p w14:paraId="76E241BE">
            <w:pPr>
              <w:adjustRightInd w:val="0"/>
              <w:snapToGrid w:val="0"/>
              <w:jc w:val="center"/>
              <w:rPr>
                <w:bCs/>
                <w:snapToGrid w:val="0"/>
                <w:color w:val="auto"/>
                <w:kern w:val="21"/>
                <w:szCs w:val="21"/>
              </w:rPr>
            </w:pPr>
          </w:p>
        </w:tc>
        <w:tc>
          <w:tcPr>
            <w:tcW w:w="1495" w:type="dxa"/>
            <w:vAlign w:val="center"/>
          </w:tcPr>
          <w:p w14:paraId="61010A76">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0.38</w:t>
            </w:r>
            <w:r>
              <w:rPr>
                <w:rFonts w:ascii="Times New Roman"/>
                <w:bCs/>
                <w:snapToGrid w:val="0"/>
                <w:color w:val="auto"/>
                <w:kern w:val="21"/>
                <w:szCs w:val="21"/>
              </w:rPr>
              <w:t>t/a</w:t>
            </w:r>
          </w:p>
        </w:tc>
        <w:tc>
          <w:tcPr>
            <w:tcW w:w="1825" w:type="dxa"/>
            <w:vAlign w:val="center"/>
          </w:tcPr>
          <w:p w14:paraId="7FFB3531">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6334A151">
            <w:pPr>
              <w:pStyle w:val="65"/>
              <w:spacing w:beforeLines="0" w:afterLines="0" w:line="240" w:lineRule="auto"/>
              <w:rPr>
                <w:rFonts w:ascii="Times New Roman"/>
                <w:bCs/>
                <w:color w:val="auto"/>
                <w:szCs w:val="21"/>
              </w:rPr>
            </w:pPr>
            <w:r>
              <w:rPr>
                <w:rFonts w:hint="eastAsia" w:ascii="Times New Roman"/>
                <w:bCs/>
                <w:snapToGrid w:val="0"/>
                <w:color w:val="auto"/>
                <w:kern w:val="21"/>
                <w:szCs w:val="21"/>
              </w:rPr>
              <w:t>0.38</w:t>
            </w:r>
            <w:r>
              <w:rPr>
                <w:rFonts w:ascii="Times New Roman"/>
                <w:bCs/>
                <w:snapToGrid w:val="0"/>
                <w:color w:val="auto"/>
                <w:kern w:val="21"/>
                <w:szCs w:val="21"/>
              </w:rPr>
              <w:t>t/a</w:t>
            </w:r>
          </w:p>
        </w:tc>
        <w:tc>
          <w:tcPr>
            <w:tcW w:w="974" w:type="dxa"/>
            <w:vAlign w:val="center"/>
          </w:tcPr>
          <w:p w14:paraId="751D9ED4">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+0.38</w:t>
            </w:r>
            <w:r>
              <w:rPr>
                <w:rFonts w:ascii="Times New Roman"/>
                <w:bCs/>
                <w:snapToGrid w:val="0"/>
                <w:color w:val="auto"/>
                <w:kern w:val="21"/>
                <w:szCs w:val="21"/>
              </w:rPr>
              <w:t>t/a</w:t>
            </w:r>
          </w:p>
        </w:tc>
      </w:tr>
      <w:tr w14:paraId="6252C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50339B0F">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66D0619E">
            <w:pPr>
              <w:autoSpaceDE w:val="0"/>
              <w:autoSpaceDN w:val="0"/>
              <w:adjustRightInd w:val="0"/>
              <w:snapToGrid w:val="0"/>
              <w:jc w:val="center"/>
              <w:rPr>
                <w:bCs/>
                <w:color w:val="auto"/>
                <w:kern w:val="0"/>
                <w:szCs w:val="21"/>
              </w:rPr>
            </w:pPr>
            <w:r>
              <w:rPr>
                <w:rFonts w:hint="eastAsia"/>
                <w:bCs/>
                <w:color w:val="auto"/>
                <w:kern w:val="0"/>
                <w:szCs w:val="21"/>
              </w:rPr>
              <w:t>九龙卫生院</w:t>
            </w:r>
          </w:p>
        </w:tc>
        <w:tc>
          <w:tcPr>
            <w:tcW w:w="873" w:type="dxa"/>
            <w:vAlign w:val="center"/>
          </w:tcPr>
          <w:p w14:paraId="633DDC10">
            <w:pPr>
              <w:snapToGrid w:val="0"/>
              <w:jc w:val="center"/>
              <w:rPr>
                <w:bCs/>
                <w:color w:val="auto"/>
                <w:kern w:val="0"/>
                <w:szCs w:val="21"/>
                <w:lang w:val="zh-CN"/>
              </w:rPr>
            </w:pPr>
            <w:r>
              <w:rPr>
                <w:rFonts w:hint="eastAsia" w:ascii="宋体" w:hAnsi="宋体" w:cs="宋体"/>
                <w:snapToGrid w:val="0"/>
                <w:color w:val="auto"/>
                <w:kern w:val="0"/>
                <w:szCs w:val="21"/>
              </w:rPr>
              <w:t>生活垃圾</w:t>
            </w:r>
          </w:p>
        </w:tc>
        <w:tc>
          <w:tcPr>
            <w:tcW w:w="1537" w:type="dxa"/>
            <w:vAlign w:val="center"/>
          </w:tcPr>
          <w:p w14:paraId="573040B5">
            <w:pPr>
              <w:autoSpaceDE w:val="0"/>
              <w:autoSpaceDN w:val="0"/>
              <w:adjustRightInd w:val="0"/>
              <w:snapToGrid w:val="0"/>
              <w:jc w:val="center"/>
              <w:rPr>
                <w:bCs/>
                <w:color w:val="auto"/>
                <w:kern w:val="0"/>
                <w:szCs w:val="21"/>
              </w:rPr>
            </w:pPr>
            <w:r>
              <w:rPr>
                <w:rFonts w:hint="eastAsia" w:ascii="宋体" w:hAnsi="宋体" w:cs="宋体"/>
                <w:color w:val="auto"/>
                <w:szCs w:val="21"/>
              </w:rPr>
              <w:t>25.92</w:t>
            </w:r>
            <w:r>
              <w:rPr>
                <w:rFonts w:hint="eastAsia" w:ascii="宋体" w:hAnsi="宋体" w:cs="宋体"/>
                <w:bCs/>
                <w:color w:val="auto"/>
                <w:szCs w:val="21"/>
              </w:rPr>
              <w:t>t/a</w:t>
            </w:r>
          </w:p>
        </w:tc>
        <w:tc>
          <w:tcPr>
            <w:tcW w:w="1276" w:type="dxa"/>
            <w:vAlign w:val="center"/>
          </w:tcPr>
          <w:p w14:paraId="712F32FF">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3AC45946">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19A196FE">
            <w:pPr>
              <w:pStyle w:val="65"/>
              <w:spacing w:beforeLines="0" w:afterLines="0" w:line="240" w:lineRule="auto"/>
              <w:rPr>
                <w:rFonts w:ascii="Times New Roman"/>
                <w:bCs/>
                <w:snapToGrid w:val="0"/>
                <w:color w:val="auto"/>
                <w:kern w:val="21"/>
                <w:szCs w:val="21"/>
              </w:rPr>
            </w:pPr>
            <w:r>
              <w:rPr>
                <w:rFonts w:hint="eastAsia"/>
                <w:color w:val="auto"/>
                <w:szCs w:val="21"/>
              </w:rPr>
              <w:t>8.43</w:t>
            </w:r>
            <w:r>
              <w:rPr>
                <w:rFonts w:ascii="Times New Roman"/>
                <w:bCs/>
                <w:color w:val="auto"/>
                <w:szCs w:val="21"/>
              </w:rPr>
              <w:t>t/a</w:t>
            </w:r>
          </w:p>
        </w:tc>
        <w:tc>
          <w:tcPr>
            <w:tcW w:w="1825" w:type="dxa"/>
            <w:vAlign w:val="center"/>
          </w:tcPr>
          <w:p w14:paraId="672A4977">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5C51471A">
            <w:pPr>
              <w:pStyle w:val="65"/>
              <w:spacing w:beforeLines="0" w:afterLines="0" w:line="240" w:lineRule="auto"/>
              <w:rPr>
                <w:rFonts w:ascii="Times New Roman"/>
                <w:bCs/>
                <w:color w:val="auto"/>
                <w:szCs w:val="21"/>
              </w:rPr>
            </w:pPr>
            <w:r>
              <w:rPr>
                <w:rFonts w:hint="eastAsia" w:ascii="Times New Roman"/>
                <w:bCs/>
                <w:color w:val="auto"/>
                <w:szCs w:val="21"/>
              </w:rPr>
              <w:t>34.35</w:t>
            </w:r>
            <w:r>
              <w:rPr>
                <w:rFonts w:ascii="Times New Roman"/>
                <w:bCs/>
                <w:snapToGrid w:val="0"/>
                <w:color w:val="auto"/>
                <w:kern w:val="21"/>
                <w:szCs w:val="21"/>
              </w:rPr>
              <w:t>t/a</w:t>
            </w:r>
          </w:p>
        </w:tc>
        <w:tc>
          <w:tcPr>
            <w:tcW w:w="974" w:type="dxa"/>
            <w:vAlign w:val="center"/>
          </w:tcPr>
          <w:p w14:paraId="3521875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+8.43</w:t>
            </w:r>
            <w:r>
              <w:rPr>
                <w:rFonts w:ascii="Times New Roman"/>
                <w:bCs/>
                <w:snapToGrid w:val="0"/>
                <w:color w:val="auto"/>
                <w:kern w:val="21"/>
                <w:szCs w:val="21"/>
              </w:rPr>
              <w:t>t/a</w:t>
            </w:r>
          </w:p>
        </w:tc>
      </w:tr>
      <w:tr w14:paraId="21A8E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1CFEE375">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7968BF1D">
            <w:pPr>
              <w:autoSpaceDE w:val="0"/>
              <w:autoSpaceDN w:val="0"/>
              <w:adjustRightInd w:val="0"/>
              <w:snapToGrid w:val="0"/>
              <w:jc w:val="center"/>
              <w:rPr>
                <w:bCs/>
                <w:color w:val="auto"/>
                <w:kern w:val="0"/>
                <w:szCs w:val="21"/>
              </w:rPr>
            </w:pPr>
          </w:p>
        </w:tc>
        <w:tc>
          <w:tcPr>
            <w:tcW w:w="873" w:type="dxa"/>
            <w:vAlign w:val="center"/>
          </w:tcPr>
          <w:p w14:paraId="4278C3E8">
            <w:pPr>
              <w:autoSpaceDE w:val="0"/>
              <w:autoSpaceDN w:val="0"/>
              <w:adjustRightInd w:val="0"/>
              <w:snapToGrid w:val="0"/>
              <w:jc w:val="center"/>
              <w:rPr>
                <w:bCs/>
                <w:color w:val="auto"/>
                <w:kern w:val="0"/>
                <w:szCs w:val="21"/>
                <w:lang w:val="zh-CN"/>
              </w:rPr>
            </w:pPr>
            <w:r>
              <w:rPr>
                <w:rFonts w:hint="eastAsia" w:ascii="宋体" w:hAnsi="宋体" w:cs="宋体"/>
                <w:color w:val="auto"/>
                <w:szCs w:val="21"/>
              </w:rPr>
              <w:t>食堂泔水</w:t>
            </w:r>
          </w:p>
        </w:tc>
        <w:tc>
          <w:tcPr>
            <w:tcW w:w="1537" w:type="dxa"/>
            <w:vAlign w:val="center"/>
          </w:tcPr>
          <w:p w14:paraId="2E00653D">
            <w:pPr>
              <w:autoSpaceDE w:val="0"/>
              <w:autoSpaceDN w:val="0"/>
              <w:adjustRightInd w:val="0"/>
              <w:snapToGrid w:val="0"/>
              <w:jc w:val="center"/>
              <w:rPr>
                <w:bCs/>
                <w:color w:val="auto"/>
                <w:kern w:val="0"/>
                <w:szCs w:val="21"/>
              </w:rPr>
            </w:pPr>
            <w:r>
              <w:rPr>
                <w:rFonts w:hint="eastAsia" w:ascii="宋体" w:hAnsi="宋体" w:cs="宋体"/>
                <w:bCs/>
                <w:color w:val="auto"/>
                <w:szCs w:val="21"/>
              </w:rPr>
              <w:t>0.26t/a</w:t>
            </w:r>
          </w:p>
        </w:tc>
        <w:tc>
          <w:tcPr>
            <w:tcW w:w="1276" w:type="dxa"/>
            <w:vAlign w:val="center"/>
          </w:tcPr>
          <w:p w14:paraId="60389359">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7579B464">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590A5238">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c>
          <w:tcPr>
            <w:tcW w:w="1825" w:type="dxa"/>
            <w:vAlign w:val="center"/>
          </w:tcPr>
          <w:p w14:paraId="7C010BC7">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4F2DBE8A">
            <w:pPr>
              <w:pStyle w:val="65"/>
              <w:spacing w:beforeLines="0" w:afterLines="0" w:line="240" w:lineRule="auto"/>
              <w:rPr>
                <w:rFonts w:ascii="Times New Roman"/>
                <w:bCs/>
                <w:color w:val="auto"/>
                <w:szCs w:val="21"/>
              </w:rPr>
            </w:pPr>
            <w:r>
              <w:rPr>
                <w:rFonts w:hint="eastAsia" w:hAnsi="宋体" w:cs="宋体"/>
                <w:bCs/>
                <w:color w:val="auto"/>
                <w:szCs w:val="21"/>
              </w:rPr>
              <w:t>0.26t/a</w:t>
            </w:r>
          </w:p>
        </w:tc>
        <w:tc>
          <w:tcPr>
            <w:tcW w:w="974" w:type="dxa"/>
            <w:vAlign w:val="center"/>
          </w:tcPr>
          <w:p w14:paraId="28F387AE">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r>
      <w:tr w14:paraId="086C8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678C1B8F">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050A386F">
            <w:pPr>
              <w:autoSpaceDE w:val="0"/>
              <w:autoSpaceDN w:val="0"/>
              <w:adjustRightInd w:val="0"/>
              <w:snapToGrid w:val="0"/>
              <w:jc w:val="center"/>
              <w:rPr>
                <w:bCs/>
                <w:color w:val="auto"/>
                <w:kern w:val="0"/>
                <w:szCs w:val="21"/>
              </w:rPr>
            </w:pPr>
          </w:p>
        </w:tc>
        <w:tc>
          <w:tcPr>
            <w:tcW w:w="873" w:type="dxa"/>
            <w:vAlign w:val="center"/>
          </w:tcPr>
          <w:p w14:paraId="7423BAFC">
            <w:pPr>
              <w:autoSpaceDE w:val="0"/>
              <w:autoSpaceDN w:val="0"/>
              <w:adjustRightInd w:val="0"/>
              <w:snapToGrid w:val="0"/>
              <w:jc w:val="center"/>
              <w:rPr>
                <w:bCs/>
                <w:color w:val="auto"/>
                <w:kern w:val="0"/>
                <w:szCs w:val="21"/>
                <w:lang w:val="zh-CN"/>
              </w:rPr>
            </w:pPr>
            <w:r>
              <w:rPr>
                <w:rFonts w:hint="eastAsia" w:ascii="宋体" w:hAnsi="宋体" w:cs="宋体"/>
                <w:color w:val="auto"/>
                <w:szCs w:val="21"/>
              </w:rPr>
              <w:t>隔油池废油脂</w:t>
            </w:r>
          </w:p>
        </w:tc>
        <w:tc>
          <w:tcPr>
            <w:tcW w:w="1537" w:type="dxa"/>
            <w:vAlign w:val="center"/>
          </w:tcPr>
          <w:p w14:paraId="19C94C63">
            <w:pPr>
              <w:autoSpaceDE w:val="0"/>
              <w:autoSpaceDN w:val="0"/>
              <w:adjustRightInd w:val="0"/>
              <w:snapToGrid w:val="0"/>
              <w:jc w:val="center"/>
              <w:rPr>
                <w:bCs/>
                <w:color w:val="auto"/>
                <w:kern w:val="0"/>
                <w:szCs w:val="21"/>
              </w:rPr>
            </w:pPr>
            <w:r>
              <w:rPr>
                <w:rFonts w:hint="eastAsia" w:ascii="宋体" w:hAnsi="宋体" w:cs="宋体"/>
                <w:color w:val="auto"/>
                <w:szCs w:val="21"/>
              </w:rPr>
              <w:t>3.65kg/a</w:t>
            </w:r>
          </w:p>
        </w:tc>
        <w:tc>
          <w:tcPr>
            <w:tcW w:w="1276" w:type="dxa"/>
            <w:vAlign w:val="center"/>
          </w:tcPr>
          <w:p w14:paraId="5A8428BC">
            <w:pPr>
              <w:adjustRightInd w:val="0"/>
              <w:snapToGrid w:val="0"/>
              <w:jc w:val="center"/>
              <w:rPr>
                <w:bCs/>
                <w:snapToGrid w:val="0"/>
                <w:color w:val="auto"/>
                <w:kern w:val="21"/>
                <w:szCs w:val="21"/>
              </w:rPr>
            </w:pPr>
            <w:r>
              <w:rPr>
                <w:rFonts w:hint="eastAsia"/>
                <w:bCs/>
                <w:color w:val="auto"/>
                <w:kern w:val="0"/>
                <w:szCs w:val="21"/>
              </w:rPr>
              <w:t>/</w:t>
            </w:r>
          </w:p>
        </w:tc>
        <w:tc>
          <w:tcPr>
            <w:tcW w:w="1701" w:type="dxa"/>
            <w:vAlign w:val="center"/>
          </w:tcPr>
          <w:p w14:paraId="1B1BAC09">
            <w:pPr>
              <w:adjustRightInd w:val="0"/>
              <w:snapToGrid w:val="0"/>
              <w:jc w:val="center"/>
              <w:rPr>
                <w:bCs/>
                <w:snapToGrid w:val="0"/>
                <w:color w:val="auto"/>
                <w:kern w:val="21"/>
                <w:szCs w:val="21"/>
              </w:rPr>
            </w:pPr>
            <w:r>
              <w:rPr>
                <w:rFonts w:hint="eastAsia"/>
                <w:bCs/>
                <w:color w:val="auto"/>
                <w:kern w:val="0"/>
                <w:szCs w:val="21"/>
              </w:rPr>
              <w:t>/</w:t>
            </w:r>
          </w:p>
        </w:tc>
        <w:tc>
          <w:tcPr>
            <w:tcW w:w="1495" w:type="dxa"/>
            <w:vAlign w:val="center"/>
          </w:tcPr>
          <w:p w14:paraId="0FA392CA">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c>
          <w:tcPr>
            <w:tcW w:w="1825" w:type="dxa"/>
            <w:vAlign w:val="center"/>
          </w:tcPr>
          <w:p w14:paraId="114307BB">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538C5B30">
            <w:pPr>
              <w:pStyle w:val="65"/>
              <w:spacing w:beforeLines="0" w:afterLines="0" w:line="240" w:lineRule="auto"/>
              <w:rPr>
                <w:rFonts w:ascii="Times New Roman"/>
                <w:bCs/>
                <w:color w:val="auto"/>
                <w:szCs w:val="21"/>
              </w:rPr>
            </w:pPr>
            <w:r>
              <w:rPr>
                <w:rFonts w:hint="eastAsia" w:hAnsi="宋体" w:cs="宋体"/>
                <w:color w:val="auto"/>
                <w:szCs w:val="21"/>
              </w:rPr>
              <w:t>3.65kg/a</w:t>
            </w:r>
          </w:p>
        </w:tc>
        <w:tc>
          <w:tcPr>
            <w:tcW w:w="974" w:type="dxa"/>
            <w:vAlign w:val="center"/>
          </w:tcPr>
          <w:p w14:paraId="4A931A80">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r>
      <w:tr w14:paraId="507E7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4686D74B">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3DFE2798">
            <w:pPr>
              <w:autoSpaceDE w:val="0"/>
              <w:autoSpaceDN w:val="0"/>
              <w:adjustRightInd w:val="0"/>
              <w:snapToGrid w:val="0"/>
              <w:jc w:val="center"/>
              <w:rPr>
                <w:bCs/>
                <w:color w:val="auto"/>
                <w:kern w:val="0"/>
                <w:szCs w:val="21"/>
              </w:rPr>
            </w:pPr>
            <w:r>
              <w:rPr>
                <w:rFonts w:hint="eastAsia"/>
                <w:bCs/>
                <w:color w:val="auto"/>
                <w:kern w:val="0"/>
                <w:szCs w:val="21"/>
              </w:rPr>
              <w:t>杨广卫生院</w:t>
            </w:r>
          </w:p>
        </w:tc>
        <w:tc>
          <w:tcPr>
            <w:tcW w:w="873" w:type="dxa"/>
            <w:vAlign w:val="center"/>
          </w:tcPr>
          <w:p w14:paraId="5A41D9C5">
            <w:pPr>
              <w:snapToGrid w:val="0"/>
              <w:jc w:val="center"/>
              <w:rPr>
                <w:bCs/>
                <w:color w:val="auto"/>
                <w:kern w:val="0"/>
                <w:szCs w:val="21"/>
                <w:lang w:val="zh-CN"/>
              </w:rPr>
            </w:pPr>
            <w:r>
              <w:rPr>
                <w:rFonts w:hint="eastAsia" w:ascii="宋体" w:hAnsi="宋体" w:cs="宋体"/>
                <w:snapToGrid w:val="0"/>
                <w:color w:val="auto"/>
                <w:kern w:val="0"/>
                <w:szCs w:val="21"/>
              </w:rPr>
              <w:t>生活垃圾</w:t>
            </w:r>
          </w:p>
        </w:tc>
        <w:tc>
          <w:tcPr>
            <w:tcW w:w="1537" w:type="dxa"/>
            <w:vAlign w:val="center"/>
          </w:tcPr>
          <w:p w14:paraId="2B4C3575">
            <w:pPr>
              <w:autoSpaceDE w:val="0"/>
              <w:autoSpaceDN w:val="0"/>
              <w:adjustRightInd w:val="0"/>
              <w:snapToGrid w:val="0"/>
              <w:jc w:val="center"/>
              <w:rPr>
                <w:bCs/>
                <w:color w:val="auto"/>
                <w:kern w:val="0"/>
                <w:szCs w:val="21"/>
              </w:rPr>
            </w:pPr>
            <w:r>
              <w:rPr>
                <w:rFonts w:hint="eastAsia" w:ascii="宋体" w:hAnsi="宋体" w:cs="宋体"/>
                <w:color w:val="auto"/>
                <w:szCs w:val="21"/>
              </w:rPr>
              <w:t>31.17</w:t>
            </w:r>
            <w:r>
              <w:rPr>
                <w:rFonts w:hint="eastAsia" w:ascii="宋体" w:hAnsi="宋体" w:cs="宋体"/>
                <w:bCs/>
                <w:color w:val="auto"/>
                <w:szCs w:val="21"/>
              </w:rPr>
              <w:t>t/a</w:t>
            </w:r>
          </w:p>
        </w:tc>
        <w:tc>
          <w:tcPr>
            <w:tcW w:w="1276" w:type="dxa"/>
            <w:vAlign w:val="center"/>
          </w:tcPr>
          <w:p w14:paraId="25AB89A5">
            <w:pPr>
              <w:adjustRightInd w:val="0"/>
              <w:snapToGrid w:val="0"/>
              <w:jc w:val="center"/>
              <w:rPr>
                <w:bCs/>
                <w:snapToGrid w:val="0"/>
                <w:color w:val="auto"/>
                <w:kern w:val="21"/>
                <w:szCs w:val="21"/>
              </w:rPr>
            </w:pPr>
            <w:r>
              <w:rPr>
                <w:rFonts w:hint="eastAsia"/>
                <w:bCs/>
                <w:color w:val="auto"/>
                <w:kern w:val="0"/>
                <w:szCs w:val="21"/>
              </w:rPr>
              <w:t>/</w:t>
            </w:r>
          </w:p>
        </w:tc>
        <w:tc>
          <w:tcPr>
            <w:tcW w:w="1701" w:type="dxa"/>
            <w:vAlign w:val="center"/>
          </w:tcPr>
          <w:p w14:paraId="40CC4500">
            <w:pPr>
              <w:adjustRightInd w:val="0"/>
              <w:snapToGrid w:val="0"/>
              <w:jc w:val="center"/>
              <w:rPr>
                <w:bCs/>
                <w:snapToGrid w:val="0"/>
                <w:color w:val="auto"/>
                <w:kern w:val="21"/>
                <w:szCs w:val="21"/>
              </w:rPr>
            </w:pPr>
            <w:r>
              <w:rPr>
                <w:rFonts w:hint="eastAsia"/>
                <w:bCs/>
                <w:color w:val="auto"/>
                <w:kern w:val="0"/>
                <w:szCs w:val="21"/>
              </w:rPr>
              <w:t>/</w:t>
            </w:r>
          </w:p>
        </w:tc>
        <w:tc>
          <w:tcPr>
            <w:tcW w:w="1495" w:type="dxa"/>
            <w:vAlign w:val="center"/>
          </w:tcPr>
          <w:p w14:paraId="777FE478">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5.33</w:t>
            </w:r>
            <w:r>
              <w:rPr>
                <w:rFonts w:ascii="Times New Roman"/>
                <w:bCs/>
                <w:color w:val="auto"/>
                <w:szCs w:val="21"/>
              </w:rPr>
              <w:t>t/a</w:t>
            </w:r>
          </w:p>
        </w:tc>
        <w:tc>
          <w:tcPr>
            <w:tcW w:w="1825" w:type="dxa"/>
            <w:vAlign w:val="center"/>
          </w:tcPr>
          <w:p w14:paraId="006CB6C6">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65AC820D">
            <w:pPr>
              <w:pStyle w:val="65"/>
              <w:spacing w:beforeLines="0" w:afterLines="0" w:line="240" w:lineRule="auto"/>
              <w:rPr>
                <w:rFonts w:ascii="Times New Roman"/>
                <w:bCs/>
                <w:color w:val="auto"/>
                <w:szCs w:val="21"/>
              </w:rPr>
            </w:pPr>
            <w:r>
              <w:rPr>
                <w:rFonts w:hint="eastAsia" w:ascii="Times New Roman"/>
                <w:bCs/>
                <w:color w:val="auto"/>
                <w:szCs w:val="21"/>
              </w:rPr>
              <w:t>36.5</w:t>
            </w:r>
            <w:r>
              <w:rPr>
                <w:rFonts w:ascii="Times New Roman"/>
                <w:bCs/>
                <w:color w:val="auto"/>
                <w:szCs w:val="21"/>
              </w:rPr>
              <w:t>t/a</w:t>
            </w:r>
          </w:p>
        </w:tc>
        <w:tc>
          <w:tcPr>
            <w:tcW w:w="974" w:type="dxa"/>
            <w:vAlign w:val="center"/>
          </w:tcPr>
          <w:p w14:paraId="26060870">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+5.33</w:t>
            </w:r>
            <w:r>
              <w:rPr>
                <w:rFonts w:ascii="Times New Roman"/>
                <w:bCs/>
                <w:color w:val="auto"/>
                <w:szCs w:val="21"/>
              </w:rPr>
              <w:t>t/a</w:t>
            </w:r>
          </w:p>
        </w:tc>
      </w:tr>
      <w:tr w14:paraId="6FF30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1F70276B">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2CA4FAC1">
            <w:pPr>
              <w:autoSpaceDE w:val="0"/>
              <w:autoSpaceDN w:val="0"/>
              <w:adjustRightInd w:val="0"/>
              <w:snapToGrid w:val="0"/>
              <w:jc w:val="center"/>
              <w:rPr>
                <w:bCs/>
                <w:color w:val="auto"/>
                <w:kern w:val="0"/>
                <w:szCs w:val="21"/>
              </w:rPr>
            </w:pPr>
          </w:p>
        </w:tc>
        <w:tc>
          <w:tcPr>
            <w:tcW w:w="873" w:type="dxa"/>
            <w:vAlign w:val="center"/>
          </w:tcPr>
          <w:p w14:paraId="50349182">
            <w:pPr>
              <w:autoSpaceDE w:val="0"/>
              <w:autoSpaceDN w:val="0"/>
              <w:adjustRightInd w:val="0"/>
              <w:snapToGrid w:val="0"/>
              <w:jc w:val="center"/>
              <w:rPr>
                <w:bCs/>
                <w:color w:val="auto"/>
                <w:kern w:val="0"/>
                <w:szCs w:val="21"/>
                <w:lang w:val="zh-CN"/>
              </w:rPr>
            </w:pPr>
            <w:r>
              <w:rPr>
                <w:rFonts w:hint="eastAsia" w:ascii="宋体" w:hAnsi="宋体" w:cs="宋体"/>
                <w:color w:val="auto"/>
                <w:szCs w:val="21"/>
              </w:rPr>
              <w:t>食堂泔水</w:t>
            </w:r>
          </w:p>
        </w:tc>
        <w:tc>
          <w:tcPr>
            <w:tcW w:w="1537" w:type="dxa"/>
            <w:vAlign w:val="center"/>
          </w:tcPr>
          <w:p w14:paraId="0BBF0870">
            <w:pPr>
              <w:autoSpaceDE w:val="0"/>
              <w:autoSpaceDN w:val="0"/>
              <w:adjustRightInd w:val="0"/>
              <w:snapToGrid w:val="0"/>
              <w:jc w:val="center"/>
              <w:rPr>
                <w:bCs/>
                <w:color w:val="auto"/>
                <w:kern w:val="0"/>
                <w:szCs w:val="21"/>
              </w:rPr>
            </w:pPr>
            <w:r>
              <w:rPr>
                <w:rFonts w:hint="eastAsia" w:ascii="宋体" w:hAnsi="宋体" w:cs="宋体"/>
                <w:color w:val="auto"/>
                <w:szCs w:val="21"/>
              </w:rPr>
              <w:t>0.33t/a</w:t>
            </w:r>
          </w:p>
        </w:tc>
        <w:tc>
          <w:tcPr>
            <w:tcW w:w="1276" w:type="dxa"/>
            <w:vAlign w:val="center"/>
          </w:tcPr>
          <w:p w14:paraId="3AB36CDB">
            <w:pPr>
              <w:adjustRightInd w:val="0"/>
              <w:snapToGrid w:val="0"/>
              <w:jc w:val="center"/>
              <w:rPr>
                <w:bCs/>
                <w:snapToGrid w:val="0"/>
                <w:color w:val="auto"/>
                <w:kern w:val="21"/>
                <w:szCs w:val="21"/>
              </w:rPr>
            </w:pPr>
            <w:r>
              <w:rPr>
                <w:rFonts w:hint="eastAsia"/>
                <w:bCs/>
                <w:color w:val="auto"/>
                <w:kern w:val="0"/>
                <w:szCs w:val="21"/>
              </w:rPr>
              <w:t>/</w:t>
            </w:r>
          </w:p>
        </w:tc>
        <w:tc>
          <w:tcPr>
            <w:tcW w:w="1701" w:type="dxa"/>
            <w:vAlign w:val="center"/>
          </w:tcPr>
          <w:p w14:paraId="1063E1EE">
            <w:pPr>
              <w:adjustRightInd w:val="0"/>
              <w:snapToGrid w:val="0"/>
              <w:jc w:val="center"/>
              <w:rPr>
                <w:bCs/>
                <w:snapToGrid w:val="0"/>
                <w:color w:val="auto"/>
                <w:kern w:val="21"/>
                <w:szCs w:val="21"/>
              </w:rPr>
            </w:pPr>
            <w:r>
              <w:rPr>
                <w:rFonts w:hint="eastAsia"/>
                <w:bCs/>
                <w:color w:val="auto"/>
                <w:kern w:val="0"/>
                <w:szCs w:val="21"/>
              </w:rPr>
              <w:t>/</w:t>
            </w:r>
          </w:p>
        </w:tc>
        <w:tc>
          <w:tcPr>
            <w:tcW w:w="1495" w:type="dxa"/>
            <w:vAlign w:val="center"/>
          </w:tcPr>
          <w:p w14:paraId="62DF2F2A">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c>
          <w:tcPr>
            <w:tcW w:w="1825" w:type="dxa"/>
            <w:vAlign w:val="center"/>
          </w:tcPr>
          <w:p w14:paraId="272157F1">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453791CA">
            <w:pPr>
              <w:autoSpaceDE w:val="0"/>
              <w:autoSpaceDN w:val="0"/>
              <w:adjustRightInd w:val="0"/>
              <w:snapToGrid w:val="0"/>
              <w:jc w:val="center"/>
              <w:rPr>
                <w:bCs/>
                <w:color w:val="auto"/>
                <w:szCs w:val="21"/>
              </w:rPr>
            </w:pPr>
            <w:r>
              <w:rPr>
                <w:rFonts w:hint="eastAsia" w:ascii="宋体" w:hAnsi="宋体" w:cs="宋体"/>
                <w:color w:val="auto"/>
                <w:szCs w:val="21"/>
              </w:rPr>
              <w:t>0.33t/a</w:t>
            </w:r>
          </w:p>
        </w:tc>
        <w:tc>
          <w:tcPr>
            <w:tcW w:w="974" w:type="dxa"/>
            <w:vAlign w:val="center"/>
          </w:tcPr>
          <w:p w14:paraId="7FE0D908">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r>
      <w:tr w14:paraId="50CB21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58AAB601">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28153355">
            <w:pPr>
              <w:autoSpaceDE w:val="0"/>
              <w:autoSpaceDN w:val="0"/>
              <w:adjustRightInd w:val="0"/>
              <w:snapToGrid w:val="0"/>
              <w:jc w:val="center"/>
              <w:rPr>
                <w:bCs/>
                <w:color w:val="auto"/>
                <w:kern w:val="0"/>
                <w:szCs w:val="21"/>
              </w:rPr>
            </w:pPr>
          </w:p>
        </w:tc>
        <w:tc>
          <w:tcPr>
            <w:tcW w:w="873" w:type="dxa"/>
            <w:vAlign w:val="center"/>
          </w:tcPr>
          <w:p w14:paraId="505F1E18">
            <w:pPr>
              <w:autoSpaceDE w:val="0"/>
              <w:autoSpaceDN w:val="0"/>
              <w:adjustRightInd w:val="0"/>
              <w:snapToGrid w:val="0"/>
              <w:jc w:val="center"/>
              <w:rPr>
                <w:bCs/>
                <w:color w:val="auto"/>
                <w:kern w:val="0"/>
                <w:szCs w:val="21"/>
                <w:lang w:val="zh-CN"/>
              </w:rPr>
            </w:pPr>
            <w:r>
              <w:rPr>
                <w:rFonts w:hint="eastAsia" w:ascii="宋体" w:hAnsi="宋体" w:cs="宋体"/>
                <w:color w:val="auto"/>
                <w:szCs w:val="21"/>
              </w:rPr>
              <w:t>隔油池废油脂</w:t>
            </w:r>
          </w:p>
        </w:tc>
        <w:tc>
          <w:tcPr>
            <w:tcW w:w="1537" w:type="dxa"/>
            <w:vAlign w:val="center"/>
          </w:tcPr>
          <w:p w14:paraId="6C124CDE">
            <w:pPr>
              <w:autoSpaceDE w:val="0"/>
              <w:autoSpaceDN w:val="0"/>
              <w:adjustRightInd w:val="0"/>
              <w:snapToGrid w:val="0"/>
              <w:jc w:val="center"/>
              <w:rPr>
                <w:bCs/>
                <w:color w:val="auto"/>
                <w:kern w:val="0"/>
                <w:szCs w:val="21"/>
              </w:rPr>
            </w:pPr>
            <w:r>
              <w:rPr>
                <w:rFonts w:hint="eastAsia" w:ascii="宋体" w:hAnsi="宋体" w:cs="宋体"/>
                <w:color w:val="auto"/>
                <w:szCs w:val="21"/>
              </w:rPr>
              <w:t>4.75kg/a</w:t>
            </w:r>
          </w:p>
        </w:tc>
        <w:tc>
          <w:tcPr>
            <w:tcW w:w="1276" w:type="dxa"/>
            <w:vAlign w:val="center"/>
          </w:tcPr>
          <w:p w14:paraId="151BCBCD">
            <w:pPr>
              <w:adjustRightInd w:val="0"/>
              <w:snapToGrid w:val="0"/>
              <w:jc w:val="center"/>
              <w:rPr>
                <w:bCs/>
                <w:snapToGrid w:val="0"/>
                <w:color w:val="auto"/>
                <w:kern w:val="21"/>
                <w:szCs w:val="21"/>
              </w:rPr>
            </w:pPr>
            <w:r>
              <w:rPr>
                <w:rFonts w:hint="eastAsia"/>
                <w:bCs/>
                <w:color w:val="auto"/>
                <w:kern w:val="0"/>
                <w:szCs w:val="21"/>
              </w:rPr>
              <w:t>/</w:t>
            </w:r>
          </w:p>
        </w:tc>
        <w:tc>
          <w:tcPr>
            <w:tcW w:w="1701" w:type="dxa"/>
            <w:vAlign w:val="center"/>
          </w:tcPr>
          <w:p w14:paraId="6666215B">
            <w:pPr>
              <w:adjustRightInd w:val="0"/>
              <w:snapToGrid w:val="0"/>
              <w:jc w:val="center"/>
              <w:rPr>
                <w:bCs/>
                <w:snapToGrid w:val="0"/>
                <w:color w:val="auto"/>
                <w:kern w:val="21"/>
                <w:szCs w:val="21"/>
              </w:rPr>
            </w:pPr>
            <w:r>
              <w:rPr>
                <w:rFonts w:hint="eastAsia"/>
                <w:bCs/>
                <w:color w:val="auto"/>
                <w:kern w:val="0"/>
                <w:szCs w:val="21"/>
              </w:rPr>
              <w:t>/</w:t>
            </w:r>
          </w:p>
        </w:tc>
        <w:tc>
          <w:tcPr>
            <w:tcW w:w="1495" w:type="dxa"/>
            <w:vAlign w:val="center"/>
          </w:tcPr>
          <w:p w14:paraId="771A8E80">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c>
          <w:tcPr>
            <w:tcW w:w="1825" w:type="dxa"/>
            <w:vAlign w:val="center"/>
          </w:tcPr>
          <w:p w14:paraId="50D9BAA9">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4BDAD077">
            <w:pPr>
              <w:autoSpaceDE w:val="0"/>
              <w:autoSpaceDN w:val="0"/>
              <w:adjustRightInd w:val="0"/>
              <w:snapToGrid w:val="0"/>
              <w:jc w:val="center"/>
              <w:rPr>
                <w:bCs/>
                <w:color w:val="auto"/>
                <w:szCs w:val="21"/>
              </w:rPr>
            </w:pPr>
            <w:r>
              <w:rPr>
                <w:rFonts w:hint="eastAsia" w:ascii="宋体" w:hAnsi="宋体" w:cs="宋体"/>
                <w:color w:val="auto"/>
                <w:szCs w:val="21"/>
              </w:rPr>
              <w:t>4.75kg/a</w:t>
            </w:r>
          </w:p>
        </w:tc>
        <w:tc>
          <w:tcPr>
            <w:tcW w:w="974" w:type="dxa"/>
            <w:vAlign w:val="center"/>
          </w:tcPr>
          <w:p w14:paraId="247C54BA">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r>
      <w:tr w14:paraId="1428C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restart"/>
            <w:vAlign w:val="center"/>
          </w:tcPr>
          <w:p w14:paraId="1BDDE669">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危险废物</w:t>
            </w:r>
          </w:p>
        </w:tc>
        <w:tc>
          <w:tcPr>
            <w:tcW w:w="708" w:type="dxa"/>
            <w:vMerge w:val="restart"/>
            <w:vAlign w:val="center"/>
          </w:tcPr>
          <w:p w14:paraId="2ADD118E">
            <w:pPr>
              <w:autoSpaceDE w:val="0"/>
              <w:autoSpaceDN w:val="0"/>
              <w:adjustRightInd w:val="0"/>
              <w:snapToGrid w:val="0"/>
              <w:jc w:val="center"/>
              <w:rPr>
                <w:bCs/>
                <w:color w:val="auto"/>
                <w:kern w:val="0"/>
                <w:szCs w:val="21"/>
              </w:rPr>
            </w:pPr>
            <w:r>
              <w:rPr>
                <w:rFonts w:hint="eastAsia"/>
                <w:bCs/>
                <w:color w:val="auto"/>
                <w:kern w:val="0"/>
                <w:szCs w:val="21"/>
              </w:rPr>
              <w:t>纳古卫生院</w:t>
            </w:r>
          </w:p>
        </w:tc>
        <w:tc>
          <w:tcPr>
            <w:tcW w:w="873" w:type="dxa"/>
            <w:vAlign w:val="center"/>
          </w:tcPr>
          <w:p w14:paraId="7DF72C08">
            <w:pPr>
              <w:autoSpaceDE w:val="0"/>
              <w:autoSpaceDN w:val="0"/>
              <w:adjustRightInd w:val="0"/>
              <w:snapToGrid w:val="0"/>
              <w:jc w:val="center"/>
              <w:rPr>
                <w:bCs/>
                <w:color w:val="auto"/>
                <w:kern w:val="0"/>
                <w:szCs w:val="21"/>
              </w:rPr>
            </w:pPr>
            <w:r>
              <w:rPr>
                <w:rFonts w:hint="eastAsia"/>
                <w:bCs/>
                <w:color w:val="auto"/>
                <w:kern w:val="0"/>
                <w:szCs w:val="21"/>
              </w:rPr>
              <w:t>医疗废物</w:t>
            </w:r>
          </w:p>
        </w:tc>
        <w:tc>
          <w:tcPr>
            <w:tcW w:w="1537" w:type="dxa"/>
            <w:vAlign w:val="center"/>
          </w:tcPr>
          <w:p w14:paraId="0E6118A2">
            <w:pPr>
              <w:adjustRightInd w:val="0"/>
              <w:snapToGrid w:val="0"/>
              <w:jc w:val="center"/>
              <w:rPr>
                <w:bCs/>
                <w:color w:val="auto"/>
                <w:kern w:val="0"/>
                <w:szCs w:val="21"/>
              </w:rPr>
            </w:pPr>
            <w:r>
              <w:rPr>
                <w:rFonts w:hint="eastAsia"/>
                <w:bCs/>
                <w:color w:val="auto"/>
                <w:kern w:val="0"/>
                <w:szCs w:val="21"/>
              </w:rPr>
              <w:t>1.333</w:t>
            </w:r>
            <w:r>
              <w:rPr>
                <w:rFonts w:hint="eastAsia" w:ascii="宋体" w:hAnsi="宋体" w:cs="宋体"/>
                <w:color w:val="auto"/>
                <w:szCs w:val="21"/>
              </w:rPr>
              <w:t>t/a</w:t>
            </w:r>
          </w:p>
        </w:tc>
        <w:tc>
          <w:tcPr>
            <w:tcW w:w="1276" w:type="dxa"/>
            <w:vAlign w:val="center"/>
          </w:tcPr>
          <w:p w14:paraId="3DFABDB8">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574CFE87">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3FCD7435">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6.24t/a</w:t>
            </w:r>
          </w:p>
        </w:tc>
        <w:tc>
          <w:tcPr>
            <w:tcW w:w="1825" w:type="dxa"/>
            <w:vAlign w:val="center"/>
          </w:tcPr>
          <w:p w14:paraId="47EFF610">
            <w:pPr>
              <w:adjustRightInd w:val="0"/>
              <w:snapToGrid w:val="0"/>
              <w:jc w:val="center"/>
              <w:rPr>
                <w:bCs/>
                <w:color w:val="auto"/>
                <w:kern w:val="0"/>
                <w:szCs w:val="21"/>
              </w:rPr>
            </w:pPr>
            <w:r>
              <w:rPr>
                <w:bCs/>
                <w:color w:val="auto"/>
                <w:kern w:val="0"/>
                <w:szCs w:val="21"/>
              </w:rPr>
              <w:t>/</w:t>
            </w:r>
          </w:p>
        </w:tc>
        <w:tc>
          <w:tcPr>
            <w:tcW w:w="1811" w:type="dxa"/>
            <w:vAlign w:val="center"/>
          </w:tcPr>
          <w:p w14:paraId="5BBF915D">
            <w:pPr>
              <w:pStyle w:val="65"/>
              <w:spacing w:beforeLines="0" w:afterLines="0" w:line="240" w:lineRule="auto"/>
              <w:rPr>
                <w:rFonts w:ascii="Times New Roman"/>
                <w:bCs/>
                <w:color w:val="auto"/>
                <w:szCs w:val="21"/>
              </w:rPr>
            </w:pPr>
            <w:r>
              <w:rPr>
                <w:rFonts w:hint="eastAsia" w:ascii="Times New Roman"/>
                <w:bCs/>
                <w:color w:val="auto"/>
                <w:szCs w:val="21"/>
              </w:rPr>
              <w:t>7.573</w:t>
            </w:r>
            <w:r>
              <w:rPr>
                <w:rFonts w:hint="eastAsia" w:hAnsi="宋体" w:cs="宋体"/>
                <w:color w:val="auto"/>
                <w:szCs w:val="21"/>
              </w:rPr>
              <w:t>t</w:t>
            </w:r>
            <w:r>
              <w:rPr>
                <w:rFonts w:ascii="Times New Roman"/>
                <w:bCs/>
                <w:color w:val="auto"/>
                <w:szCs w:val="21"/>
              </w:rPr>
              <w:t>/a</w:t>
            </w:r>
          </w:p>
        </w:tc>
        <w:tc>
          <w:tcPr>
            <w:tcW w:w="974" w:type="dxa"/>
            <w:vAlign w:val="center"/>
          </w:tcPr>
          <w:p w14:paraId="5F38768C">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+6.24t/a</w:t>
            </w:r>
          </w:p>
        </w:tc>
      </w:tr>
      <w:tr w14:paraId="535A4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vAlign w:val="center"/>
          </w:tcPr>
          <w:p w14:paraId="7BD7669B">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11883C87">
            <w:pPr>
              <w:autoSpaceDE w:val="0"/>
              <w:autoSpaceDN w:val="0"/>
              <w:adjustRightInd w:val="0"/>
              <w:snapToGrid w:val="0"/>
              <w:jc w:val="center"/>
              <w:rPr>
                <w:bCs/>
                <w:color w:val="auto"/>
                <w:kern w:val="0"/>
                <w:szCs w:val="21"/>
              </w:rPr>
            </w:pPr>
          </w:p>
        </w:tc>
        <w:tc>
          <w:tcPr>
            <w:tcW w:w="873" w:type="dxa"/>
            <w:vAlign w:val="center"/>
          </w:tcPr>
          <w:p w14:paraId="3286B008">
            <w:pPr>
              <w:autoSpaceDE w:val="0"/>
              <w:autoSpaceDN w:val="0"/>
              <w:adjustRightInd w:val="0"/>
              <w:snapToGrid w:val="0"/>
              <w:jc w:val="center"/>
              <w:rPr>
                <w:bCs/>
                <w:color w:val="auto"/>
                <w:kern w:val="0"/>
                <w:szCs w:val="21"/>
              </w:rPr>
            </w:pPr>
            <w:r>
              <w:rPr>
                <w:rFonts w:hint="eastAsia" w:ascii="宋体" w:hAnsi="宋体" w:cs="宋体"/>
                <w:color w:val="auto"/>
                <w:szCs w:val="21"/>
              </w:rPr>
              <w:t>污泥</w:t>
            </w:r>
          </w:p>
        </w:tc>
        <w:tc>
          <w:tcPr>
            <w:tcW w:w="1537" w:type="dxa"/>
            <w:vAlign w:val="center"/>
          </w:tcPr>
          <w:p w14:paraId="741BE417">
            <w:pPr>
              <w:adjustRightInd w:val="0"/>
              <w:snapToGrid w:val="0"/>
              <w:jc w:val="center"/>
              <w:rPr>
                <w:bCs/>
                <w:color w:val="auto"/>
                <w:kern w:val="0"/>
                <w:szCs w:val="21"/>
              </w:rPr>
            </w:pPr>
            <w:r>
              <w:rPr>
                <w:rFonts w:hint="eastAsia" w:ascii="宋体" w:hAnsi="宋体" w:cs="宋体"/>
                <w:color w:val="auto"/>
                <w:szCs w:val="21"/>
              </w:rPr>
              <w:t>161.11t/a（含水率95%）</w:t>
            </w:r>
          </w:p>
        </w:tc>
        <w:tc>
          <w:tcPr>
            <w:tcW w:w="1276" w:type="dxa"/>
            <w:vAlign w:val="center"/>
          </w:tcPr>
          <w:p w14:paraId="6D0A479B">
            <w:pPr>
              <w:adjustRightInd w:val="0"/>
              <w:snapToGrid w:val="0"/>
              <w:jc w:val="center"/>
              <w:rPr>
                <w:bCs/>
                <w:snapToGrid w:val="0"/>
                <w:color w:val="auto"/>
                <w:kern w:val="21"/>
                <w:szCs w:val="21"/>
              </w:rPr>
            </w:pPr>
            <w:r>
              <w:rPr>
                <w:rFonts w:hint="eastAsia"/>
                <w:bCs/>
                <w:snapToGrid w:val="0"/>
                <w:color w:val="auto"/>
                <w:kern w:val="21"/>
                <w:szCs w:val="21"/>
              </w:rPr>
              <w:t>/</w:t>
            </w:r>
          </w:p>
        </w:tc>
        <w:tc>
          <w:tcPr>
            <w:tcW w:w="1701" w:type="dxa"/>
            <w:vAlign w:val="center"/>
          </w:tcPr>
          <w:p w14:paraId="3E69EBE3">
            <w:pPr>
              <w:adjustRightInd w:val="0"/>
              <w:snapToGrid w:val="0"/>
              <w:jc w:val="center"/>
              <w:rPr>
                <w:bCs/>
                <w:snapToGrid w:val="0"/>
                <w:color w:val="auto"/>
                <w:kern w:val="21"/>
                <w:szCs w:val="21"/>
              </w:rPr>
            </w:pPr>
            <w:r>
              <w:rPr>
                <w:rFonts w:hint="eastAsia"/>
                <w:bCs/>
                <w:snapToGrid w:val="0"/>
                <w:color w:val="auto"/>
                <w:kern w:val="21"/>
                <w:szCs w:val="21"/>
              </w:rPr>
              <w:t>/</w:t>
            </w:r>
          </w:p>
        </w:tc>
        <w:tc>
          <w:tcPr>
            <w:tcW w:w="1495" w:type="dxa"/>
            <w:vAlign w:val="center"/>
          </w:tcPr>
          <w:p w14:paraId="008B3092">
            <w:pPr>
              <w:pStyle w:val="65"/>
              <w:spacing w:beforeLines="0" w:afterLines="0" w:line="240" w:lineRule="auto"/>
              <w:rPr>
                <w:rFonts w:ascii="Times New Roman"/>
                <w:bCs/>
                <w:color w:val="auto"/>
                <w:szCs w:val="21"/>
              </w:rPr>
            </w:pPr>
            <w:r>
              <w:rPr>
                <w:rFonts w:hint="eastAsia" w:ascii="Times New Roman"/>
                <w:bCs/>
                <w:color w:val="auto"/>
                <w:szCs w:val="21"/>
              </w:rPr>
              <w:t>63.51</w:t>
            </w:r>
            <w:r>
              <w:rPr>
                <w:rFonts w:hint="eastAsia" w:ascii="Times New Roman"/>
                <w:bCs/>
                <w:snapToGrid w:val="0"/>
                <w:color w:val="auto"/>
                <w:kern w:val="21"/>
                <w:szCs w:val="21"/>
              </w:rPr>
              <w:t>t/a</w:t>
            </w:r>
            <w:r>
              <w:rPr>
                <w:rFonts w:hint="eastAsia" w:hAnsi="宋体" w:cs="宋体"/>
                <w:color w:val="auto"/>
                <w:szCs w:val="21"/>
              </w:rPr>
              <w:t>（含水率95%）</w:t>
            </w:r>
          </w:p>
        </w:tc>
        <w:tc>
          <w:tcPr>
            <w:tcW w:w="1825" w:type="dxa"/>
            <w:vAlign w:val="center"/>
          </w:tcPr>
          <w:p w14:paraId="76D300FD">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17D9F3B5">
            <w:pPr>
              <w:pStyle w:val="65"/>
              <w:spacing w:beforeLines="0" w:afterLines="0" w:line="240" w:lineRule="auto"/>
              <w:rPr>
                <w:rFonts w:ascii="Times New Roman"/>
                <w:bCs/>
                <w:color w:val="auto"/>
                <w:szCs w:val="21"/>
              </w:rPr>
            </w:pPr>
            <w:r>
              <w:rPr>
                <w:rFonts w:hint="eastAsia" w:ascii="Times New Roman"/>
                <w:bCs/>
                <w:color w:val="auto"/>
                <w:szCs w:val="21"/>
              </w:rPr>
              <w:t>224.62</w:t>
            </w:r>
            <w:r>
              <w:rPr>
                <w:rFonts w:ascii="Times New Roman"/>
                <w:bCs/>
                <w:color w:val="auto"/>
                <w:szCs w:val="21"/>
              </w:rPr>
              <w:t>t/a</w:t>
            </w:r>
            <w:r>
              <w:rPr>
                <w:rFonts w:hint="eastAsia" w:hAnsi="宋体" w:cs="宋体"/>
                <w:color w:val="auto"/>
                <w:szCs w:val="21"/>
              </w:rPr>
              <w:t>（含水率95%）</w:t>
            </w:r>
          </w:p>
        </w:tc>
        <w:tc>
          <w:tcPr>
            <w:tcW w:w="974" w:type="dxa"/>
            <w:vAlign w:val="center"/>
          </w:tcPr>
          <w:p w14:paraId="1F672745">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63.51</w:t>
            </w:r>
            <w:r>
              <w:rPr>
                <w:rFonts w:hint="eastAsia" w:ascii="Times New Roman"/>
                <w:bCs/>
                <w:snapToGrid w:val="0"/>
                <w:color w:val="auto"/>
                <w:kern w:val="21"/>
                <w:szCs w:val="21"/>
              </w:rPr>
              <w:t>t/a</w:t>
            </w:r>
            <w:r>
              <w:rPr>
                <w:rFonts w:hint="eastAsia" w:hAnsi="宋体" w:cs="宋体"/>
                <w:color w:val="auto"/>
                <w:szCs w:val="21"/>
              </w:rPr>
              <w:t>（含水率95%）</w:t>
            </w:r>
          </w:p>
        </w:tc>
      </w:tr>
      <w:tr w14:paraId="20C24A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vAlign w:val="center"/>
          </w:tcPr>
          <w:p w14:paraId="4906AD2C">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202E5A09">
            <w:pPr>
              <w:autoSpaceDE w:val="0"/>
              <w:autoSpaceDN w:val="0"/>
              <w:adjustRightInd w:val="0"/>
              <w:snapToGrid w:val="0"/>
              <w:rPr>
                <w:bCs/>
                <w:color w:val="auto"/>
                <w:kern w:val="0"/>
                <w:szCs w:val="21"/>
              </w:rPr>
            </w:pPr>
            <w:r>
              <w:rPr>
                <w:rFonts w:hint="eastAsia"/>
                <w:bCs/>
                <w:color w:val="auto"/>
                <w:kern w:val="0"/>
                <w:szCs w:val="21"/>
              </w:rPr>
              <w:t>四街卫生院</w:t>
            </w:r>
          </w:p>
        </w:tc>
        <w:tc>
          <w:tcPr>
            <w:tcW w:w="873" w:type="dxa"/>
            <w:vAlign w:val="center"/>
          </w:tcPr>
          <w:p w14:paraId="2D40D813">
            <w:pPr>
              <w:autoSpaceDE w:val="0"/>
              <w:autoSpaceDN w:val="0"/>
              <w:adjustRightInd w:val="0"/>
              <w:snapToGrid w:val="0"/>
              <w:jc w:val="center"/>
              <w:rPr>
                <w:bCs/>
                <w:color w:val="auto"/>
                <w:kern w:val="0"/>
                <w:szCs w:val="21"/>
                <w:lang w:val="zh-CN"/>
              </w:rPr>
            </w:pPr>
            <w:r>
              <w:rPr>
                <w:rFonts w:hint="eastAsia"/>
                <w:bCs/>
                <w:color w:val="auto"/>
                <w:kern w:val="0"/>
                <w:szCs w:val="21"/>
              </w:rPr>
              <w:t>医疗废物</w:t>
            </w:r>
          </w:p>
        </w:tc>
        <w:tc>
          <w:tcPr>
            <w:tcW w:w="1537" w:type="dxa"/>
            <w:vAlign w:val="center"/>
          </w:tcPr>
          <w:p w14:paraId="2BAE0B59">
            <w:pPr>
              <w:adjustRightInd w:val="0"/>
              <w:snapToGrid w:val="0"/>
              <w:jc w:val="center"/>
              <w:rPr>
                <w:bCs/>
                <w:color w:val="auto"/>
                <w:kern w:val="0"/>
                <w:szCs w:val="21"/>
              </w:rPr>
            </w:pPr>
            <w:r>
              <w:rPr>
                <w:rFonts w:hint="eastAsia" w:ascii="宋体" w:hAnsi="宋体" w:cs="宋体"/>
                <w:color w:val="auto"/>
                <w:szCs w:val="21"/>
              </w:rPr>
              <w:t>4.149t/a</w:t>
            </w:r>
          </w:p>
        </w:tc>
        <w:tc>
          <w:tcPr>
            <w:tcW w:w="1276" w:type="dxa"/>
            <w:vAlign w:val="center"/>
          </w:tcPr>
          <w:p w14:paraId="4EF622E2">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53A511DD">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7EAB3C59">
            <w:pPr>
              <w:pStyle w:val="65"/>
              <w:spacing w:beforeLines="0" w:afterLines="0" w:line="240" w:lineRule="auto"/>
              <w:rPr>
                <w:rFonts w:ascii="Times New Roman"/>
                <w:bCs/>
                <w:color w:val="auto"/>
                <w:szCs w:val="21"/>
              </w:rPr>
            </w:pPr>
            <w:r>
              <w:rPr>
                <w:rFonts w:hint="eastAsia" w:ascii="Times New Roman"/>
                <w:bCs/>
                <w:color w:val="auto"/>
                <w:szCs w:val="21"/>
              </w:rPr>
              <w:t>6.15</w:t>
            </w:r>
            <w:r>
              <w:rPr>
                <w:rFonts w:hint="eastAsia" w:ascii="Times New Roman"/>
                <w:bCs/>
                <w:snapToGrid w:val="0"/>
                <w:color w:val="auto"/>
                <w:kern w:val="21"/>
                <w:szCs w:val="21"/>
              </w:rPr>
              <w:t>t/a</w:t>
            </w:r>
          </w:p>
        </w:tc>
        <w:tc>
          <w:tcPr>
            <w:tcW w:w="1825" w:type="dxa"/>
            <w:vAlign w:val="center"/>
          </w:tcPr>
          <w:p w14:paraId="0A372636">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00C18D1C">
            <w:pPr>
              <w:pStyle w:val="65"/>
              <w:spacing w:beforeLines="0" w:afterLines="0" w:line="240" w:lineRule="auto"/>
              <w:rPr>
                <w:rFonts w:ascii="Times New Roman"/>
                <w:bCs/>
                <w:color w:val="auto"/>
                <w:szCs w:val="21"/>
              </w:rPr>
            </w:pPr>
            <w:r>
              <w:rPr>
                <w:rFonts w:hint="eastAsia" w:ascii="Times New Roman"/>
                <w:bCs/>
                <w:color w:val="auto"/>
                <w:szCs w:val="21"/>
              </w:rPr>
              <w:t>10.299</w:t>
            </w:r>
            <w:r>
              <w:rPr>
                <w:rFonts w:ascii="Times New Roman"/>
                <w:bCs/>
                <w:color w:val="auto"/>
                <w:szCs w:val="21"/>
              </w:rPr>
              <w:t>t/a</w:t>
            </w:r>
          </w:p>
        </w:tc>
        <w:tc>
          <w:tcPr>
            <w:tcW w:w="974" w:type="dxa"/>
            <w:vAlign w:val="center"/>
          </w:tcPr>
          <w:p w14:paraId="1C4F1416">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+6.15t/a</w:t>
            </w:r>
          </w:p>
        </w:tc>
      </w:tr>
      <w:tr w14:paraId="6208A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continue"/>
            <w:vAlign w:val="center"/>
          </w:tcPr>
          <w:p w14:paraId="58A5E420">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6F2D9466">
            <w:pPr>
              <w:autoSpaceDE w:val="0"/>
              <w:autoSpaceDN w:val="0"/>
              <w:adjustRightInd w:val="0"/>
              <w:snapToGrid w:val="0"/>
              <w:rPr>
                <w:bCs/>
                <w:color w:val="auto"/>
                <w:kern w:val="0"/>
                <w:szCs w:val="21"/>
              </w:rPr>
            </w:pPr>
          </w:p>
        </w:tc>
        <w:tc>
          <w:tcPr>
            <w:tcW w:w="873" w:type="dxa"/>
            <w:vAlign w:val="center"/>
          </w:tcPr>
          <w:p w14:paraId="42A2FD73">
            <w:pPr>
              <w:autoSpaceDE w:val="0"/>
              <w:autoSpaceDN w:val="0"/>
              <w:adjustRightInd w:val="0"/>
              <w:snapToGrid w:val="0"/>
              <w:jc w:val="center"/>
              <w:rPr>
                <w:bCs/>
                <w:color w:val="auto"/>
                <w:kern w:val="0"/>
                <w:szCs w:val="21"/>
                <w:lang w:val="zh-CN"/>
              </w:rPr>
            </w:pPr>
            <w:r>
              <w:rPr>
                <w:rFonts w:hint="eastAsia" w:ascii="宋体" w:hAnsi="宋体" w:cs="宋体"/>
                <w:color w:val="auto"/>
                <w:szCs w:val="21"/>
              </w:rPr>
              <w:t>污泥</w:t>
            </w:r>
          </w:p>
        </w:tc>
        <w:tc>
          <w:tcPr>
            <w:tcW w:w="1537" w:type="dxa"/>
            <w:vAlign w:val="center"/>
          </w:tcPr>
          <w:p w14:paraId="01E1E9F1">
            <w:pPr>
              <w:adjustRightInd w:val="0"/>
              <w:snapToGrid w:val="0"/>
              <w:jc w:val="center"/>
              <w:rPr>
                <w:bCs/>
                <w:color w:val="auto"/>
                <w:kern w:val="0"/>
                <w:szCs w:val="21"/>
              </w:rPr>
            </w:pPr>
            <w:r>
              <w:rPr>
                <w:rFonts w:hint="eastAsia" w:ascii="宋体" w:hAnsi="宋体" w:cs="宋体"/>
                <w:color w:val="auto"/>
                <w:szCs w:val="21"/>
              </w:rPr>
              <w:t>259.15t/a（含水率95%）</w:t>
            </w:r>
          </w:p>
        </w:tc>
        <w:tc>
          <w:tcPr>
            <w:tcW w:w="1276" w:type="dxa"/>
            <w:vAlign w:val="center"/>
          </w:tcPr>
          <w:p w14:paraId="52D868C3">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5337F31B">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247643BA">
            <w:pPr>
              <w:pStyle w:val="65"/>
              <w:spacing w:beforeLines="0" w:afterLines="0" w:line="240" w:lineRule="auto"/>
              <w:rPr>
                <w:rFonts w:ascii="Times New Roman"/>
                <w:bCs/>
                <w:color w:val="auto"/>
                <w:szCs w:val="21"/>
              </w:rPr>
            </w:pPr>
            <w:r>
              <w:rPr>
                <w:rFonts w:hint="eastAsia" w:ascii="Times New Roman"/>
                <w:bCs/>
                <w:color w:val="auto"/>
                <w:szCs w:val="21"/>
              </w:rPr>
              <w:t>129.21</w:t>
            </w:r>
            <w:r>
              <w:rPr>
                <w:rFonts w:hint="eastAsia" w:ascii="Times New Roman"/>
                <w:bCs/>
                <w:snapToGrid w:val="0"/>
                <w:color w:val="auto"/>
                <w:kern w:val="21"/>
                <w:szCs w:val="21"/>
              </w:rPr>
              <w:t>t/a</w:t>
            </w:r>
            <w:r>
              <w:rPr>
                <w:rFonts w:hint="eastAsia" w:hAnsi="宋体" w:cs="宋体"/>
                <w:color w:val="auto"/>
                <w:szCs w:val="21"/>
              </w:rPr>
              <w:t>（含水率95%）</w:t>
            </w:r>
          </w:p>
        </w:tc>
        <w:tc>
          <w:tcPr>
            <w:tcW w:w="1825" w:type="dxa"/>
            <w:vAlign w:val="center"/>
          </w:tcPr>
          <w:p w14:paraId="68110624">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70258F88">
            <w:pPr>
              <w:pStyle w:val="65"/>
              <w:spacing w:beforeLines="0" w:afterLines="0" w:line="240" w:lineRule="auto"/>
              <w:rPr>
                <w:rFonts w:ascii="Times New Roman"/>
                <w:bCs/>
                <w:color w:val="auto"/>
                <w:szCs w:val="21"/>
              </w:rPr>
            </w:pPr>
            <w:r>
              <w:rPr>
                <w:rFonts w:hint="eastAsia" w:ascii="Times New Roman"/>
                <w:bCs/>
                <w:color w:val="auto"/>
                <w:szCs w:val="21"/>
              </w:rPr>
              <w:t>388.36</w:t>
            </w:r>
            <w:r>
              <w:rPr>
                <w:rFonts w:ascii="Times New Roman"/>
                <w:bCs/>
                <w:color w:val="auto"/>
                <w:szCs w:val="21"/>
              </w:rPr>
              <w:t>t/a</w:t>
            </w:r>
            <w:r>
              <w:rPr>
                <w:rFonts w:hint="eastAsia" w:hAnsi="宋体" w:cs="宋体"/>
                <w:color w:val="auto"/>
                <w:szCs w:val="21"/>
              </w:rPr>
              <w:t>（含水率95%）</w:t>
            </w:r>
          </w:p>
        </w:tc>
        <w:tc>
          <w:tcPr>
            <w:tcW w:w="974" w:type="dxa"/>
            <w:vAlign w:val="center"/>
          </w:tcPr>
          <w:p w14:paraId="6C00494B">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129.21</w:t>
            </w:r>
            <w:r>
              <w:rPr>
                <w:rFonts w:hint="eastAsia" w:ascii="Times New Roman"/>
                <w:bCs/>
                <w:snapToGrid w:val="0"/>
                <w:color w:val="auto"/>
                <w:kern w:val="21"/>
                <w:szCs w:val="21"/>
              </w:rPr>
              <w:t>t/a</w:t>
            </w:r>
            <w:r>
              <w:rPr>
                <w:rFonts w:hint="eastAsia" w:hAnsi="宋体" w:cs="宋体"/>
                <w:color w:val="auto"/>
                <w:szCs w:val="21"/>
              </w:rPr>
              <w:t>（含水率95%）</w:t>
            </w:r>
          </w:p>
        </w:tc>
      </w:tr>
      <w:tr w14:paraId="2A4D5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14:paraId="0169B1F2">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4EDC53E6">
            <w:pPr>
              <w:autoSpaceDE w:val="0"/>
              <w:autoSpaceDN w:val="0"/>
              <w:adjustRightInd w:val="0"/>
              <w:snapToGrid w:val="0"/>
              <w:rPr>
                <w:bCs/>
                <w:color w:val="auto"/>
                <w:kern w:val="0"/>
                <w:szCs w:val="21"/>
              </w:rPr>
            </w:pPr>
            <w:r>
              <w:rPr>
                <w:rFonts w:hint="eastAsia"/>
                <w:bCs/>
                <w:color w:val="auto"/>
                <w:kern w:val="0"/>
                <w:szCs w:val="21"/>
              </w:rPr>
              <w:t>九龙卫生院</w:t>
            </w:r>
          </w:p>
        </w:tc>
        <w:tc>
          <w:tcPr>
            <w:tcW w:w="873" w:type="dxa"/>
            <w:vAlign w:val="center"/>
          </w:tcPr>
          <w:p w14:paraId="758B873A">
            <w:pPr>
              <w:snapToGrid w:val="0"/>
              <w:jc w:val="center"/>
              <w:rPr>
                <w:rFonts w:hint="eastAsia" w:ascii="宋体" w:hAnsi="宋体" w:cs="宋体"/>
                <w:color w:val="auto"/>
                <w:szCs w:val="21"/>
              </w:rPr>
            </w:pPr>
            <w:r>
              <w:rPr>
                <w:rFonts w:hint="eastAsia" w:ascii="宋体" w:hAnsi="宋体" w:cs="宋体"/>
                <w:snapToGrid w:val="0"/>
                <w:color w:val="auto"/>
                <w:kern w:val="0"/>
                <w:szCs w:val="21"/>
              </w:rPr>
              <w:t>医疗废物</w:t>
            </w:r>
          </w:p>
        </w:tc>
        <w:tc>
          <w:tcPr>
            <w:tcW w:w="1537" w:type="dxa"/>
            <w:vAlign w:val="center"/>
          </w:tcPr>
          <w:p w14:paraId="04CFBE3A">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3.504t/a</w:t>
            </w:r>
          </w:p>
        </w:tc>
        <w:tc>
          <w:tcPr>
            <w:tcW w:w="1276" w:type="dxa"/>
            <w:vAlign w:val="center"/>
          </w:tcPr>
          <w:p w14:paraId="30C157D1">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0452AEDE">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730B2821">
            <w:pPr>
              <w:pStyle w:val="65"/>
              <w:spacing w:beforeLines="0" w:afterLines="0" w:line="240" w:lineRule="auto"/>
              <w:rPr>
                <w:rFonts w:ascii="Times New Roman"/>
                <w:bCs/>
                <w:color w:val="auto"/>
                <w:szCs w:val="21"/>
              </w:rPr>
            </w:pPr>
            <w:r>
              <w:rPr>
                <w:rFonts w:hint="eastAsia" w:ascii="Times New Roman"/>
                <w:bCs/>
                <w:color w:val="auto"/>
                <w:szCs w:val="21"/>
              </w:rPr>
              <w:t>6.56</w:t>
            </w:r>
            <w:r>
              <w:rPr>
                <w:rFonts w:hint="eastAsia" w:ascii="Times New Roman"/>
                <w:bCs/>
                <w:snapToGrid w:val="0"/>
                <w:color w:val="auto"/>
                <w:kern w:val="21"/>
                <w:szCs w:val="21"/>
              </w:rPr>
              <w:t>t/a</w:t>
            </w:r>
          </w:p>
        </w:tc>
        <w:tc>
          <w:tcPr>
            <w:tcW w:w="1825" w:type="dxa"/>
            <w:vAlign w:val="center"/>
          </w:tcPr>
          <w:p w14:paraId="0E0F5DA5">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7E884CE4">
            <w:pPr>
              <w:pStyle w:val="65"/>
              <w:spacing w:beforeLines="0" w:afterLines="0" w:line="240" w:lineRule="auto"/>
              <w:rPr>
                <w:rFonts w:ascii="Times New Roman"/>
                <w:bCs/>
                <w:color w:val="auto"/>
                <w:szCs w:val="21"/>
              </w:rPr>
            </w:pPr>
            <w:r>
              <w:rPr>
                <w:rFonts w:hint="eastAsia" w:ascii="Times New Roman"/>
                <w:bCs/>
                <w:color w:val="auto"/>
                <w:szCs w:val="21"/>
              </w:rPr>
              <w:t>10.064</w:t>
            </w:r>
            <w:r>
              <w:rPr>
                <w:rFonts w:hint="eastAsia" w:ascii="Times New Roman"/>
                <w:bCs/>
                <w:snapToGrid w:val="0"/>
                <w:color w:val="auto"/>
                <w:kern w:val="21"/>
                <w:szCs w:val="21"/>
              </w:rPr>
              <w:t>t/a</w:t>
            </w:r>
          </w:p>
        </w:tc>
        <w:tc>
          <w:tcPr>
            <w:tcW w:w="974" w:type="dxa"/>
            <w:vAlign w:val="center"/>
          </w:tcPr>
          <w:p w14:paraId="4DFAD1BF">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6.56</w:t>
            </w:r>
            <w:r>
              <w:rPr>
                <w:rFonts w:hint="eastAsia" w:ascii="Times New Roman"/>
                <w:bCs/>
                <w:snapToGrid w:val="0"/>
                <w:color w:val="auto"/>
                <w:kern w:val="21"/>
                <w:szCs w:val="21"/>
              </w:rPr>
              <w:t>t/a</w:t>
            </w:r>
          </w:p>
        </w:tc>
      </w:tr>
      <w:tr w14:paraId="45B20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vAlign w:val="center"/>
          </w:tcPr>
          <w:p w14:paraId="74FEA042">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6756FF88">
            <w:pPr>
              <w:autoSpaceDE w:val="0"/>
              <w:autoSpaceDN w:val="0"/>
              <w:adjustRightInd w:val="0"/>
              <w:snapToGrid w:val="0"/>
              <w:rPr>
                <w:bCs/>
                <w:color w:val="auto"/>
                <w:kern w:val="0"/>
                <w:szCs w:val="21"/>
              </w:rPr>
            </w:pPr>
          </w:p>
        </w:tc>
        <w:tc>
          <w:tcPr>
            <w:tcW w:w="873" w:type="dxa"/>
            <w:vAlign w:val="center"/>
          </w:tcPr>
          <w:p w14:paraId="0F95F27B">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1537" w:type="dxa"/>
            <w:vAlign w:val="center"/>
          </w:tcPr>
          <w:p w14:paraId="068405A5">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289t/a（含水率95%）</w:t>
            </w:r>
          </w:p>
        </w:tc>
        <w:tc>
          <w:tcPr>
            <w:tcW w:w="1276" w:type="dxa"/>
            <w:vAlign w:val="center"/>
          </w:tcPr>
          <w:p w14:paraId="11D93DD2">
            <w:pPr>
              <w:adjustRightInd w:val="0"/>
              <w:snapToGrid w:val="0"/>
              <w:jc w:val="center"/>
              <w:rPr>
                <w:bCs/>
                <w:snapToGrid w:val="0"/>
                <w:color w:val="auto"/>
                <w:kern w:val="21"/>
                <w:szCs w:val="21"/>
              </w:rPr>
            </w:pPr>
            <w:r>
              <w:rPr>
                <w:rFonts w:hint="eastAsia"/>
                <w:bCs/>
                <w:snapToGrid w:val="0"/>
                <w:color w:val="auto"/>
                <w:kern w:val="21"/>
                <w:szCs w:val="21"/>
              </w:rPr>
              <w:t>/</w:t>
            </w:r>
          </w:p>
        </w:tc>
        <w:tc>
          <w:tcPr>
            <w:tcW w:w="1701" w:type="dxa"/>
            <w:vAlign w:val="center"/>
          </w:tcPr>
          <w:p w14:paraId="56256194">
            <w:pPr>
              <w:adjustRightInd w:val="0"/>
              <w:snapToGrid w:val="0"/>
              <w:jc w:val="center"/>
              <w:rPr>
                <w:bCs/>
                <w:snapToGrid w:val="0"/>
                <w:color w:val="auto"/>
                <w:kern w:val="21"/>
                <w:szCs w:val="21"/>
              </w:rPr>
            </w:pPr>
            <w:r>
              <w:rPr>
                <w:rFonts w:hint="eastAsia"/>
                <w:bCs/>
                <w:snapToGrid w:val="0"/>
                <w:color w:val="auto"/>
                <w:kern w:val="21"/>
                <w:szCs w:val="21"/>
              </w:rPr>
              <w:t>/</w:t>
            </w:r>
          </w:p>
        </w:tc>
        <w:tc>
          <w:tcPr>
            <w:tcW w:w="1495" w:type="dxa"/>
            <w:vAlign w:val="center"/>
          </w:tcPr>
          <w:p w14:paraId="731D3EC2">
            <w:pPr>
              <w:pStyle w:val="65"/>
              <w:spacing w:beforeLines="0" w:afterLines="0" w:line="240" w:lineRule="auto"/>
              <w:rPr>
                <w:rFonts w:ascii="Times New Roman"/>
                <w:bCs/>
                <w:color w:val="auto"/>
                <w:szCs w:val="21"/>
              </w:rPr>
            </w:pPr>
            <w:r>
              <w:rPr>
                <w:rFonts w:hint="eastAsia" w:ascii="Times New Roman"/>
                <w:bCs/>
                <w:color w:val="auto"/>
                <w:szCs w:val="21"/>
              </w:rPr>
              <w:t>131.91</w:t>
            </w:r>
            <w:r>
              <w:rPr>
                <w:rFonts w:ascii="Times New Roman"/>
                <w:bCs/>
                <w:color w:val="auto"/>
                <w:szCs w:val="21"/>
              </w:rPr>
              <w:t>t/a</w:t>
            </w:r>
            <w:r>
              <w:rPr>
                <w:rFonts w:hint="eastAsia" w:hAnsi="宋体" w:cs="宋体"/>
                <w:color w:val="auto"/>
                <w:szCs w:val="21"/>
              </w:rPr>
              <w:t>（含水率95%）</w:t>
            </w:r>
          </w:p>
        </w:tc>
        <w:tc>
          <w:tcPr>
            <w:tcW w:w="1825" w:type="dxa"/>
            <w:vAlign w:val="center"/>
          </w:tcPr>
          <w:p w14:paraId="43FD8A11">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70A69619">
            <w:pPr>
              <w:pStyle w:val="65"/>
              <w:spacing w:beforeLines="0" w:afterLines="0" w:line="240" w:lineRule="auto"/>
              <w:rPr>
                <w:rFonts w:ascii="Times New Roman"/>
                <w:bCs/>
                <w:color w:val="auto"/>
                <w:szCs w:val="21"/>
              </w:rPr>
            </w:pPr>
            <w:r>
              <w:rPr>
                <w:rFonts w:hint="eastAsia" w:ascii="Times New Roman"/>
                <w:bCs/>
                <w:color w:val="auto"/>
                <w:szCs w:val="21"/>
              </w:rPr>
              <w:t>420.91</w:t>
            </w:r>
            <w:r>
              <w:rPr>
                <w:rFonts w:ascii="Times New Roman"/>
                <w:bCs/>
                <w:color w:val="auto"/>
                <w:szCs w:val="21"/>
              </w:rPr>
              <w:t>t/a</w:t>
            </w:r>
            <w:r>
              <w:rPr>
                <w:rFonts w:hint="eastAsia" w:hAnsi="宋体" w:cs="宋体"/>
                <w:color w:val="auto"/>
                <w:szCs w:val="21"/>
              </w:rPr>
              <w:t>（含水率95%）</w:t>
            </w:r>
          </w:p>
        </w:tc>
        <w:tc>
          <w:tcPr>
            <w:tcW w:w="974" w:type="dxa"/>
            <w:vAlign w:val="center"/>
          </w:tcPr>
          <w:p w14:paraId="41D93AD0">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131.91</w:t>
            </w:r>
            <w:r>
              <w:rPr>
                <w:rFonts w:ascii="Times New Roman"/>
                <w:bCs/>
                <w:color w:val="auto"/>
                <w:szCs w:val="21"/>
              </w:rPr>
              <w:t>t/a</w:t>
            </w:r>
            <w:r>
              <w:rPr>
                <w:rFonts w:hint="eastAsia" w:hAnsi="宋体" w:cs="宋体"/>
                <w:color w:val="auto"/>
                <w:szCs w:val="21"/>
              </w:rPr>
              <w:t>（含水率95%）</w:t>
            </w:r>
          </w:p>
        </w:tc>
      </w:tr>
      <w:tr w14:paraId="3E196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vAlign w:val="center"/>
          </w:tcPr>
          <w:p w14:paraId="5B0DA98A">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362DF31E">
            <w:pPr>
              <w:autoSpaceDE w:val="0"/>
              <w:autoSpaceDN w:val="0"/>
              <w:adjustRightInd w:val="0"/>
              <w:snapToGrid w:val="0"/>
              <w:rPr>
                <w:bCs/>
                <w:color w:val="auto"/>
                <w:kern w:val="0"/>
                <w:szCs w:val="21"/>
              </w:rPr>
            </w:pPr>
            <w:r>
              <w:rPr>
                <w:rFonts w:hint="eastAsia"/>
                <w:bCs/>
                <w:color w:val="auto"/>
                <w:kern w:val="0"/>
                <w:szCs w:val="21"/>
              </w:rPr>
              <w:t>杨广卫生院</w:t>
            </w:r>
          </w:p>
        </w:tc>
        <w:tc>
          <w:tcPr>
            <w:tcW w:w="873" w:type="dxa"/>
            <w:vAlign w:val="center"/>
          </w:tcPr>
          <w:p w14:paraId="1BD49387">
            <w:pPr>
              <w:snapToGrid w:val="0"/>
              <w:jc w:val="center"/>
              <w:rPr>
                <w:rFonts w:hint="eastAsia" w:ascii="宋体" w:hAnsi="宋体" w:cs="宋体"/>
                <w:color w:val="auto"/>
                <w:szCs w:val="21"/>
              </w:rPr>
            </w:pPr>
            <w:r>
              <w:rPr>
                <w:rFonts w:hint="eastAsia" w:ascii="宋体" w:hAnsi="宋体" w:cs="宋体"/>
                <w:snapToGrid w:val="0"/>
                <w:color w:val="auto"/>
                <w:kern w:val="0"/>
                <w:szCs w:val="21"/>
              </w:rPr>
              <w:t>医疗废物</w:t>
            </w:r>
          </w:p>
        </w:tc>
        <w:tc>
          <w:tcPr>
            <w:tcW w:w="1537" w:type="dxa"/>
            <w:vAlign w:val="center"/>
          </w:tcPr>
          <w:p w14:paraId="452C5C6A">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6.233t/a</w:t>
            </w:r>
          </w:p>
        </w:tc>
        <w:tc>
          <w:tcPr>
            <w:tcW w:w="1276" w:type="dxa"/>
            <w:vAlign w:val="center"/>
          </w:tcPr>
          <w:p w14:paraId="51E21517">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694FF13D">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3AE6A1DA">
            <w:pPr>
              <w:pStyle w:val="65"/>
              <w:spacing w:beforeLines="0" w:afterLines="0" w:line="240" w:lineRule="auto"/>
              <w:rPr>
                <w:rFonts w:ascii="Times New Roman"/>
                <w:bCs/>
                <w:color w:val="auto"/>
                <w:szCs w:val="21"/>
              </w:rPr>
            </w:pPr>
            <w:r>
              <w:rPr>
                <w:rFonts w:hint="eastAsia" w:ascii="Times New Roman"/>
                <w:bCs/>
                <w:color w:val="auto"/>
                <w:szCs w:val="21"/>
              </w:rPr>
              <w:t>4.34</w:t>
            </w:r>
            <w:r>
              <w:rPr>
                <w:rFonts w:hint="eastAsia" w:hAnsi="宋体" w:cs="宋体"/>
                <w:color w:val="auto"/>
                <w:kern w:val="2"/>
                <w:szCs w:val="21"/>
              </w:rPr>
              <w:t>t/a</w:t>
            </w:r>
          </w:p>
        </w:tc>
        <w:tc>
          <w:tcPr>
            <w:tcW w:w="1825" w:type="dxa"/>
            <w:vAlign w:val="center"/>
          </w:tcPr>
          <w:p w14:paraId="3CDC093A">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605AD886">
            <w:pPr>
              <w:pStyle w:val="65"/>
              <w:spacing w:beforeLines="0" w:afterLines="0" w:line="240" w:lineRule="auto"/>
              <w:rPr>
                <w:rFonts w:ascii="Times New Roman"/>
                <w:bCs/>
                <w:color w:val="auto"/>
                <w:szCs w:val="21"/>
              </w:rPr>
            </w:pPr>
            <w:r>
              <w:rPr>
                <w:rFonts w:hint="eastAsia" w:ascii="Times New Roman"/>
                <w:bCs/>
                <w:color w:val="auto"/>
                <w:szCs w:val="21"/>
              </w:rPr>
              <w:t>10.573</w:t>
            </w:r>
            <w:r>
              <w:rPr>
                <w:rFonts w:hint="eastAsia" w:hAnsi="宋体" w:cs="宋体"/>
                <w:color w:val="auto"/>
                <w:kern w:val="2"/>
                <w:szCs w:val="21"/>
              </w:rPr>
              <w:t>t/a</w:t>
            </w:r>
          </w:p>
        </w:tc>
        <w:tc>
          <w:tcPr>
            <w:tcW w:w="974" w:type="dxa"/>
            <w:vAlign w:val="center"/>
          </w:tcPr>
          <w:p w14:paraId="18318072">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4.34</w:t>
            </w:r>
            <w:r>
              <w:rPr>
                <w:rFonts w:hint="eastAsia" w:hAnsi="宋体" w:cs="宋体"/>
                <w:color w:val="auto"/>
                <w:kern w:val="2"/>
                <w:szCs w:val="21"/>
              </w:rPr>
              <w:t>t/a</w:t>
            </w:r>
          </w:p>
        </w:tc>
      </w:tr>
      <w:tr w14:paraId="61885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vAlign w:val="center"/>
          </w:tcPr>
          <w:p w14:paraId="6EB45A77">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17FF8A5C">
            <w:pPr>
              <w:autoSpaceDE w:val="0"/>
              <w:autoSpaceDN w:val="0"/>
              <w:adjustRightInd w:val="0"/>
              <w:snapToGrid w:val="0"/>
              <w:rPr>
                <w:bCs/>
                <w:color w:val="auto"/>
                <w:kern w:val="0"/>
                <w:szCs w:val="21"/>
              </w:rPr>
            </w:pPr>
          </w:p>
        </w:tc>
        <w:tc>
          <w:tcPr>
            <w:tcW w:w="873" w:type="dxa"/>
            <w:vAlign w:val="center"/>
          </w:tcPr>
          <w:p w14:paraId="416B9A1A">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1537" w:type="dxa"/>
            <w:vAlign w:val="center"/>
          </w:tcPr>
          <w:p w14:paraId="5803B78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293.4t/a（含水率95%）</w:t>
            </w:r>
          </w:p>
        </w:tc>
        <w:tc>
          <w:tcPr>
            <w:tcW w:w="1276" w:type="dxa"/>
            <w:vAlign w:val="center"/>
          </w:tcPr>
          <w:p w14:paraId="21A3A476">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1DE8F91E">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0DA9BADC">
            <w:pPr>
              <w:pStyle w:val="65"/>
              <w:spacing w:beforeLines="0" w:afterLines="0" w:line="240" w:lineRule="auto"/>
              <w:rPr>
                <w:rFonts w:ascii="Times New Roman"/>
                <w:bCs/>
                <w:color w:val="auto"/>
                <w:szCs w:val="21"/>
              </w:rPr>
            </w:pPr>
            <w:r>
              <w:rPr>
                <w:rFonts w:hint="eastAsia" w:ascii="Times New Roman"/>
                <w:bCs/>
                <w:color w:val="auto"/>
                <w:szCs w:val="21"/>
              </w:rPr>
              <w:t>55.48</w:t>
            </w:r>
            <w:r>
              <w:rPr>
                <w:rFonts w:hint="eastAsia" w:hAnsi="宋体" w:cs="宋体"/>
                <w:color w:val="auto"/>
                <w:szCs w:val="21"/>
              </w:rPr>
              <w:t>（含水率95%）</w:t>
            </w:r>
          </w:p>
        </w:tc>
        <w:tc>
          <w:tcPr>
            <w:tcW w:w="1825" w:type="dxa"/>
            <w:vAlign w:val="center"/>
          </w:tcPr>
          <w:p w14:paraId="43723DEC">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10BE62D3">
            <w:pPr>
              <w:pStyle w:val="65"/>
              <w:spacing w:beforeLines="0" w:afterLines="0" w:line="240" w:lineRule="auto"/>
              <w:rPr>
                <w:rFonts w:ascii="Times New Roman"/>
                <w:bCs/>
                <w:color w:val="auto"/>
                <w:szCs w:val="21"/>
              </w:rPr>
            </w:pPr>
            <w:r>
              <w:rPr>
                <w:rFonts w:hint="eastAsia" w:ascii="Times New Roman"/>
                <w:bCs/>
                <w:color w:val="auto"/>
                <w:szCs w:val="21"/>
              </w:rPr>
              <w:t>348.88</w:t>
            </w:r>
            <w:r>
              <w:rPr>
                <w:rFonts w:hint="eastAsia" w:hAnsi="宋体" w:cs="宋体"/>
                <w:color w:val="auto"/>
                <w:szCs w:val="21"/>
              </w:rPr>
              <w:t>（含水率95%）</w:t>
            </w:r>
          </w:p>
        </w:tc>
        <w:tc>
          <w:tcPr>
            <w:tcW w:w="974" w:type="dxa"/>
            <w:vAlign w:val="center"/>
          </w:tcPr>
          <w:p w14:paraId="72E1F531">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55.48</w:t>
            </w:r>
            <w:r>
              <w:rPr>
                <w:rFonts w:hint="eastAsia" w:hAnsi="宋体" w:cs="宋体"/>
                <w:color w:val="auto"/>
                <w:szCs w:val="21"/>
              </w:rPr>
              <w:t>（含水率95%）</w:t>
            </w:r>
          </w:p>
        </w:tc>
      </w:tr>
    </w:tbl>
    <w:p w14:paraId="45725CA1">
      <w:pPr>
        <w:pStyle w:val="65"/>
        <w:spacing w:before="192" w:beforeLines="80" w:after="24"/>
        <w:jc w:val="left"/>
        <w:rPr>
          <w:rFonts w:ascii="Times New Roman"/>
          <w:snapToGrid w:val="0"/>
          <w:color w:val="auto"/>
          <w:spacing w:val="-6"/>
          <w:kern w:val="21"/>
          <w:szCs w:val="21"/>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p w14:paraId="4F190327">
      <w:pPr>
        <w:rPr>
          <w:color w:val="auto"/>
        </w:rPr>
        <w:sectPr>
          <w:pgSz w:w="16838" w:h="11906" w:orient="landscape"/>
          <w:pgMar w:top="1701" w:right="1531" w:bottom="1701" w:left="1531" w:header="851" w:footer="851" w:gutter="0"/>
          <w:cols w:space="720" w:num="1"/>
          <w:docGrid w:linePitch="312" w:charSpace="0"/>
        </w:sectPr>
      </w:pPr>
    </w:p>
    <w:p w14:paraId="0DB3922F">
      <w:pPr>
        <w:jc w:val="center"/>
        <w:rPr>
          <w:b/>
          <w:bCs/>
          <w:color w:val="auto"/>
          <w:sz w:val="44"/>
          <w:szCs w:val="44"/>
        </w:rPr>
      </w:pPr>
    </w:p>
    <w:sectPr>
      <w:footerReference r:id="rId8"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B5D744D3-C69A-43DC-993A-70DA473BAE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5BD2B97-C977-4E36-ACCC-33DDDC128BDC}"/>
  </w:font>
  <w:font w:name="仿宋_GB2312">
    <w:panose1 w:val="02010609030101010101"/>
    <w:charset w:val="86"/>
    <w:family w:val="modern"/>
    <w:pitch w:val="default"/>
    <w:sig w:usb0="00000001" w:usb1="080E0000" w:usb2="00000000" w:usb3="00000000" w:csb0="00040000" w:csb1="00000000"/>
    <w:embedRegular r:id="rId3" w:fontKey="{2C28E8FC-6EC9-4E77-9485-36D6F1EB0376}"/>
  </w:font>
  <w:font w:name="楷体_GB2312">
    <w:panose1 w:val="02010609030101010101"/>
    <w:charset w:val="86"/>
    <w:family w:val="modern"/>
    <w:pitch w:val="default"/>
    <w:sig w:usb0="00000001" w:usb1="080E0000" w:usb2="00000000" w:usb3="00000000" w:csb0="00040000" w:csb1="00000000"/>
    <w:embedRegular r:id="rId4" w:fontKey="{783C3898-9CBE-4E07-A6B4-0151ADFF6084}"/>
  </w:font>
  <w:font w:name="oúì.">
    <w:altName w:val="黑体"/>
    <w:panose1 w:val="00000000000000000000"/>
    <w:charset w:val="86"/>
    <w:family w:val="modern"/>
    <w:pitch w:val="default"/>
    <w:sig w:usb0="00000000" w:usb1="00000000" w:usb2="00000010" w:usb3="00000000" w:csb0="00040000" w:csb1="00000000"/>
  </w:font>
  <w:font w:name="方正楷体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BDB590DB-4DBC-4DC0-B1E3-386EC387EFB5}"/>
  </w:font>
  <w:font w:name="MS Sans Serif">
    <w:altName w:val="微软雅黑"/>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embedRegular r:id="rId6" w:fontKey="{DD88E301-68A9-4C1F-8737-A9A2E485F61C}"/>
  </w:font>
  <w:font w:name="Wingdings 2">
    <w:panose1 w:val="05020102010507070707"/>
    <w:charset w:val="02"/>
    <w:family w:val="roman"/>
    <w:pitch w:val="default"/>
    <w:sig w:usb0="00000000" w:usb1="00000000" w:usb2="00000000" w:usb3="00000000" w:csb0="80000000" w:csb1="00000000"/>
    <w:embedRegular r:id="rId7" w:fontKey="{0677E230-B413-47CD-8A7D-E478555AA749}"/>
  </w:font>
  <w:font w:name="方正仿宋_GBK">
    <w:panose1 w:val="03000509000000000000"/>
    <w:charset w:val="86"/>
    <w:family w:val="auto"/>
    <w:pitch w:val="default"/>
    <w:sig w:usb0="00000001" w:usb1="080E0000" w:usb2="00000000" w:usb3="00000000" w:csb0="00040000" w:csb1="00000000"/>
    <w:embedRegular r:id="rId8" w:fontKey="{BB3C9BD9-DD55-4DB0-8D2C-BE343B579825}"/>
  </w:font>
  <w:font w:name="方正小标宋_GBK">
    <w:panose1 w:val="03000509000000000000"/>
    <w:charset w:val="86"/>
    <w:family w:val="script"/>
    <w:pitch w:val="default"/>
    <w:sig w:usb0="00000001" w:usb1="080E0000" w:usb2="00000000" w:usb3="00000000" w:csb0="00040000" w:csb1="00000000"/>
    <w:embedRegular r:id="rId9" w:fontKey="{C1E433E6-CAFE-40B2-BF7D-2D4EBBF38C2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0043A">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57F4E">
    <w:pPr>
      <w:pStyle w:val="23"/>
      <w:framePr w:wrap="around" w:vAnchor="text" w:hAnchor="margin" w:xAlign="center" w:y="1"/>
      <w:rPr>
        <w:rStyle w:val="38"/>
      </w:rPr>
    </w:pPr>
    <w:r>
      <w:fldChar w:fldCharType="begin"/>
    </w:r>
    <w:r>
      <w:rPr>
        <w:rStyle w:val="38"/>
      </w:rPr>
      <w:instrText xml:space="preserve">PAGE  </w:instrText>
    </w:r>
    <w:r>
      <w:fldChar w:fldCharType="end"/>
    </w:r>
  </w:p>
  <w:p w14:paraId="6B719E30">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468EC">
    <w:pPr>
      <w:pStyle w:val="23"/>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8100" cy="131445"/>
              <wp:effectExtent l="0" t="0" r="1270" b="2540"/>
              <wp:wrapNone/>
              <wp:docPr id="1257023510" name="文本框 2050"/>
              <wp:cNvGraphicFramePr/>
              <a:graphic xmlns:a="http://schemas.openxmlformats.org/drawingml/2006/main">
                <a:graphicData uri="http://schemas.microsoft.com/office/word/2010/wordprocessingShape">
                  <wps:wsp>
                    <wps:cNvSpPr txBox="1">
                      <a:spLocks noChangeArrowheads="1"/>
                    </wps:cNvSpPr>
                    <wps:spPr bwMode="auto">
                      <a:xfrm>
                        <a:off x="0" y="0"/>
                        <a:ext cx="38100" cy="131445"/>
                      </a:xfrm>
                      <a:prstGeom prst="rect">
                        <a:avLst/>
                      </a:prstGeom>
                      <a:noFill/>
                      <a:ln>
                        <a:noFill/>
                      </a:ln>
                      <a:effectLst/>
                    </wps:spPr>
                    <wps:txbx>
                      <w:txbxContent>
                        <w:p w14:paraId="4E828D12">
                          <w:pPr>
                            <w:pStyle w:val="23"/>
                          </w:pPr>
                          <w:r>
                            <w:fldChar w:fldCharType="begin"/>
                          </w:r>
                          <w:r>
                            <w:instrText xml:space="preserve"> PAGE  \* MERGEFORMAT </w:instrText>
                          </w:r>
                          <w:r>
                            <w:fldChar w:fldCharType="separate"/>
                          </w:r>
                          <w:r>
                            <w:t>19</w:t>
                          </w:r>
                          <w:r>
                            <w:fldChar w:fldCharType="end"/>
                          </w:r>
                        </w:p>
                      </w:txbxContent>
                    </wps:txbx>
                    <wps:bodyPr rot="0" vert="horz" wrap="none" lIns="0" tIns="0" rIns="0" bIns="0" anchor="t" anchorCtr="0" upright="1">
                      <a:spAutoFit/>
                    </wps:bodyPr>
                  </wps:wsp>
                </a:graphicData>
              </a:graphic>
            </wp:anchor>
          </w:drawing>
        </mc:Choice>
        <mc:Fallback>
          <w:pict>
            <v:shape id="文本框 2050" o:spid="_x0000_s1026" o:spt="202" type="#_x0000_t202" style="position:absolute;left:0pt;margin-top:0pt;height:10.35pt;width:3pt;mso-position-horizontal:center;mso-position-horizontal-relative:margin;mso-wrap-style:none;z-index:251661312;mso-width-relative:page;mso-height-relative:page;" filled="f" stroked="f" coordsize="21600,21600" o:gfxdata="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Yv3I88AAAACAQAADwAAAAAAAAABACAA&#10;AAAiAAAAZHJzL2Rvd25yZXYueG1sUEsBAhQAFAAAAAgAh07iQM6QbPUWAgAAGwQAAA4AAAAAAAAA&#10;AQAgAAAAHgEAAGRycy9lMm9Eb2MueG1sUEsFBgAAAAAGAAYAWQEAAKYFAAAAAA==&#10;">
              <v:fill on="f" focussize="0,0"/>
              <v:stroke on="f"/>
              <v:imagedata o:title=""/>
              <o:lock v:ext="edit" aspectratio="f"/>
              <v:textbox inset="0mm,0mm,0mm,0mm" style="mso-fit-shape-to-text:t;">
                <w:txbxContent>
                  <w:p w14:paraId="4E828D12">
                    <w:pPr>
                      <w:pStyle w:val="2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6A6AB">
    <w:pPr>
      <w:pStyle w:val="23"/>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0" t="1270" r="635" b="635"/>
              <wp:wrapNone/>
              <wp:docPr id="2090457978" name="文本框 2050"/>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7A5AA267">
                          <w:pPr>
                            <w:pStyle w:val="23"/>
                          </w:pPr>
                          <w:r>
                            <w:fldChar w:fldCharType="begin"/>
                          </w:r>
                          <w:r>
                            <w:instrText xml:space="preserve"> PAGE  \* MERGEFORMAT </w:instrText>
                          </w:r>
                          <w:r>
                            <w:fldChar w:fldCharType="separate"/>
                          </w:r>
                          <w:r>
                            <w:t>19</w:t>
                          </w:r>
                          <w:r>
                            <w:fldChar w:fldCharType="end"/>
                          </w:r>
                        </w:p>
                      </w:txbxContent>
                    </wps:txbx>
                    <wps:bodyPr rot="0" vert="horz" wrap="none" lIns="0" tIns="0" rIns="0" bIns="0" anchor="t" anchorCtr="0" upright="1">
                      <a:spAutoFit/>
                    </wps:bodyPr>
                  </wps:wsp>
                </a:graphicData>
              </a:graphic>
            </wp:anchor>
          </w:drawing>
        </mc:Choice>
        <mc:Fallback>
          <w:pict>
            <v:shape id="文本框 2050" o:spid="_x0000_s1026" o:spt="202" type="#_x0000_t202"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4vdRNAAAAACAQAADwAAAAAAAAAB&#10;ACAAAAAiAAAAZHJzL2Rvd25yZXYueG1sUEsBAhQAFAAAAAgAh07iQKF7fQQYAgAAGwQAAA4AAAAA&#10;AAAAAQAgAAAAHwEAAGRycy9lMm9Eb2MueG1sUEsFBgAAAAAGAAYAWQEAAKkFAAAAAA==&#10;">
              <v:fill on="f" focussize="0,0"/>
              <v:stroke on="f"/>
              <v:imagedata o:title=""/>
              <o:lock v:ext="edit" aspectratio="f"/>
              <v:textbox inset="0mm,0mm,0mm,0mm" style="mso-fit-shape-to-text:t;">
                <w:txbxContent>
                  <w:p w14:paraId="7A5AA267">
                    <w:pPr>
                      <w:pStyle w:val="2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368F9">
    <w:pPr>
      <w:pStyle w:val="23"/>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2540" t="1905" r="0" b="0"/>
              <wp:wrapNone/>
              <wp:docPr id="1496541634" name="文本框 205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04ECFF1B">
                          <w:pPr>
                            <w:pStyle w:val="23"/>
                          </w:pPr>
                          <w:r>
                            <w:fldChar w:fldCharType="begin"/>
                          </w:r>
                          <w:r>
                            <w:instrText xml:space="preserve"> PAGE  \* MERGEFORMAT </w:instrText>
                          </w:r>
                          <w:r>
                            <w:fldChar w:fldCharType="separate"/>
                          </w:r>
                          <w:r>
                            <w:t>77</w:t>
                          </w:r>
                          <w:r>
                            <w:fldChar w:fldCharType="end"/>
                          </w:r>
                        </w:p>
                      </w:txbxContent>
                    </wps:txbx>
                    <wps:bodyPr rot="0" vert="horz" wrap="none" lIns="0" tIns="0" rIns="0" bIns="0" anchor="t" anchorCtr="0" upright="1">
                      <a:spAutoFit/>
                    </wps:bodyPr>
                  </wps:wsp>
                </a:graphicData>
              </a:graphic>
            </wp:anchor>
          </w:drawing>
        </mc:Choice>
        <mc:Fallback>
          <w:pict>
            <v:shape id="文本框 205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PlfknQAAAAAwEAAA8AAAAAAAAAAQAg&#10;AAAAIgAAAGRycy9kb3ducmV2LnhtbFBLAQIUABQAAAAIAIdO4kBOgI1DFgIAABwEAAAOAAAAAAAA&#10;AAEAIAAAAB8BAABkcnMvZTJvRG9jLnhtbFBLBQYAAAAABgAGAFkBAACnBQAAAAA=&#10;">
              <v:fill on="f" focussize="0,0"/>
              <v:stroke on="f"/>
              <v:imagedata o:title=""/>
              <o:lock v:ext="edit" aspectratio="f"/>
              <v:textbox inset="0mm,0mm,0mm,0mm" style="mso-fit-shape-to-text:t;">
                <w:txbxContent>
                  <w:p w14:paraId="04ECFF1B">
                    <w:pPr>
                      <w:pStyle w:val="2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8AE2C">
    <w:pPr>
      <w:pStyle w:val="23"/>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635" b="1905"/>
              <wp:wrapNone/>
              <wp:docPr id="1291558449" name="文本框 205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01ED2990">
                          <w:pPr>
                            <w:pStyle w:val="23"/>
                          </w:pPr>
                          <w:r>
                            <w:fldChar w:fldCharType="begin"/>
                          </w:r>
                          <w:r>
                            <w:instrText xml:space="preserve"> PAGE  \* MERGEFORMAT </w:instrText>
                          </w:r>
                          <w:r>
                            <w:fldChar w:fldCharType="separate"/>
                          </w:r>
                          <w:r>
                            <w:t>78</w:t>
                          </w:r>
                          <w:r>
                            <w:fldChar w:fldCharType="end"/>
                          </w:r>
                        </w:p>
                      </w:txbxContent>
                    </wps:txbx>
                    <wps:bodyPr rot="0" vert="horz" wrap="none" lIns="0" tIns="0" rIns="0" bIns="0" anchor="t" anchorCtr="0" upright="1">
                      <a:spAutoFit/>
                    </wps:bodyPr>
                  </wps:wsp>
                </a:graphicData>
              </a:graphic>
            </wp:anchor>
          </w:drawing>
        </mc:Choice>
        <mc:Fallback>
          <w:pict>
            <v:shape id="文本框 2052"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PlfknQAAAAAwEAAA8AAAAAAAAA&#10;AQAgAAAAIgAAAGRycy9kb3ducmV2LnhtbFBLAQIUABQAAAAIAIdO4kBtRYYsGQIAABwEAAAOAAAA&#10;AAAAAAEAIAAAAB8BAABkcnMvZTJvRG9jLnhtbFBLBQYAAAAABgAGAFkBAACqBQAAAAA=&#10;">
              <v:fill on="f" focussize="0,0"/>
              <v:stroke on="f"/>
              <v:imagedata o:title=""/>
              <o:lock v:ext="edit" aspectratio="f"/>
              <v:textbox inset="0mm,0mm,0mm,0mm" style="mso-fit-shape-to-text:t;">
                <w:txbxContent>
                  <w:p w14:paraId="01ED2990">
                    <w:pPr>
                      <w:pStyle w:val="2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94634B"/>
    <w:multiLevelType w:val="multilevel"/>
    <w:tmpl w:val="B994634B"/>
    <w:lvl w:ilvl="0" w:tentative="0">
      <w:start w:val="4"/>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CD51BF59"/>
    <w:multiLevelType w:val="singleLevel"/>
    <w:tmpl w:val="CD51BF59"/>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2">
    <w:nsid w:val="DF67C995"/>
    <w:multiLevelType w:val="singleLevel"/>
    <w:tmpl w:val="DF67C995"/>
    <w:lvl w:ilvl="0" w:tentative="0">
      <w:start w:val="2"/>
      <w:numFmt w:val="chineseCounting"/>
      <w:suff w:val="nothing"/>
      <w:lvlText w:val="%1、"/>
      <w:lvlJc w:val="left"/>
      <w:rPr>
        <w:rFonts w:hint="eastAsia"/>
      </w:rPr>
    </w:lvl>
  </w:abstractNum>
  <w:abstractNum w:abstractNumId="3">
    <w:nsid w:val="F3C5107D"/>
    <w:multiLevelType w:val="singleLevel"/>
    <w:tmpl w:val="F3C5107D"/>
    <w:lvl w:ilvl="0" w:tentative="0">
      <w:start w:val="3"/>
      <w:numFmt w:val="chineseCounting"/>
      <w:suff w:val="nothing"/>
      <w:lvlText w:val="%1、"/>
      <w:lvlJc w:val="left"/>
      <w:rPr>
        <w:rFonts w:hint="eastAsia"/>
      </w:rPr>
    </w:lvl>
  </w:abstractNum>
  <w:abstractNum w:abstractNumId="4">
    <w:nsid w:val="F75D4201"/>
    <w:multiLevelType w:val="singleLevel"/>
    <w:tmpl w:val="F75D4201"/>
    <w:lvl w:ilvl="0" w:tentative="0">
      <w:start w:val="1"/>
      <w:numFmt w:val="decimal"/>
      <w:suff w:val="nothing"/>
      <w:lvlText w:val="%1、"/>
      <w:lvlJc w:val="left"/>
    </w:lvl>
  </w:abstractNum>
  <w:abstractNum w:abstractNumId="5">
    <w:nsid w:val="0784F1EF"/>
    <w:multiLevelType w:val="singleLevel"/>
    <w:tmpl w:val="0784F1EF"/>
    <w:lvl w:ilvl="0" w:tentative="0">
      <w:start w:val="1"/>
      <w:numFmt w:val="decimal"/>
      <w:suff w:val="nothing"/>
      <w:lvlText w:val="%1、"/>
      <w:lvlJc w:val="left"/>
    </w:lvl>
  </w:abstractNum>
  <w:abstractNum w:abstractNumId="6">
    <w:nsid w:val="0B1BBE9B"/>
    <w:multiLevelType w:val="singleLevel"/>
    <w:tmpl w:val="0B1BBE9B"/>
    <w:lvl w:ilvl="0" w:tentative="0">
      <w:start w:val="3"/>
      <w:numFmt w:val="decimal"/>
      <w:suff w:val="nothing"/>
      <w:lvlText w:val="%1、"/>
      <w:lvlJc w:val="left"/>
    </w:lvl>
  </w:abstractNum>
  <w:abstractNum w:abstractNumId="7">
    <w:nsid w:val="18887097"/>
    <w:multiLevelType w:val="singleLevel"/>
    <w:tmpl w:val="18887097"/>
    <w:lvl w:ilvl="0" w:tentative="0">
      <w:start w:val="4"/>
      <w:numFmt w:val="decimal"/>
      <w:suff w:val="nothing"/>
      <w:lvlText w:val="%1）"/>
      <w:lvlJc w:val="left"/>
    </w:lvl>
  </w:abstractNum>
  <w:abstractNum w:abstractNumId="8">
    <w:nsid w:val="2468F440"/>
    <w:multiLevelType w:val="multilevel"/>
    <w:tmpl w:val="2468F440"/>
    <w:lvl w:ilvl="0" w:tentative="0">
      <w:start w:val="1"/>
      <w:numFmt w:val="decimal"/>
      <w:pStyle w:val="123"/>
      <w:suff w:val="space"/>
      <w:lvlText w:val="表4-%1 "/>
      <w:lvlJc w:val="left"/>
      <w:pPr>
        <w:tabs>
          <w:tab w:val="left" w:pos="0"/>
        </w:tabs>
        <w:ind w:left="2310" w:firstLine="0"/>
      </w:pPr>
      <w:rPr>
        <w:rFonts w:hint="eastAsia" w:ascii="宋体" w:hAnsi="宋体" w:eastAsia="宋体" w:cs="宋体"/>
        <w:u w:val="none"/>
      </w:rPr>
    </w:lvl>
    <w:lvl w:ilvl="1" w:tentative="0">
      <w:start w:val="1"/>
      <w:numFmt w:val="decimal"/>
      <w:suff w:val="space"/>
      <w:lvlText w:val="%1.%2"/>
      <w:lvlJc w:val="left"/>
      <w:pPr>
        <w:tabs>
          <w:tab w:val="left" w:pos="420"/>
        </w:tabs>
        <w:ind w:left="2310" w:firstLine="0"/>
      </w:pPr>
      <w:rPr>
        <w:rFonts w:hint="eastAsia" w:ascii="宋体" w:hAnsi="宋体" w:eastAsia="宋体" w:cs="宋体"/>
        <w:u w:val="none"/>
      </w:rPr>
    </w:lvl>
    <w:lvl w:ilvl="2" w:tentative="0">
      <w:start w:val="1"/>
      <w:numFmt w:val="decimal"/>
      <w:suff w:val="space"/>
      <w:lvlText w:val="%1.%2.%3"/>
      <w:lvlJc w:val="left"/>
      <w:pPr>
        <w:tabs>
          <w:tab w:val="left" w:pos="420"/>
        </w:tabs>
        <w:ind w:left="2310" w:firstLine="0"/>
      </w:pPr>
      <w:rPr>
        <w:rFonts w:hint="eastAsia" w:ascii="宋体" w:hAnsi="宋体" w:eastAsia="宋体" w:cs="宋体"/>
        <w:u w:val="none"/>
      </w:rPr>
    </w:lvl>
    <w:lvl w:ilvl="3" w:tentative="0">
      <w:start w:val="1"/>
      <w:numFmt w:val="decimal"/>
      <w:lvlText w:val="%1.%2.%3.%4."/>
      <w:lvlJc w:val="left"/>
      <w:pPr>
        <w:ind w:left="3174" w:hanging="864"/>
      </w:pPr>
      <w:rPr>
        <w:rFonts w:hint="default"/>
        <w:u w:val="none"/>
      </w:rPr>
    </w:lvl>
    <w:lvl w:ilvl="4" w:tentative="0">
      <w:start w:val="1"/>
      <w:numFmt w:val="decimal"/>
      <w:lvlText w:val="%1.%2.%3.%4.%5."/>
      <w:lvlJc w:val="left"/>
      <w:pPr>
        <w:ind w:left="3318" w:hanging="1008"/>
      </w:pPr>
      <w:rPr>
        <w:rFonts w:hint="default"/>
        <w:u w:val="none"/>
      </w:rPr>
    </w:lvl>
    <w:lvl w:ilvl="5" w:tentative="0">
      <w:start w:val="1"/>
      <w:numFmt w:val="decimal"/>
      <w:lvlText w:val="%1.%2.%3.%4.%5.%6."/>
      <w:lvlJc w:val="left"/>
      <w:pPr>
        <w:ind w:left="3461" w:hanging="1151"/>
      </w:pPr>
      <w:rPr>
        <w:rFonts w:hint="default"/>
        <w:u w:val="none"/>
      </w:rPr>
    </w:lvl>
    <w:lvl w:ilvl="6" w:tentative="0">
      <w:start w:val="1"/>
      <w:numFmt w:val="decimal"/>
      <w:lvlText w:val="%1.%2.%3.%4.%5.%6.%7."/>
      <w:lvlJc w:val="left"/>
      <w:pPr>
        <w:ind w:left="3606" w:hanging="1296"/>
      </w:pPr>
      <w:rPr>
        <w:rFonts w:hint="default"/>
        <w:u w:val="none"/>
      </w:rPr>
    </w:lvl>
    <w:lvl w:ilvl="7" w:tentative="0">
      <w:start w:val="1"/>
      <w:numFmt w:val="decimal"/>
      <w:lvlText w:val="%1.%2.%3.%4.%5.%6.%7.%8."/>
      <w:lvlJc w:val="left"/>
      <w:pPr>
        <w:ind w:left="3750" w:hanging="1440"/>
      </w:pPr>
      <w:rPr>
        <w:rFonts w:hint="default"/>
        <w:u w:val="none"/>
      </w:rPr>
    </w:lvl>
    <w:lvl w:ilvl="8" w:tentative="0">
      <w:start w:val="1"/>
      <w:numFmt w:val="decimal"/>
      <w:lvlText w:val="%1.%2.%3.%4.%5.%6.%7.%8.%9."/>
      <w:lvlJc w:val="left"/>
      <w:pPr>
        <w:ind w:left="3893" w:hanging="1583"/>
      </w:pPr>
      <w:rPr>
        <w:rFonts w:hint="default"/>
        <w:u w:val="none"/>
      </w:rPr>
    </w:lvl>
  </w:abstractNum>
  <w:abstractNum w:abstractNumId="9">
    <w:nsid w:val="2C8E0B07"/>
    <w:multiLevelType w:val="singleLevel"/>
    <w:tmpl w:val="2C8E0B07"/>
    <w:lvl w:ilvl="0" w:tentative="0">
      <w:start w:val="4"/>
      <w:numFmt w:val="decimal"/>
      <w:suff w:val="nothing"/>
      <w:lvlText w:val="（%1）"/>
      <w:lvlJc w:val="left"/>
    </w:lvl>
  </w:abstractNum>
  <w:abstractNum w:abstractNumId="10">
    <w:nsid w:val="46830F3E"/>
    <w:multiLevelType w:val="multilevel"/>
    <w:tmpl w:val="46830F3E"/>
    <w:lvl w:ilvl="0" w:tentative="0">
      <w:start w:val="1"/>
      <w:numFmt w:val="decimal"/>
      <w:pStyle w:val="124"/>
      <w:suff w:val="space"/>
      <w:lvlText w:val="表1-%1 "/>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1">
    <w:nsid w:val="4D07E6DE"/>
    <w:multiLevelType w:val="singleLevel"/>
    <w:tmpl w:val="4D07E6DE"/>
    <w:lvl w:ilvl="0" w:tentative="0">
      <w:start w:val="1"/>
      <w:numFmt w:val="decimal"/>
      <w:lvlText w:val="%1."/>
      <w:lvlJc w:val="left"/>
      <w:pPr>
        <w:tabs>
          <w:tab w:val="left" w:pos="312"/>
        </w:tabs>
      </w:pPr>
    </w:lvl>
  </w:abstractNum>
  <w:abstractNum w:abstractNumId="12">
    <w:nsid w:val="4E594C83"/>
    <w:multiLevelType w:val="singleLevel"/>
    <w:tmpl w:val="4E594C83"/>
    <w:lvl w:ilvl="0" w:tentative="0">
      <w:start w:val="6"/>
      <w:numFmt w:val="chineseCounting"/>
      <w:suff w:val="space"/>
      <w:lvlText w:val="第%1条"/>
      <w:lvlJc w:val="left"/>
      <w:rPr>
        <w:rFonts w:hint="eastAsia"/>
        <w:b/>
        <w:bCs/>
      </w:rPr>
    </w:lvl>
  </w:abstractNum>
  <w:num w:numId="1">
    <w:abstractNumId w:val="1"/>
  </w:num>
  <w:num w:numId="2">
    <w:abstractNumId w:val="8"/>
  </w:num>
  <w:num w:numId="3">
    <w:abstractNumId w:val="10"/>
  </w:num>
  <w:num w:numId="4">
    <w:abstractNumId w:val="11"/>
  </w:num>
  <w:num w:numId="5">
    <w:abstractNumId w:val="3"/>
  </w:num>
  <w:num w:numId="6">
    <w:abstractNumId w:val="12"/>
  </w:num>
  <w:num w:numId="7">
    <w:abstractNumId w:val="2"/>
  </w:num>
  <w:num w:numId="8">
    <w:abstractNumId w:val="0"/>
  </w:num>
  <w:num w:numId="9">
    <w:abstractNumId w:val="6"/>
  </w:num>
  <w:num w:numId="10">
    <w:abstractNumId w:val="5"/>
  </w:num>
  <w:num w:numId="11">
    <w:abstractNumId w:val="7"/>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FlM2Y0NGZjMDgxMzMyYmJjMDRhNmY3MDRkOGEyMmYifQ=="/>
    <w:docVar w:name="KSO_WPS_MARK_KEY" w:val="85952145-5224-495c-b7c6-927a69177ce0"/>
  </w:docVars>
  <w:rsids>
    <w:rsidRoot w:val="00172A27"/>
    <w:rsid w:val="000060B3"/>
    <w:rsid w:val="00020F8A"/>
    <w:rsid w:val="0004364B"/>
    <w:rsid w:val="00061B1F"/>
    <w:rsid w:val="0006659E"/>
    <w:rsid w:val="000733C4"/>
    <w:rsid w:val="00074783"/>
    <w:rsid w:val="0008070B"/>
    <w:rsid w:val="000810AC"/>
    <w:rsid w:val="00081A02"/>
    <w:rsid w:val="00082231"/>
    <w:rsid w:val="00082D85"/>
    <w:rsid w:val="00092D38"/>
    <w:rsid w:val="0009377B"/>
    <w:rsid w:val="00096106"/>
    <w:rsid w:val="000A20C9"/>
    <w:rsid w:val="000B058F"/>
    <w:rsid w:val="000B4467"/>
    <w:rsid w:val="000B4DB9"/>
    <w:rsid w:val="000C09AC"/>
    <w:rsid w:val="000C767F"/>
    <w:rsid w:val="000D5A44"/>
    <w:rsid w:val="000E3ED2"/>
    <w:rsid w:val="000F1DB1"/>
    <w:rsid w:val="00104EB0"/>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0E38"/>
    <w:rsid w:val="001C69B3"/>
    <w:rsid w:val="001D5595"/>
    <w:rsid w:val="001D7874"/>
    <w:rsid w:val="001D7F22"/>
    <w:rsid w:val="001E3E28"/>
    <w:rsid w:val="001F0F17"/>
    <w:rsid w:val="001F3347"/>
    <w:rsid w:val="001F69E4"/>
    <w:rsid w:val="00201201"/>
    <w:rsid w:val="002016C6"/>
    <w:rsid w:val="002125B4"/>
    <w:rsid w:val="002155B8"/>
    <w:rsid w:val="00224839"/>
    <w:rsid w:val="002249B2"/>
    <w:rsid w:val="00226574"/>
    <w:rsid w:val="002278EC"/>
    <w:rsid w:val="0023280E"/>
    <w:rsid w:val="002377D1"/>
    <w:rsid w:val="00241CDE"/>
    <w:rsid w:val="00244933"/>
    <w:rsid w:val="002506BC"/>
    <w:rsid w:val="00254345"/>
    <w:rsid w:val="00264557"/>
    <w:rsid w:val="002805AB"/>
    <w:rsid w:val="002816C0"/>
    <w:rsid w:val="00284204"/>
    <w:rsid w:val="00291773"/>
    <w:rsid w:val="00293929"/>
    <w:rsid w:val="002A168C"/>
    <w:rsid w:val="002A3DC7"/>
    <w:rsid w:val="002B0CB4"/>
    <w:rsid w:val="002B49E2"/>
    <w:rsid w:val="002B71C4"/>
    <w:rsid w:val="002B7B00"/>
    <w:rsid w:val="002B7C44"/>
    <w:rsid w:val="002C2B17"/>
    <w:rsid w:val="002D3DD0"/>
    <w:rsid w:val="002E1F3A"/>
    <w:rsid w:val="002E298A"/>
    <w:rsid w:val="002F157A"/>
    <w:rsid w:val="00301978"/>
    <w:rsid w:val="003024B9"/>
    <w:rsid w:val="0030332C"/>
    <w:rsid w:val="003051C2"/>
    <w:rsid w:val="00312296"/>
    <w:rsid w:val="00314F0E"/>
    <w:rsid w:val="00321D8E"/>
    <w:rsid w:val="00325928"/>
    <w:rsid w:val="00332863"/>
    <w:rsid w:val="0033684D"/>
    <w:rsid w:val="00337B42"/>
    <w:rsid w:val="00341B42"/>
    <w:rsid w:val="0034348F"/>
    <w:rsid w:val="00347C37"/>
    <w:rsid w:val="00356653"/>
    <w:rsid w:val="0035743F"/>
    <w:rsid w:val="00357BE2"/>
    <w:rsid w:val="00360F65"/>
    <w:rsid w:val="0036170C"/>
    <w:rsid w:val="00366E0F"/>
    <w:rsid w:val="00381A72"/>
    <w:rsid w:val="00384676"/>
    <w:rsid w:val="00390857"/>
    <w:rsid w:val="003A4BF3"/>
    <w:rsid w:val="003B12DB"/>
    <w:rsid w:val="003B420D"/>
    <w:rsid w:val="003C6C16"/>
    <w:rsid w:val="003D10F7"/>
    <w:rsid w:val="003D794D"/>
    <w:rsid w:val="003E3058"/>
    <w:rsid w:val="003E3F0A"/>
    <w:rsid w:val="003E4209"/>
    <w:rsid w:val="003E7360"/>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145D"/>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66200"/>
    <w:rsid w:val="005720AE"/>
    <w:rsid w:val="00585167"/>
    <w:rsid w:val="00594D77"/>
    <w:rsid w:val="005969E4"/>
    <w:rsid w:val="005A06B7"/>
    <w:rsid w:val="005A1759"/>
    <w:rsid w:val="005A68A7"/>
    <w:rsid w:val="005B1530"/>
    <w:rsid w:val="005B60E0"/>
    <w:rsid w:val="005D36AB"/>
    <w:rsid w:val="005E5015"/>
    <w:rsid w:val="00603ECD"/>
    <w:rsid w:val="00617CC3"/>
    <w:rsid w:val="006334B1"/>
    <w:rsid w:val="006377A6"/>
    <w:rsid w:val="00637A3D"/>
    <w:rsid w:val="006411EF"/>
    <w:rsid w:val="006748B8"/>
    <w:rsid w:val="00674ACA"/>
    <w:rsid w:val="006775C3"/>
    <w:rsid w:val="0069290A"/>
    <w:rsid w:val="0069775A"/>
    <w:rsid w:val="00697813"/>
    <w:rsid w:val="006A2178"/>
    <w:rsid w:val="006A3EE8"/>
    <w:rsid w:val="006A72BF"/>
    <w:rsid w:val="006B03F2"/>
    <w:rsid w:val="006B08B1"/>
    <w:rsid w:val="006B37DC"/>
    <w:rsid w:val="006B4F68"/>
    <w:rsid w:val="006C0592"/>
    <w:rsid w:val="006C272E"/>
    <w:rsid w:val="006C5479"/>
    <w:rsid w:val="006D13B5"/>
    <w:rsid w:val="006D4E0D"/>
    <w:rsid w:val="006E12FF"/>
    <w:rsid w:val="006E607E"/>
    <w:rsid w:val="00700E8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1F84"/>
    <w:rsid w:val="007A2170"/>
    <w:rsid w:val="007A22BF"/>
    <w:rsid w:val="007A3323"/>
    <w:rsid w:val="007B6B4A"/>
    <w:rsid w:val="007B72B8"/>
    <w:rsid w:val="007B7A58"/>
    <w:rsid w:val="007C21B5"/>
    <w:rsid w:val="007E4BD2"/>
    <w:rsid w:val="007E58FE"/>
    <w:rsid w:val="007F0467"/>
    <w:rsid w:val="007F2C70"/>
    <w:rsid w:val="00801393"/>
    <w:rsid w:val="00802F88"/>
    <w:rsid w:val="0081293E"/>
    <w:rsid w:val="00815465"/>
    <w:rsid w:val="00817E9A"/>
    <w:rsid w:val="008306BD"/>
    <w:rsid w:val="00831A80"/>
    <w:rsid w:val="00833743"/>
    <w:rsid w:val="008340A4"/>
    <w:rsid w:val="0087135F"/>
    <w:rsid w:val="00872D94"/>
    <w:rsid w:val="00875954"/>
    <w:rsid w:val="0087778C"/>
    <w:rsid w:val="00880364"/>
    <w:rsid w:val="00891592"/>
    <w:rsid w:val="00891E9E"/>
    <w:rsid w:val="008A2F68"/>
    <w:rsid w:val="008B4FA6"/>
    <w:rsid w:val="008B5282"/>
    <w:rsid w:val="008B7C17"/>
    <w:rsid w:val="008C2591"/>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4506"/>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7CBA"/>
    <w:rsid w:val="009B0897"/>
    <w:rsid w:val="009B7BD9"/>
    <w:rsid w:val="009C2123"/>
    <w:rsid w:val="009C7DD5"/>
    <w:rsid w:val="009E227D"/>
    <w:rsid w:val="009E5019"/>
    <w:rsid w:val="00A04F1B"/>
    <w:rsid w:val="00A0501B"/>
    <w:rsid w:val="00A14947"/>
    <w:rsid w:val="00A32A83"/>
    <w:rsid w:val="00A368DB"/>
    <w:rsid w:val="00A423AA"/>
    <w:rsid w:val="00A53EC6"/>
    <w:rsid w:val="00A55C0F"/>
    <w:rsid w:val="00A665AF"/>
    <w:rsid w:val="00A864E6"/>
    <w:rsid w:val="00A8713F"/>
    <w:rsid w:val="00A90BA1"/>
    <w:rsid w:val="00A945F7"/>
    <w:rsid w:val="00A97A9A"/>
    <w:rsid w:val="00AA0671"/>
    <w:rsid w:val="00AA1DB3"/>
    <w:rsid w:val="00AA2531"/>
    <w:rsid w:val="00AB1E09"/>
    <w:rsid w:val="00AB5330"/>
    <w:rsid w:val="00AB7747"/>
    <w:rsid w:val="00AC14CE"/>
    <w:rsid w:val="00AC2A56"/>
    <w:rsid w:val="00AD055E"/>
    <w:rsid w:val="00AD47A7"/>
    <w:rsid w:val="00AE7167"/>
    <w:rsid w:val="00AF0CBF"/>
    <w:rsid w:val="00AF257F"/>
    <w:rsid w:val="00AF33CF"/>
    <w:rsid w:val="00AF4D50"/>
    <w:rsid w:val="00AF6179"/>
    <w:rsid w:val="00AF7F70"/>
    <w:rsid w:val="00B00730"/>
    <w:rsid w:val="00B110FE"/>
    <w:rsid w:val="00B1295A"/>
    <w:rsid w:val="00B20A45"/>
    <w:rsid w:val="00B22C5C"/>
    <w:rsid w:val="00B24F30"/>
    <w:rsid w:val="00B31ABF"/>
    <w:rsid w:val="00B33BE3"/>
    <w:rsid w:val="00B42CEF"/>
    <w:rsid w:val="00B53B5D"/>
    <w:rsid w:val="00B6055E"/>
    <w:rsid w:val="00B6317D"/>
    <w:rsid w:val="00B7723F"/>
    <w:rsid w:val="00B80534"/>
    <w:rsid w:val="00B8433C"/>
    <w:rsid w:val="00B87491"/>
    <w:rsid w:val="00B94A3D"/>
    <w:rsid w:val="00B968EF"/>
    <w:rsid w:val="00BA29E9"/>
    <w:rsid w:val="00BA7142"/>
    <w:rsid w:val="00BB237C"/>
    <w:rsid w:val="00BB41A3"/>
    <w:rsid w:val="00BC32DC"/>
    <w:rsid w:val="00BC35B6"/>
    <w:rsid w:val="00BD1B51"/>
    <w:rsid w:val="00BD4596"/>
    <w:rsid w:val="00BE1405"/>
    <w:rsid w:val="00BE312D"/>
    <w:rsid w:val="00BF1C20"/>
    <w:rsid w:val="00C03CAE"/>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C6F19"/>
    <w:rsid w:val="00CD06CA"/>
    <w:rsid w:val="00CD2BCD"/>
    <w:rsid w:val="00CD3A4C"/>
    <w:rsid w:val="00CE10E9"/>
    <w:rsid w:val="00CE2910"/>
    <w:rsid w:val="00CE5393"/>
    <w:rsid w:val="00CF1A16"/>
    <w:rsid w:val="00CF36BE"/>
    <w:rsid w:val="00CF6000"/>
    <w:rsid w:val="00D003F3"/>
    <w:rsid w:val="00D0364F"/>
    <w:rsid w:val="00D0543A"/>
    <w:rsid w:val="00D06834"/>
    <w:rsid w:val="00D308ED"/>
    <w:rsid w:val="00D36D86"/>
    <w:rsid w:val="00D428AA"/>
    <w:rsid w:val="00D50A34"/>
    <w:rsid w:val="00D53EFA"/>
    <w:rsid w:val="00D8395A"/>
    <w:rsid w:val="00D94A7C"/>
    <w:rsid w:val="00D95896"/>
    <w:rsid w:val="00DA10F9"/>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56CAD"/>
    <w:rsid w:val="00E60982"/>
    <w:rsid w:val="00E62C62"/>
    <w:rsid w:val="00E654C1"/>
    <w:rsid w:val="00E65D97"/>
    <w:rsid w:val="00E72A5A"/>
    <w:rsid w:val="00E73354"/>
    <w:rsid w:val="00E9242D"/>
    <w:rsid w:val="00EB5255"/>
    <w:rsid w:val="00EB5C47"/>
    <w:rsid w:val="00EC0303"/>
    <w:rsid w:val="00ED0639"/>
    <w:rsid w:val="00EF4755"/>
    <w:rsid w:val="00EF7135"/>
    <w:rsid w:val="00F027DB"/>
    <w:rsid w:val="00F14A7A"/>
    <w:rsid w:val="00F22985"/>
    <w:rsid w:val="00F3119F"/>
    <w:rsid w:val="00F3383E"/>
    <w:rsid w:val="00F465A7"/>
    <w:rsid w:val="00F50B7C"/>
    <w:rsid w:val="00F550E6"/>
    <w:rsid w:val="00F578AA"/>
    <w:rsid w:val="00F64E1B"/>
    <w:rsid w:val="00F74345"/>
    <w:rsid w:val="00F80A0A"/>
    <w:rsid w:val="00F81414"/>
    <w:rsid w:val="00F82B19"/>
    <w:rsid w:val="00F9212D"/>
    <w:rsid w:val="00F965DA"/>
    <w:rsid w:val="00FA1F8A"/>
    <w:rsid w:val="00FA406A"/>
    <w:rsid w:val="00FB503A"/>
    <w:rsid w:val="00FB516C"/>
    <w:rsid w:val="00FD0236"/>
    <w:rsid w:val="00FD18F4"/>
    <w:rsid w:val="00FD54DB"/>
    <w:rsid w:val="00FD619F"/>
    <w:rsid w:val="010120F2"/>
    <w:rsid w:val="01290F7E"/>
    <w:rsid w:val="015D1E09"/>
    <w:rsid w:val="018502B5"/>
    <w:rsid w:val="01B317CC"/>
    <w:rsid w:val="01CB2B73"/>
    <w:rsid w:val="01D5464E"/>
    <w:rsid w:val="023D3811"/>
    <w:rsid w:val="024C39D6"/>
    <w:rsid w:val="02523711"/>
    <w:rsid w:val="02525476"/>
    <w:rsid w:val="025C3799"/>
    <w:rsid w:val="02697903"/>
    <w:rsid w:val="02847795"/>
    <w:rsid w:val="029A6B36"/>
    <w:rsid w:val="02A31583"/>
    <w:rsid w:val="02D73907"/>
    <w:rsid w:val="02F96569"/>
    <w:rsid w:val="030E7E36"/>
    <w:rsid w:val="034B02F4"/>
    <w:rsid w:val="03741503"/>
    <w:rsid w:val="03CC19D6"/>
    <w:rsid w:val="03E16721"/>
    <w:rsid w:val="03E934EA"/>
    <w:rsid w:val="03EA7B21"/>
    <w:rsid w:val="03ED724E"/>
    <w:rsid w:val="03EF3CFF"/>
    <w:rsid w:val="03F01853"/>
    <w:rsid w:val="04153833"/>
    <w:rsid w:val="044D548D"/>
    <w:rsid w:val="048715C5"/>
    <w:rsid w:val="0496164C"/>
    <w:rsid w:val="051F60F6"/>
    <w:rsid w:val="053059DC"/>
    <w:rsid w:val="05981BA2"/>
    <w:rsid w:val="05A234BF"/>
    <w:rsid w:val="05A649EF"/>
    <w:rsid w:val="05AC44D6"/>
    <w:rsid w:val="05AD7D66"/>
    <w:rsid w:val="05D77D9B"/>
    <w:rsid w:val="05F83EAE"/>
    <w:rsid w:val="061A19E9"/>
    <w:rsid w:val="062707D8"/>
    <w:rsid w:val="063E28E3"/>
    <w:rsid w:val="063E7D85"/>
    <w:rsid w:val="06472F43"/>
    <w:rsid w:val="065F600C"/>
    <w:rsid w:val="06CE0008"/>
    <w:rsid w:val="06DA3525"/>
    <w:rsid w:val="06EB2902"/>
    <w:rsid w:val="0704531D"/>
    <w:rsid w:val="07293586"/>
    <w:rsid w:val="07295285"/>
    <w:rsid w:val="07434748"/>
    <w:rsid w:val="07574600"/>
    <w:rsid w:val="07636392"/>
    <w:rsid w:val="07770C56"/>
    <w:rsid w:val="07A76C31"/>
    <w:rsid w:val="07C1191B"/>
    <w:rsid w:val="08297FBA"/>
    <w:rsid w:val="082C2E30"/>
    <w:rsid w:val="0881559A"/>
    <w:rsid w:val="08890489"/>
    <w:rsid w:val="092217DD"/>
    <w:rsid w:val="093A7294"/>
    <w:rsid w:val="0995305F"/>
    <w:rsid w:val="09B33E2C"/>
    <w:rsid w:val="09C6437F"/>
    <w:rsid w:val="09E01701"/>
    <w:rsid w:val="0A0445D0"/>
    <w:rsid w:val="0A065451"/>
    <w:rsid w:val="0A1B1F05"/>
    <w:rsid w:val="0A263993"/>
    <w:rsid w:val="0A2D3AC2"/>
    <w:rsid w:val="0A4E236C"/>
    <w:rsid w:val="0A7B7F8F"/>
    <w:rsid w:val="0A847E50"/>
    <w:rsid w:val="0AA755DF"/>
    <w:rsid w:val="0ABE1B99"/>
    <w:rsid w:val="0AC91C18"/>
    <w:rsid w:val="0AD72AA3"/>
    <w:rsid w:val="0AEC3463"/>
    <w:rsid w:val="0AFD17E1"/>
    <w:rsid w:val="0B120D44"/>
    <w:rsid w:val="0B1572BF"/>
    <w:rsid w:val="0B183951"/>
    <w:rsid w:val="0B4C25AD"/>
    <w:rsid w:val="0B501603"/>
    <w:rsid w:val="0B584FC0"/>
    <w:rsid w:val="0B8D0492"/>
    <w:rsid w:val="0B8D04BD"/>
    <w:rsid w:val="0BC0764E"/>
    <w:rsid w:val="0BD27BF6"/>
    <w:rsid w:val="0BD60D00"/>
    <w:rsid w:val="0BF90E17"/>
    <w:rsid w:val="0C02669B"/>
    <w:rsid w:val="0C2F0F6B"/>
    <w:rsid w:val="0C3435B3"/>
    <w:rsid w:val="0C3B3C7D"/>
    <w:rsid w:val="0C6F78D4"/>
    <w:rsid w:val="0C72430D"/>
    <w:rsid w:val="0C895CA9"/>
    <w:rsid w:val="0C96083A"/>
    <w:rsid w:val="0CAB2EAE"/>
    <w:rsid w:val="0CBA5601"/>
    <w:rsid w:val="0CF73783"/>
    <w:rsid w:val="0CF7469D"/>
    <w:rsid w:val="0D1A2F45"/>
    <w:rsid w:val="0D5135C5"/>
    <w:rsid w:val="0D5875FD"/>
    <w:rsid w:val="0D621C7D"/>
    <w:rsid w:val="0D8D7476"/>
    <w:rsid w:val="0D9008B9"/>
    <w:rsid w:val="0DAE60CA"/>
    <w:rsid w:val="0DBA7297"/>
    <w:rsid w:val="0DBD65E2"/>
    <w:rsid w:val="0DD852D1"/>
    <w:rsid w:val="0DF01A77"/>
    <w:rsid w:val="0E0D7758"/>
    <w:rsid w:val="0E1D783D"/>
    <w:rsid w:val="0E404F0A"/>
    <w:rsid w:val="0E514B32"/>
    <w:rsid w:val="0E73034D"/>
    <w:rsid w:val="0E7C4FB2"/>
    <w:rsid w:val="0EA01CFB"/>
    <w:rsid w:val="0EDA0095"/>
    <w:rsid w:val="0F083E44"/>
    <w:rsid w:val="0F13775A"/>
    <w:rsid w:val="0F305601"/>
    <w:rsid w:val="0F3162F8"/>
    <w:rsid w:val="0F403842"/>
    <w:rsid w:val="0F546373"/>
    <w:rsid w:val="0F5F45FE"/>
    <w:rsid w:val="0F7829DE"/>
    <w:rsid w:val="0F9A112B"/>
    <w:rsid w:val="0FAB4A64"/>
    <w:rsid w:val="0FAE48B6"/>
    <w:rsid w:val="0FC30F82"/>
    <w:rsid w:val="0FE302D2"/>
    <w:rsid w:val="10022387"/>
    <w:rsid w:val="10023908"/>
    <w:rsid w:val="100F0F82"/>
    <w:rsid w:val="10212B39"/>
    <w:rsid w:val="10324514"/>
    <w:rsid w:val="106D2F64"/>
    <w:rsid w:val="106E1870"/>
    <w:rsid w:val="106E78D2"/>
    <w:rsid w:val="1078213A"/>
    <w:rsid w:val="10A20A06"/>
    <w:rsid w:val="10B63710"/>
    <w:rsid w:val="10BC155A"/>
    <w:rsid w:val="10F10820"/>
    <w:rsid w:val="10F148AF"/>
    <w:rsid w:val="110D1F26"/>
    <w:rsid w:val="111C2F7A"/>
    <w:rsid w:val="111E74AD"/>
    <w:rsid w:val="11462904"/>
    <w:rsid w:val="11596335"/>
    <w:rsid w:val="115A63BB"/>
    <w:rsid w:val="11665CA1"/>
    <w:rsid w:val="117B09F6"/>
    <w:rsid w:val="117B3716"/>
    <w:rsid w:val="1186411F"/>
    <w:rsid w:val="11917965"/>
    <w:rsid w:val="11A459CD"/>
    <w:rsid w:val="11BD031D"/>
    <w:rsid w:val="11CA350F"/>
    <w:rsid w:val="11DD26BD"/>
    <w:rsid w:val="11F16553"/>
    <w:rsid w:val="11F76C46"/>
    <w:rsid w:val="120B6F8C"/>
    <w:rsid w:val="122B2C8A"/>
    <w:rsid w:val="12630CDB"/>
    <w:rsid w:val="13144717"/>
    <w:rsid w:val="13633EB9"/>
    <w:rsid w:val="13813ABB"/>
    <w:rsid w:val="13951726"/>
    <w:rsid w:val="13A664EC"/>
    <w:rsid w:val="13B55947"/>
    <w:rsid w:val="13EE3F66"/>
    <w:rsid w:val="13F14E3F"/>
    <w:rsid w:val="14147FC7"/>
    <w:rsid w:val="1422561F"/>
    <w:rsid w:val="14396509"/>
    <w:rsid w:val="143A42FB"/>
    <w:rsid w:val="14551373"/>
    <w:rsid w:val="1482136E"/>
    <w:rsid w:val="14DD2C3C"/>
    <w:rsid w:val="14F129B4"/>
    <w:rsid w:val="14F645CE"/>
    <w:rsid w:val="14F94DE7"/>
    <w:rsid w:val="14FD0D25"/>
    <w:rsid w:val="151565E2"/>
    <w:rsid w:val="15412328"/>
    <w:rsid w:val="155B7A5E"/>
    <w:rsid w:val="156E65CE"/>
    <w:rsid w:val="1570351D"/>
    <w:rsid w:val="15AF2845"/>
    <w:rsid w:val="15BC6161"/>
    <w:rsid w:val="15CB724F"/>
    <w:rsid w:val="15D1246E"/>
    <w:rsid w:val="15D71648"/>
    <w:rsid w:val="15EF66AC"/>
    <w:rsid w:val="16087E1D"/>
    <w:rsid w:val="161951E2"/>
    <w:rsid w:val="16A07F3A"/>
    <w:rsid w:val="16A714E0"/>
    <w:rsid w:val="16B33708"/>
    <w:rsid w:val="17256345"/>
    <w:rsid w:val="17575DF8"/>
    <w:rsid w:val="176115E5"/>
    <w:rsid w:val="17701D14"/>
    <w:rsid w:val="17735226"/>
    <w:rsid w:val="178A1C51"/>
    <w:rsid w:val="17A971AC"/>
    <w:rsid w:val="17B8222B"/>
    <w:rsid w:val="17DB077B"/>
    <w:rsid w:val="181330F7"/>
    <w:rsid w:val="183831F4"/>
    <w:rsid w:val="18996DB0"/>
    <w:rsid w:val="189F624C"/>
    <w:rsid w:val="18A55F09"/>
    <w:rsid w:val="18A63EA7"/>
    <w:rsid w:val="18B869BA"/>
    <w:rsid w:val="18D968AA"/>
    <w:rsid w:val="18E7218E"/>
    <w:rsid w:val="19270F6C"/>
    <w:rsid w:val="19445323"/>
    <w:rsid w:val="19715157"/>
    <w:rsid w:val="19B15862"/>
    <w:rsid w:val="19B930C7"/>
    <w:rsid w:val="19C73AFC"/>
    <w:rsid w:val="19D2205F"/>
    <w:rsid w:val="19D31271"/>
    <w:rsid w:val="1A056996"/>
    <w:rsid w:val="1A0E6B1A"/>
    <w:rsid w:val="1A184BA5"/>
    <w:rsid w:val="1A1B50BE"/>
    <w:rsid w:val="1A1B6CD4"/>
    <w:rsid w:val="1A1C66C0"/>
    <w:rsid w:val="1A42393B"/>
    <w:rsid w:val="1A474091"/>
    <w:rsid w:val="1A61314F"/>
    <w:rsid w:val="1A6A35C2"/>
    <w:rsid w:val="1A6C321B"/>
    <w:rsid w:val="1AA12F5D"/>
    <w:rsid w:val="1AAC27A5"/>
    <w:rsid w:val="1AAD45DE"/>
    <w:rsid w:val="1ABC0B71"/>
    <w:rsid w:val="1AEE66EB"/>
    <w:rsid w:val="1B046F80"/>
    <w:rsid w:val="1B1776B7"/>
    <w:rsid w:val="1B2D13A5"/>
    <w:rsid w:val="1B2D6B48"/>
    <w:rsid w:val="1B3267B5"/>
    <w:rsid w:val="1B40161D"/>
    <w:rsid w:val="1B441859"/>
    <w:rsid w:val="1B48640A"/>
    <w:rsid w:val="1B5C6D19"/>
    <w:rsid w:val="1B5E7EC9"/>
    <w:rsid w:val="1B6606B1"/>
    <w:rsid w:val="1B6F1AEC"/>
    <w:rsid w:val="1BFB327B"/>
    <w:rsid w:val="1C1A68A9"/>
    <w:rsid w:val="1C246FE5"/>
    <w:rsid w:val="1C31495D"/>
    <w:rsid w:val="1C397F99"/>
    <w:rsid w:val="1C5E7925"/>
    <w:rsid w:val="1C896B8C"/>
    <w:rsid w:val="1CFD070F"/>
    <w:rsid w:val="1D532BBD"/>
    <w:rsid w:val="1D532FE8"/>
    <w:rsid w:val="1D5F6196"/>
    <w:rsid w:val="1D6132A5"/>
    <w:rsid w:val="1D6E3DEE"/>
    <w:rsid w:val="1D79779F"/>
    <w:rsid w:val="1D7A5DAB"/>
    <w:rsid w:val="1D8E56D5"/>
    <w:rsid w:val="1D950DDB"/>
    <w:rsid w:val="1D9C3202"/>
    <w:rsid w:val="1DB64CF3"/>
    <w:rsid w:val="1DCC7204"/>
    <w:rsid w:val="1DDF3E1F"/>
    <w:rsid w:val="1DFB2C63"/>
    <w:rsid w:val="1E03571A"/>
    <w:rsid w:val="1E1A1E1A"/>
    <w:rsid w:val="1E7A0A49"/>
    <w:rsid w:val="1E7A43DA"/>
    <w:rsid w:val="1EA013B1"/>
    <w:rsid w:val="1EBE7F7F"/>
    <w:rsid w:val="1ED16BB6"/>
    <w:rsid w:val="1F0009AD"/>
    <w:rsid w:val="1F0E5C90"/>
    <w:rsid w:val="1F1D3483"/>
    <w:rsid w:val="1F662788"/>
    <w:rsid w:val="1FA042C8"/>
    <w:rsid w:val="1FBA05D7"/>
    <w:rsid w:val="1FE7539E"/>
    <w:rsid w:val="1FF35406"/>
    <w:rsid w:val="20036095"/>
    <w:rsid w:val="201417C0"/>
    <w:rsid w:val="20671BE0"/>
    <w:rsid w:val="20673EC9"/>
    <w:rsid w:val="207D0E83"/>
    <w:rsid w:val="207D2334"/>
    <w:rsid w:val="20963CB8"/>
    <w:rsid w:val="2097538A"/>
    <w:rsid w:val="20A33719"/>
    <w:rsid w:val="20A81A1B"/>
    <w:rsid w:val="20A94011"/>
    <w:rsid w:val="20B07FB6"/>
    <w:rsid w:val="20B646FB"/>
    <w:rsid w:val="20F07605"/>
    <w:rsid w:val="210E046F"/>
    <w:rsid w:val="21282559"/>
    <w:rsid w:val="212C0693"/>
    <w:rsid w:val="213B74B1"/>
    <w:rsid w:val="214C341A"/>
    <w:rsid w:val="215A2310"/>
    <w:rsid w:val="21652E5D"/>
    <w:rsid w:val="218B2771"/>
    <w:rsid w:val="21D8337C"/>
    <w:rsid w:val="21DE318A"/>
    <w:rsid w:val="21E73721"/>
    <w:rsid w:val="21EF5B80"/>
    <w:rsid w:val="21F357E5"/>
    <w:rsid w:val="220035E3"/>
    <w:rsid w:val="22194411"/>
    <w:rsid w:val="2254650A"/>
    <w:rsid w:val="22576990"/>
    <w:rsid w:val="22C14BB2"/>
    <w:rsid w:val="22CE07AF"/>
    <w:rsid w:val="22D7169E"/>
    <w:rsid w:val="22DC1223"/>
    <w:rsid w:val="22F47480"/>
    <w:rsid w:val="23235535"/>
    <w:rsid w:val="235778C9"/>
    <w:rsid w:val="23601883"/>
    <w:rsid w:val="23C26977"/>
    <w:rsid w:val="23DE1C48"/>
    <w:rsid w:val="240210CD"/>
    <w:rsid w:val="241969FD"/>
    <w:rsid w:val="242163F6"/>
    <w:rsid w:val="24470323"/>
    <w:rsid w:val="245B6508"/>
    <w:rsid w:val="247742A8"/>
    <w:rsid w:val="24A86C72"/>
    <w:rsid w:val="24A94093"/>
    <w:rsid w:val="24BF09F7"/>
    <w:rsid w:val="24C63225"/>
    <w:rsid w:val="24CE79E3"/>
    <w:rsid w:val="24D118F2"/>
    <w:rsid w:val="24F116DB"/>
    <w:rsid w:val="252A2D3E"/>
    <w:rsid w:val="252D53FE"/>
    <w:rsid w:val="252E5528"/>
    <w:rsid w:val="256C1249"/>
    <w:rsid w:val="25766DCA"/>
    <w:rsid w:val="257C3F3B"/>
    <w:rsid w:val="25BE492E"/>
    <w:rsid w:val="25E31A73"/>
    <w:rsid w:val="25EC2D81"/>
    <w:rsid w:val="26244E6E"/>
    <w:rsid w:val="264152E6"/>
    <w:rsid w:val="26583579"/>
    <w:rsid w:val="2674607E"/>
    <w:rsid w:val="26771AFB"/>
    <w:rsid w:val="26A411A7"/>
    <w:rsid w:val="26AD4EA3"/>
    <w:rsid w:val="26B00779"/>
    <w:rsid w:val="26CC23FB"/>
    <w:rsid w:val="26F263D2"/>
    <w:rsid w:val="26FE5300"/>
    <w:rsid w:val="27191EA4"/>
    <w:rsid w:val="2727665C"/>
    <w:rsid w:val="27371802"/>
    <w:rsid w:val="274069B8"/>
    <w:rsid w:val="2745725E"/>
    <w:rsid w:val="274F63BF"/>
    <w:rsid w:val="277057A2"/>
    <w:rsid w:val="2775244E"/>
    <w:rsid w:val="27802801"/>
    <w:rsid w:val="28543BFB"/>
    <w:rsid w:val="285F0880"/>
    <w:rsid w:val="28A17440"/>
    <w:rsid w:val="28C7394C"/>
    <w:rsid w:val="28DF5FFF"/>
    <w:rsid w:val="28F33347"/>
    <w:rsid w:val="29206EB8"/>
    <w:rsid w:val="29257041"/>
    <w:rsid w:val="293A19E2"/>
    <w:rsid w:val="294B3362"/>
    <w:rsid w:val="29595666"/>
    <w:rsid w:val="29631FAF"/>
    <w:rsid w:val="29874881"/>
    <w:rsid w:val="299261FD"/>
    <w:rsid w:val="29A41358"/>
    <w:rsid w:val="29A47042"/>
    <w:rsid w:val="29B16D22"/>
    <w:rsid w:val="29DF1434"/>
    <w:rsid w:val="29E325E0"/>
    <w:rsid w:val="29F4186E"/>
    <w:rsid w:val="2A0C5906"/>
    <w:rsid w:val="2A401AB9"/>
    <w:rsid w:val="2A452503"/>
    <w:rsid w:val="2A632554"/>
    <w:rsid w:val="2A787DF9"/>
    <w:rsid w:val="2A796C9A"/>
    <w:rsid w:val="2A8810F6"/>
    <w:rsid w:val="2A9C0930"/>
    <w:rsid w:val="2AF42343"/>
    <w:rsid w:val="2B0022FD"/>
    <w:rsid w:val="2B0F1594"/>
    <w:rsid w:val="2B15636E"/>
    <w:rsid w:val="2B2B3713"/>
    <w:rsid w:val="2B816595"/>
    <w:rsid w:val="2B897BB1"/>
    <w:rsid w:val="2BA936A8"/>
    <w:rsid w:val="2BBA71B8"/>
    <w:rsid w:val="2BC24B16"/>
    <w:rsid w:val="2C242027"/>
    <w:rsid w:val="2C315A5A"/>
    <w:rsid w:val="2C320AD6"/>
    <w:rsid w:val="2C325750"/>
    <w:rsid w:val="2C3B065E"/>
    <w:rsid w:val="2C460E07"/>
    <w:rsid w:val="2C4B1C25"/>
    <w:rsid w:val="2C4E079F"/>
    <w:rsid w:val="2C870D6F"/>
    <w:rsid w:val="2CA35C80"/>
    <w:rsid w:val="2CA726D7"/>
    <w:rsid w:val="2CC161F1"/>
    <w:rsid w:val="2D167DF0"/>
    <w:rsid w:val="2D3E68CB"/>
    <w:rsid w:val="2D6B6B08"/>
    <w:rsid w:val="2D9C25BD"/>
    <w:rsid w:val="2D9C4D7A"/>
    <w:rsid w:val="2D9E56F5"/>
    <w:rsid w:val="2DC032D3"/>
    <w:rsid w:val="2DEC299E"/>
    <w:rsid w:val="2DF45CF7"/>
    <w:rsid w:val="2DF936BB"/>
    <w:rsid w:val="2DFB71AB"/>
    <w:rsid w:val="2E0E6461"/>
    <w:rsid w:val="2E667F96"/>
    <w:rsid w:val="2E8226AB"/>
    <w:rsid w:val="2E850F69"/>
    <w:rsid w:val="2E9D26F7"/>
    <w:rsid w:val="2ECD6035"/>
    <w:rsid w:val="2ECE5448"/>
    <w:rsid w:val="2EE1003F"/>
    <w:rsid w:val="2F012EC0"/>
    <w:rsid w:val="2F160D65"/>
    <w:rsid w:val="2F481C0E"/>
    <w:rsid w:val="2FBF6E79"/>
    <w:rsid w:val="2FD065E6"/>
    <w:rsid w:val="2FD96870"/>
    <w:rsid w:val="2FE70077"/>
    <w:rsid w:val="30070DFB"/>
    <w:rsid w:val="30177490"/>
    <w:rsid w:val="30320E5D"/>
    <w:rsid w:val="30486027"/>
    <w:rsid w:val="30580BC9"/>
    <w:rsid w:val="306553A6"/>
    <w:rsid w:val="30705C0A"/>
    <w:rsid w:val="307D39D5"/>
    <w:rsid w:val="30CA7326"/>
    <w:rsid w:val="31092C65"/>
    <w:rsid w:val="311E2ED7"/>
    <w:rsid w:val="31214CA0"/>
    <w:rsid w:val="315619EE"/>
    <w:rsid w:val="315C449C"/>
    <w:rsid w:val="31780282"/>
    <w:rsid w:val="318F6782"/>
    <w:rsid w:val="3199196C"/>
    <w:rsid w:val="31A055EE"/>
    <w:rsid w:val="31B82709"/>
    <w:rsid w:val="31D05482"/>
    <w:rsid w:val="31DD6B9F"/>
    <w:rsid w:val="32062204"/>
    <w:rsid w:val="320E71FA"/>
    <w:rsid w:val="32222E32"/>
    <w:rsid w:val="323255A3"/>
    <w:rsid w:val="323B0398"/>
    <w:rsid w:val="32400B34"/>
    <w:rsid w:val="32633AE5"/>
    <w:rsid w:val="329E6876"/>
    <w:rsid w:val="32B57FA8"/>
    <w:rsid w:val="32C63264"/>
    <w:rsid w:val="32EE42CA"/>
    <w:rsid w:val="333015F2"/>
    <w:rsid w:val="334B6320"/>
    <w:rsid w:val="335D51FA"/>
    <w:rsid w:val="3375618F"/>
    <w:rsid w:val="33A45AC9"/>
    <w:rsid w:val="33CB165A"/>
    <w:rsid w:val="33D934D4"/>
    <w:rsid w:val="33F64577"/>
    <w:rsid w:val="33FE2F6A"/>
    <w:rsid w:val="34043FD6"/>
    <w:rsid w:val="340E07E5"/>
    <w:rsid w:val="34235BF7"/>
    <w:rsid w:val="34337C98"/>
    <w:rsid w:val="34387664"/>
    <w:rsid w:val="343F21BC"/>
    <w:rsid w:val="344701F7"/>
    <w:rsid w:val="347D36C3"/>
    <w:rsid w:val="348249FB"/>
    <w:rsid w:val="348B6AE2"/>
    <w:rsid w:val="34927F8F"/>
    <w:rsid w:val="34961BCD"/>
    <w:rsid w:val="34AC2E87"/>
    <w:rsid w:val="34B91173"/>
    <w:rsid w:val="34E62566"/>
    <w:rsid w:val="34F81023"/>
    <w:rsid w:val="34FA0097"/>
    <w:rsid w:val="3505154F"/>
    <w:rsid w:val="35361C8B"/>
    <w:rsid w:val="35426182"/>
    <w:rsid w:val="355A3A93"/>
    <w:rsid w:val="355A50D1"/>
    <w:rsid w:val="35737A16"/>
    <w:rsid w:val="358C5FA8"/>
    <w:rsid w:val="35A515C3"/>
    <w:rsid w:val="35C15DF1"/>
    <w:rsid w:val="35D97C71"/>
    <w:rsid w:val="35EA097B"/>
    <w:rsid w:val="35F47768"/>
    <w:rsid w:val="36047545"/>
    <w:rsid w:val="36074A7F"/>
    <w:rsid w:val="363362C0"/>
    <w:rsid w:val="363F5192"/>
    <w:rsid w:val="365D176C"/>
    <w:rsid w:val="36737514"/>
    <w:rsid w:val="36771EF2"/>
    <w:rsid w:val="368D2B22"/>
    <w:rsid w:val="36923549"/>
    <w:rsid w:val="36A13C6F"/>
    <w:rsid w:val="36B75FBF"/>
    <w:rsid w:val="36BD0C45"/>
    <w:rsid w:val="370B422E"/>
    <w:rsid w:val="370D7960"/>
    <w:rsid w:val="37300450"/>
    <w:rsid w:val="373024A0"/>
    <w:rsid w:val="37575688"/>
    <w:rsid w:val="376F22D0"/>
    <w:rsid w:val="377E41F3"/>
    <w:rsid w:val="37A07D99"/>
    <w:rsid w:val="37E00298"/>
    <w:rsid w:val="38075F21"/>
    <w:rsid w:val="380F1CC9"/>
    <w:rsid w:val="3818377D"/>
    <w:rsid w:val="381C1D45"/>
    <w:rsid w:val="386951B1"/>
    <w:rsid w:val="387951F1"/>
    <w:rsid w:val="387E3E43"/>
    <w:rsid w:val="388822E0"/>
    <w:rsid w:val="389900B7"/>
    <w:rsid w:val="38AC2B44"/>
    <w:rsid w:val="38B302F9"/>
    <w:rsid w:val="38BB6BBB"/>
    <w:rsid w:val="38BD7B05"/>
    <w:rsid w:val="38EE16D0"/>
    <w:rsid w:val="38F12CD3"/>
    <w:rsid w:val="38F94775"/>
    <w:rsid w:val="390325BF"/>
    <w:rsid w:val="392971ED"/>
    <w:rsid w:val="39325651"/>
    <w:rsid w:val="39AD1758"/>
    <w:rsid w:val="39EF1538"/>
    <w:rsid w:val="39FD2B3A"/>
    <w:rsid w:val="3A07396C"/>
    <w:rsid w:val="3A091B69"/>
    <w:rsid w:val="3A125E82"/>
    <w:rsid w:val="3A252268"/>
    <w:rsid w:val="3A433254"/>
    <w:rsid w:val="3A715710"/>
    <w:rsid w:val="3A7E73C2"/>
    <w:rsid w:val="3A872856"/>
    <w:rsid w:val="3A8B5FB7"/>
    <w:rsid w:val="3A995BC6"/>
    <w:rsid w:val="3AB17194"/>
    <w:rsid w:val="3ABB5ACB"/>
    <w:rsid w:val="3AC06E43"/>
    <w:rsid w:val="3ADF0874"/>
    <w:rsid w:val="3B1162B8"/>
    <w:rsid w:val="3B182029"/>
    <w:rsid w:val="3B2F3691"/>
    <w:rsid w:val="3B3015A7"/>
    <w:rsid w:val="3B3763D1"/>
    <w:rsid w:val="3B3A411D"/>
    <w:rsid w:val="3B4E6A3A"/>
    <w:rsid w:val="3B784C78"/>
    <w:rsid w:val="3B8C52F3"/>
    <w:rsid w:val="3B97132B"/>
    <w:rsid w:val="3B9A17DD"/>
    <w:rsid w:val="3B9C4E6C"/>
    <w:rsid w:val="3BB608B0"/>
    <w:rsid w:val="3BC6410C"/>
    <w:rsid w:val="3BE74760"/>
    <w:rsid w:val="3BE94B6D"/>
    <w:rsid w:val="3C2F1DF2"/>
    <w:rsid w:val="3C2F6E1E"/>
    <w:rsid w:val="3C4F64BA"/>
    <w:rsid w:val="3CAD79E1"/>
    <w:rsid w:val="3CC20C3D"/>
    <w:rsid w:val="3CDA245A"/>
    <w:rsid w:val="3CEA0B0D"/>
    <w:rsid w:val="3CFF78A7"/>
    <w:rsid w:val="3D1A0D8B"/>
    <w:rsid w:val="3D1E06B7"/>
    <w:rsid w:val="3D2E30BF"/>
    <w:rsid w:val="3D35362E"/>
    <w:rsid w:val="3D73307D"/>
    <w:rsid w:val="3D7C7697"/>
    <w:rsid w:val="3DA156AD"/>
    <w:rsid w:val="3DB50F96"/>
    <w:rsid w:val="3DBE075E"/>
    <w:rsid w:val="3DC303AE"/>
    <w:rsid w:val="3DC42EE1"/>
    <w:rsid w:val="3DCE504B"/>
    <w:rsid w:val="3DE95F97"/>
    <w:rsid w:val="3DED0CBD"/>
    <w:rsid w:val="3E1408A7"/>
    <w:rsid w:val="3E172E6A"/>
    <w:rsid w:val="3E1B0F86"/>
    <w:rsid w:val="3E1E39B7"/>
    <w:rsid w:val="3E2110F7"/>
    <w:rsid w:val="3E2B53CA"/>
    <w:rsid w:val="3E3E1F0D"/>
    <w:rsid w:val="3E547BBC"/>
    <w:rsid w:val="3E5D2AFE"/>
    <w:rsid w:val="3E622A44"/>
    <w:rsid w:val="3E761E57"/>
    <w:rsid w:val="3ECA7E08"/>
    <w:rsid w:val="3ECE6408"/>
    <w:rsid w:val="3EDA0523"/>
    <w:rsid w:val="3EFC3592"/>
    <w:rsid w:val="3EFC617F"/>
    <w:rsid w:val="3EFD4CCD"/>
    <w:rsid w:val="3F045A24"/>
    <w:rsid w:val="3F5C7698"/>
    <w:rsid w:val="3F5D67A4"/>
    <w:rsid w:val="3F6B6856"/>
    <w:rsid w:val="3F6B7640"/>
    <w:rsid w:val="3F9577B3"/>
    <w:rsid w:val="3FA272BC"/>
    <w:rsid w:val="3FB15A90"/>
    <w:rsid w:val="3FB52963"/>
    <w:rsid w:val="3FCC4626"/>
    <w:rsid w:val="3FD37E62"/>
    <w:rsid w:val="3FD5085C"/>
    <w:rsid w:val="3FE76ED4"/>
    <w:rsid w:val="3FF129FC"/>
    <w:rsid w:val="400F3347"/>
    <w:rsid w:val="403C427B"/>
    <w:rsid w:val="404A0A6B"/>
    <w:rsid w:val="40676B45"/>
    <w:rsid w:val="40775665"/>
    <w:rsid w:val="407A6407"/>
    <w:rsid w:val="407C5533"/>
    <w:rsid w:val="40834EAB"/>
    <w:rsid w:val="409B6EB1"/>
    <w:rsid w:val="40B94E3F"/>
    <w:rsid w:val="40BF567F"/>
    <w:rsid w:val="40C909BD"/>
    <w:rsid w:val="40DE6951"/>
    <w:rsid w:val="410A21CB"/>
    <w:rsid w:val="410F350B"/>
    <w:rsid w:val="41160002"/>
    <w:rsid w:val="413C37F3"/>
    <w:rsid w:val="41452699"/>
    <w:rsid w:val="415B1108"/>
    <w:rsid w:val="418F182C"/>
    <w:rsid w:val="41A75040"/>
    <w:rsid w:val="41BD2B78"/>
    <w:rsid w:val="41DA3076"/>
    <w:rsid w:val="41FD007A"/>
    <w:rsid w:val="41FE3294"/>
    <w:rsid w:val="4200449D"/>
    <w:rsid w:val="421D7172"/>
    <w:rsid w:val="42211E51"/>
    <w:rsid w:val="42326C07"/>
    <w:rsid w:val="423A3BCC"/>
    <w:rsid w:val="424E57D2"/>
    <w:rsid w:val="425F43F5"/>
    <w:rsid w:val="42904C16"/>
    <w:rsid w:val="42A22B21"/>
    <w:rsid w:val="42B26C49"/>
    <w:rsid w:val="42BB69A8"/>
    <w:rsid w:val="42CB4CBD"/>
    <w:rsid w:val="42E41A9F"/>
    <w:rsid w:val="43013F3D"/>
    <w:rsid w:val="430175DF"/>
    <w:rsid w:val="432A4192"/>
    <w:rsid w:val="433A6FE6"/>
    <w:rsid w:val="43480868"/>
    <w:rsid w:val="4350713C"/>
    <w:rsid w:val="43520179"/>
    <w:rsid w:val="435E4A9F"/>
    <w:rsid w:val="435E7B58"/>
    <w:rsid w:val="436653E0"/>
    <w:rsid w:val="438A1B26"/>
    <w:rsid w:val="43C15606"/>
    <w:rsid w:val="43C4431A"/>
    <w:rsid w:val="43D201DB"/>
    <w:rsid w:val="43E10CD3"/>
    <w:rsid w:val="43F35D2C"/>
    <w:rsid w:val="43F635A4"/>
    <w:rsid w:val="43F86B48"/>
    <w:rsid w:val="4400654D"/>
    <w:rsid w:val="440C71D0"/>
    <w:rsid w:val="44166D8D"/>
    <w:rsid w:val="44331C74"/>
    <w:rsid w:val="445C6678"/>
    <w:rsid w:val="44667F65"/>
    <w:rsid w:val="448434AC"/>
    <w:rsid w:val="449776B0"/>
    <w:rsid w:val="44B951CC"/>
    <w:rsid w:val="44BB52A7"/>
    <w:rsid w:val="44C0585A"/>
    <w:rsid w:val="44CD14E0"/>
    <w:rsid w:val="44E3034C"/>
    <w:rsid w:val="44F20B0B"/>
    <w:rsid w:val="450659B6"/>
    <w:rsid w:val="452E5F4C"/>
    <w:rsid w:val="454B08D0"/>
    <w:rsid w:val="45583822"/>
    <w:rsid w:val="455C1FDD"/>
    <w:rsid w:val="456078ED"/>
    <w:rsid w:val="45612018"/>
    <w:rsid w:val="458946E9"/>
    <w:rsid w:val="45A47C0E"/>
    <w:rsid w:val="45D1568E"/>
    <w:rsid w:val="45D7598E"/>
    <w:rsid w:val="45DB1DB6"/>
    <w:rsid w:val="46577FD6"/>
    <w:rsid w:val="466D170C"/>
    <w:rsid w:val="46780006"/>
    <w:rsid w:val="467918FA"/>
    <w:rsid w:val="469F0717"/>
    <w:rsid w:val="46AF433D"/>
    <w:rsid w:val="46D25219"/>
    <w:rsid w:val="46D955A7"/>
    <w:rsid w:val="46DB30D4"/>
    <w:rsid w:val="47080638"/>
    <w:rsid w:val="47133957"/>
    <w:rsid w:val="471540C0"/>
    <w:rsid w:val="47397A7A"/>
    <w:rsid w:val="47482EE3"/>
    <w:rsid w:val="47A07E0C"/>
    <w:rsid w:val="47A364E0"/>
    <w:rsid w:val="47DE24B1"/>
    <w:rsid w:val="47FE68B2"/>
    <w:rsid w:val="48085852"/>
    <w:rsid w:val="48237756"/>
    <w:rsid w:val="483A212F"/>
    <w:rsid w:val="48475265"/>
    <w:rsid w:val="48556F43"/>
    <w:rsid w:val="486557F1"/>
    <w:rsid w:val="4870272E"/>
    <w:rsid w:val="48E250D6"/>
    <w:rsid w:val="48E374F8"/>
    <w:rsid w:val="48F75936"/>
    <w:rsid w:val="49207E02"/>
    <w:rsid w:val="49234FAE"/>
    <w:rsid w:val="493658EA"/>
    <w:rsid w:val="499F220D"/>
    <w:rsid w:val="49DC7715"/>
    <w:rsid w:val="4A023139"/>
    <w:rsid w:val="4A382B66"/>
    <w:rsid w:val="4A49297A"/>
    <w:rsid w:val="4A670BD3"/>
    <w:rsid w:val="4A6E0EA9"/>
    <w:rsid w:val="4A7B576F"/>
    <w:rsid w:val="4A7D0FF5"/>
    <w:rsid w:val="4A7F50FE"/>
    <w:rsid w:val="4A904D5C"/>
    <w:rsid w:val="4A994B0B"/>
    <w:rsid w:val="4AAD6477"/>
    <w:rsid w:val="4AF2064D"/>
    <w:rsid w:val="4AF561A9"/>
    <w:rsid w:val="4B8C2BC3"/>
    <w:rsid w:val="4B9B010E"/>
    <w:rsid w:val="4BA257B6"/>
    <w:rsid w:val="4BA87C76"/>
    <w:rsid w:val="4BB916AE"/>
    <w:rsid w:val="4BCC1255"/>
    <w:rsid w:val="4BE30501"/>
    <w:rsid w:val="4BEC5CD9"/>
    <w:rsid w:val="4C4A0649"/>
    <w:rsid w:val="4C5B0F59"/>
    <w:rsid w:val="4C605D30"/>
    <w:rsid w:val="4C7E5ECA"/>
    <w:rsid w:val="4C876AA5"/>
    <w:rsid w:val="4C892779"/>
    <w:rsid w:val="4CB774AA"/>
    <w:rsid w:val="4CF3657E"/>
    <w:rsid w:val="4CFA5248"/>
    <w:rsid w:val="4D0E00FB"/>
    <w:rsid w:val="4D176606"/>
    <w:rsid w:val="4D5327DA"/>
    <w:rsid w:val="4D636F6C"/>
    <w:rsid w:val="4D702720"/>
    <w:rsid w:val="4D7F7AA4"/>
    <w:rsid w:val="4D9C49AD"/>
    <w:rsid w:val="4DA91FC2"/>
    <w:rsid w:val="4DC34EEC"/>
    <w:rsid w:val="4DDA51B7"/>
    <w:rsid w:val="4DEC4FB0"/>
    <w:rsid w:val="4E075D8A"/>
    <w:rsid w:val="4E6D1482"/>
    <w:rsid w:val="4EC00FAD"/>
    <w:rsid w:val="4ECD4E02"/>
    <w:rsid w:val="4F65461B"/>
    <w:rsid w:val="4F733F43"/>
    <w:rsid w:val="4F772679"/>
    <w:rsid w:val="4F922981"/>
    <w:rsid w:val="4F98046C"/>
    <w:rsid w:val="4F9843DC"/>
    <w:rsid w:val="4FC62A8C"/>
    <w:rsid w:val="4FD20760"/>
    <w:rsid w:val="4FD37A4B"/>
    <w:rsid w:val="4FDA148B"/>
    <w:rsid w:val="4FE20F0D"/>
    <w:rsid w:val="4FE51552"/>
    <w:rsid w:val="4FF01FA5"/>
    <w:rsid w:val="501F4D4B"/>
    <w:rsid w:val="5030251E"/>
    <w:rsid w:val="50504C4B"/>
    <w:rsid w:val="50565D8E"/>
    <w:rsid w:val="50926150"/>
    <w:rsid w:val="50970476"/>
    <w:rsid w:val="509C6E7C"/>
    <w:rsid w:val="50CC1EDC"/>
    <w:rsid w:val="50D55155"/>
    <w:rsid w:val="513E0AF8"/>
    <w:rsid w:val="514C286B"/>
    <w:rsid w:val="514D6C3D"/>
    <w:rsid w:val="5162104E"/>
    <w:rsid w:val="51677D17"/>
    <w:rsid w:val="51B9038F"/>
    <w:rsid w:val="51D81308"/>
    <w:rsid w:val="51DB3C85"/>
    <w:rsid w:val="51F64168"/>
    <w:rsid w:val="521214B2"/>
    <w:rsid w:val="52342E72"/>
    <w:rsid w:val="523A1C81"/>
    <w:rsid w:val="52452FFB"/>
    <w:rsid w:val="52573454"/>
    <w:rsid w:val="52646386"/>
    <w:rsid w:val="526C6E83"/>
    <w:rsid w:val="52885EA9"/>
    <w:rsid w:val="52A16F1E"/>
    <w:rsid w:val="52AF490C"/>
    <w:rsid w:val="52B253C3"/>
    <w:rsid w:val="52D042D6"/>
    <w:rsid w:val="52E25435"/>
    <w:rsid w:val="530D5E17"/>
    <w:rsid w:val="53265D23"/>
    <w:rsid w:val="532F6B41"/>
    <w:rsid w:val="53A039CC"/>
    <w:rsid w:val="53A1505A"/>
    <w:rsid w:val="53B04F88"/>
    <w:rsid w:val="53C31728"/>
    <w:rsid w:val="53CA5F8F"/>
    <w:rsid w:val="53FC12DE"/>
    <w:rsid w:val="54063E08"/>
    <w:rsid w:val="542C1091"/>
    <w:rsid w:val="543437E8"/>
    <w:rsid w:val="548D3B82"/>
    <w:rsid w:val="54F41457"/>
    <w:rsid w:val="54F73313"/>
    <w:rsid w:val="54F80955"/>
    <w:rsid w:val="555170A7"/>
    <w:rsid w:val="555E2372"/>
    <w:rsid w:val="55726CCF"/>
    <w:rsid w:val="5587536D"/>
    <w:rsid w:val="559B174B"/>
    <w:rsid w:val="55A17529"/>
    <w:rsid w:val="55A37F33"/>
    <w:rsid w:val="55A94079"/>
    <w:rsid w:val="55CE0CF4"/>
    <w:rsid w:val="55FE1022"/>
    <w:rsid w:val="560C107C"/>
    <w:rsid w:val="562B5616"/>
    <w:rsid w:val="564725B8"/>
    <w:rsid w:val="56897E3E"/>
    <w:rsid w:val="5690660F"/>
    <w:rsid w:val="56923826"/>
    <w:rsid w:val="56B12FB3"/>
    <w:rsid w:val="56B22A9C"/>
    <w:rsid w:val="56E03CA3"/>
    <w:rsid w:val="571711F5"/>
    <w:rsid w:val="57496B02"/>
    <w:rsid w:val="57B72A76"/>
    <w:rsid w:val="57C3426C"/>
    <w:rsid w:val="57CE1F93"/>
    <w:rsid w:val="57DA56C2"/>
    <w:rsid w:val="57DD1D77"/>
    <w:rsid w:val="57E10B0D"/>
    <w:rsid w:val="58022877"/>
    <w:rsid w:val="58171126"/>
    <w:rsid w:val="582F032E"/>
    <w:rsid w:val="582F4551"/>
    <w:rsid w:val="586773FD"/>
    <w:rsid w:val="588743D1"/>
    <w:rsid w:val="5887701A"/>
    <w:rsid w:val="58990E25"/>
    <w:rsid w:val="58AE5144"/>
    <w:rsid w:val="58EC40D1"/>
    <w:rsid w:val="591E0962"/>
    <w:rsid w:val="59715650"/>
    <w:rsid w:val="599A2568"/>
    <w:rsid w:val="59A52B32"/>
    <w:rsid w:val="59C0439F"/>
    <w:rsid w:val="59D87097"/>
    <w:rsid w:val="59EC2E3A"/>
    <w:rsid w:val="59F831A1"/>
    <w:rsid w:val="59FF4807"/>
    <w:rsid w:val="5A0010FF"/>
    <w:rsid w:val="5A34208A"/>
    <w:rsid w:val="5A434FC5"/>
    <w:rsid w:val="5A530F2B"/>
    <w:rsid w:val="5A5A5500"/>
    <w:rsid w:val="5A770048"/>
    <w:rsid w:val="5A9D4E9D"/>
    <w:rsid w:val="5AA14B17"/>
    <w:rsid w:val="5AAF3A59"/>
    <w:rsid w:val="5ABE2233"/>
    <w:rsid w:val="5AFD73BB"/>
    <w:rsid w:val="5B062133"/>
    <w:rsid w:val="5B2F5A0D"/>
    <w:rsid w:val="5B422668"/>
    <w:rsid w:val="5B502E54"/>
    <w:rsid w:val="5B5C50E0"/>
    <w:rsid w:val="5B723EC9"/>
    <w:rsid w:val="5B925F1E"/>
    <w:rsid w:val="5BBB6CE1"/>
    <w:rsid w:val="5BC95C02"/>
    <w:rsid w:val="5BDF5D95"/>
    <w:rsid w:val="5BF27226"/>
    <w:rsid w:val="5BF64864"/>
    <w:rsid w:val="5BF73DBC"/>
    <w:rsid w:val="5BFE7528"/>
    <w:rsid w:val="5C16605E"/>
    <w:rsid w:val="5C3B36FA"/>
    <w:rsid w:val="5C492AA4"/>
    <w:rsid w:val="5C5E382C"/>
    <w:rsid w:val="5CD0318D"/>
    <w:rsid w:val="5D0979C5"/>
    <w:rsid w:val="5D1A0D00"/>
    <w:rsid w:val="5D360C37"/>
    <w:rsid w:val="5D391002"/>
    <w:rsid w:val="5D4147FF"/>
    <w:rsid w:val="5D57066A"/>
    <w:rsid w:val="5D6C72B5"/>
    <w:rsid w:val="5D8C000C"/>
    <w:rsid w:val="5DC046F8"/>
    <w:rsid w:val="5DD444BB"/>
    <w:rsid w:val="5DD5196F"/>
    <w:rsid w:val="5DDB44BD"/>
    <w:rsid w:val="5E2467F1"/>
    <w:rsid w:val="5E313A3A"/>
    <w:rsid w:val="5E822DB8"/>
    <w:rsid w:val="5E8C6115"/>
    <w:rsid w:val="5EB31921"/>
    <w:rsid w:val="5EBB264C"/>
    <w:rsid w:val="5EBC2DED"/>
    <w:rsid w:val="5ECA594A"/>
    <w:rsid w:val="5ED92B67"/>
    <w:rsid w:val="5EDD305D"/>
    <w:rsid w:val="5EF027B6"/>
    <w:rsid w:val="5EFC2EBB"/>
    <w:rsid w:val="5F066BA7"/>
    <w:rsid w:val="5F1A2B43"/>
    <w:rsid w:val="5F9C1129"/>
    <w:rsid w:val="5F9D0DD0"/>
    <w:rsid w:val="5FA9230C"/>
    <w:rsid w:val="5FAE12FA"/>
    <w:rsid w:val="5FB837BB"/>
    <w:rsid w:val="5FCF7785"/>
    <w:rsid w:val="5FF008E4"/>
    <w:rsid w:val="60000246"/>
    <w:rsid w:val="600B31A3"/>
    <w:rsid w:val="601A0B8F"/>
    <w:rsid w:val="601F78AB"/>
    <w:rsid w:val="60273873"/>
    <w:rsid w:val="60493139"/>
    <w:rsid w:val="60553B0E"/>
    <w:rsid w:val="605B5BEF"/>
    <w:rsid w:val="607802C3"/>
    <w:rsid w:val="607E307A"/>
    <w:rsid w:val="60A861E2"/>
    <w:rsid w:val="60CC405A"/>
    <w:rsid w:val="60E36BB1"/>
    <w:rsid w:val="60F90953"/>
    <w:rsid w:val="61315153"/>
    <w:rsid w:val="61624BE8"/>
    <w:rsid w:val="617D4359"/>
    <w:rsid w:val="61807F8E"/>
    <w:rsid w:val="61812E22"/>
    <w:rsid w:val="61817AC3"/>
    <w:rsid w:val="61DE2A4A"/>
    <w:rsid w:val="61DE2DCC"/>
    <w:rsid w:val="61E215D8"/>
    <w:rsid w:val="621B3775"/>
    <w:rsid w:val="621C14A6"/>
    <w:rsid w:val="621E2D67"/>
    <w:rsid w:val="62216BE4"/>
    <w:rsid w:val="62364782"/>
    <w:rsid w:val="62480FE5"/>
    <w:rsid w:val="62727328"/>
    <w:rsid w:val="62BE016A"/>
    <w:rsid w:val="62E02A69"/>
    <w:rsid w:val="62E56C10"/>
    <w:rsid w:val="63045009"/>
    <w:rsid w:val="63303487"/>
    <w:rsid w:val="63744A35"/>
    <w:rsid w:val="638F2BB1"/>
    <w:rsid w:val="6394356A"/>
    <w:rsid w:val="639767FA"/>
    <w:rsid w:val="639D0006"/>
    <w:rsid w:val="63C61B2C"/>
    <w:rsid w:val="63C91227"/>
    <w:rsid w:val="63D40BE9"/>
    <w:rsid w:val="63D444EF"/>
    <w:rsid w:val="63D64A95"/>
    <w:rsid w:val="64102431"/>
    <w:rsid w:val="6418362A"/>
    <w:rsid w:val="641C108D"/>
    <w:rsid w:val="647F53FD"/>
    <w:rsid w:val="648E293B"/>
    <w:rsid w:val="64986A4E"/>
    <w:rsid w:val="64A5243A"/>
    <w:rsid w:val="64BB7F95"/>
    <w:rsid w:val="64BE2D62"/>
    <w:rsid w:val="64CA2AAA"/>
    <w:rsid w:val="64F531DE"/>
    <w:rsid w:val="6510145A"/>
    <w:rsid w:val="65373578"/>
    <w:rsid w:val="654F52BC"/>
    <w:rsid w:val="655B3933"/>
    <w:rsid w:val="6571571F"/>
    <w:rsid w:val="657D0D57"/>
    <w:rsid w:val="65ED4F53"/>
    <w:rsid w:val="65F53DDF"/>
    <w:rsid w:val="65FC1031"/>
    <w:rsid w:val="661943D3"/>
    <w:rsid w:val="664F3B2E"/>
    <w:rsid w:val="66524A62"/>
    <w:rsid w:val="66695CAE"/>
    <w:rsid w:val="66BC0F09"/>
    <w:rsid w:val="670A7173"/>
    <w:rsid w:val="671F124A"/>
    <w:rsid w:val="67307DB3"/>
    <w:rsid w:val="673A67FC"/>
    <w:rsid w:val="674B24A1"/>
    <w:rsid w:val="67744AF6"/>
    <w:rsid w:val="67790D6D"/>
    <w:rsid w:val="677A33C6"/>
    <w:rsid w:val="678C5B11"/>
    <w:rsid w:val="67A07363"/>
    <w:rsid w:val="67AC7944"/>
    <w:rsid w:val="67D07A8B"/>
    <w:rsid w:val="68133F70"/>
    <w:rsid w:val="681F6961"/>
    <w:rsid w:val="68292EB7"/>
    <w:rsid w:val="683F43F2"/>
    <w:rsid w:val="68406A11"/>
    <w:rsid w:val="685309F9"/>
    <w:rsid w:val="68610A2F"/>
    <w:rsid w:val="686E15D3"/>
    <w:rsid w:val="68805514"/>
    <w:rsid w:val="68875B93"/>
    <w:rsid w:val="68B357E4"/>
    <w:rsid w:val="68C6476A"/>
    <w:rsid w:val="68EE71A0"/>
    <w:rsid w:val="690127F7"/>
    <w:rsid w:val="69080143"/>
    <w:rsid w:val="69316E2F"/>
    <w:rsid w:val="6937185C"/>
    <w:rsid w:val="693C6D41"/>
    <w:rsid w:val="69425EB8"/>
    <w:rsid w:val="69446B26"/>
    <w:rsid w:val="69451FB3"/>
    <w:rsid w:val="694E2071"/>
    <w:rsid w:val="696C720C"/>
    <w:rsid w:val="69766163"/>
    <w:rsid w:val="697A3B33"/>
    <w:rsid w:val="698B56DD"/>
    <w:rsid w:val="69AA62F9"/>
    <w:rsid w:val="69BA63BB"/>
    <w:rsid w:val="69D44760"/>
    <w:rsid w:val="69DD14E7"/>
    <w:rsid w:val="69E50350"/>
    <w:rsid w:val="69EA352F"/>
    <w:rsid w:val="69EE730B"/>
    <w:rsid w:val="69F03A17"/>
    <w:rsid w:val="6A056424"/>
    <w:rsid w:val="6A1E0E2E"/>
    <w:rsid w:val="6A1F1066"/>
    <w:rsid w:val="6A520EC7"/>
    <w:rsid w:val="6A563D2A"/>
    <w:rsid w:val="6A577C5F"/>
    <w:rsid w:val="6A5E4190"/>
    <w:rsid w:val="6A632297"/>
    <w:rsid w:val="6AA53B96"/>
    <w:rsid w:val="6AD01088"/>
    <w:rsid w:val="6AE055D0"/>
    <w:rsid w:val="6AE45F73"/>
    <w:rsid w:val="6AF87E20"/>
    <w:rsid w:val="6AFA2F59"/>
    <w:rsid w:val="6B322639"/>
    <w:rsid w:val="6B4A46EC"/>
    <w:rsid w:val="6B5E1AE2"/>
    <w:rsid w:val="6B7A229D"/>
    <w:rsid w:val="6B7B7335"/>
    <w:rsid w:val="6B9A6814"/>
    <w:rsid w:val="6B9F4261"/>
    <w:rsid w:val="6BBF1117"/>
    <w:rsid w:val="6BC42475"/>
    <w:rsid w:val="6BD3052F"/>
    <w:rsid w:val="6BD917AD"/>
    <w:rsid w:val="6BE93729"/>
    <w:rsid w:val="6C0424B3"/>
    <w:rsid w:val="6C0C1731"/>
    <w:rsid w:val="6C0C4E6C"/>
    <w:rsid w:val="6C1828AC"/>
    <w:rsid w:val="6C423C9A"/>
    <w:rsid w:val="6C636C38"/>
    <w:rsid w:val="6C874E3A"/>
    <w:rsid w:val="6C8A7C72"/>
    <w:rsid w:val="6CDA0016"/>
    <w:rsid w:val="6D2C4752"/>
    <w:rsid w:val="6D366156"/>
    <w:rsid w:val="6D387154"/>
    <w:rsid w:val="6D49753E"/>
    <w:rsid w:val="6D5B3B67"/>
    <w:rsid w:val="6D98174A"/>
    <w:rsid w:val="6D9C0FE4"/>
    <w:rsid w:val="6DB34098"/>
    <w:rsid w:val="6DB545B6"/>
    <w:rsid w:val="6DB80F18"/>
    <w:rsid w:val="6DBB6006"/>
    <w:rsid w:val="6DE02FB4"/>
    <w:rsid w:val="6DF81C3C"/>
    <w:rsid w:val="6E036EF0"/>
    <w:rsid w:val="6E0914B7"/>
    <w:rsid w:val="6E151C0C"/>
    <w:rsid w:val="6E186D66"/>
    <w:rsid w:val="6E3C0C57"/>
    <w:rsid w:val="6E514CED"/>
    <w:rsid w:val="6E753173"/>
    <w:rsid w:val="6E7D59C3"/>
    <w:rsid w:val="6EB06470"/>
    <w:rsid w:val="6EB563D5"/>
    <w:rsid w:val="6EC46FB6"/>
    <w:rsid w:val="6EC47516"/>
    <w:rsid w:val="6EC67CAE"/>
    <w:rsid w:val="6ECB4607"/>
    <w:rsid w:val="6ED92677"/>
    <w:rsid w:val="6EE7269E"/>
    <w:rsid w:val="6F0D0CA0"/>
    <w:rsid w:val="6F1C4892"/>
    <w:rsid w:val="6F20654B"/>
    <w:rsid w:val="6F225983"/>
    <w:rsid w:val="6F4670CC"/>
    <w:rsid w:val="6F7042AA"/>
    <w:rsid w:val="6F7852CD"/>
    <w:rsid w:val="6F8D68EB"/>
    <w:rsid w:val="6F9B0F7B"/>
    <w:rsid w:val="6F9C52CB"/>
    <w:rsid w:val="6FB32FC5"/>
    <w:rsid w:val="6FBF33C1"/>
    <w:rsid w:val="6FCA4A24"/>
    <w:rsid w:val="6FFC5590"/>
    <w:rsid w:val="6FFE5FBD"/>
    <w:rsid w:val="70446E84"/>
    <w:rsid w:val="70581278"/>
    <w:rsid w:val="706D1DD0"/>
    <w:rsid w:val="70856B87"/>
    <w:rsid w:val="70D527EE"/>
    <w:rsid w:val="70F801C2"/>
    <w:rsid w:val="715B5300"/>
    <w:rsid w:val="716C249A"/>
    <w:rsid w:val="718F78CC"/>
    <w:rsid w:val="71950224"/>
    <w:rsid w:val="71D27F8A"/>
    <w:rsid w:val="71D6441E"/>
    <w:rsid w:val="71FB1BB0"/>
    <w:rsid w:val="720C40E8"/>
    <w:rsid w:val="720C498A"/>
    <w:rsid w:val="720D3969"/>
    <w:rsid w:val="72101395"/>
    <w:rsid w:val="72252AE6"/>
    <w:rsid w:val="72437A53"/>
    <w:rsid w:val="724A77F4"/>
    <w:rsid w:val="72553024"/>
    <w:rsid w:val="728344E1"/>
    <w:rsid w:val="728C63BC"/>
    <w:rsid w:val="729341E8"/>
    <w:rsid w:val="72DD511F"/>
    <w:rsid w:val="72F46FE8"/>
    <w:rsid w:val="730D0026"/>
    <w:rsid w:val="73122968"/>
    <w:rsid w:val="73125A57"/>
    <w:rsid w:val="731F5D5E"/>
    <w:rsid w:val="73433161"/>
    <w:rsid w:val="735932F6"/>
    <w:rsid w:val="737C5EAE"/>
    <w:rsid w:val="738857E9"/>
    <w:rsid w:val="73915521"/>
    <w:rsid w:val="73C51AD5"/>
    <w:rsid w:val="73D135AA"/>
    <w:rsid w:val="73DE5B04"/>
    <w:rsid w:val="740F6F8D"/>
    <w:rsid w:val="741528DE"/>
    <w:rsid w:val="74183C6E"/>
    <w:rsid w:val="741E793C"/>
    <w:rsid w:val="7446271D"/>
    <w:rsid w:val="74513CA5"/>
    <w:rsid w:val="74545E0E"/>
    <w:rsid w:val="745E3944"/>
    <w:rsid w:val="746165E7"/>
    <w:rsid w:val="74646A55"/>
    <w:rsid w:val="74675EA7"/>
    <w:rsid w:val="746A3CF3"/>
    <w:rsid w:val="746A42D1"/>
    <w:rsid w:val="7485195A"/>
    <w:rsid w:val="74B20B7E"/>
    <w:rsid w:val="74B53E8C"/>
    <w:rsid w:val="74CB091A"/>
    <w:rsid w:val="74CC0400"/>
    <w:rsid w:val="75064DB2"/>
    <w:rsid w:val="750D3EA9"/>
    <w:rsid w:val="754921FB"/>
    <w:rsid w:val="75531E20"/>
    <w:rsid w:val="757B1CF8"/>
    <w:rsid w:val="759B0924"/>
    <w:rsid w:val="75B90250"/>
    <w:rsid w:val="75DA7183"/>
    <w:rsid w:val="761224B0"/>
    <w:rsid w:val="7616249B"/>
    <w:rsid w:val="76181333"/>
    <w:rsid w:val="761B0BAF"/>
    <w:rsid w:val="7635099D"/>
    <w:rsid w:val="76573772"/>
    <w:rsid w:val="765F51AF"/>
    <w:rsid w:val="766F7A77"/>
    <w:rsid w:val="769E5DCD"/>
    <w:rsid w:val="76AD7903"/>
    <w:rsid w:val="76B33626"/>
    <w:rsid w:val="76BD5DA4"/>
    <w:rsid w:val="76CE53FD"/>
    <w:rsid w:val="76E1367D"/>
    <w:rsid w:val="77040325"/>
    <w:rsid w:val="772053BE"/>
    <w:rsid w:val="775A7C20"/>
    <w:rsid w:val="77606A65"/>
    <w:rsid w:val="776F6BAC"/>
    <w:rsid w:val="77762421"/>
    <w:rsid w:val="77851BBA"/>
    <w:rsid w:val="779011B6"/>
    <w:rsid w:val="77937610"/>
    <w:rsid w:val="77997757"/>
    <w:rsid w:val="77A83657"/>
    <w:rsid w:val="77B413AA"/>
    <w:rsid w:val="77B56B1F"/>
    <w:rsid w:val="780E49AA"/>
    <w:rsid w:val="780F09F4"/>
    <w:rsid w:val="78193A5A"/>
    <w:rsid w:val="783631B0"/>
    <w:rsid w:val="78581C7C"/>
    <w:rsid w:val="78650950"/>
    <w:rsid w:val="78656BA2"/>
    <w:rsid w:val="78933E2E"/>
    <w:rsid w:val="78A90480"/>
    <w:rsid w:val="78B17476"/>
    <w:rsid w:val="78D143E5"/>
    <w:rsid w:val="78E86397"/>
    <w:rsid w:val="78F2799E"/>
    <w:rsid w:val="79105092"/>
    <w:rsid w:val="79470C6D"/>
    <w:rsid w:val="794D7460"/>
    <w:rsid w:val="79870927"/>
    <w:rsid w:val="79B76B1F"/>
    <w:rsid w:val="79F47693"/>
    <w:rsid w:val="79F627C9"/>
    <w:rsid w:val="7A3504F2"/>
    <w:rsid w:val="7A364017"/>
    <w:rsid w:val="7A48784A"/>
    <w:rsid w:val="7A8265E1"/>
    <w:rsid w:val="7AD731D2"/>
    <w:rsid w:val="7AE0033A"/>
    <w:rsid w:val="7AFF5E9F"/>
    <w:rsid w:val="7B201891"/>
    <w:rsid w:val="7B686D42"/>
    <w:rsid w:val="7B841746"/>
    <w:rsid w:val="7B8A4E62"/>
    <w:rsid w:val="7BAE2801"/>
    <w:rsid w:val="7BBA2887"/>
    <w:rsid w:val="7BD25CEC"/>
    <w:rsid w:val="7BD66DDD"/>
    <w:rsid w:val="7BDD4D21"/>
    <w:rsid w:val="7C0C50E9"/>
    <w:rsid w:val="7C196B8F"/>
    <w:rsid w:val="7C262AEC"/>
    <w:rsid w:val="7C412B4C"/>
    <w:rsid w:val="7C5A53A6"/>
    <w:rsid w:val="7C5D328B"/>
    <w:rsid w:val="7C6C5AC7"/>
    <w:rsid w:val="7C727887"/>
    <w:rsid w:val="7CB5352E"/>
    <w:rsid w:val="7CC6544B"/>
    <w:rsid w:val="7CC959BD"/>
    <w:rsid w:val="7CE0117E"/>
    <w:rsid w:val="7CF138FB"/>
    <w:rsid w:val="7CF66B79"/>
    <w:rsid w:val="7CFB3EA8"/>
    <w:rsid w:val="7D0239FF"/>
    <w:rsid w:val="7D1D6874"/>
    <w:rsid w:val="7D327B41"/>
    <w:rsid w:val="7D344AD0"/>
    <w:rsid w:val="7D413B7A"/>
    <w:rsid w:val="7D5E40CD"/>
    <w:rsid w:val="7D755938"/>
    <w:rsid w:val="7D9436B5"/>
    <w:rsid w:val="7D9E2798"/>
    <w:rsid w:val="7DCD56F2"/>
    <w:rsid w:val="7DE04641"/>
    <w:rsid w:val="7E050507"/>
    <w:rsid w:val="7E0F3EE7"/>
    <w:rsid w:val="7E136716"/>
    <w:rsid w:val="7E621769"/>
    <w:rsid w:val="7EA9546D"/>
    <w:rsid w:val="7EB17F20"/>
    <w:rsid w:val="7EBE462D"/>
    <w:rsid w:val="7ECE4356"/>
    <w:rsid w:val="7EDC0A6E"/>
    <w:rsid w:val="7EF6145C"/>
    <w:rsid w:val="7F001CE7"/>
    <w:rsid w:val="7F440BD8"/>
    <w:rsid w:val="7F4E2869"/>
    <w:rsid w:val="7F6E6E9E"/>
    <w:rsid w:val="7F8533A1"/>
    <w:rsid w:val="7F902CCC"/>
    <w:rsid w:val="7FA91A6A"/>
    <w:rsid w:val="7FB761CD"/>
    <w:rsid w:val="7FDA5FE2"/>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2"/>
    <w:qFormat/>
    <w:locked/>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locked/>
    <w:uiPriority w:val="0"/>
    <w:pPr>
      <w:keepNext/>
      <w:keepLines/>
      <w:spacing w:before="260" w:after="260" w:line="413" w:lineRule="auto"/>
      <w:outlineLvl w:val="2"/>
    </w:pPr>
    <w:rPr>
      <w:b/>
      <w:bCs/>
      <w:sz w:val="32"/>
      <w:szCs w:val="32"/>
    </w:rPr>
  </w:style>
  <w:style w:type="paragraph" w:styleId="5">
    <w:name w:val="heading 4"/>
    <w:basedOn w:val="1"/>
    <w:next w:val="1"/>
    <w:qFormat/>
    <w:locked/>
    <w:uiPriority w:val="1"/>
    <w:pPr>
      <w:ind w:left="1242" w:hanging="541"/>
      <w:outlineLvl w:val="3"/>
    </w:pPr>
    <w:rPr>
      <w:rFonts w:ascii="宋体" w:hAnsi="宋体" w:cs="宋体"/>
      <w:b/>
      <w:bCs/>
      <w:sz w:val="24"/>
    </w:rPr>
  </w:style>
  <w:style w:type="character" w:default="1" w:styleId="36">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List 3"/>
    <w:basedOn w:val="1"/>
    <w:qFormat/>
    <w:locked/>
    <w:uiPriority w:val="0"/>
    <w:pPr>
      <w:ind w:left="100" w:leftChars="400" w:hanging="200" w:hangingChars="200"/>
    </w:pPr>
  </w:style>
  <w:style w:type="paragraph" w:styleId="7">
    <w:name w:val="table of authorities"/>
    <w:basedOn w:val="1"/>
    <w:next w:val="1"/>
    <w:semiHidden/>
    <w:qFormat/>
    <w:locked/>
    <w:uiPriority w:val="0"/>
    <w:pPr>
      <w:ind w:left="420" w:leftChars="200"/>
    </w:pPr>
  </w:style>
  <w:style w:type="paragraph" w:styleId="8">
    <w:name w:val="Normal Indent"/>
    <w:basedOn w:val="1"/>
    <w:qFormat/>
    <w:locked/>
    <w:uiPriority w:val="0"/>
    <w:pPr>
      <w:spacing w:before="60" w:after="60" w:line="400" w:lineRule="exact"/>
      <w:ind w:firstLine="420" w:firstLineChars="200"/>
    </w:pPr>
    <w:rPr>
      <w:sz w:val="24"/>
      <w:szCs w:val="20"/>
    </w:rPr>
  </w:style>
  <w:style w:type="paragraph" w:styleId="9">
    <w:name w:val="caption"/>
    <w:basedOn w:val="1"/>
    <w:next w:val="1"/>
    <w:qFormat/>
    <w:locked/>
    <w:uiPriority w:val="35"/>
    <w:rPr>
      <w:rFonts w:ascii="Arial" w:hAnsi="Arial" w:eastAsia="黑体"/>
      <w:sz w:val="20"/>
    </w:rPr>
  </w:style>
  <w:style w:type="paragraph" w:styleId="10">
    <w:name w:val="Document Map"/>
    <w:basedOn w:val="1"/>
    <w:link w:val="43"/>
    <w:qFormat/>
    <w:locked/>
    <w:uiPriority w:val="0"/>
    <w:rPr>
      <w:rFonts w:ascii="宋体"/>
      <w:sz w:val="18"/>
      <w:szCs w:val="18"/>
    </w:rPr>
  </w:style>
  <w:style w:type="paragraph" w:styleId="11">
    <w:name w:val="annotation text"/>
    <w:basedOn w:val="1"/>
    <w:link w:val="44"/>
    <w:semiHidden/>
    <w:qFormat/>
    <w:uiPriority w:val="0"/>
    <w:pPr>
      <w:jc w:val="left"/>
    </w:pPr>
    <w:rPr>
      <w:kern w:val="0"/>
      <w:sz w:val="24"/>
      <w:szCs w:val="20"/>
    </w:rPr>
  </w:style>
  <w:style w:type="paragraph" w:styleId="12">
    <w:name w:val="Salutation"/>
    <w:basedOn w:val="1"/>
    <w:next w:val="1"/>
    <w:qFormat/>
    <w:locked/>
    <w:uiPriority w:val="0"/>
    <w:rPr>
      <w:b/>
      <w:bCs/>
    </w:rPr>
  </w:style>
  <w:style w:type="paragraph" w:styleId="13">
    <w:name w:val="Body Text 3"/>
    <w:basedOn w:val="1"/>
    <w:qFormat/>
    <w:locked/>
    <w:uiPriority w:val="0"/>
    <w:pPr>
      <w:jc w:val="center"/>
    </w:pPr>
    <w:rPr>
      <w:sz w:val="18"/>
    </w:rPr>
  </w:style>
  <w:style w:type="paragraph" w:styleId="14">
    <w:name w:val="Body Text"/>
    <w:basedOn w:val="1"/>
    <w:next w:val="1"/>
    <w:link w:val="45"/>
    <w:qFormat/>
    <w:uiPriority w:val="0"/>
    <w:pPr>
      <w:widowControl/>
      <w:snapToGrid w:val="0"/>
      <w:spacing w:before="60" w:after="160" w:line="259" w:lineRule="auto"/>
      <w:ind w:right="113"/>
    </w:pPr>
    <w:rPr>
      <w:kern w:val="0"/>
      <w:sz w:val="18"/>
      <w:szCs w:val="20"/>
    </w:rPr>
  </w:style>
  <w:style w:type="paragraph" w:styleId="15">
    <w:name w:val="Body Text Indent"/>
    <w:basedOn w:val="1"/>
    <w:next w:val="16"/>
    <w:link w:val="46"/>
    <w:qFormat/>
    <w:uiPriority w:val="0"/>
    <w:pPr>
      <w:spacing w:after="120"/>
      <w:ind w:left="420" w:leftChars="200"/>
    </w:pPr>
    <w:rPr>
      <w:kern w:val="0"/>
      <w:sz w:val="24"/>
      <w:szCs w:val="20"/>
    </w:rPr>
  </w:style>
  <w:style w:type="paragraph" w:customStyle="1" w:styleId="16">
    <w:name w:val="样式 正文文本缩进 + 行距: 1.5 倍行距"/>
    <w:basedOn w:val="15"/>
    <w:qFormat/>
    <w:uiPriority w:val="0"/>
    <w:pPr>
      <w:spacing w:line="360" w:lineRule="auto"/>
      <w:ind w:left="0" w:leftChars="0" w:firstLine="560" w:firstLineChars="200"/>
    </w:pPr>
    <w:rPr>
      <w:rFonts w:cs="宋体"/>
      <w:b/>
      <w:bCs/>
      <w:sz w:val="28"/>
    </w:rPr>
  </w:style>
  <w:style w:type="paragraph" w:styleId="17">
    <w:name w:val="Block Text"/>
    <w:basedOn w:val="1"/>
    <w:qFormat/>
    <w:locked/>
    <w:uiPriority w:val="0"/>
    <w:pPr>
      <w:spacing w:after="120"/>
      <w:ind w:left="1440" w:leftChars="700" w:right="700" w:rightChars="700"/>
    </w:pPr>
  </w:style>
  <w:style w:type="paragraph" w:styleId="18">
    <w:name w:val="Plain Text"/>
    <w:basedOn w:val="1"/>
    <w:next w:val="12"/>
    <w:qFormat/>
    <w:locked/>
    <w:uiPriority w:val="0"/>
    <w:rPr>
      <w:rFonts w:hAnsi="Courier New" w:eastAsia="仿宋_GB2312"/>
      <w:sz w:val="28"/>
    </w:rPr>
  </w:style>
  <w:style w:type="paragraph" w:styleId="19">
    <w:name w:val="List Bullet 5"/>
    <w:basedOn w:val="1"/>
    <w:qFormat/>
    <w:locked/>
    <w:uiPriority w:val="0"/>
    <w:pPr>
      <w:numPr>
        <w:ilvl w:val="0"/>
        <w:numId w:val="1"/>
      </w:numPr>
    </w:pPr>
  </w:style>
  <w:style w:type="paragraph" w:styleId="20">
    <w:name w:val="Date"/>
    <w:basedOn w:val="1"/>
    <w:next w:val="1"/>
    <w:link w:val="47"/>
    <w:qFormat/>
    <w:uiPriority w:val="0"/>
    <w:pPr>
      <w:ind w:left="100" w:leftChars="2500"/>
    </w:pPr>
    <w:rPr>
      <w:kern w:val="0"/>
      <w:sz w:val="24"/>
      <w:szCs w:val="20"/>
    </w:rPr>
  </w:style>
  <w:style w:type="paragraph" w:styleId="21">
    <w:name w:val="Body Text Indent 2"/>
    <w:basedOn w:val="1"/>
    <w:qFormat/>
    <w:locked/>
    <w:uiPriority w:val="0"/>
    <w:pPr>
      <w:widowControl/>
      <w:spacing w:after="120" w:line="480" w:lineRule="auto"/>
      <w:ind w:left="420" w:leftChars="200"/>
      <w:jc w:val="left"/>
    </w:pPr>
  </w:style>
  <w:style w:type="paragraph" w:styleId="22">
    <w:name w:val="Balloon Text"/>
    <w:basedOn w:val="1"/>
    <w:link w:val="48"/>
    <w:semiHidden/>
    <w:qFormat/>
    <w:uiPriority w:val="0"/>
    <w:rPr>
      <w:kern w:val="0"/>
      <w:sz w:val="18"/>
      <w:szCs w:val="20"/>
    </w:rPr>
  </w:style>
  <w:style w:type="paragraph" w:styleId="23">
    <w:name w:val="footer"/>
    <w:basedOn w:val="1"/>
    <w:link w:val="49"/>
    <w:qFormat/>
    <w:uiPriority w:val="99"/>
    <w:pPr>
      <w:tabs>
        <w:tab w:val="center" w:pos="4153"/>
        <w:tab w:val="right" w:pos="8306"/>
      </w:tabs>
      <w:snapToGrid w:val="0"/>
      <w:jc w:val="left"/>
    </w:pPr>
    <w:rPr>
      <w:kern w:val="0"/>
      <w:sz w:val="18"/>
      <w:szCs w:val="20"/>
    </w:rPr>
  </w:style>
  <w:style w:type="paragraph" w:styleId="24">
    <w:name w:val="header"/>
    <w:basedOn w:val="1"/>
    <w:link w:val="50"/>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index heading"/>
    <w:basedOn w:val="1"/>
    <w:next w:val="26"/>
    <w:qFormat/>
    <w:locked/>
    <w:uiPriority w:val="0"/>
    <w:rPr>
      <w:szCs w:val="20"/>
    </w:rPr>
  </w:style>
  <w:style w:type="paragraph" w:styleId="26">
    <w:name w:val="index 1"/>
    <w:basedOn w:val="1"/>
    <w:next w:val="1"/>
    <w:unhideWhenUsed/>
    <w:qFormat/>
    <w:locked/>
    <w:uiPriority w:val="0"/>
    <w:pPr>
      <w:jc w:val="center"/>
    </w:pPr>
  </w:style>
  <w:style w:type="paragraph" w:styleId="27">
    <w:name w:val="toc 2"/>
    <w:basedOn w:val="1"/>
    <w:next w:val="1"/>
    <w:qFormat/>
    <w:locked/>
    <w:uiPriority w:val="39"/>
    <w:pPr>
      <w:widowControl/>
      <w:tabs>
        <w:tab w:val="right" w:leader="dot" w:pos="8302"/>
      </w:tabs>
      <w:ind w:left="210" w:firstLine="420"/>
    </w:pPr>
    <w:rPr>
      <w:smallCaps/>
      <w:color w:val="00B0F0"/>
      <w:kern w:val="0"/>
      <w:szCs w:val="21"/>
      <w:lang w:eastAsia="en-US" w:bidi="en-US"/>
    </w:rPr>
  </w:style>
  <w:style w:type="paragraph" w:styleId="28">
    <w:name w:val="Body Text 2"/>
    <w:basedOn w:val="1"/>
    <w:qFormat/>
    <w:locked/>
    <w:uiPriority w:val="0"/>
    <w:pPr>
      <w:spacing w:before="240" w:after="240"/>
    </w:pPr>
    <w:rPr>
      <w:sz w:val="28"/>
      <w:szCs w:val="20"/>
    </w:rPr>
  </w:style>
  <w:style w:type="paragraph" w:styleId="29">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1"/>
    <w:next w:val="11"/>
    <w:link w:val="52"/>
    <w:semiHidden/>
    <w:qFormat/>
    <w:uiPriority w:val="0"/>
    <w:rPr>
      <w:b/>
      <w:kern w:val="2"/>
    </w:rPr>
  </w:style>
  <w:style w:type="paragraph" w:styleId="31">
    <w:name w:val="Body Text First Indent"/>
    <w:basedOn w:val="14"/>
    <w:next w:val="1"/>
    <w:qFormat/>
    <w:locked/>
    <w:uiPriority w:val="0"/>
    <w:pPr>
      <w:spacing w:after="120"/>
      <w:ind w:firstLine="420" w:firstLineChars="100"/>
    </w:pPr>
    <w:rPr>
      <w:sz w:val="21"/>
    </w:rPr>
  </w:style>
  <w:style w:type="paragraph" w:styleId="32">
    <w:name w:val="Body Text First Indent 2"/>
    <w:basedOn w:val="15"/>
    <w:next w:val="31"/>
    <w:qFormat/>
    <w:locked/>
    <w:uiPriority w:val="0"/>
    <w:pPr>
      <w:ind w:firstLine="420" w:firstLineChars="200"/>
    </w:p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Theme"/>
    <w:basedOn w:val="33"/>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locked/>
    <w:uiPriority w:val="0"/>
    <w:rPr>
      <w:b/>
    </w:rPr>
  </w:style>
  <w:style w:type="character" w:styleId="38">
    <w:name w:val="page number"/>
    <w:qFormat/>
    <w:locked/>
    <w:uiPriority w:val="0"/>
  </w:style>
  <w:style w:type="character" w:styleId="39">
    <w:name w:val="Hyperlink"/>
    <w:qFormat/>
    <w:locked/>
    <w:uiPriority w:val="0"/>
    <w:rPr>
      <w:color w:val="0000FF"/>
      <w:u w:val="single"/>
    </w:rPr>
  </w:style>
  <w:style w:type="character" w:styleId="40">
    <w:name w:val="annotation reference"/>
    <w:semiHidden/>
    <w:qFormat/>
    <w:uiPriority w:val="0"/>
    <w:rPr>
      <w:sz w:val="21"/>
    </w:rPr>
  </w:style>
  <w:style w:type="character" w:customStyle="1" w:styleId="41">
    <w:name w:val="标题 1 字符"/>
    <w:link w:val="2"/>
    <w:qFormat/>
    <w:uiPriority w:val="0"/>
    <w:rPr>
      <w:rFonts w:eastAsia="黑体"/>
      <w:b/>
      <w:bCs/>
      <w:color w:val="000000"/>
      <w:kern w:val="44"/>
      <w:sz w:val="30"/>
      <w:szCs w:val="30"/>
    </w:rPr>
  </w:style>
  <w:style w:type="character" w:customStyle="1" w:styleId="42">
    <w:name w:val="标题 2 字符"/>
    <w:link w:val="3"/>
    <w:qFormat/>
    <w:uiPriority w:val="0"/>
    <w:rPr>
      <w:rFonts w:ascii="Arial" w:hAnsi="Arial" w:eastAsia="黑体"/>
      <w:b/>
      <w:bCs/>
      <w:sz w:val="32"/>
      <w:szCs w:val="32"/>
    </w:rPr>
  </w:style>
  <w:style w:type="character" w:customStyle="1" w:styleId="43">
    <w:name w:val="文档结构图 字符"/>
    <w:link w:val="10"/>
    <w:qFormat/>
    <w:uiPriority w:val="0"/>
    <w:rPr>
      <w:rFonts w:ascii="宋体"/>
      <w:kern w:val="2"/>
      <w:sz w:val="18"/>
      <w:szCs w:val="18"/>
    </w:rPr>
  </w:style>
  <w:style w:type="character" w:customStyle="1" w:styleId="44">
    <w:name w:val="批注文字 字符"/>
    <w:link w:val="11"/>
    <w:qFormat/>
    <w:locked/>
    <w:uiPriority w:val="0"/>
    <w:rPr>
      <w:rFonts w:ascii="Times New Roman" w:hAnsi="Times New Roman" w:eastAsia="宋体"/>
      <w:sz w:val="24"/>
    </w:rPr>
  </w:style>
  <w:style w:type="character" w:customStyle="1" w:styleId="45">
    <w:name w:val="正文文本 字符"/>
    <w:link w:val="14"/>
    <w:qFormat/>
    <w:locked/>
    <w:uiPriority w:val="0"/>
    <w:rPr>
      <w:sz w:val="18"/>
    </w:rPr>
  </w:style>
  <w:style w:type="character" w:customStyle="1" w:styleId="46">
    <w:name w:val="正文文本缩进 字符"/>
    <w:link w:val="15"/>
    <w:semiHidden/>
    <w:qFormat/>
    <w:locked/>
    <w:uiPriority w:val="0"/>
    <w:rPr>
      <w:rFonts w:ascii="Times New Roman" w:hAnsi="Times New Roman" w:eastAsia="宋体"/>
      <w:sz w:val="24"/>
    </w:rPr>
  </w:style>
  <w:style w:type="character" w:customStyle="1" w:styleId="47">
    <w:name w:val="日期 字符1"/>
    <w:link w:val="20"/>
    <w:qFormat/>
    <w:locked/>
    <w:uiPriority w:val="0"/>
    <w:rPr>
      <w:rFonts w:ascii="Times New Roman" w:hAnsi="Times New Roman" w:eastAsia="宋体"/>
      <w:sz w:val="24"/>
    </w:rPr>
  </w:style>
  <w:style w:type="character" w:customStyle="1" w:styleId="48">
    <w:name w:val="批注框文本 字符"/>
    <w:link w:val="22"/>
    <w:semiHidden/>
    <w:qFormat/>
    <w:locked/>
    <w:uiPriority w:val="0"/>
    <w:rPr>
      <w:rFonts w:ascii="Times New Roman" w:hAnsi="Times New Roman" w:eastAsia="宋体"/>
      <w:sz w:val="18"/>
    </w:rPr>
  </w:style>
  <w:style w:type="character" w:customStyle="1" w:styleId="49">
    <w:name w:val="页脚 字符1"/>
    <w:link w:val="23"/>
    <w:qFormat/>
    <w:locked/>
    <w:uiPriority w:val="99"/>
    <w:rPr>
      <w:sz w:val="18"/>
    </w:rPr>
  </w:style>
  <w:style w:type="character" w:customStyle="1" w:styleId="50">
    <w:name w:val="页眉 字符"/>
    <w:link w:val="24"/>
    <w:qFormat/>
    <w:locked/>
    <w:uiPriority w:val="0"/>
    <w:rPr>
      <w:sz w:val="18"/>
    </w:rPr>
  </w:style>
  <w:style w:type="character" w:customStyle="1" w:styleId="51">
    <w:name w:val="普通(网站) 字符"/>
    <w:link w:val="29"/>
    <w:qFormat/>
    <w:locked/>
    <w:uiPriority w:val="0"/>
    <w:rPr>
      <w:rFonts w:ascii="宋体" w:hAnsi="宋体" w:eastAsia="宋体"/>
      <w:sz w:val="24"/>
    </w:rPr>
  </w:style>
  <w:style w:type="character" w:customStyle="1" w:styleId="52">
    <w:name w:val="批注主题 字符"/>
    <w:link w:val="30"/>
    <w:semiHidden/>
    <w:qFormat/>
    <w:locked/>
    <w:uiPriority w:val="0"/>
    <w:rPr>
      <w:rFonts w:ascii="Times New Roman" w:hAnsi="Times New Roman" w:eastAsia="宋体"/>
      <w:b/>
      <w:kern w:val="2"/>
      <w:sz w:val="24"/>
    </w:rPr>
  </w:style>
  <w:style w:type="paragraph" w:customStyle="1" w:styleId="53">
    <w:name w:val="表格文字"/>
    <w:basedOn w:val="54"/>
    <w:next w:val="1"/>
    <w:qFormat/>
    <w:uiPriority w:val="0"/>
    <w:pPr>
      <w:adjustRightInd w:val="0"/>
      <w:snapToGrid w:val="0"/>
      <w:ind w:firstLine="0"/>
      <w:jc w:val="center"/>
    </w:pPr>
    <w:rPr>
      <w:snapToGrid w:val="0"/>
      <w:kern w:val="21"/>
    </w:rPr>
  </w:style>
  <w:style w:type="paragraph" w:customStyle="1" w:styleId="54">
    <w:name w:val="样式1"/>
    <w:basedOn w:val="7"/>
    <w:qFormat/>
    <w:uiPriority w:val="0"/>
    <w:pPr>
      <w:ind w:firstLine="510"/>
    </w:pPr>
    <w:rPr>
      <w:szCs w:val="20"/>
    </w:rPr>
  </w:style>
  <w:style w:type="paragraph" w:customStyle="1" w:styleId="55">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56">
    <w:name w:val="样式 标题 1 + 四号 段前: 0 磅 段后: 0 磅 行距: 1.5 倍行距"/>
    <w:basedOn w:val="57"/>
    <w:next w:val="1"/>
    <w:qFormat/>
    <w:uiPriority w:val="0"/>
    <w:pPr>
      <w:spacing w:line="360" w:lineRule="auto"/>
      <w:jc w:val="center"/>
    </w:pPr>
  </w:style>
  <w:style w:type="paragraph" w:customStyle="1" w:styleId="57">
    <w:name w:val="1正文"/>
    <w:basedOn w:val="1"/>
    <w:qFormat/>
    <w:uiPriority w:val="0"/>
    <w:pPr>
      <w:spacing w:line="500" w:lineRule="exact"/>
      <w:ind w:firstLine="588" w:firstLineChars="196"/>
    </w:pPr>
    <w:rPr>
      <w:rFonts w:eastAsia="楷体_GB2312"/>
      <w:sz w:val="30"/>
      <w:szCs w:val="30"/>
    </w:rPr>
  </w:style>
  <w:style w:type="paragraph" w:customStyle="1" w:styleId="58">
    <w:name w:val="Default"/>
    <w:basedOn w:val="59"/>
    <w:qFormat/>
    <w:uiPriority w:val="99"/>
    <w:pPr>
      <w:autoSpaceDE w:val="0"/>
      <w:autoSpaceDN w:val="0"/>
      <w:adjustRightInd w:val="0"/>
    </w:pPr>
    <w:rPr>
      <w:rFonts w:ascii="oúì." w:eastAsia="oúì." w:cs="oúì."/>
      <w:sz w:val="24"/>
    </w:rPr>
  </w:style>
  <w:style w:type="paragraph" w:customStyle="1" w:styleId="59">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60">
    <w:name w:val="纯文本1"/>
    <w:basedOn w:val="1"/>
    <w:qFormat/>
    <w:uiPriority w:val="0"/>
    <w:pPr>
      <w:adjustRightInd w:val="0"/>
    </w:pPr>
    <w:rPr>
      <w:rFonts w:ascii="宋体" w:hAnsi="Courier New"/>
      <w:szCs w:val="20"/>
    </w:rPr>
  </w:style>
  <w:style w:type="paragraph" w:customStyle="1" w:styleId="61">
    <w:name w:val="样式35"/>
    <w:basedOn w:val="1"/>
    <w:next w:val="1"/>
    <w:qFormat/>
    <w:uiPriority w:val="0"/>
    <w:pPr>
      <w:spacing w:line="312" w:lineRule="auto"/>
      <w:ind w:firstLine="567"/>
    </w:pPr>
    <w:rPr>
      <w:rFonts w:ascii="宋体"/>
      <w:sz w:val="28"/>
    </w:rPr>
  </w:style>
  <w:style w:type="paragraph" w:customStyle="1" w:styleId="62">
    <w:name w:val="Normal Indent1"/>
    <w:basedOn w:val="1"/>
    <w:qFormat/>
    <w:uiPriority w:val="0"/>
    <w:pPr>
      <w:ind w:firstLine="420" w:firstLineChars="200"/>
    </w:pPr>
  </w:style>
  <w:style w:type="paragraph" w:customStyle="1" w:styleId="63">
    <w:name w:val="正文1"/>
    <w:basedOn w:val="21"/>
    <w:qFormat/>
    <w:uiPriority w:val="0"/>
    <w:pPr>
      <w:adjustRightInd w:val="0"/>
      <w:snapToGrid w:val="0"/>
      <w:spacing w:line="360" w:lineRule="auto"/>
      <w:ind w:firstLine="482"/>
    </w:pPr>
    <w:rPr>
      <w:rFonts w:ascii="宋体" w:hAnsi="宋体"/>
      <w:snapToGrid w:val="0"/>
      <w:kern w:val="0"/>
      <w:sz w:val="24"/>
    </w:rPr>
  </w:style>
  <w:style w:type="character" w:customStyle="1" w:styleId="64">
    <w:name w:val="表格 Char"/>
    <w:link w:val="65"/>
    <w:qFormat/>
    <w:locked/>
    <w:uiPriority w:val="0"/>
    <w:rPr>
      <w:rFonts w:ascii="宋体"/>
      <w:sz w:val="21"/>
    </w:rPr>
  </w:style>
  <w:style w:type="paragraph" w:customStyle="1" w:styleId="65">
    <w:name w:val="表格"/>
    <w:basedOn w:val="66"/>
    <w:next w:val="1"/>
    <w:link w:val="64"/>
    <w:qFormat/>
    <w:uiPriority w:val="0"/>
    <w:pPr>
      <w:adjustRightInd w:val="0"/>
      <w:snapToGrid w:val="0"/>
      <w:spacing w:beforeLines="10" w:afterLines="10" w:line="259" w:lineRule="auto"/>
    </w:pPr>
    <w:rPr>
      <w:rFonts w:hint="default" w:ascii="宋体"/>
      <w:b w:val="0"/>
      <w:szCs w:val="20"/>
    </w:rPr>
  </w:style>
  <w:style w:type="paragraph" w:customStyle="1" w:styleId="66">
    <w:name w:val="表格标题"/>
    <w:basedOn w:val="67"/>
    <w:qFormat/>
    <w:uiPriority w:val="0"/>
    <w:pPr>
      <w:jc w:val="center"/>
    </w:pPr>
    <w:rPr>
      <w:rFonts w:hint="eastAsia"/>
      <w:b/>
    </w:rPr>
  </w:style>
  <w:style w:type="paragraph" w:customStyle="1" w:styleId="67">
    <w:name w:val="方案正文"/>
    <w:basedOn w:val="1"/>
    <w:qFormat/>
    <w:uiPriority w:val="0"/>
    <w:pPr>
      <w:spacing w:before="156" w:beforeLines="50" w:after="156" w:afterLines="50"/>
    </w:pPr>
    <w:rPr>
      <w:spacing w:val="14"/>
      <w:kern w:val="0"/>
    </w:rPr>
  </w:style>
  <w:style w:type="paragraph" w:customStyle="1" w:styleId="68">
    <w:name w:val="表头"/>
    <w:basedOn w:val="53"/>
    <w:next w:val="1"/>
    <w:qFormat/>
    <w:uiPriority w:val="0"/>
    <w:rPr>
      <w:rFonts w:ascii="黑体"/>
      <w:spacing w:val="4"/>
      <w:sz w:val="24"/>
      <w:szCs w:val="24"/>
    </w:rPr>
  </w:style>
  <w:style w:type="character" w:customStyle="1" w:styleId="69">
    <w:name w:val="Char Char3"/>
    <w:qFormat/>
    <w:locked/>
    <w:uiPriority w:val="0"/>
    <w:rPr>
      <w:rFonts w:eastAsia="宋体"/>
      <w:kern w:val="2"/>
      <w:sz w:val="28"/>
      <w:szCs w:val="24"/>
      <w:lang w:val="en-US" w:eastAsia="zh-CN" w:bidi="ar-SA"/>
    </w:rPr>
  </w:style>
  <w:style w:type="character" w:customStyle="1" w:styleId="70">
    <w:name w:val="正文文本 字符1"/>
    <w:semiHidden/>
    <w:qFormat/>
    <w:uiPriority w:val="0"/>
    <w:rPr>
      <w:rFonts w:ascii="Times New Roman" w:hAnsi="Times New Roman" w:eastAsia="宋体"/>
      <w:sz w:val="24"/>
    </w:rPr>
  </w:style>
  <w:style w:type="character" w:customStyle="1" w:styleId="71">
    <w:name w:val="批注文字 字符1"/>
    <w:semiHidden/>
    <w:qFormat/>
    <w:uiPriority w:val="0"/>
    <w:rPr>
      <w:rFonts w:ascii="Times New Roman" w:hAnsi="Times New Roman" w:eastAsia="宋体"/>
      <w:sz w:val="24"/>
    </w:rPr>
  </w:style>
  <w:style w:type="character" w:customStyle="1" w:styleId="72">
    <w:name w:val="页脚 字符"/>
    <w:qFormat/>
    <w:uiPriority w:val="99"/>
  </w:style>
  <w:style w:type="character" w:customStyle="1" w:styleId="73">
    <w:name w:val="日期 字符"/>
    <w:semiHidden/>
    <w:qFormat/>
    <w:uiPriority w:val="0"/>
    <w:rPr>
      <w:rFonts w:ascii="Times New Roman" w:hAnsi="Times New Roman" w:eastAsia="宋体"/>
      <w:sz w:val="24"/>
    </w:rPr>
  </w:style>
  <w:style w:type="paragraph" w:customStyle="1" w:styleId="74">
    <w:name w:val="Table Paragraph"/>
    <w:basedOn w:val="1"/>
    <w:qFormat/>
    <w:uiPriority w:val="1"/>
  </w:style>
  <w:style w:type="paragraph" w:customStyle="1" w:styleId="75">
    <w:name w:val="报告正文"/>
    <w:basedOn w:val="1"/>
    <w:qFormat/>
    <w:uiPriority w:val="0"/>
    <w:pPr>
      <w:spacing w:line="360" w:lineRule="auto"/>
      <w:ind w:firstLine="200" w:firstLineChars="200"/>
      <w:jc w:val="left"/>
    </w:pPr>
    <w:rPr>
      <w:sz w:val="24"/>
    </w:rPr>
  </w:style>
  <w:style w:type="paragraph" w:customStyle="1" w:styleId="76">
    <w:name w:val="表"/>
    <w:basedOn w:val="1"/>
    <w:qFormat/>
    <w:uiPriority w:val="0"/>
    <w:pPr>
      <w:jc w:val="center"/>
      <w:outlineLvl w:val="3"/>
    </w:pPr>
    <w:rPr>
      <w:rFonts w:eastAsia="仿宋_GB2312"/>
      <w:kern w:val="0"/>
      <w:szCs w:val="21"/>
    </w:rPr>
  </w:style>
  <w:style w:type="paragraph" w:customStyle="1" w:styleId="77">
    <w:name w:val="文本正文"/>
    <w:basedOn w:val="1"/>
    <w:qFormat/>
    <w:uiPriority w:val="0"/>
    <w:pPr>
      <w:snapToGrid w:val="0"/>
      <w:spacing w:line="360" w:lineRule="auto"/>
      <w:ind w:firstLine="510"/>
      <w:jc w:val="left"/>
    </w:pPr>
    <w:rPr>
      <w:kern w:val="0"/>
      <w:sz w:val="24"/>
      <w:lang w:val="zh-CN"/>
    </w:rPr>
  </w:style>
  <w:style w:type="paragraph" w:customStyle="1" w:styleId="78">
    <w:name w:val="表题"/>
    <w:basedOn w:val="1"/>
    <w:qFormat/>
    <w:uiPriority w:val="0"/>
    <w:pPr>
      <w:adjustRightInd w:val="0"/>
      <w:snapToGrid w:val="0"/>
      <w:spacing w:before="312" w:beforeLines="100" w:line="360" w:lineRule="auto"/>
      <w:ind w:firstLine="480" w:firstLineChars="200"/>
      <w:jc w:val="center"/>
    </w:pPr>
    <w:rPr>
      <w:rFonts w:ascii="宋体" w:hAnsi="宋体"/>
      <w:sz w:val="24"/>
    </w:rPr>
  </w:style>
  <w:style w:type="paragraph" w:customStyle="1" w:styleId="7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0">
    <w:name w:val="xl24"/>
    <w:basedOn w:val="1"/>
    <w:qFormat/>
    <w:uiPriority w:val="3"/>
    <w:pPr>
      <w:widowControl/>
      <w:pBdr>
        <w:bottom w:val="double" w:color="auto" w:sz="6" w:space="0"/>
      </w:pBdr>
      <w:adjustRightInd w:val="0"/>
      <w:snapToGrid w:val="0"/>
      <w:spacing w:before="100" w:beforeAutospacing="1" w:after="100" w:afterAutospacing="1" w:line="360" w:lineRule="auto"/>
      <w:jc w:val="center"/>
      <w:textAlignment w:val="center"/>
    </w:pPr>
    <w:rPr>
      <w:rFonts w:ascii="宋体" w:hAnsi="宋体"/>
      <w:kern w:val="0"/>
      <w:sz w:val="24"/>
    </w:rPr>
  </w:style>
  <w:style w:type="paragraph" w:customStyle="1" w:styleId="81">
    <w:name w:val="样式2"/>
    <w:basedOn w:val="54"/>
    <w:qFormat/>
    <w:uiPriority w:val="3"/>
  </w:style>
  <w:style w:type="paragraph" w:customStyle="1" w:styleId="8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正文（首行缩进两字）m"/>
    <w:basedOn w:val="8"/>
    <w:qFormat/>
    <w:uiPriority w:val="0"/>
    <w:pPr>
      <w:tabs>
        <w:tab w:val="left" w:pos="1848"/>
        <w:tab w:val="left" w:pos="6061"/>
        <w:tab w:val="left" w:pos="8665"/>
      </w:tabs>
      <w:adjustRightInd w:val="0"/>
      <w:snapToGrid w:val="0"/>
      <w:spacing w:before="156" w:beforeLines="50" w:line="460" w:lineRule="exact"/>
      <w:ind w:firstLine="480"/>
    </w:pPr>
    <w:rPr>
      <w:color w:val="339966"/>
    </w:rPr>
  </w:style>
  <w:style w:type="paragraph" w:customStyle="1" w:styleId="84">
    <w:name w:val="样式5"/>
    <w:basedOn w:val="75"/>
    <w:qFormat/>
    <w:uiPriority w:val="0"/>
    <w:pPr>
      <w:tabs>
        <w:tab w:val="left" w:pos="851"/>
      </w:tabs>
      <w:spacing w:before="120" w:after="120"/>
      <w:ind w:firstLine="0" w:firstLineChars="0"/>
    </w:pPr>
    <w:rPr>
      <w:rFonts w:eastAsia="黑体"/>
    </w:rPr>
  </w:style>
  <w:style w:type="paragraph" w:customStyle="1" w:styleId="85">
    <w:name w:val="表图"/>
    <w:basedOn w:val="1"/>
    <w:qFormat/>
    <w:uiPriority w:val="0"/>
    <w:pPr>
      <w:spacing w:line="320" w:lineRule="exact"/>
      <w:jc w:val="center"/>
    </w:pPr>
    <w:rPr>
      <w:szCs w:val="20"/>
    </w:rPr>
  </w:style>
  <w:style w:type="paragraph" w:styleId="86">
    <w:name w:val="No Spacing"/>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87">
    <w:name w:val="—1—"/>
    <w:basedOn w:val="1"/>
    <w:qFormat/>
    <w:uiPriority w:val="0"/>
    <w:pPr>
      <w:spacing w:line="440" w:lineRule="exact"/>
    </w:pPr>
    <w:rPr>
      <w:rFonts w:eastAsia="方正楷体简体"/>
      <w:sz w:val="24"/>
      <w:szCs w:val="20"/>
    </w:rPr>
  </w:style>
  <w:style w:type="paragraph" w:customStyle="1" w:styleId="88">
    <w:name w:val="表格内容"/>
    <w:basedOn w:val="66"/>
    <w:next w:val="2"/>
    <w:qFormat/>
    <w:uiPriority w:val="0"/>
    <w:pPr>
      <w:widowControl/>
      <w:adjustRightInd w:val="0"/>
      <w:spacing w:before="60" w:after="60"/>
    </w:pPr>
    <w:rPr>
      <w:rFonts w:cs="Courier New"/>
      <w:szCs w:val="21"/>
    </w:rPr>
  </w:style>
  <w:style w:type="paragraph" w:customStyle="1" w:styleId="89">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文章正文"/>
    <w:basedOn w:val="1"/>
    <w:qFormat/>
    <w:uiPriority w:val="0"/>
    <w:pPr>
      <w:shd w:val="clear" w:color="auto" w:fill="FFFFFF"/>
      <w:tabs>
        <w:tab w:val="left" w:pos="1981"/>
        <w:tab w:val="left" w:pos="2264"/>
      </w:tabs>
      <w:adjustRightInd w:val="0"/>
      <w:snapToGrid w:val="0"/>
      <w:spacing w:line="360" w:lineRule="auto"/>
      <w:ind w:firstLine="420" w:firstLineChars="200"/>
      <w:jc w:val="left"/>
    </w:pPr>
    <w:rPr>
      <w:spacing w:val="-2"/>
      <w:sz w:val="24"/>
      <w:szCs w:val="28"/>
    </w:rPr>
  </w:style>
  <w:style w:type="paragraph" w:customStyle="1" w:styleId="91">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表头文字"/>
    <w:basedOn w:val="53"/>
    <w:qFormat/>
    <w:uiPriority w:val="0"/>
    <w:rPr>
      <w:rFonts w:ascii="Calibri" w:hAnsi="Calibri"/>
      <w:b/>
      <w:szCs w:val="22"/>
    </w:rPr>
  </w:style>
  <w:style w:type="paragraph" w:customStyle="1" w:styleId="93">
    <w:name w:val="TableButton"/>
    <w:basedOn w:val="1"/>
    <w:qFormat/>
    <w:uiPriority w:val="0"/>
    <w:pPr>
      <w:tabs>
        <w:tab w:val="left" w:pos="357"/>
      </w:tabs>
      <w:kinsoku w:val="0"/>
      <w:overflowPunct w:val="0"/>
      <w:autoSpaceDE w:val="0"/>
      <w:autoSpaceDN w:val="0"/>
      <w:snapToGrid w:val="0"/>
      <w:spacing w:line="600" w:lineRule="exact"/>
      <w:jc w:val="center"/>
      <w:textAlignment w:val="center"/>
      <w:outlineLvl w:val="0"/>
    </w:pPr>
    <w:rPr>
      <w:kern w:val="0"/>
    </w:rPr>
  </w:style>
  <w:style w:type="paragraph" w:customStyle="1" w:styleId="94">
    <w:name w:val="样式 Char2 + Times New Roman 小四 黑色 行距: 1.5 倍行距"/>
    <w:basedOn w:val="1"/>
    <w:qFormat/>
    <w:uiPriority w:val="0"/>
    <w:pPr>
      <w:widowControl/>
      <w:spacing w:line="360" w:lineRule="auto"/>
      <w:ind w:firstLine="196" w:firstLineChars="196"/>
      <w:jc w:val="left"/>
    </w:pPr>
    <w:rPr>
      <w:rFonts w:cs="宋体"/>
      <w:color w:val="000000"/>
      <w:kern w:val="28"/>
      <w:sz w:val="24"/>
      <w:szCs w:val="20"/>
    </w:rPr>
  </w:style>
  <w:style w:type="paragraph" w:customStyle="1" w:styleId="95">
    <w:name w:val="正文（修）"/>
    <w:basedOn w:val="1"/>
    <w:qFormat/>
    <w:uiPriority w:val="0"/>
    <w:pPr>
      <w:snapToGrid w:val="0"/>
      <w:spacing w:line="360" w:lineRule="auto"/>
      <w:ind w:firstLine="200" w:firstLineChars="200"/>
      <w:jc w:val="left"/>
    </w:pPr>
    <w:rPr>
      <w:rFonts w:ascii="宋体" w:hAnsi="宋体"/>
      <w:sz w:val="24"/>
      <w:szCs w:val="20"/>
    </w:rPr>
  </w:style>
  <w:style w:type="character" w:customStyle="1" w:styleId="96">
    <w:name w:val="fontstyle01"/>
    <w:qFormat/>
    <w:uiPriority w:val="0"/>
    <w:rPr>
      <w:rFonts w:hint="eastAsia" w:ascii="宋体" w:hAnsi="宋体" w:eastAsia="宋体"/>
      <w:color w:val="000000"/>
      <w:sz w:val="24"/>
      <w:szCs w:val="24"/>
    </w:rPr>
  </w:style>
  <w:style w:type="paragraph" w:customStyle="1" w:styleId="97">
    <w:name w:val="样式18"/>
    <w:basedOn w:val="1"/>
    <w:qFormat/>
    <w:uiPriority w:val="0"/>
    <w:pPr>
      <w:spacing w:line="480" w:lineRule="exact"/>
      <w:ind w:firstLine="520" w:firstLineChars="200"/>
    </w:pPr>
    <w:rPr>
      <w:color w:val="000000"/>
      <w:sz w:val="26"/>
      <w:szCs w:val="26"/>
    </w:rPr>
  </w:style>
  <w:style w:type="paragraph" w:customStyle="1" w:styleId="98">
    <w:name w:val="Other|1"/>
    <w:basedOn w:val="1"/>
    <w:qFormat/>
    <w:uiPriority w:val="0"/>
    <w:rPr>
      <w:rFonts w:ascii="宋体" w:hAnsi="宋体" w:cs="宋体"/>
      <w:sz w:val="20"/>
      <w:szCs w:val="20"/>
      <w:lang w:val="zh-TW" w:eastAsia="zh-TW" w:bidi="zh-TW"/>
    </w:rPr>
  </w:style>
  <w:style w:type="table" w:customStyle="1" w:styleId="99">
    <w:name w:val="Table Normal"/>
    <w:unhideWhenUsed/>
    <w:qFormat/>
    <w:uiPriority w:val="0"/>
    <w:tblPr>
      <w:tblCellMar>
        <w:top w:w="0" w:type="dxa"/>
        <w:left w:w="0" w:type="dxa"/>
        <w:bottom w:w="0" w:type="dxa"/>
        <w:right w:w="0" w:type="dxa"/>
      </w:tblCellMar>
    </w:tblPr>
  </w:style>
  <w:style w:type="paragraph" w:customStyle="1" w:styleId="100">
    <w:name w:val="样式 正文缩进正文缩进2正文缩进 Char Char正文缩进 Char Char Char Char正文缩进 Char ..."/>
    <w:basedOn w:val="8"/>
    <w:qFormat/>
    <w:uiPriority w:val="0"/>
    <w:pPr>
      <w:spacing w:line="360" w:lineRule="auto"/>
      <w:ind w:firstLine="200"/>
    </w:pPr>
    <w:rPr>
      <w:rFonts w:cs="宋体"/>
    </w:rPr>
  </w:style>
  <w:style w:type="paragraph" w:customStyle="1" w:styleId="101">
    <w:name w:val="图例"/>
    <w:basedOn w:val="1"/>
    <w:qFormat/>
    <w:uiPriority w:val="0"/>
    <w:pPr>
      <w:jc w:val="center"/>
    </w:pPr>
    <w:rPr>
      <w:color w:val="000000"/>
    </w:rPr>
  </w:style>
  <w:style w:type="paragraph" w:customStyle="1" w:styleId="102">
    <w:name w:val="AA正文"/>
    <w:basedOn w:val="1"/>
    <w:qFormat/>
    <w:uiPriority w:val="0"/>
    <w:pPr>
      <w:ind w:firstLine="800"/>
    </w:pPr>
    <w:rPr>
      <w:sz w:val="28"/>
    </w:rPr>
  </w:style>
  <w:style w:type="paragraph" w:customStyle="1" w:styleId="103">
    <w:name w:val="123456"/>
    <w:basedOn w:val="1"/>
    <w:qFormat/>
    <w:uiPriority w:val="0"/>
  </w:style>
  <w:style w:type="paragraph" w:customStyle="1" w:styleId="104">
    <w:name w:val="表内格式"/>
    <w:basedOn w:val="1"/>
    <w:qFormat/>
    <w:uiPriority w:val="0"/>
    <w:pPr>
      <w:jc w:val="center"/>
    </w:pPr>
    <w:rPr>
      <w:kern w:val="0"/>
      <w:sz w:val="18"/>
      <w:szCs w:val="20"/>
    </w:rPr>
  </w:style>
  <w:style w:type="paragraph" w:customStyle="1" w:styleId="105">
    <w:name w:val="样式 样式 样式 四号 左侧:  1.53 厘米 + 首行缩进:  2 字符 + 居中 左侧:  2 字符 首行缩进:  2..."/>
    <w:basedOn w:val="106"/>
    <w:qFormat/>
    <w:uiPriority w:val="0"/>
    <w:pPr>
      <w:jc w:val="center"/>
    </w:pPr>
  </w:style>
  <w:style w:type="paragraph" w:customStyle="1" w:styleId="106">
    <w:name w:val="样式 样式 四号 左侧:  1.53 厘米 + 首行缩进:  2 字符"/>
    <w:basedOn w:val="107"/>
    <w:qFormat/>
    <w:uiPriority w:val="0"/>
    <w:pPr>
      <w:ind w:left="200" w:leftChars="200"/>
    </w:pPr>
    <w:rPr>
      <w:szCs w:val="20"/>
    </w:rPr>
  </w:style>
  <w:style w:type="paragraph" w:customStyle="1" w:styleId="107">
    <w:name w:val="样式 四号 左侧:  1.53 厘米"/>
    <w:basedOn w:val="1"/>
    <w:qFormat/>
    <w:uiPriority w:val="0"/>
    <w:pPr>
      <w:adjustRightInd w:val="0"/>
    </w:pPr>
    <w:rPr>
      <w:w w:val="90"/>
      <w:sz w:val="28"/>
      <w:szCs w:val="28"/>
    </w:rPr>
  </w:style>
  <w:style w:type="paragraph" w:styleId="108">
    <w:name w:val="List Paragraph"/>
    <w:basedOn w:val="1"/>
    <w:qFormat/>
    <w:uiPriority w:val="34"/>
    <w:pPr>
      <w:ind w:firstLine="420" w:firstLineChars="200"/>
    </w:pPr>
  </w:style>
  <w:style w:type="paragraph" w:customStyle="1" w:styleId="109">
    <w:name w:val="报告"/>
    <w:basedOn w:val="1"/>
    <w:qFormat/>
    <w:uiPriority w:val="0"/>
    <w:pPr>
      <w:adjustRightInd w:val="0"/>
      <w:ind w:firstLine="505"/>
      <w:textAlignment w:val="baseline"/>
    </w:pPr>
    <w:rPr>
      <w:rFonts w:ascii="Calibri" w:hAnsi="Calibri" w:cs="Calibri"/>
      <w:kern w:val="0"/>
      <w:szCs w:val="21"/>
    </w:rPr>
  </w:style>
  <w:style w:type="character" w:customStyle="1" w:styleId="110">
    <w:name w:val="正文文本_"/>
    <w:qFormat/>
    <w:uiPriority w:val="0"/>
    <w:rPr>
      <w:rFonts w:ascii="宋体" w:eastAsia="宋体" w:cs="宋体"/>
      <w:sz w:val="22"/>
      <w:szCs w:val="22"/>
      <w:u w:val="none"/>
    </w:rPr>
  </w:style>
  <w:style w:type="paragraph" w:customStyle="1" w:styleId="111">
    <w:name w:val="样式 HC 正文 + 字距调整小四"/>
    <w:basedOn w:val="112"/>
    <w:next w:val="1"/>
    <w:qFormat/>
    <w:uiPriority w:val="0"/>
    <w:rPr>
      <w:kern w:val="24"/>
    </w:rPr>
  </w:style>
  <w:style w:type="paragraph" w:customStyle="1" w:styleId="112">
    <w:name w:val="HC 正文"/>
    <w:basedOn w:val="1"/>
    <w:qFormat/>
    <w:uiPriority w:val="0"/>
    <w:pPr>
      <w:autoSpaceDE w:val="0"/>
      <w:snapToGrid w:val="0"/>
      <w:ind w:firstLine="480"/>
    </w:pPr>
    <w:rPr>
      <w:color w:val="0000FF"/>
    </w:rPr>
  </w:style>
  <w:style w:type="paragraph" w:customStyle="1" w:styleId="113">
    <w:name w:val="正文环评"/>
    <w:basedOn w:val="1"/>
    <w:qFormat/>
    <w:uiPriority w:val="0"/>
    <w:pPr>
      <w:spacing w:line="360" w:lineRule="auto"/>
      <w:ind w:firstLine="200" w:firstLineChars="200"/>
    </w:pPr>
    <w:rPr>
      <w:sz w:val="24"/>
      <w:szCs w:val="22"/>
    </w:rPr>
  </w:style>
  <w:style w:type="paragraph" w:customStyle="1" w:styleId="114">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115">
    <w:name w:val="ggzbt011"/>
    <w:qFormat/>
    <w:uiPriority w:val="0"/>
  </w:style>
  <w:style w:type="paragraph" w:customStyle="1" w:styleId="116">
    <w:name w:val="Char Char Char Char"/>
    <w:basedOn w:val="1"/>
    <w:qFormat/>
    <w:uiPriority w:val="0"/>
    <w:pPr>
      <w:snapToGrid w:val="0"/>
      <w:spacing w:line="360" w:lineRule="auto"/>
      <w:ind w:firstLine="200" w:firstLineChars="200"/>
    </w:pPr>
    <w:rPr>
      <w:szCs w:val="20"/>
    </w:rPr>
  </w:style>
  <w:style w:type="paragraph" w:customStyle="1" w:styleId="117">
    <w:name w:val="样式3"/>
    <w:basedOn w:val="81"/>
    <w:qFormat/>
    <w:uiPriority w:val="0"/>
    <w:rPr>
      <w:rFonts w:ascii="仿宋" w:eastAsia="仿宋"/>
    </w:rPr>
  </w:style>
  <w:style w:type="paragraph" w:customStyle="1" w:styleId="118">
    <w:name w:val="1、正文文本"/>
    <w:next w:val="1"/>
    <w:qFormat/>
    <w:uiPriority w:val="0"/>
    <w:pPr>
      <w:adjustRightInd w:val="0"/>
      <w:snapToGrid w:val="0"/>
      <w:spacing w:line="360" w:lineRule="auto"/>
      <w:ind w:firstLine="200" w:firstLineChars="200"/>
    </w:pPr>
    <w:rPr>
      <w:rFonts w:ascii="Times New Roman" w:hAnsi="Times New Roman" w:eastAsia="宋体" w:cs="宋体"/>
      <w:kern w:val="2"/>
      <w:sz w:val="24"/>
      <w:lang w:val="en-US" w:eastAsia="zh-CN" w:bidi="ar-SA"/>
    </w:rPr>
  </w:style>
  <w:style w:type="paragraph" w:customStyle="1" w:styleId="119">
    <w:name w:val="样式 报告表正文 + 加粗 黑色 左 行距: 多倍行距 1.3 字行"/>
    <w:basedOn w:val="1"/>
    <w:qFormat/>
    <w:uiPriority w:val="0"/>
    <w:pPr>
      <w:spacing w:line="360" w:lineRule="auto"/>
      <w:ind w:left="113" w:right="113" w:firstLine="482" w:firstLineChars="200"/>
      <w:outlineLvl w:val="0"/>
    </w:pPr>
    <w:rPr>
      <w:b/>
    </w:rPr>
  </w:style>
  <w:style w:type="paragraph" w:customStyle="1" w:styleId="120">
    <w:name w:val="样式 纯文本 + 小四 Char"/>
    <w:basedOn w:val="18"/>
    <w:qFormat/>
    <w:uiPriority w:val="0"/>
    <w:pPr>
      <w:snapToGrid w:val="0"/>
      <w:spacing w:line="520" w:lineRule="exact"/>
      <w:ind w:firstLine="560" w:firstLineChars="200"/>
    </w:pPr>
    <w:rPr>
      <w:szCs w:val="28"/>
    </w:rPr>
  </w:style>
  <w:style w:type="paragraph" w:customStyle="1" w:styleId="121">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22">
    <w:name w:val="WPSOffice手动目录 1"/>
    <w:qFormat/>
    <w:uiPriority w:val="0"/>
    <w:rPr>
      <w:rFonts w:ascii="Times New Roman" w:hAnsi="Times New Roman" w:eastAsia="宋体" w:cs="Times New Roman"/>
      <w:lang w:val="en-US" w:eastAsia="zh-CN" w:bidi="ar-SA"/>
    </w:rPr>
  </w:style>
  <w:style w:type="paragraph" w:customStyle="1" w:styleId="123">
    <w:name w:val="表标题4"/>
    <w:basedOn w:val="124"/>
    <w:next w:val="125"/>
    <w:unhideWhenUsed/>
    <w:qFormat/>
    <w:uiPriority w:val="0"/>
    <w:pPr>
      <w:numPr>
        <w:numId w:val="2"/>
      </w:numPr>
      <w:tabs>
        <w:tab w:val="left" w:pos="0"/>
      </w:tabs>
    </w:pPr>
    <w:rPr>
      <w:rFonts w:hint="eastAsia"/>
    </w:rPr>
  </w:style>
  <w:style w:type="paragraph" w:customStyle="1" w:styleId="124">
    <w:name w:val="表标题1"/>
    <w:next w:val="125"/>
    <w:qFormat/>
    <w:uiPriority w:val="99"/>
    <w:pPr>
      <w:widowControl w:val="0"/>
      <w:numPr>
        <w:ilvl w:val="0"/>
        <w:numId w:val="3"/>
      </w:numPr>
      <w:autoSpaceDE w:val="0"/>
      <w:autoSpaceDN w:val="0"/>
      <w:adjustRightInd w:val="0"/>
      <w:snapToGrid w:val="0"/>
      <w:jc w:val="center"/>
    </w:pPr>
    <w:rPr>
      <w:rFonts w:ascii="Times New Roman" w:hAnsi="Times New Roman" w:eastAsia="宋体" w:cs="Times New Roman"/>
      <w:b/>
      <w:color w:val="000000"/>
      <w:sz w:val="21"/>
      <w:szCs w:val="24"/>
      <w:lang w:val="en-US" w:eastAsia="zh-CN" w:bidi="ar-SA"/>
    </w:rPr>
  </w:style>
  <w:style w:type="paragraph" w:customStyle="1" w:styleId="125">
    <w:name w:val="表内容"/>
    <w:basedOn w:val="1"/>
    <w:qFormat/>
    <w:uiPriority w:val="0"/>
    <w:pPr>
      <w:adjustRightInd w:val="0"/>
      <w:snapToGrid w:val="0"/>
      <w:jc w:val="center"/>
    </w:pPr>
    <w:rPr>
      <w:rFonts w:ascii="Calibri" w:hAnsi="Calibri"/>
      <w:color w:val="000000"/>
      <w:kern w:val="0"/>
      <w:szCs w:val="21"/>
    </w:rPr>
  </w:style>
  <w:style w:type="character" w:customStyle="1" w:styleId="126">
    <w:name w:val="表格文字 Char"/>
    <w:qFormat/>
    <w:locked/>
    <w:uiPriority w:val="99"/>
    <w:rPr>
      <w:sz w:val="21"/>
      <w:lang w:bidi="ar-SA"/>
    </w:rPr>
  </w:style>
  <w:style w:type="character" w:customStyle="1" w:styleId="127">
    <w:name w:val="font31"/>
    <w:qFormat/>
    <w:uiPriority w:val="0"/>
    <w:rPr>
      <w:rFonts w:hint="eastAsia" w:ascii="宋体" w:hAnsi="宋体" w:eastAsia="宋体" w:cs="宋体"/>
      <w:color w:val="000000"/>
      <w:sz w:val="20"/>
      <w:szCs w:val="20"/>
      <w:u w:val="none"/>
    </w:rPr>
  </w:style>
  <w:style w:type="character" w:customStyle="1" w:styleId="128">
    <w:name w:val="font01"/>
    <w:qFormat/>
    <w:uiPriority w:val="0"/>
    <w:rPr>
      <w:rFonts w:hint="default" w:ascii="MS Sans Serif" w:hAnsi="MS Sans Serif" w:eastAsia="MS Sans Serif" w:cs="MS Sans Serif"/>
      <w:color w:val="000000"/>
      <w:sz w:val="20"/>
      <w:szCs w:val="20"/>
      <w:u w:val="none"/>
    </w:rPr>
  </w:style>
  <w:style w:type="character" w:customStyle="1" w:styleId="129">
    <w:name w:val="font41"/>
    <w:qFormat/>
    <w:uiPriority w:val="0"/>
    <w:rPr>
      <w:rFonts w:hint="default" w:ascii="MS Sans Serif" w:hAnsi="MS Sans Serif" w:eastAsia="MS Sans Serif" w:cs="MS Sans Serif"/>
      <w:color w:val="000000"/>
      <w:sz w:val="20"/>
      <w:szCs w:val="20"/>
      <w:u w:val="none"/>
    </w:rPr>
  </w:style>
  <w:style w:type="character" w:customStyle="1" w:styleId="130">
    <w:name w:val="font11"/>
    <w:qFormat/>
    <w:uiPriority w:val="0"/>
    <w:rPr>
      <w:rFonts w:hint="eastAsia" w:ascii="宋体" w:hAnsi="宋体" w:eastAsia="宋体" w:cs="宋体"/>
      <w:color w:val="000000"/>
      <w:sz w:val="20"/>
      <w:szCs w:val="20"/>
      <w:u w:val="none"/>
    </w:rPr>
  </w:style>
  <w:style w:type="paragraph" w:customStyle="1" w:styleId="131">
    <w:name w:val="A-文本格式"/>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32">
    <w:name w:val="p0"/>
    <w:basedOn w:val="1"/>
    <w:qFormat/>
    <w:uiPriority w:val="0"/>
    <w:pPr>
      <w:widowControl/>
    </w:pPr>
    <w:rPr>
      <w:kern w:val="0"/>
      <w:szCs w:val="21"/>
    </w:rPr>
  </w:style>
  <w:style w:type="paragraph" w:customStyle="1" w:styleId="133">
    <w:name w:val="1正文段落"/>
    <w:basedOn w:val="1"/>
    <w:unhideWhenUsed/>
    <w:qFormat/>
    <w:uiPriority w:val="0"/>
    <w:pPr>
      <w:spacing w:line="360" w:lineRule="auto"/>
      <w:ind w:firstLine="200" w:firstLineChars="200"/>
    </w:pPr>
    <w:rPr>
      <w:snapToGrid w:val="0"/>
    </w:rPr>
  </w:style>
  <w:style w:type="paragraph" w:customStyle="1" w:styleId="134">
    <w:name w:val="纯文本2"/>
    <w:basedOn w:val="1"/>
    <w:qFormat/>
    <w:uiPriority w:val="0"/>
    <w:pPr>
      <w:adjustRightInd w:val="0"/>
      <w:textAlignment w:val="baseline"/>
    </w:pPr>
    <w:rPr>
      <w:rFonts w:ascii="宋体" w:hAnsi="Courier New"/>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18.wmf"/><Relationship Id="rId37" Type="http://schemas.openxmlformats.org/officeDocument/2006/relationships/oleObject" Target="embeddings/oleObject11.bin"/><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jpeg"/><Relationship Id="rId31" Type="http://schemas.openxmlformats.org/officeDocument/2006/relationships/image" Target="media/image12.png"/><Relationship Id="rId30" Type="http://schemas.openxmlformats.org/officeDocument/2006/relationships/image" Target="media/image11.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0.emf"/><Relationship Id="rId27" Type="http://schemas.openxmlformats.org/officeDocument/2006/relationships/oleObject" Target="embeddings/oleObject9.bin"/><Relationship Id="rId26" Type="http://schemas.openxmlformats.org/officeDocument/2006/relationships/image" Target="media/image9.emf"/><Relationship Id="rId25" Type="http://schemas.openxmlformats.org/officeDocument/2006/relationships/oleObject" Target="embeddings/oleObject8.bin"/><Relationship Id="rId24" Type="http://schemas.openxmlformats.org/officeDocument/2006/relationships/image" Target="media/image8.emf"/><Relationship Id="rId23" Type="http://schemas.openxmlformats.org/officeDocument/2006/relationships/oleObject" Target="embeddings/oleObject7.bin"/><Relationship Id="rId22" Type="http://schemas.openxmlformats.org/officeDocument/2006/relationships/image" Target="media/image7.png"/><Relationship Id="rId21" Type="http://schemas.openxmlformats.org/officeDocument/2006/relationships/image" Target="media/image6.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164</Pages>
  <Words>86886</Words>
  <Characters>105074</Characters>
  <Lines>816</Lines>
  <Paragraphs>229</Paragraphs>
  <TotalTime>89</TotalTime>
  <ScaleCrop>false</ScaleCrop>
  <LinksUpToDate>false</LinksUpToDate>
  <CharactersWithSpaces>105544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2025-04-02T01:58:00Z</dcterms:created>
  <dc:creator>lhj</dc:creator>
  <cp:lastModifiedBy>杨瑜</cp:lastModifiedBy>
  <cp:lastPrinted>2024-06-17T09:09:00Z</cp:lastPrinted>
  <dcterms:modified xsi:type="dcterms:W3CDTF">2025-04-21T01:32:13Z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5BD6D1F1CBE541F2A345AA29028172D9_13</vt:lpwstr>
  </property>
  <property fmtid="{D5CDD505-2E9C-101B-9397-08002B2CF9AE}" pid="4" name="KSOTemplateDocerSaveRecord">
    <vt:lpwstr>eyJoZGlkIjoiOWI2NzliNzUzZjIwOTBiOGRhZTI0YWRjYzlkMjI0NTYiLCJ1c2VySWQiOiI5MDY3OTc2MTkifQ==</vt:lpwstr>
  </property>
</Properties>
</file>