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both"/>
        <w:rPr>
          <w:rFonts w:hint="eastAsia" w:ascii="方正黑体_GBK" w:hAnsi="宋体" w:eastAsia="方正黑体_GBK"/>
          <w:color w:val="auto"/>
          <w:sz w:val="32"/>
        </w:rPr>
      </w:pPr>
      <w:bookmarkStart w:id="0" w:name="_Toc20288"/>
      <w:r>
        <w:rPr>
          <w:rFonts w:hint="eastAsia" w:ascii="方正黑体_GBK" w:hAnsi="宋体" w:eastAsia="方正黑体_GBK"/>
          <w:color w:val="auto"/>
          <w:sz w:val="32"/>
        </w:rPr>
        <w:t>附件1</w:t>
      </w:r>
    </w:p>
    <w:p>
      <w:pPr>
        <w:rPr>
          <w:rFonts w:hint="eastAsia"/>
          <w:color w:val="auto"/>
        </w:rPr>
      </w:pPr>
    </w:p>
    <w:p>
      <w:pPr>
        <w:pStyle w:val="4"/>
        <w:spacing w:line="560" w:lineRule="exact"/>
        <w:rPr>
          <w:rFonts w:ascii="宋体" w:hAnsi="宋体"/>
          <w:color w:val="auto"/>
        </w:rPr>
      </w:pPr>
      <w:bookmarkStart w:id="11" w:name="_GoBack"/>
      <w:r>
        <w:rPr>
          <w:rFonts w:hint="eastAsia" w:ascii="宋体" w:hAnsi="宋体"/>
          <w:color w:val="auto"/>
        </w:rPr>
        <w:t>云南省</w:t>
      </w:r>
      <w:r>
        <w:rPr>
          <w:rFonts w:ascii="宋体" w:hAnsi="宋体"/>
          <w:color w:val="auto"/>
        </w:rPr>
        <w:t>家电以旧换新和手机等购新补贴</w:t>
      </w:r>
    </w:p>
    <w:p>
      <w:pPr>
        <w:pStyle w:val="4"/>
        <w:spacing w:line="560" w:lineRule="exact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申请（2025年度）“一件事”</w:t>
      </w:r>
    </w:p>
    <w:p>
      <w:pPr>
        <w:pStyle w:val="4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办事指南</w:t>
      </w:r>
      <w:bookmarkEnd w:id="0"/>
    </w:p>
    <w:bookmarkEnd w:id="11"/>
    <w:p>
      <w:pPr>
        <w:overflowPunct w:val="0"/>
        <w:adjustRightInd w:val="0"/>
        <w:snapToGrid w:val="0"/>
        <w:spacing w:line="576" w:lineRule="exact"/>
        <w:rPr>
          <w:rFonts w:ascii="宋体" w:hAnsi="宋体" w:eastAsia="方正仿宋_GBK"/>
          <w:color w:val="auto"/>
        </w:rPr>
      </w:pP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0"/>
        <w:rPr>
          <w:rFonts w:ascii="宋体" w:hAnsi="宋体" w:eastAsia="方正黑体_GBK"/>
          <w:color w:val="auto"/>
          <w:sz w:val="32"/>
          <w:szCs w:val="32"/>
        </w:rPr>
      </w:pPr>
      <w:bookmarkStart w:id="1" w:name="_Toc16546"/>
      <w:bookmarkStart w:id="2" w:name="_Toc19919"/>
      <w:r>
        <w:rPr>
          <w:rFonts w:ascii="宋体" w:hAnsi="宋体" w:eastAsia="方正黑体_GBK"/>
          <w:color w:val="auto"/>
          <w:sz w:val="32"/>
          <w:szCs w:val="32"/>
        </w:rPr>
        <w:t>一、基本信息</w:t>
      </w:r>
      <w:bookmarkEnd w:id="1"/>
      <w:bookmarkEnd w:id="2"/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1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（一）事项名称</w:t>
      </w:r>
      <w:r>
        <w:rPr>
          <w:rFonts w:ascii="宋体" w:hAnsi="宋体" w:eastAsia="方正楷体_GBK" w:cs="方正楷体_GBK"/>
          <w:color w:val="auto"/>
          <w:sz w:val="32"/>
          <w:szCs w:val="32"/>
        </w:rPr>
        <w:t>：</w:t>
      </w:r>
      <w:r>
        <w:rPr>
          <w:rFonts w:hint="eastAsia" w:ascii="宋体" w:hAnsi="宋体" w:eastAsia="方正仿宋_GBK" w:cstheme="minorBidi"/>
          <w:color w:val="auto"/>
          <w:sz w:val="32"/>
          <w:szCs w:val="32"/>
        </w:rPr>
        <w:t>云南省</w:t>
      </w:r>
      <w:r>
        <w:rPr>
          <w:rFonts w:ascii="宋体" w:hAnsi="宋体" w:eastAsia="方正仿宋_GBK"/>
          <w:color w:val="auto"/>
          <w:sz w:val="32"/>
          <w:szCs w:val="32"/>
        </w:rPr>
        <w:t>家电以旧换新和手机等购新补贴申请（2025年度）“一件事”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宋体" w:hAnsi="宋体" w:eastAsia="方正仿宋_GBK" w:cs="方正楷体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（二）服务对象：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有意愿购买家电和手机等产品的消费者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1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（三）</w:t>
      </w:r>
      <w:r>
        <w:rPr>
          <w:rFonts w:ascii="宋体" w:hAnsi="宋体" w:eastAsia="方正楷体_GBK" w:cs="方正楷体_GBK"/>
          <w:color w:val="auto"/>
          <w:sz w:val="32"/>
          <w:szCs w:val="32"/>
        </w:rPr>
        <w:t>牵头单位：</w:t>
      </w:r>
      <w:r>
        <w:rPr>
          <w:rFonts w:ascii="宋体" w:hAnsi="宋体" w:eastAsia="方正仿宋_GBK"/>
          <w:color w:val="auto"/>
          <w:sz w:val="32"/>
          <w:szCs w:val="32"/>
        </w:rPr>
        <w:t>省</w:t>
      </w:r>
      <w:r>
        <w:rPr>
          <w:rFonts w:hint="eastAsia" w:ascii="宋体" w:hAnsi="宋体" w:eastAsia="方正仿宋_GBK"/>
          <w:color w:val="auto"/>
          <w:sz w:val="32"/>
          <w:szCs w:val="32"/>
        </w:rPr>
        <w:t>商务厅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1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（四）</w:t>
      </w:r>
      <w:r>
        <w:rPr>
          <w:rFonts w:ascii="宋体" w:hAnsi="宋体" w:eastAsia="方正楷体_GBK" w:cs="方正楷体_GBK"/>
          <w:color w:val="auto"/>
          <w:sz w:val="32"/>
          <w:szCs w:val="32"/>
        </w:rPr>
        <w:t>配合单位：</w:t>
      </w:r>
      <w:r>
        <w:rPr>
          <w:rFonts w:ascii="宋体" w:hAnsi="宋体" w:eastAsia="方正仿宋_GBK"/>
          <w:color w:val="auto"/>
          <w:sz w:val="32"/>
          <w:szCs w:val="32"/>
        </w:rPr>
        <w:t>省公安厅、省税务局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1"/>
        <w:rPr>
          <w:rFonts w:ascii="宋体" w:hAnsi="宋体" w:eastAsia="方正楷体_GBK" w:cs="方正楷体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（五）</w:t>
      </w:r>
      <w:r>
        <w:rPr>
          <w:rFonts w:ascii="宋体" w:hAnsi="宋体" w:eastAsia="方正楷体_GBK" w:cs="方正楷体_GBK"/>
          <w:color w:val="auto"/>
          <w:sz w:val="32"/>
          <w:szCs w:val="32"/>
        </w:rPr>
        <w:t>涉及事项：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1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1.家电以旧换新和手机等购新补贴资格校验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1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2.家电以旧换新和手机等购新补贴核销数据归集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1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3.发票核验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1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4.个人身份信息核验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宋体" w:hAnsi="宋体" w:eastAsia="方正楷体_GBK" w:cs="方正楷体_GBK"/>
          <w:color w:val="auto"/>
          <w:sz w:val="32"/>
          <w:szCs w:val="32"/>
        </w:rPr>
      </w:pPr>
      <w:bookmarkStart w:id="3" w:name="_Toc1714"/>
      <w:bookmarkStart w:id="4" w:name="_Toc10319"/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（六）办理形式：</w:t>
      </w:r>
      <w:bookmarkStart w:id="5" w:name="OLE_LINK2"/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消费者免申即享、直接购买</w:t>
      </w:r>
      <w:bookmarkEnd w:id="5"/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。通过移动端在线办理或线下在参与活动企业（商户）购买符合条件的产品。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七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）承诺审批时限：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即时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八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）审批服务层级：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州（市）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级；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县（市、区）级（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提供咨询服务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）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九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）是否收费：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否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（十）中介服务事项名称：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无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（十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一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）是否需要勘验、组织听证、专家评审、检测：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否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（十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二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）审批机关是否委托服务机构开展技术性服务：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否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（十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三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）是否实行告知承诺办理：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否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（十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四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）是否实行容缺受理：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否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</w:rPr>
        <w:t>（十</w:t>
      </w:r>
      <w:r>
        <w:rPr>
          <w:rFonts w:hint="eastAsia" w:ascii="宋体" w:hAnsi="宋体" w:eastAsia="方正楷体_GBK" w:cs="方正楷体_GBK"/>
          <w:color w:val="auto"/>
          <w:sz w:val="32"/>
          <w:lang w:eastAsia="zh-CN"/>
        </w:rPr>
        <w:t>五</w:t>
      </w:r>
      <w:r>
        <w:rPr>
          <w:rFonts w:hint="eastAsia" w:ascii="宋体" w:hAnsi="宋体" w:eastAsia="方正楷体_GBK" w:cs="方正楷体_GBK"/>
          <w:color w:val="auto"/>
          <w:sz w:val="32"/>
        </w:rPr>
        <w:t>）办理时间：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2025年1月21日—12月31日</w:t>
      </w:r>
    </w:p>
    <w:p>
      <w:pPr>
        <w:overflowPunct w:val="0"/>
        <w:adjustRightInd w:val="0"/>
        <w:snapToGrid w:val="0"/>
        <w:spacing w:line="550" w:lineRule="exact"/>
        <w:ind w:firstLine="643" w:firstLineChars="200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b/>
          <w:bCs/>
          <w:color w:val="auto"/>
          <w:sz w:val="32"/>
          <w:szCs w:val="32"/>
          <w:lang w:eastAsia="zh-CN"/>
        </w:rPr>
        <w:t>线上：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每天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7:00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—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23:00</w:t>
      </w:r>
    </w:p>
    <w:p>
      <w:pPr>
        <w:overflowPunct w:val="0"/>
        <w:adjustRightInd w:val="0"/>
        <w:snapToGrid w:val="0"/>
        <w:spacing w:line="550" w:lineRule="exact"/>
        <w:ind w:left="0" w:leftChars="0" w:firstLine="643" w:firstLineChars="200"/>
        <w:rPr>
          <w:rFonts w:hint="default" w:eastAsia="方正仿宋_GBK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color w:val="auto"/>
          <w:kern w:val="0"/>
          <w:sz w:val="32"/>
          <w:szCs w:val="32"/>
        </w:rPr>
        <w:t>线下：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州（市）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县（市、区）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政务服务中心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工作时间，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属地参与活动企业（商户）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营业时间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</w:rPr>
        <w:t>（十</w:t>
      </w:r>
      <w:r>
        <w:rPr>
          <w:rFonts w:hint="eastAsia" w:ascii="宋体" w:hAnsi="宋体" w:eastAsia="方正楷体_GBK" w:cs="方正楷体_GBK"/>
          <w:color w:val="auto"/>
          <w:sz w:val="32"/>
          <w:lang w:eastAsia="zh-CN"/>
        </w:rPr>
        <w:t>六</w:t>
      </w:r>
      <w:r>
        <w:rPr>
          <w:rFonts w:hint="eastAsia" w:ascii="宋体" w:hAnsi="宋体" w:eastAsia="方正楷体_GBK" w:cs="方正楷体_GBK"/>
          <w:color w:val="auto"/>
          <w:sz w:val="32"/>
        </w:rPr>
        <w:t>）办理地址：</w:t>
      </w:r>
    </w:p>
    <w:p>
      <w:pPr>
        <w:overflowPunct w:val="0"/>
        <w:adjustRightInd w:val="0"/>
        <w:snapToGrid w:val="0"/>
        <w:spacing w:line="550" w:lineRule="exact"/>
        <w:ind w:firstLine="643" w:firstLineChars="200"/>
        <w:rPr>
          <w:rFonts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</w:rPr>
        <w:t>线上：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云南政务服务网“高效办成一件事”专区（手机登录）</w:t>
      </w:r>
    </w:p>
    <w:p>
      <w:pPr>
        <w:overflowPunct w:val="0"/>
        <w:adjustRightInd w:val="0"/>
        <w:snapToGrid w:val="0"/>
        <w:spacing w:line="550" w:lineRule="exact"/>
        <w:ind w:left="420" w:leftChars="200" w:firstLine="321" w:firstLineChars="100"/>
        <w:rPr>
          <w:rFonts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</w:rPr>
        <w:t>线下：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州（市）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县（市、区）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政务服务中心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属地参与活动企业（商户）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0"/>
        <w:rPr>
          <w:rFonts w:ascii="宋体" w:hAnsi="宋体" w:eastAsia="方正黑体_GBK"/>
          <w:color w:val="auto"/>
          <w:sz w:val="32"/>
          <w:szCs w:val="32"/>
        </w:rPr>
      </w:pPr>
      <w:r>
        <w:rPr>
          <w:rFonts w:ascii="宋体" w:hAnsi="宋体" w:eastAsia="方正黑体_GBK"/>
          <w:color w:val="auto"/>
          <w:sz w:val="32"/>
          <w:szCs w:val="32"/>
        </w:rPr>
        <w:t>二、设定</w:t>
      </w:r>
      <w:r>
        <w:rPr>
          <w:rFonts w:hint="eastAsia" w:ascii="宋体" w:hAnsi="宋体" w:eastAsia="方正黑体_GBK"/>
          <w:color w:val="auto"/>
          <w:sz w:val="32"/>
          <w:szCs w:val="32"/>
        </w:rPr>
        <w:t>和实施</w:t>
      </w:r>
      <w:r>
        <w:rPr>
          <w:rFonts w:ascii="宋体" w:hAnsi="宋体" w:eastAsia="方正黑体_GBK"/>
          <w:color w:val="auto"/>
          <w:sz w:val="32"/>
          <w:szCs w:val="32"/>
        </w:rPr>
        <w:t>依据</w:t>
      </w:r>
      <w:bookmarkEnd w:id="3"/>
      <w:bookmarkEnd w:id="4"/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0"/>
        <w:rPr>
          <w:rFonts w:ascii="宋体" w:hAnsi="宋体" w:eastAsia="方正仿宋_GBK"/>
          <w:color w:val="auto"/>
          <w:sz w:val="32"/>
          <w:szCs w:val="32"/>
        </w:rPr>
      </w:pPr>
      <w:bookmarkStart w:id="6" w:name="_Toc27381"/>
      <w:bookmarkStart w:id="7" w:name="_Toc23715"/>
      <w:r>
        <w:rPr>
          <w:rFonts w:hint="eastAsia" w:ascii="宋体" w:hAnsi="宋体" w:eastAsia="方正仿宋_GBK"/>
          <w:color w:val="auto"/>
          <w:sz w:val="32"/>
          <w:szCs w:val="32"/>
        </w:rPr>
        <w:t>（一）</w:t>
      </w:r>
      <w:r>
        <w:rPr>
          <w:rFonts w:ascii="宋体" w:hAnsi="宋体" w:eastAsia="方正仿宋_GBK"/>
          <w:color w:val="auto"/>
          <w:sz w:val="32"/>
          <w:szCs w:val="32"/>
        </w:rPr>
        <w:t>《推动大规模设备更新和消费品以旧换新行动方案》</w:t>
      </w:r>
      <w:r>
        <w:rPr>
          <w:rFonts w:hint="eastAsia" w:ascii="宋体" w:hAnsi="宋体" w:eastAsia="方正仿宋_GBK"/>
          <w:color w:val="auto"/>
          <w:sz w:val="32"/>
          <w:szCs w:val="32"/>
        </w:rPr>
        <w:t>（</w:t>
      </w:r>
      <w:r>
        <w:rPr>
          <w:rFonts w:ascii="宋体" w:hAnsi="宋体" w:eastAsia="方正仿宋_GBK"/>
          <w:color w:val="auto"/>
          <w:sz w:val="32"/>
          <w:szCs w:val="32"/>
        </w:rPr>
        <w:t>国发〔2024〕7号</w:t>
      </w:r>
      <w:r>
        <w:rPr>
          <w:rFonts w:hint="eastAsia" w:ascii="宋体" w:hAnsi="宋体" w:eastAsia="方正仿宋_GBK"/>
          <w:color w:val="auto"/>
          <w:sz w:val="32"/>
          <w:szCs w:val="32"/>
        </w:rPr>
        <w:t>）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（二）《国家发展改革委 财政部关于2025年加力扩围实施大规模设备更新和消费品以旧换新政策的通知》（</w:t>
      </w:r>
      <w:r>
        <w:rPr>
          <w:rFonts w:ascii="宋体" w:hAnsi="宋体" w:eastAsia="方正仿宋_GBK"/>
          <w:color w:val="auto"/>
          <w:sz w:val="32"/>
          <w:szCs w:val="32"/>
        </w:rPr>
        <w:t>发改环资〔2025〕13号</w:t>
      </w:r>
      <w:r>
        <w:rPr>
          <w:rFonts w:hint="eastAsia" w:ascii="宋体" w:hAnsi="宋体" w:eastAsia="方正仿宋_GBK"/>
          <w:color w:val="auto"/>
          <w:sz w:val="32"/>
          <w:szCs w:val="32"/>
        </w:rPr>
        <w:t>）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（三）《</w:t>
      </w:r>
      <w:r>
        <w:rPr>
          <w:rFonts w:ascii="宋体" w:hAnsi="宋体" w:eastAsia="方正仿宋_GBK"/>
          <w:color w:val="auto"/>
          <w:sz w:val="32"/>
          <w:szCs w:val="32"/>
        </w:rPr>
        <w:t>商务部等4部门办公厅关于做好2025年家电以旧换新工作的通知</w:t>
      </w:r>
      <w:r>
        <w:rPr>
          <w:rFonts w:hint="eastAsia" w:ascii="宋体" w:hAnsi="宋体" w:eastAsia="方正仿宋_GBK"/>
          <w:color w:val="auto"/>
          <w:sz w:val="32"/>
          <w:szCs w:val="32"/>
        </w:rPr>
        <w:t>》（商办流通函</w:t>
      </w:r>
      <w:r>
        <w:rPr>
          <w:rFonts w:ascii="宋体" w:hAnsi="宋体" w:eastAsia="方正仿宋_GBK"/>
          <w:color w:val="auto"/>
          <w:sz w:val="32"/>
          <w:szCs w:val="32"/>
        </w:rPr>
        <w:t>〔2025〕</w:t>
      </w:r>
      <w:r>
        <w:rPr>
          <w:rFonts w:hint="eastAsia" w:ascii="宋体" w:hAnsi="宋体" w:eastAsia="方正仿宋_GBK"/>
          <w:color w:val="auto"/>
          <w:sz w:val="32"/>
          <w:szCs w:val="32"/>
        </w:rPr>
        <w:t>6号）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（四）《</w:t>
      </w:r>
      <w:r>
        <w:rPr>
          <w:rFonts w:ascii="宋体" w:hAnsi="宋体" w:eastAsia="方正仿宋_GBK"/>
          <w:color w:val="auto"/>
          <w:sz w:val="32"/>
          <w:szCs w:val="32"/>
        </w:rPr>
        <w:t>商务部等5部门办公厅关于印发</w:t>
      </w:r>
      <w:r>
        <w:rPr>
          <w:rFonts w:hint="eastAsia" w:ascii="宋体" w:hAnsi="宋体" w:eastAsia="方正仿宋_GBK"/>
          <w:color w:val="auto"/>
          <w:sz w:val="32"/>
          <w:szCs w:val="32"/>
        </w:rPr>
        <w:t>〈</w:t>
      </w:r>
      <w:r>
        <w:rPr>
          <w:rFonts w:ascii="宋体" w:hAnsi="宋体" w:eastAsia="方正仿宋_GBK"/>
          <w:color w:val="auto"/>
          <w:sz w:val="32"/>
          <w:szCs w:val="32"/>
        </w:rPr>
        <w:t>手机、平板、智能手表（手环</w:t>
      </w:r>
      <w:r>
        <w:rPr>
          <w:rFonts w:hint="eastAsia" w:ascii="宋体" w:hAnsi="宋体" w:eastAsia="方正仿宋_GBK"/>
          <w:color w:val="auto"/>
          <w:sz w:val="32"/>
          <w:szCs w:val="32"/>
        </w:rPr>
        <w:t>）</w:t>
      </w:r>
      <w:r>
        <w:rPr>
          <w:rFonts w:ascii="宋体" w:hAnsi="宋体" w:eastAsia="方正仿宋_GBK"/>
          <w:color w:val="auto"/>
          <w:sz w:val="32"/>
          <w:szCs w:val="32"/>
        </w:rPr>
        <w:t>购新补贴实施方案</w:t>
      </w:r>
      <w:r>
        <w:rPr>
          <w:rFonts w:hint="eastAsia" w:ascii="宋体" w:hAnsi="宋体" w:eastAsia="方正仿宋_GBK"/>
          <w:color w:val="auto"/>
          <w:sz w:val="32"/>
          <w:szCs w:val="32"/>
        </w:rPr>
        <w:t>〉</w:t>
      </w:r>
      <w:r>
        <w:rPr>
          <w:rFonts w:ascii="宋体" w:hAnsi="宋体" w:eastAsia="方正仿宋_GBK"/>
          <w:color w:val="auto"/>
          <w:sz w:val="32"/>
          <w:szCs w:val="32"/>
        </w:rPr>
        <w:t>的通知</w:t>
      </w:r>
      <w:r>
        <w:rPr>
          <w:rFonts w:hint="eastAsia" w:ascii="宋体" w:hAnsi="宋体" w:eastAsia="方正仿宋_GBK"/>
          <w:color w:val="auto"/>
          <w:sz w:val="32"/>
          <w:szCs w:val="32"/>
        </w:rPr>
        <w:t>》（</w:t>
      </w:r>
      <w:r>
        <w:rPr>
          <w:rFonts w:ascii="宋体" w:hAnsi="宋体" w:eastAsia="方正仿宋_GBK"/>
          <w:color w:val="auto"/>
          <w:sz w:val="32"/>
          <w:szCs w:val="32"/>
        </w:rPr>
        <w:t>商办流通函2025年第7号</w:t>
      </w:r>
      <w:r>
        <w:rPr>
          <w:rFonts w:hint="eastAsia" w:ascii="宋体" w:hAnsi="宋体" w:eastAsia="方正仿宋_GBK"/>
          <w:color w:val="auto"/>
          <w:sz w:val="32"/>
          <w:szCs w:val="32"/>
        </w:rPr>
        <w:t>）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outlineLvl w:val="0"/>
        <w:rPr>
          <w:rFonts w:ascii="宋体" w:hAnsi="宋体" w:eastAsia="方正黑体_GBK"/>
          <w:color w:val="auto"/>
          <w:sz w:val="32"/>
          <w:szCs w:val="32"/>
        </w:rPr>
      </w:pPr>
      <w:r>
        <w:rPr>
          <w:rFonts w:ascii="宋体" w:hAnsi="宋体" w:eastAsia="方正黑体_GBK"/>
          <w:color w:val="auto"/>
          <w:sz w:val="32"/>
          <w:szCs w:val="32"/>
        </w:rPr>
        <w:t>三、</w:t>
      </w:r>
      <w:bookmarkEnd w:id="6"/>
      <w:bookmarkEnd w:id="7"/>
      <w:r>
        <w:rPr>
          <w:rFonts w:hint="eastAsia" w:ascii="宋体" w:hAnsi="宋体" w:eastAsia="方正黑体_GBK"/>
          <w:color w:val="auto"/>
          <w:sz w:val="32"/>
          <w:szCs w:val="32"/>
        </w:rPr>
        <w:t>办理条件</w:t>
      </w:r>
    </w:p>
    <w:p>
      <w:pPr>
        <w:spacing w:line="560" w:lineRule="exact"/>
        <w:ind w:firstLine="640" w:firstLineChars="20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（一）补贴范围：</w:t>
      </w:r>
      <w:r>
        <w:rPr>
          <w:rFonts w:hint="eastAsia" w:ascii="宋体" w:hAnsi="宋体" w:eastAsia="方正仿宋_GBK"/>
          <w:color w:val="auto"/>
          <w:sz w:val="32"/>
          <w:szCs w:val="32"/>
        </w:rPr>
        <w:t>家电包括电冰箱（含冰柜）、洗衣机（含洗烘一体）、电视机、空调、电脑、热水器（含太阳能热水器）、家用灶具、吸油烟机、净水器、洗碗机、电饭煲、微波炉、扫地机器人、烘干机、音响、取暖器、打印机、消毒柜、电磁炉、破壁机、蒸烤箱、浴霸、空气净化器、智能门锁、智能马桶；手机</w:t>
      </w:r>
      <w:r>
        <w:rPr>
          <w:rFonts w:ascii="宋体" w:hAnsi="宋体" w:eastAsia="方正仿宋_GBK" w:cs="Times New Roman"/>
          <w:color w:val="auto"/>
          <w:sz w:val="32"/>
          <w:szCs w:val="32"/>
        </w:rPr>
        <w:t>等数码产品</w:t>
      </w:r>
      <w:r>
        <w:rPr>
          <w:rFonts w:hint="eastAsia" w:ascii="宋体" w:hAnsi="宋体" w:eastAsia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（二）补贴标准：</w:t>
      </w:r>
      <w:r>
        <w:rPr>
          <w:rFonts w:hint="eastAsia" w:ascii="宋体" w:hAnsi="宋体" w:eastAsia="方正仿宋_GBK"/>
          <w:color w:val="auto"/>
          <w:sz w:val="32"/>
          <w:szCs w:val="32"/>
        </w:rPr>
        <w:t>个人消费者购买2级及以下能效或水效标准，以及无能效水效标准的家电产品，补贴标准为产品最终销售价格</w:t>
      </w:r>
      <w:r>
        <w:rPr>
          <w:rFonts w:ascii="宋体" w:hAnsi="宋体" w:eastAsia="方正仿宋_GBK"/>
          <w:color w:val="auto"/>
          <w:sz w:val="32"/>
          <w:szCs w:val="32"/>
        </w:rPr>
        <w:t>（剔除所有折扣优惠后）</w:t>
      </w:r>
      <w:r>
        <w:rPr>
          <w:rFonts w:hint="eastAsia" w:ascii="宋体" w:hAnsi="宋体" w:eastAsia="方正仿宋_GBK"/>
          <w:color w:val="auto"/>
          <w:sz w:val="32"/>
          <w:szCs w:val="32"/>
        </w:rPr>
        <w:t>的15%；购买1级能效或水效标准的家电产品，补贴标准为产品最终销售价格的20%。每位消费者每类产品可补贴1件（空调产品最多可补贴3件）。每人每件商品</w:t>
      </w:r>
      <w:r>
        <w:rPr>
          <w:rFonts w:ascii="宋体" w:hAnsi="宋体" w:eastAsia="方正仿宋_GBK"/>
          <w:color w:val="auto"/>
          <w:sz w:val="32"/>
          <w:szCs w:val="32"/>
        </w:rPr>
        <w:t>消费最高补贴2000元</w:t>
      </w:r>
      <w:r>
        <w:rPr>
          <w:rFonts w:hint="eastAsia" w:ascii="宋体" w:hAnsi="宋体" w:eastAsia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宋体" w:hAnsi="宋体" w:eastAsia="方正仿宋_GBK"/>
          <w:color w:val="auto"/>
          <w:kern w:val="0"/>
          <w:sz w:val="32"/>
          <w:szCs w:val="32"/>
        </w:rPr>
      </w:pPr>
      <w:r>
        <w:rPr>
          <w:rFonts w:ascii="宋体" w:hAnsi="宋体" w:eastAsia="方正仿宋_GBK" w:cs="Times New Roman"/>
          <w:color w:val="auto"/>
          <w:sz w:val="32"/>
          <w:szCs w:val="32"/>
        </w:rPr>
        <w:t>个人消费者购买手机等数码产品（单件销售价格不超过6000元），可享受购新补贴。每人每类产品可补贴1件，每件补贴比例为减去生产、流通环节及移动运营商所有优惠后最终销售价格的15%，每件最高不超过500元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宋体" w:hAnsi="宋体" w:eastAsia="方正黑体_GBK"/>
          <w:color w:val="auto"/>
          <w:sz w:val="32"/>
          <w:szCs w:val="32"/>
        </w:rPr>
      </w:pPr>
      <w:bookmarkStart w:id="8" w:name="_Toc7837"/>
      <w:bookmarkStart w:id="9" w:name="_Toc28284"/>
    </w:p>
    <w:p>
      <w:pPr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宋体" w:hAnsi="宋体" w:eastAsia="方正黑体_GBK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宋体" w:hAnsi="宋体" w:eastAsia="方正黑体_GBK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宋体" w:hAnsi="宋体" w:eastAsia="方正黑体_GBK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宋体" w:hAnsi="宋体" w:eastAsia="方正黑体_GBK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ind w:firstLine="640" w:firstLineChars="200"/>
        <w:outlineLvl w:val="0"/>
        <w:rPr>
          <w:rFonts w:ascii="宋体" w:hAnsi="宋体" w:eastAsia="黑体"/>
          <w:color w:val="auto"/>
          <w:sz w:val="32"/>
          <w:szCs w:val="32"/>
        </w:rPr>
      </w:pPr>
      <w:r>
        <w:rPr>
          <w:rFonts w:ascii="宋体" w:hAnsi="宋体" w:eastAsia="方正黑体_GBK"/>
          <w:color w:val="auto"/>
          <w:sz w:val="32"/>
          <w:szCs w:val="32"/>
        </w:rPr>
        <w:t>四、申请材料</w:t>
      </w:r>
      <w:bookmarkEnd w:id="8"/>
      <w:bookmarkEnd w:id="9"/>
    </w:p>
    <w:tbl>
      <w:tblPr>
        <w:tblStyle w:val="10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597"/>
        <w:gridCol w:w="680"/>
        <w:gridCol w:w="500"/>
        <w:gridCol w:w="646"/>
        <w:gridCol w:w="533"/>
        <w:gridCol w:w="842"/>
        <w:gridCol w:w="739"/>
        <w:gridCol w:w="934"/>
        <w:gridCol w:w="785"/>
        <w:gridCol w:w="857"/>
      </w:tblGrid>
      <w:tr>
        <w:trPr>
          <w:trHeight w:val="288" w:hRule="atLeast"/>
          <w:tblHeader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eastAsia="黑体" w:cs="Times New Roman"/>
                <w:color w:val="auto"/>
                <w:spacing w:val="-6"/>
                <w:sz w:val="20"/>
                <w:szCs w:val="20"/>
              </w:rPr>
            </w:pPr>
            <w:bookmarkStart w:id="10" w:name="_Toc6332"/>
            <w:r>
              <w:rPr>
                <w:rFonts w:ascii="宋体" w:hAnsi="宋体" w:eastAsia="方正黑体_GBK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eastAsia="黑体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方正黑体_GBK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  <w:t>材料名称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eastAsia="黑体" w:cs="Times New Roman"/>
                <w:color w:val="auto"/>
                <w:spacing w:val="-6"/>
                <w:sz w:val="20"/>
                <w:szCs w:val="20"/>
              </w:rPr>
            </w:pPr>
            <w:r>
              <w:rPr>
                <w:rFonts w:ascii="宋体" w:hAnsi="宋体" w:eastAsia="方正黑体_GBK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  <w:t>材料类型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eastAsia="黑体" w:cs="Times New Roman"/>
                <w:color w:val="auto"/>
                <w:spacing w:val="-6"/>
                <w:sz w:val="20"/>
                <w:szCs w:val="20"/>
              </w:rPr>
            </w:pPr>
            <w:r>
              <w:rPr>
                <w:rFonts w:ascii="宋体" w:hAnsi="宋体" w:eastAsia="方正黑体_GBK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  <w:t>材料形式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eastAsia="黑体" w:cs="Times New Roman"/>
                <w:color w:val="auto"/>
                <w:spacing w:val="-6"/>
                <w:sz w:val="20"/>
                <w:szCs w:val="20"/>
              </w:rPr>
            </w:pPr>
            <w:r>
              <w:rPr>
                <w:rFonts w:ascii="宋体" w:hAnsi="宋体" w:eastAsia="方正黑体_GBK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  <w:t>来源渠道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eastAsia="黑体" w:cs="Times New Roman"/>
                <w:color w:val="auto"/>
                <w:spacing w:val="-6"/>
                <w:sz w:val="20"/>
                <w:szCs w:val="20"/>
              </w:rPr>
            </w:pPr>
            <w:r>
              <w:rPr>
                <w:rFonts w:ascii="宋体" w:hAnsi="宋体" w:eastAsia="方正黑体_GBK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  <w:t>出具部门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eastAsia="黑体" w:cs="Times New Roman"/>
                <w:color w:val="auto"/>
                <w:spacing w:val="-6"/>
                <w:sz w:val="20"/>
                <w:szCs w:val="20"/>
              </w:rPr>
            </w:pPr>
            <w:r>
              <w:rPr>
                <w:rFonts w:ascii="宋体" w:hAnsi="宋体" w:eastAsia="方正黑体_GBK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  <w:t>纸质材料份数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eastAsia="黑体" w:cs="Times New Roman"/>
                <w:color w:val="auto"/>
                <w:spacing w:val="-6"/>
                <w:sz w:val="20"/>
                <w:szCs w:val="20"/>
              </w:rPr>
            </w:pPr>
            <w:r>
              <w:rPr>
                <w:rFonts w:ascii="宋体" w:hAnsi="宋体" w:eastAsia="方正黑体_GBK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  <w:t>材料必要性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eastAsia="黑体" w:cs="Times New Roman"/>
                <w:color w:val="auto"/>
                <w:spacing w:val="-6"/>
                <w:sz w:val="20"/>
                <w:szCs w:val="20"/>
              </w:rPr>
            </w:pPr>
            <w:r>
              <w:rPr>
                <w:rFonts w:ascii="宋体" w:hAnsi="宋体" w:eastAsia="方正黑体_GBK" w:cs="Times New Roman"/>
                <w:color w:val="auto"/>
                <w:spacing w:val="-6"/>
                <w:sz w:val="20"/>
                <w:szCs w:val="20"/>
              </w:rPr>
              <w:t>涉及事项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eastAsia="黑体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方正黑体_GBK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  <w:t>非必要材料涉及情形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eastAsia="黑体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方正黑体_GBK" w:cs="Times New Roman"/>
                <w:color w:val="auto"/>
                <w:spacing w:val="-6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本人身份证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原件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电子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ascii="宋体" w:hAnsi="宋体" w:eastAsia="方正仿宋_GBK" w:cs="Times New Roman"/>
                <w:color w:val="auto"/>
                <w:kern w:val="0"/>
                <w:szCs w:val="21"/>
                <w:lang w:bidi="ar"/>
              </w:rPr>
              <w:t>政府部门核发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公安部门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0份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必要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全量事项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left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可通过信息共享方式核验，无需提交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本人名下银行卡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原件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电子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0"/>
                <w:szCs w:val="20"/>
                <w:lang w:bidi="ar"/>
              </w:rPr>
              <w:t>申请人自备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—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0份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必要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全量事项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0"/>
                <w:szCs w:val="20"/>
              </w:rPr>
              <w:t>可通过信息共享方式核验，无需提交</w:t>
            </w:r>
          </w:p>
        </w:tc>
      </w:tr>
      <w:bookmarkEnd w:id="10"/>
    </w:tbl>
    <w:p>
      <w:pPr>
        <w:overflowPunct/>
        <w:adjustRightInd/>
        <w:snapToGrid/>
        <w:jc w:val="left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018d72b-7669-4a1f-b904-8e986d932852"/>
  </w:docVars>
  <w:rsids>
    <w:rsidRoot w:val="011B0CA8"/>
    <w:rsid w:val="00082B4F"/>
    <w:rsid w:val="00257683"/>
    <w:rsid w:val="004B20F4"/>
    <w:rsid w:val="00F77FDD"/>
    <w:rsid w:val="011B0CA8"/>
    <w:rsid w:val="18A1732B"/>
    <w:rsid w:val="1BFB4B8D"/>
    <w:rsid w:val="20EC2034"/>
    <w:rsid w:val="290B2564"/>
    <w:rsid w:val="2C2F6191"/>
    <w:rsid w:val="2F59209E"/>
    <w:rsid w:val="30E4782F"/>
    <w:rsid w:val="3F7F4C4C"/>
    <w:rsid w:val="418D607F"/>
    <w:rsid w:val="43376BE5"/>
    <w:rsid w:val="5434783E"/>
    <w:rsid w:val="596F56E1"/>
    <w:rsid w:val="6E58134A"/>
    <w:rsid w:val="76FB7A0C"/>
    <w:rsid w:val="77FDF493"/>
    <w:rsid w:val="79B9BF07"/>
    <w:rsid w:val="7A707A80"/>
    <w:rsid w:val="7DFF76FF"/>
    <w:rsid w:val="7F1B7FBA"/>
    <w:rsid w:val="7F7F6CB4"/>
    <w:rsid w:val="7FFF4674"/>
    <w:rsid w:val="8FFE2650"/>
    <w:rsid w:val="9DBFE272"/>
    <w:rsid w:val="BD6FCBCD"/>
    <w:rsid w:val="DFFE75EF"/>
    <w:rsid w:val="EFFF588D"/>
    <w:rsid w:val="F7D7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overflowPunct w:val="0"/>
      <w:spacing w:line="700" w:lineRule="exact"/>
      <w:jc w:val="center"/>
      <w:outlineLvl w:val="0"/>
    </w:pPr>
    <w:rPr>
      <w:rFonts w:ascii="Times New Roman" w:hAnsi="Times New Roman" w:eastAsia="方正小标宋_GBK" w:cs="Times New Roman"/>
      <w:bCs/>
      <w:kern w:val="44"/>
      <w:sz w:val="44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eastAsia="宋体" w:cs="Times New Roman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2">
    <w:name w:val="BodyText"/>
    <w:basedOn w:val="1"/>
    <w:qFormat/>
    <w:uiPriority w:val="99"/>
    <w:pPr>
      <w:ind w:left="707"/>
    </w:pPr>
    <w:rPr>
      <w:rFonts w:ascii="宋体" w:hAnsi="宋体" w:eastAsia="宋体" w:cs="Times New Roman"/>
      <w:sz w:val="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云南省商务厅</Company>
  <Pages>4</Pages>
  <Words>3369</Words>
  <Characters>3506</Characters>
  <Lines>25</Lines>
  <Paragraphs>7</Paragraphs>
  <TotalTime>1</TotalTime>
  <ScaleCrop>false</ScaleCrop>
  <LinksUpToDate>false</LinksUpToDate>
  <CharactersWithSpaces>3555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2022-05-14T08:58:00Z</dcterms:created>
  <dc:creator>李若愚【市场运行和消费促进处】</dc:creator>
  <cp:lastModifiedBy>杨启贤</cp:lastModifiedBy>
  <cp:lastPrinted>2025-03-27T17:06:00Z</cp:lastPrinted>
  <dcterms:modified xsi:type="dcterms:W3CDTF">2025-04-22T09:11:38Z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KSOTemplateDocerSaveRecord">
    <vt:lpwstr>eyJoZGlkIjoiNDU5YTNlNThlZWY1YjA2NWFlNDNkMTgyMWU2ZGVlNzQiLCJ1c2VySWQiOiIxMTU1Mjg5MDIzIn0=</vt:lpwstr>
  </property>
  <property fmtid="{D5CDD505-2E9C-101B-9397-08002B2CF9AE}" pid="4" name="ICV">
    <vt:lpwstr>54033ACB18C34576ABB38D2BDA266FDF_13</vt:lpwstr>
  </property>
</Properties>
</file>